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6B88" w14:textId="77777777" w:rsidR="00057B18" w:rsidRDefault="003874E8" w:rsidP="003874E8">
      <w:pPr>
        <w:jc w:val="center"/>
        <w:rPr>
          <w:rFonts w:ascii="Times New Roman" w:hAnsi="Times New Roman" w:cs="Times New Roman"/>
          <w:b/>
          <w:sz w:val="24"/>
          <w:szCs w:val="24"/>
        </w:rPr>
      </w:pPr>
      <w:r w:rsidRPr="003874E8">
        <w:rPr>
          <w:rFonts w:ascii="Times New Roman" w:hAnsi="Times New Roman" w:cs="Times New Roman"/>
          <w:b/>
          <w:sz w:val="24"/>
          <w:szCs w:val="24"/>
        </w:rPr>
        <w:t>GREEN HUMAN RESOURCE MANAGEMENT (GHRM) PRACTICES AND ENVIRONMENTA</w:t>
      </w:r>
      <w:r w:rsidR="002262E0">
        <w:rPr>
          <w:rFonts w:ascii="Times New Roman" w:hAnsi="Times New Roman" w:cs="Times New Roman"/>
          <w:b/>
          <w:sz w:val="24"/>
          <w:szCs w:val="24"/>
        </w:rPr>
        <w:t>L SUSTAINABILITY IN</w:t>
      </w:r>
      <w:r w:rsidRPr="003874E8">
        <w:rPr>
          <w:rFonts w:ascii="Times New Roman" w:hAnsi="Times New Roman" w:cs="Times New Roman"/>
          <w:b/>
          <w:sz w:val="24"/>
          <w:szCs w:val="24"/>
        </w:rPr>
        <w:t xml:space="preserve"> </w:t>
      </w:r>
      <w:r w:rsidR="002262E0" w:rsidRPr="002262E0">
        <w:rPr>
          <w:rStyle w:val="Strong"/>
          <w:rFonts w:ascii="Times New Roman" w:hAnsi="Times New Roman" w:cs="Times New Roman"/>
          <w:sz w:val="24"/>
          <w:szCs w:val="24"/>
        </w:rPr>
        <w:t>NORTH AFRICA</w:t>
      </w:r>
      <w:r w:rsidR="002262E0">
        <w:rPr>
          <w:rFonts w:ascii="Times New Roman" w:hAnsi="Times New Roman" w:cs="Times New Roman"/>
          <w:b/>
          <w:sz w:val="24"/>
          <w:szCs w:val="24"/>
        </w:rPr>
        <w:t xml:space="preserve">N </w:t>
      </w:r>
      <w:r w:rsidRPr="003874E8">
        <w:rPr>
          <w:rFonts w:ascii="Times New Roman" w:hAnsi="Times New Roman" w:cs="Times New Roman"/>
          <w:b/>
          <w:sz w:val="24"/>
          <w:szCs w:val="24"/>
        </w:rPr>
        <w:t>PUBLIC SECTOR</w:t>
      </w:r>
      <w:r w:rsidR="002262E0">
        <w:rPr>
          <w:rFonts w:ascii="Times New Roman" w:hAnsi="Times New Roman" w:cs="Times New Roman"/>
          <w:b/>
          <w:sz w:val="24"/>
          <w:szCs w:val="24"/>
        </w:rPr>
        <w:t xml:space="preserve"> </w:t>
      </w:r>
    </w:p>
    <w:p w14:paraId="2746BB30" w14:textId="77777777" w:rsidR="00861517" w:rsidRDefault="00861517" w:rsidP="00C064AB">
      <w:pPr>
        <w:pStyle w:val="NoSpacing"/>
        <w:jc w:val="both"/>
        <w:rPr>
          <w:rStyle w:val="Strong"/>
          <w:rFonts w:ascii="Times New Roman" w:hAnsi="Times New Roman" w:cs="Times New Roman"/>
          <w:sz w:val="24"/>
          <w:szCs w:val="24"/>
        </w:rPr>
      </w:pPr>
    </w:p>
    <w:p w14:paraId="5F87E24C" w14:textId="77777777" w:rsidR="009D2E32" w:rsidRPr="00C064AB" w:rsidRDefault="00CA769D" w:rsidP="00C064AB">
      <w:pPr>
        <w:pStyle w:val="NoSpacing"/>
        <w:jc w:val="both"/>
        <w:rPr>
          <w:rFonts w:ascii="Times New Roman" w:hAnsi="Times New Roman" w:cs="Times New Roman"/>
          <w:sz w:val="24"/>
          <w:szCs w:val="24"/>
        </w:rPr>
      </w:pPr>
      <w:r w:rsidRPr="00C064AB">
        <w:rPr>
          <w:rStyle w:val="Strong"/>
          <w:rFonts w:ascii="Times New Roman" w:hAnsi="Times New Roman" w:cs="Times New Roman"/>
          <w:sz w:val="24"/>
          <w:szCs w:val="24"/>
        </w:rPr>
        <w:t>ABSTRACT</w:t>
      </w:r>
    </w:p>
    <w:p w14:paraId="7B0170D9" w14:textId="77777777" w:rsidR="00CA769D" w:rsidRDefault="00CA769D" w:rsidP="00C064AB">
      <w:pPr>
        <w:pStyle w:val="NoSpacing"/>
        <w:jc w:val="both"/>
        <w:rPr>
          <w:rFonts w:ascii="Times New Roman" w:hAnsi="Times New Roman" w:cs="Times New Roman"/>
          <w:sz w:val="24"/>
          <w:szCs w:val="24"/>
        </w:rPr>
      </w:pPr>
    </w:p>
    <w:p w14:paraId="01531C9D" w14:textId="77777777" w:rsidR="009D2E32" w:rsidRPr="00C064AB" w:rsidRDefault="009D2E32" w:rsidP="00C064AB">
      <w:pPr>
        <w:pStyle w:val="NoSpacing"/>
        <w:jc w:val="both"/>
        <w:rPr>
          <w:rFonts w:ascii="Times New Roman" w:hAnsi="Times New Roman" w:cs="Times New Roman"/>
          <w:sz w:val="24"/>
          <w:szCs w:val="24"/>
        </w:rPr>
      </w:pPr>
      <w:r w:rsidRPr="00C064AB">
        <w:rPr>
          <w:rFonts w:ascii="Times New Roman" w:hAnsi="Times New Roman" w:cs="Times New Roman"/>
          <w:sz w:val="24"/>
          <w:szCs w:val="24"/>
        </w:rPr>
        <w:t xml:space="preserve">This study examined the influence of </w:t>
      </w:r>
      <w:r w:rsidRPr="00CA769D">
        <w:rPr>
          <w:rStyle w:val="Strong"/>
          <w:rFonts w:ascii="Times New Roman" w:hAnsi="Times New Roman" w:cs="Times New Roman"/>
          <w:b w:val="0"/>
          <w:sz w:val="24"/>
          <w:szCs w:val="24"/>
        </w:rPr>
        <w:t>Green Human Resource Management (GHRM) practices</w:t>
      </w:r>
      <w:r w:rsidRPr="00CA769D">
        <w:rPr>
          <w:rFonts w:ascii="Times New Roman" w:hAnsi="Times New Roman" w:cs="Times New Roman"/>
          <w:b/>
          <w:sz w:val="24"/>
          <w:szCs w:val="24"/>
        </w:rPr>
        <w:t xml:space="preserve"> </w:t>
      </w:r>
      <w:r w:rsidRPr="00CA769D">
        <w:rPr>
          <w:rFonts w:ascii="Times New Roman" w:hAnsi="Times New Roman" w:cs="Times New Roman"/>
          <w:sz w:val="24"/>
          <w:szCs w:val="24"/>
        </w:rPr>
        <w:t>on</w:t>
      </w:r>
      <w:r w:rsidRPr="00CA769D">
        <w:rPr>
          <w:rFonts w:ascii="Times New Roman" w:hAnsi="Times New Roman" w:cs="Times New Roman"/>
          <w:b/>
          <w:sz w:val="24"/>
          <w:szCs w:val="24"/>
        </w:rPr>
        <w:t xml:space="preserve"> </w:t>
      </w:r>
      <w:r w:rsidRPr="00CA769D">
        <w:rPr>
          <w:rStyle w:val="Strong"/>
          <w:rFonts w:ascii="Times New Roman" w:hAnsi="Times New Roman" w:cs="Times New Roman"/>
          <w:b w:val="0"/>
          <w:sz w:val="24"/>
          <w:szCs w:val="24"/>
        </w:rPr>
        <w:t>environmental sustainability outcomes</w:t>
      </w:r>
      <w:r w:rsidRPr="00C064AB">
        <w:rPr>
          <w:rFonts w:ascii="Times New Roman" w:hAnsi="Times New Roman" w:cs="Times New Roman"/>
          <w:sz w:val="24"/>
          <w:szCs w:val="24"/>
        </w:rPr>
        <w:t xml:space="preserve"> within the </w:t>
      </w:r>
      <w:r w:rsidR="002262E0" w:rsidRPr="00CA769D">
        <w:rPr>
          <w:rStyle w:val="Strong"/>
          <w:rFonts w:ascii="Times New Roman" w:hAnsi="Times New Roman" w:cs="Times New Roman"/>
          <w:b w:val="0"/>
          <w:sz w:val="24"/>
          <w:szCs w:val="24"/>
        </w:rPr>
        <w:t>North Africa</w:t>
      </w:r>
      <w:r w:rsidR="002262E0">
        <w:rPr>
          <w:rStyle w:val="Strong"/>
          <w:rFonts w:ascii="Times New Roman" w:hAnsi="Times New Roman" w:cs="Times New Roman"/>
          <w:b w:val="0"/>
          <w:sz w:val="24"/>
          <w:szCs w:val="24"/>
        </w:rPr>
        <w:t xml:space="preserve">n </w:t>
      </w:r>
      <w:r w:rsidRPr="00CA769D">
        <w:rPr>
          <w:rStyle w:val="Strong"/>
          <w:rFonts w:ascii="Times New Roman" w:hAnsi="Times New Roman" w:cs="Times New Roman"/>
          <w:b w:val="0"/>
          <w:sz w:val="24"/>
          <w:szCs w:val="24"/>
        </w:rPr>
        <w:t>public sector</w:t>
      </w:r>
      <w:r w:rsidRPr="00C064AB">
        <w:rPr>
          <w:rFonts w:ascii="Times New Roman" w:hAnsi="Times New Roman" w:cs="Times New Roman"/>
          <w:sz w:val="24"/>
          <w:szCs w:val="24"/>
        </w:rPr>
        <w:t xml:space="preserve">, focusing on Egypt, Morocco, Algeria, Tunisia, and Libya. Grounded in the </w:t>
      </w:r>
      <w:r w:rsidRPr="00CA769D">
        <w:rPr>
          <w:rStyle w:val="Strong"/>
          <w:rFonts w:ascii="Times New Roman" w:hAnsi="Times New Roman" w:cs="Times New Roman"/>
          <w:b w:val="0"/>
          <w:sz w:val="24"/>
          <w:szCs w:val="24"/>
        </w:rPr>
        <w:t>Ability–Motivation–Opportunity (AMO) theoretical framework</w:t>
      </w:r>
      <w:r w:rsidRPr="00C064AB">
        <w:rPr>
          <w:rFonts w:ascii="Times New Roman" w:hAnsi="Times New Roman" w:cs="Times New Roman"/>
          <w:sz w:val="24"/>
          <w:szCs w:val="24"/>
        </w:rPr>
        <w:t>, the research explored how green recruitment and selection, green training and development, and green performance management contribute to employees’ pro-environmental behaviour and institutional sustainability performance.</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A </w:t>
      </w:r>
      <w:r w:rsidRPr="00CA769D">
        <w:rPr>
          <w:rStyle w:val="Strong"/>
          <w:rFonts w:ascii="Times New Roman" w:hAnsi="Times New Roman" w:cs="Times New Roman"/>
          <w:b w:val="0"/>
          <w:sz w:val="24"/>
          <w:szCs w:val="24"/>
        </w:rPr>
        <w:t>quantitative survey design</w:t>
      </w:r>
      <w:r w:rsidRPr="00C064AB">
        <w:rPr>
          <w:rFonts w:ascii="Times New Roman" w:hAnsi="Times New Roman" w:cs="Times New Roman"/>
          <w:sz w:val="24"/>
          <w:szCs w:val="24"/>
        </w:rPr>
        <w:t xml:space="preserve"> was adopted, involving </w:t>
      </w:r>
      <w:r w:rsidRPr="00CA769D">
        <w:rPr>
          <w:rStyle w:val="Strong"/>
          <w:rFonts w:ascii="Times New Roman" w:hAnsi="Times New Roman" w:cs="Times New Roman"/>
          <w:b w:val="0"/>
          <w:sz w:val="24"/>
          <w:szCs w:val="24"/>
        </w:rPr>
        <w:t>600 public sector employees</w:t>
      </w:r>
      <w:r w:rsidRPr="00C064AB">
        <w:rPr>
          <w:rFonts w:ascii="Times New Roman" w:hAnsi="Times New Roman" w:cs="Times New Roman"/>
          <w:sz w:val="24"/>
          <w:szCs w:val="24"/>
        </w:rPr>
        <w:t xml:space="preserve"> across five North African countries. Data were collected through structured questionnaires and analysed using descriptive statistics, Pearson correlation, and multiple regression analysis. The findings revealed that the overall implementation of GHRM practices in the North African public sector is </w:t>
      </w:r>
      <w:r w:rsidRPr="00CA769D">
        <w:rPr>
          <w:rStyle w:val="Strong"/>
          <w:rFonts w:ascii="Times New Roman" w:hAnsi="Times New Roman" w:cs="Times New Roman"/>
          <w:b w:val="0"/>
          <w:sz w:val="24"/>
          <w:szCs w:val="24"/>
        </w:rPr>
        <w:t>moderate (M = 3.10)</w:t>
      </w:r>
      <w:r w:rsidRPr="00CA769D">
        <w:rPr>
          <w:rFonts w:ascii="Times New Roman" w:hAnsi="Times New Roman" w:cs="Times New Roman"/>
          <w:b/>
          <w:sz w:val="24"/>
          <w:szCs w:val="24"/>
        </w:rPr>
        <w:t>,</w:t>
      </w:r>
      <w:r w:rsidRPr="00C064AB">
        <w:rPr>
          <w:rFonts w:ascii="Times New Roman" w:hAnsi="Times New Roman" w:cs="Times New Roman"/>
          <w:sz w:val="24"/>
          <w:szCs w:val="24"/>
        </w:rPr>
        <w:t xml:space="preserve"> with green training and development showing the highest adoption rate. A </w:t>
      </w:r>
      <w:r w:rsidRPr="00C064AB">
        <w:rPr>
          <w:rStyle w:val="Strong"/>
          <w:rFonts w:ascii="Times New Roman" w:hAnsi="Times New Roman" w:cs="Times New Roman"/>
          <w:b w:val="0"/>
          <w:sz w:val="24"/>
          <w:szCs w:val="24"/>
        </w:rPr>
        <w:t>significant and positive correlation (r = 0.53, p &lt; 0.001)</w:t>
      </w:r>
      <w:r w:rsidRPr="00C064AB">
        <w:rPr>
          <w:rFonts w:ascii="Times New Roman" w:hAnsi="Times New Roman" w:cs="Times New Roman"/>
          <w:b/>
          <w:sz w:val="24"/>
          <w:szCs w:val="24"/>
        </w:rPr>
        <w:t xml:space="preserve"> </w:t>
      </w:r>
      <w:r w:rsidRPr="00C064AB">
        <w:rPr>
          <w:rFonts w:ascii="Times New Roman" w:hAnsi="Times New Roman" w:cs="Times New Roman"/>
          <w:sz w:val="24"/>
          <w:szCs w:val="24"/>
        </w:rPr>
        <w:t xml:space="preserve">was found between GHRM practices and employees’ pro-environmental behaviour, while regression analysis confirmed that GHRM significantly predicts environmental sustainability outcomes </w:t>
      </w:r>
      <w:r w:rsidRPr="00C064AB">
        <w:rPr>
          <w:rFonts w:ascii="Times New Roman" w:hAnsi="Times New Roman" w:cs="Times New Roman"/>
          <w:b/>
          <w:sz w:val="24"/>
          <w:szCs w:val="24"/>
        </w:rPr>
        <w:t>(</w:t>
      </w:r>
      <w:r w:rsidRPr="00C064AB">
        <w:rPr>
          <w:rStyle w:val="Strong"/>
          <w:rFonts w:ascii="Times New Roman" w:hAnsi="Times New Roman" w:cs="Times New Roman"/>
          <w:b w:val="0"/>
          <w:sz w:val="24"/>
          <w:szCs w:val="24"/>
        </w:rPr>
        <w:t>R² = 0.39, p &lt; 0.001</w:t>
      </w:r>
      <w:r w:rsidRPr="00C064AB">
        <w:rPr>
          <w:rFonts w:ascii="Times New Roman" w:hAnsi="Times New Roman" w:cs="Times New Roman"/>
          <w:b/>
          <w:sz w:val="24"/>
          <w:szCs w:val="24"/>
        </w:rPr>
        <w:t>).</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These results provide empirical evidence that </w:t>
      </w:r>
      <w:r w:rsidRPr="00C064AB">
        <w:rPr>
          <w:rStyle w:val="Strong"/>
          <w:rFonts w:ascii="Times New Roman" w:hAnsi="Times New Roman" w:cs="Times New Roman"/>
          <w:b w:val="0"/>
          <w:sz w:val="24"/>
          <w:szCs w:val="24"/>
        </w:rPr>
        <w:t>green HRM practices play a pivotal role in promoting environmental awareness, reducing ecological footprints, and institutionalising sustainability values within the civil service</w:t>
      </w:r>
      <w:r w:rsidRPr="00C064AB">
        <w:rPr>
          <w:rFonts w:ascii="Times New Roman" w:hAnsi="Times New Roman" w:cs="Times New Roman"/>
          <w:sz w:val="24"/>
          <w:szCs w:val="24"/>
        </w:rPr>
        <w:t>. The findings affirm that green recruitment fosters environmentally conscious hiring, green training enhances employees’ ecological competence, and green performance management drives sustainable organisational outcomes.</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Theoretically, the study reinforces the relevance of the </w:t>
      </w:r>
      <w:r w:rsidRPr="00CA769D">
        <w:rPr>
          <w:rStyle w:val="Strong"/>
          <w:rFonts w:ascii="Times New Roman" w:hAnsi="Times New Roman" w:cs="Times New Roman"/>
          <w:b w:val="0"/>
          <w:sz w:val="24"/>
          <w:szCs w:val="24"/>
        </w:rPr>
        <w:t>AMO framework</w:t>
      </w:r>
      <w:r w:rsidRPr="00C064AB">
        <w:rPr>
          <w:rFonts w:ascii="Times New Roman" w:hAnsi="Times New Roman" w:cs="Times New Roman"/>
          <w:sz w:val="24"/>
          <w:szCs w:val="24"/>
        </w:rPr>
        <w:t xml:space="preserve"> in explaining how employees’ environmental abilities, motivation, and opportunities collectively influence sustainability outcomes. Practically, the study underscores the need for </w:t>
      </w:r>
      <w:r w:rsidRPr="00C064AB">
        <w:rPr>
          <w:rStyle w:val="Strong"/>
          <w:rFonts w:ascii="Times New Roman" w:hAnsi="Times New Roman" w:cs="Times New Roman"/>
          <w:b w:val="0"/>
          <w:sz w:val="24"/>
          <w:szCs w:val="24"/>
        </w:rPr>
        <w:t>North African governments to institutionalise GHRM policies</w:t>
      </w:r>
      <w:r w:rsidRPr="00C064AB">
        <w:rPr>
          <w:rFonts w:ascii="Times New Roman" w:hAnsi="Times New Roman" w:cs="Times New Roman"/>
          <w:b/>
          <w:sz w:val="24"/>
          <w:szCs w:val="24"/>
        </w:rPr>
        <w:t>,</w:t>
      </w:r>
      <w:r w:rsidRPr="00C064AB">
        <w:rPr>
          <w:rFonts w:ascii="Times New Roman" w:hAnsi="Times New Roman" w:cs="Times New Roman"/>
          <w:sz w:val="24"/>
          <w:szCs w:val="24"/>
        </w:rPr>
        <w:t xml:space="preserve"> embed environmental competencies in civil service recruitment, provide continuous green training, and integrate sustainability indicators into performance management systems.</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 study concludes that mainstreaming GHRM in the public service will significantly enhance the region’s contribution to achieving the </w:t>
      </w:r>
      <w:r w:rsidRPr="00C064AB">
        <w:rPr>
          <w:rStyle w:val="Strong"/>
          <w:rFonts w:ascii="Times New Roman" w:hAnsi="Times New Roman" w:cs="Times New Roman"/>
          <w:b w:val="0"/>
          <w:sz w:val="24"/>
          <w:szCs w:val="24"/>
        </w:rPr>
        <w:t>United Nations Sustainable Development Goals (SDGs)</w:t>
      </w:r>
      <w:r w:rsidRPr="00C064AB">
        <w:rPr>
          <w:rFonts w:ascii="Times New Roman" w:hAnsi="Times New Roman" w:cs="Times New Roman"/>
          <w:sz w:val="24"/>
          <w:szCs w:val="24"/>
        </w:rPr>
        <w:t xml:space="preserve"> and the </w:t>
      </w:r>
      <w:r w:rsidRPr="00C064AB">
        <w:rPr>
          <w:rStyle w:val="Strong"/>
          <w:rFonts w:ascii="Times New Roman" w:hAnsi="Times New Roman" w:cs="Times New Roman"/>
          <w:b w:val="0"/>
          <w:sz w:val="24"/>
          <w:szCs w:val="24"/>
        </w:rPr>
        <w:t>African Union’s Agenda 2063</w:t>
      </w:r>
      <w:r w:rsidRPr="00C064AB">
        <w:rPr>
          <w:rFonts w:ascii="Times New Roman" w:hAnsi="Times New Roman" w:cs="Times New Roman"/>
          <w:sz w:val="24"/>
          <w:szCs w:val="24"/>
        </w:rPr>
        <w:t xml:space="preserve"> on sustainable governance. Future research is recommended to explore the mediating role of organisational culture and leadership support in strengthening the GHRM–sustainability nexus in African public administration.</w:t>
      </w:r>
    </w:p>
    <w:p w14:paraId="6C7D562D" w14:textId="77777777" w:rsidR="009D2E32" w:rsidRPr="00CA769D" w:rsidRDefault="009D2E32" w:rsidP="00057B1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CA769D">
        <w:rPr>
          <w:rStyle w:val="Strong"/>
          <w:rFonts w:ascii="Times New Roman" w:hAnsi="Times New Roman" w:cs="Times New Roman"/>
          <w:sz w:val="24"/>
          <w:szCs w:val="24"/>
        </w:rPr>
        <w:t>Keywords:</w:t>
      </w:r>
      <w:r w:rsidRPr="00CA769D">
        <w:rPr>
          <w:rFonts w:ascii="Times New Roman" w:hAnsi="Times New Roman" w:cs="Times New Roman"/>
          <w:sz w:val="24"/>
          <w:szCs w:val="24"/>
        </w:rPr>
        <w:t xml:space="preserve"> Green Human Resource Management (GHRM); Environmental Sustainability; Public Sector; North Africa; AMO Theory; Civil Service.</w:t>
      </w:r>
    </w:p>
    <w:p w14:paraId="1F5FDD75" w14:textId="77777777" w:rsidR="00057B18" w:rsidRPr="00CA769D" w:rsidRDefault="00CA769D" w:rsidP="00CA769D">
      <w:pPr>
        <w:pStyle w:val="NoSpacing"/>
        <w:jc w:val="both"/>
        <w:rPr>
          <w:rFonts w:ascii="Times New Roman" w:hAnsi="Times New Roman" w:cs="Times New Roman"/>
          <w:b/>
          <w:sz w:val="24"/>
          <w:szCs w:val="24"/>
          <w:lang w:eastAsia="en-GB"/>
        </w:rPr>
      </w:pPr>
      <w:r w:rsidRPr="00CA769D">
        <w:rPr>
          <w:rFonts w:ascii="Times New Roman" w:hAnsi="Times New Roman" w:cs="Times New Roman"/>
          <w:b/>
          <w:sz w:val="24"/>
          <w:szCs w:val="24"/>
          <w:lang w:eastAsia="en-GB"/>
        </w:rPr>
        <w:t>INTRODUCTION</w:t>
      </w:r>
    </w:p>
    <w:p w14:paraId="3BBFA01B" w14:textId="77777777" w:rsidR="00CA769D" w:rsidRDefault="00CA769D" w:rsidP="00CA769D">
      <w:pPr>
        <w:pStyle w:val="NoSpacing"/>
        <w:jc w:val="both"/>
        <w:rPr>
          <w:rFonts w:ascii="Times New Roman" w:hAnsi="Times New Roman" w:cs="Times New Roman"/>
          <w:sz w:val="24"/>
          <w:szCs w:val="24"/>
          <w:lang w:eastAsia="en-GB"/>
        </w:rPr>
      </w:pPr>
    </w:p>
    <w:p w14:paraId="416DF40A"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The growing urgency of environmental degradation and climate change has intensified the call for sustainability practices across all sectors, including the public service. Governments are increasingly expected not only to regulate environmental performance but also to serve as exemplars of sustainability through their internal management systems (Renwick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xml:space="preserve">., 2013). Within this context, Green Human Resource Management (GHRM) has emerged as a vital managerial approach that integrates environmental principles into the traditional functions of human resource management—recruitment, training, performance appraisal, and </w:t>
      </w:r>
      <w:r w:rsidRPr="00CA769D">
        <w:rPr>
          <w:rFonts w:ascii="Times New Roman" w:hAnsi="Times New Roman" w:cs="Times New Roman"/>
          <w:sz w:val="24"/>
          <w:szCs w:val="24"/>
          <w:lang w:eastAsia="en-GB"/>
        </w:rPr>
        <w:lastRenderedPageBreak/>
        <w:t>employee engagement (Jabbour &amp; Renwick, 2018). GHRM aims to cultivate employee awareness, commitment, and behaviour that support environmental protection and resource efficiency within organisations (Jackson et al., 2011).</w:t>
      </w:r>
    </w:p>
    <w:p w14:paraId="3238015F" w14:textId="77777777" w:rsidR="00CA769D" w:rsidRDefault="00CA769D" w:rsidP="00CA769D">
      <w:pPr>
        <w:pStyle w:val="NoSpacing"/>
        <w:jc w:val="both"/>
        <w:rPr>
          <w:rFonts w:ascii="Times New Roman" w:hAnsi="Times New Roman" w:cs="Times New Roman"/>
          <w:sz w:val="24"/>
          <w:szCs w:val="24"/>
          <w:lang w:eastAsia="en-GB"/>
        </w:rPr>
      </w:pPr>
    </w:p>
    <w:p w14:paraId="299955E8"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In North Africa, the public sector remains the largest employer and the key implementer of national sustainability policies. Yet, despite policy commitments to environmental protection in countries such as Egypt, Morocco, and Tunisia, public institutions often struggle to align human resource systems with sustainability objectives (Elshaer &amp; </w:t>
      </w:r>
      <w:proofErr w:type="spellStart"/>
      <w:r w:rsidRPr="00CA769D">
        <w:rPr>
          <w:rFonts w:ascii="Times New Roman" w:hAnsi="Times New Roman" w:cs="Times New Roman"/>
          <w:sz w:val="24"/>
          <w:szCs w:val="24"/>
          <w:lang w:eastAsia="en-GB"/>
        </w:rPr>
        <w:t>Azazz</w:t>
      </w:r>
      <w:proofErr w:type="spellEnd"/>
      <w:r w:rsidRPr="00CA769D">
        <w:rPr>
          <w:rFonts w:ascii="Times New Roman" w:hAnsi="Times New Roman" w:cs="Times New Roman"/>
          <w:sz w:val="24"/>
          <w:szCs w:val="24"/>
          <w:lang w:eastAsia="en-GB"/>
        </w:rPr>
        <w:t>, 2021). Bureaucratic rigidity, limited financial resources, and weak institutional enforcement continue to constrain the integration of environmental considerations into HR policies and daily administrative practices (Cherian &amp; Jacob, 2012). Consequently, many public agencies in the region face difficulties translating environmental policies into concrete organisational actions and employee behaviours (</w:t>
      </w:r>
      <w:proofErr w:type="spellStart"/>
      <w:r w:rsidRPr="00CA769D">
        <w:rPr>
          <w:rFonts w:ascii="Times New Roman" w:hAnsi="Times New Roman" w:cs="Times New Roman"/>
          <w:sz w:val="24"/>
          <w:szCs w:val="24"/>
          <w:lang w:eastAsia="en-GB"/>
        </w:rPr>
        <w:t>Arulrajah</w:t>
      </w:r>
      <w:proofErr w:type="spellEnd"/>
      <w:r w:rsidRPr="00CA769D">
        <w:rPr>
          <w:rFonts w:ascii="Times New Roman" w:hAnsi="Times New Roman" w:cs="Times New Roman"/>
          <w:sz w:val="24"/>
          <w:szCs w:val="24"/>
          <w:lang w:eastAsia="en-GB"/>
        </w:rPr>
        <w:t xml:space="preserve"> </w:t>
      </w:r>
      <w:r w:rsidRPr="00013D5E">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2015).</w:t>
      </w:r>
    </w:p>
    <w:p w14:paraId="7A816830" w14:textId="77777777" w:rsidR="00CA769D" w:rsidRDefault="00CA769D" w:rsidP="00CA769D">
      <w:pPr>
        <w:pStyle w:val="NoSpacing"/>
        <w:jc w:val="both"/>
        <w:rPr>
          <w:rFonts w:ascii="Times New Roman" w:hAnsi="Times New Roman" w:cs="Times New Roman"/>
          <w:sz w:val="24"/>
          <w:szCs w:val="24"/>
          <w:lang w:eastAsia="en-GB"/>
        </w:rPr>
      </w:pPr>
    </w:p>
    <w:p w14:paraId="51870182" w14:textId="77777777" w:rsidR="00057B18" w:rsidRPr="00CA769D" w:rsidRDefault="00057B18" w:rsidP="001D0891">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Empirical evidence suggests that embedding GHRM practices can significantly enhance environmental performance by shaping employees’ pro-environmental attitudes and fostering green organisational cultures (Renwick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xml:space="preserve">., 2016). For instance, green recruitment ensures the attraction of environmentally conscious talent, while targeted training develops the competencies required for sustainable operations (Daily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2012).</w:t>
      </w:r>
      <w:r w:rsidR="00797108" w:rsidRPr="00797108">
        <w:rPr>
          <w:rFonts w:ascii="Times New Roman" w:hAnsi="Times New Roman" w:cs="Times New Roman"/>
          <w:sz w:val="24"/>
          <w:szCs w:val="24"/>
        </w:rPr>
        <w:t xml:space="preserve"> Training positively influences individual environmental performance when supported by organisational environmental commitment. Similarly, Sathasivam, Abu Bakar and Che Hashim (2021) provide qualitative evidence that green HRM practices such as employee involvement, green training, and green rewards facilitate environmental sustainability transitions within organisations. </w:t>
      </w:r>
      <w:r w:rsidRPr="00CA769D">
        <w:rPr>
          <w:rFonts w:ascii="Times New Roman" w:hAnsi="Times New Roman" w:cs="Times New Roman"/>
          <w:sz w:val="24"/>
          <w:szCs w:val="24"/>
          <w:lang w:eastAsia="en-GB"/>
        </w:rPr>
        <w:t>Likewise, green performance management and reward systems provide incentives that reinforce desired behaviours and measurable outcomes (Jabbour &amp; de Sousa Jabbour, 2016). However, the effectiveness of these practices within the North African public sector remains under-explored, with most studies focusing on private-sector contexts in developed economies.</w:t>
      </w:r>
    </w:p>
    <w:p w14:paraId="4351ACAC" w14:textId="77777777" w:rsidR="00CA769D" w:rsidRDefault="00CA769D" w:rsidP="00CA769D">
      <w:pPr>
        <w:pStyle w:val="NoSpacing"/>
        <w:jc w:val="both"/>
        <w:rPr>
          <w:rFonts w:ascii="Times New Roman" w:hAnsi="Times New Roman" w:cs="Times New Roman"/>
          <w:sz w:val="24"/>
          <w:szCs w:val="24"/>
          <w:lang w:eastAsia="en-GB"/>
        </w:rPr>
      </w:pPr>
    </w:p>
    <w:p w14:paraId="2F5A1129"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This article therefore examines how GHRM practices influence environmental sustainability in North African public sector organisations. It aims to identify which HRM interventions most effectively promote pro-environmental behaviour among civil servants and contribute to improved environmental outcomes. The study’s findings are expected to offer practical insights for policymakers and HR managers seeking to “green” the civil service and strengthen institutional capacity for sustainable development across the region.</w:t>
      </w:r>
    </w:p>
    <w:p w14:paraId="2D512118" w14:textId="77777777" w:rsidR="00C30AA4" w:rsidRDefault="00C30AA4" w:rsidP="00C30AA4">
      <w:pPr>
        <w:pStyle w:val="NoSpacing"/>
        <w:jc w:val="both"/>
        <w:rPr>
          <w:rStyle w:val="Strong"/>
          <w:rFonts w:ascii="Times New Roman" w:hAnsi="Times New Roman" w:cs="Times New Roman"/>
          <w:sz w:val="24"/>
          <w:szCs w:val="24"/>
        </w:rPr>
      </w:pPr>
    </w:p>
    <w:p w14:paraId="1C6F6F56" w14:textId="77777777" w:rsidR="00057B18" w:rsidRDefault="00C30AA4" w:rsidP="00C30AA4">
      <w:pPr>
        <w:pStyle w:val="NoSpacing"/>
        <w:jc w:val="both"/>
        <w:rPr>
          <w:rStyle w:val="Strong"/>
          <w:rFonts w:ascii="Times New Roman" w:hAnsi="Times New Roman" w:cs="Times New Roman"/>
          <w:sz w:val="24"/>
          <w:szCs w:val="24"/>
        </w:rPr>
      </w:pPr>
      <w:r w:rsidRPr="00C30AA4">
        <w:rPr>
          <w:rStyle w:val="Strong"/>
          <w:rFonts w:ascii="Times New Roman" w:hAnsi="Times New Roman" w:cs="Times New Roman"/>
          <w:sz w:val="24"/>
          <w:szCs w:val="24"/>
        </w:rPr>
        <w:t>STATEMENT OF THE PROBLEM</w:t>
      </w:r>
    </w:p>
    <w:p w14:paraId="7A0EF301" w14:textId="77777777" w:rsidR="00C30AA4" w:rsidRPr="00C30AA4" w:rsidRDefault="00C30AA4" w:rsidP="00C30AA4">
      <w:pPr>
        <w:pStyle w:val="NoSpacing"/>
        <w:jc w:val="both"/>
        <w:rPr>
          <w:rFonts w:ascii="Times New Roman" w:hAnsi="Times New Roman" w:cs="Times New Roman"/>
          <w:sz w:val="24"/>
          <w:szCs w:val="24"/>
        </w:rPr>
      </w:pPr>
    </w:p>
    <w:p w14:paraId="2A8D797B"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Across the globe, public institutions are expected to lead by example in addressing environmental challenges through sustainable policies and practices</w:t>
      </w:r>
      <w:r w:rsidR="00934E39">
        <w:rPr>
          <w:rFonts w:ascii="Times New Roman" w:hAnsi="Times New Roman" w:cs="Times New Roman"/>
          <w:sz w:val="24"/>
          <w:szCs w:val="24"/>
        </w:rPr>
        <w:t xml:space="preserve"> (</w:t>
      </w:r>
      <w:proofErr w:type="spellStart"/>
      <w:r w:rsidR="00934E39">
        <w:rPr>
          <w:rFonts w:ascii="Times New Roman" w:hAnsi="Times New Roman" w:cs="Times New Roman"/>
          <w:sz w:val="24"/>
          <w:szCs w:val="24"/>
        </w:rPr>
        <w:t>Nwambuko</w:t>
      </w:r>
      <w:proofErr w:type="spellEnd"/>
      <w:r w:rsidR="00934E39">
        <w:rPr>
          <w:rFonts w:ascii="Times New Roman" w:hAnsi="Times New Roman" w:cs="Times New Roman"/>
          <w:sz w:val="24"/>
          <w:szCs w:val="24"/>
        </w:rPr>
        <w:t xml:space="preserve"> </w:t>
      </w:r>
      <w:r w:rsidR="00934E39" w:rsidRPr="00934E39">
        <w:rPr>
          <w:rFonts w:ascii="Times New Roman" w:hAnsi="Times New Roman" w:cs="Times New Roman"/>
          <w:i/>
          <w:sz w:val="24"/>
          <w:szCs w:val="24"/>
        </w:rPr>
        <w:t>et al</w:t>
      </w:r>
      <w:r w:rsidR="00934E39">
        <w:rPr>
          <w:rFonts w:ascii="Times New Roman" w:hAnsi="Times New Roman" w:cs="Times New Roman"/>
          <w:sz w:val="24"/>
          <w:szCs w:val="24"/>
        </w:rPr>
        <w:t>, 2025)</w:t>
      </w:r>
      <w:r w:rsidRPr="00C30AA4">
        <w:rPr>
          <w:rFonts w:ascii="Times New Roman" w:hAnsi="Times New Roman" w:cs="Times New Roman"/>
          <w:sz w:val="24"/>
          <w:szCs w:val="24"/>
        </w:rPr>
        <w:t xml:space="preserve">. However, the integration of environmental sustainability principles into human resource management systems remains limited, particularly in developing regions such as North Africa (Jabbour &amp; Renwick, 2018). While the concept of </w:t>
      </w:r>
      <w:r w:rsidRPr="00C30AA4">
        <w:rPr>
          <w:rStyle w:val="Strong"/>
          <w:rFonts w:ascii="Times New Roman" w:hAnsi="Times New Roman" w:cs="Times New Roman"/>
          <w:b w:val="0"/>
          <w:sz w:val="24"/>
          <w:szCs w:val="24"/>
        </w:rPr>
        <w:t>Green Human Resource Management (GHRM)</w:t>
      </w:r>
      <w:r w:rsidRPr="00C30AA4">
        <w:rPr>
          <w:rFonts w:ascii="Times New Roman" w:hAnsi="Times New Roman" w:cs="Times New Roman"/>
          <w:sz w:val="24"/>
          <w:szCs w:val="24"/>
        </w:rPr>
        <w:t xml:space="preserve"> has gained prominence in the private sector for enhancing environmental performance, its application in the public service context is still emerging and under-researched (Renwick </w:t>
      </w:r>
      <w:r w:rsidRPr="00934E39">
        <w:rPr>
          <w:rFonts w:ascii="Times New Roman" w:hAnsi="Times New Roman" w:cs="Times New Roman"/>
          <w:i/>
          <w:sz w:val="24"/>
          <w:szCs w:val="24"/>
        </w:rPr>
        <w:t>et al</w:t>
      </w:r>
      <w:r w:rsidRPr="00C30AA4">
        <w:rPr>
          <w:rFonts w:ascii="Times New Roman" w:hAnsi="Times New Roman" w:cs="Times New Roman"/>
          <w:sz w:val="24"/>
          <w:szCs w:val="24"/>
        </w:rPr>
        <w:t xml:space="preserve">., 2016). Public sector organisations in countries such as Egypt, Morocco, and Tunisia continue to face difficulties aligning employee management systems with sustainability objectives due to bureaucratic rigidity, weak institutional capacity, and inadequate awareness of green HR practices (Elshaer &amp; </w:t>
      </w:r>
      <w:proofErr w:type="spellStart"/>
      <w:r w:rsidRPr="00C30AA4">
        <w:rPr>
          <w:rFonts w:ascii="Times New Roman" w:hAnsi="Times New Roman" w:cs="Times New Roman"/>
          <w:sz w:val="24"/>
          <w:szCs w:val="24"/>
        </w:rPr>
        <w:t>Azazz</w:t>
      </w:r>
      <w:proofErr w:type="spellEnd"/>
      <w:r w:rsidRPr="00C30AA4">
        <w:rPr>
          <w:rFonts w:ascii="Times New Roman" w:hAnsi="Times New Roman" w:cs="Times New Roman"/>
          <w:sz w:val="24"/>
          <w:szCs w:val="24"/>
        </w:rPr>
        <w:t>, 2021).</w:t>
      </w:r>
    </w:p>
    <w:p w14:paraId="107A30F0" w14:textId="77777777" w:rsidR="00C30AA4" w:rsidRDefault="00C30AA4" w:rsidP="00C30AA4">
      <w:pPr>
        <w:pStyle w:val="NoSpacing"/>
        <w:jc w:val="both"/>
        <w:rPr>
          <w:rFonts w:ascii="Times New Roman" w:hAnsi="Times New Roman" w:cs="Times New Roman"/>
          <w:sz w:val="24"/>
          <w:szCs w:val="24"/>
        </w:rPr>
      </w:pPr>
    </w:p>
    <w:p w14:paraId="3AB42514"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lastRenderedPageBreak/>
        <w:t>Despite the existence of national environmental frameworks and commitments under the United Nations Sustainable Development Goals (SDGs), public agencies in North Africa often lack structured HR policies that foster pro-environmental behaviour among civil servants (Cherian &amp; Jacob, 2012). Traditional HRM systems within these bureaucracies tend to emphasise compliance and administrative efficiency over innovation and environmental responsiveness (</w:t>
      </w:r>
      <w:proofErr w:type="spellStart"/>
      <w:r w:rsidRPr="00C30AA4">
        <w:rPr>
          <w:rFonts w:ascii="Times New Roman" w:hAnsi="Times New Roman" w:cs="Times New Roman"/>
          <w:sz w:val="24"/>
          <w:szCs w:val="24"/>
        </w:rPr>
        <w:t>Arulrajah</w:t>
      </w:r>
      <w:proofErr w:type="spellEnd"/>
      <w:r w:rsidRPr="00C30AA4">
        <w:rPr>
          <w:rFonts w:ascii="Times New Roman" w:hAnsi="Times New Roman" w:cs="Times New Roman"/>
          <w:sz w:val="24"/>
          <w:szCs w:val="24"/>
        </w:rPr>
        <w:t xml:space="preserve"> </w:t>
      </w:r>
      <w:r w:rsidRPr="00013D5E">
        <w:rPr>
          <w:rFonts w:ascii="Times New Roman" w:hAnsi="Times New Roman" w:cs="Times New Roman"/>
          <w:i/>
          <w:sz w:val="24"/>
          <w:szCs w:val="24"/>
        </w:rPr>
        <w:t>et al</w:t>
      </w:r>
      <w:r w:rsidRPr="00C30AA4">
        <w:rPr>
          <w:rFonts w:ascii="Times New Roman" w:hAnsi="Times New Roman" w:cs="Times New Roman"/>
          <w:sz w:val="24"/>
          <w:szCs w:val="24"/>
        </w:rPr>
        <w:t xml:space="preserve">., 2015). As a result, sustainability strategies often remain at the policy level without effective translation into workplace practices such as green recruitment, environmental training, or green performance appraisal (Daily </w:t>
      </w:r>
      <w:r w:rsidRPr="00013D5E">
        <w:rPr>
          <w:rFonts w:ascii="Times New Roman" w:hAnsi="Times New Roman" w:cs="Times New Roman"/>
          <w:i/>
          <w:sz w:val="24"/>
          <w:szCs w:val="24"/>
        </w:rPr>
        <w:t>et al</w:t>
      </w:r>
      <w:r w:rsidRPr="00C30AA4">
        <w:rPr>
          <w:rFonts w:ascii="Times New Roman" w:hAnsi="Times New Roman" w:cs="Times New Roman"/>
          <w:sz w:val="24"/>
          <w:szCs w:val="24"/>
        </w:rPr>
        <w:t>., 2012).</w:t>
      </w:r>
    </w:p>
    <w:p w14:paraId="2BFF4B74" w14:textId="77777777" w:rsidR="00C30AA4" w:rsidRDefault="00C30AA4" w:rsidP="00C30AA4">
      <w:pPr>
        <w:pStyle w:val="NoSpacing"/>
        <w:jc w:val="both"/>
        <w:rPr>
          <w:rFonts w:ascii="Times New Roman" w:hAnsi="Times New Roman" w:cs="Times New Roman"/>
          <w:sz w:val="24"/>
          <w:szCs w:val="24"/>
        </w:rPr>
      </w:pPr>
    </w:p>
    <w:p w14:paraId="7BFE7D26"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 xml:space="preserve">Moreover, the absence of empirical evidence linking GHRM practices to measurable environmental outcomes within the North African public sector presents a major research gap. Previous studies have largely focused on manufacturing and private-sector organisations in developed economies (Jackson </w:t>
      </w:r>
      <w:r w:rsidRPr="00013D5E">
        <w:rPr>
          <w:rFonts w:ascii="Times New Roman" w:hAnsi="Times New Roman" w:cs="Times New Roman"/>
          <w:i/>
          <w:sz w:val="24"/>
          <w:szCs w:val="24"/>
        </w:rPr>
        <w:t>et al</w:t>
      </w:r>
      <w:r w:rsidRPr="00C30AA4">
        <w:rPr>
          <w:rFonts w:ascii="Times New Roman" w:hAnsi="Times New Roman" w:cs="Times New Roman"/>
          <w:sz w:val="24"/>
          <w:szCs w:val="24"/>
        </w:rPr>
        <w:t xml:space="preserve">., 2011; Renwick </w:t>
      </w:r>
      <w:r w:rsidRPr="00013D5E">
        <w:rPr>
          <w:rFonts w:ascii="Times New Roman" w:hAnsi="Times New Roman" w:cs="Times New Roman"/>
          <w:i/>
          <w:sz w:val="24"/>
          <w:szCs w:val="24"/>
        </w:rPr>
        <w:t>et al.,</w:t>
      </w:r>
      <w:r w:rsidRPr="00C30AA4">
        <w:rPr>
          <w:rFonts w:ascii="Times New Roman" w:hAnsi="Times New Roman" w:cs="Times New Roman"/>
          <w:sz w:val="24"/>
          <w:szCs w:val="24"/>
        </w:rPr>
        <w:t xml:space="preserve"> 2013). </w:t>
      </w:r>
      <w:proofErr w:type="gramStart"/>
      <w:r w:rsidRPr="00C30AA4">
        <w:rPr>
          <w:rFonts w:ascii="Times New Roman" w:hAnsi="Times New Roman" w:cs="Times New Roman"/>
          <w:sz w:val="24"/>
          <w:szCs w:val="24"/>
        </w:rPr>
        <w:t>This limits</w:t>
      </w:r>
      <w:proofErr w:type="gramEnd"/>
      <w:r w:rsidRPr="00C30AA4">
        <w:rPr>
          <w:rFonts w:ascii="Times New Roman" w:hAnsi="Times New Roman" w:cs="Times New Roman"/>
          <w:sz w:val="24"/>
          <w:szCs w:val="24"/>
        </w:rPr>
        <w:t xml:space="preserve"> understanding of how GHRM functions under public-sector constraints such as limited budgets, centralised decision-making, and weak environmental accountability mechanisms (Jabbour &amp; de Sousa Jabbour, 2016). Consequently, there is a pressing need to investigate how GHRM practices can be effectively implemented in the public service to enhance environmental sustainability outcomes and institutional performance in the region.</w:t>
      </w:r>
    </w:p>
    <w:p w14:paraId="6D141D1A" w14:textId="77777777" w:rsidR="00C30AA4" w:rsidRDefault="00C30AA4" w:rsidP="00C30AA4">
      <w:pPr>
        <w:pStyle w:val="NoSpacing"/>
        <w:jc w:val="both"/>
        <w:rPr>
          <w:rFonts w:ascii="Times New Roman" w:hAnsi="Times New Roman" w:cs="Times New Roman"/>
          <w:sz w:val="24"/>
          <w:szCs w:val="24"/>
        </w:rPr>
      </w:pPr>
    </w:p>
    <w:p w14:paraId="37AD69DA"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Addressing this gap is critical, as the public sector in North Africa plays a central role in policy execution, public infrastructure, and national development. Without greening the civil service through effective HRM systems, efforts toward achieving sustainable development and reducing environmental degradation are likely to remain fragmented and ineffective.</w:t>
      </w:r>
      <w:r w:rsidR="00003DC6">
        <w:rPr>
          <w:rFonts w:ascii="Times New Roman" w:hAnsi="Times New Roman" w:cs="Times New Roman"/>
          <w:sz w:val="24"/>
          <w:szCs w:val="24"/>
        </w:rPr>
        <w:t xml:space="preserve"> </w:t>
      </w:r>
      <w:r w:rsidR="00003DC6" w:rsidRPr="00CA0B18">
        <w:rPr>
          <w:rFonts w:ascii="Times New Roman" w:hAnsi="Times New Roman" w:cs="Times New Roman"/>
          <w:sz w:val="24"/>
          <w:szCs w:val="24"/>
        </w:rPr>
        <w:t xml:space="preserve">This </w:t>
      </w:r>
      <w:r w:rsidR="00CA0B18" w:rsidRPr="00CA0B18">
        <w:rPr>
          <w:rFonts w:ascii="Times New Roman" w:hAnsi="Times New Roman" w:cs="Times New Roman"/>
          <w:sz w:val="24"/>
          <w:szCs w:val="24"/>
        </w:rPr>
        <w:t>may also affect employee</w:t>
      </w:r>
      <w:r w:rsidR="00003DC6" w:rsidRPr="00CA0B18">
        <w:rPr>
          <w:rFonts w:ascii="Times New Roman" w:hAnsi="Times New Roman" w:cs="Times New Roman"/>
          <w:sz w:val="24"/>
          <w:szCs w:val="24"/>
        </w:rPr>
        <w:t xml:space="preserve"> job satisfaction and public sector </w:t>
      </w:r>
      <w:r w:rsidR="00CA0B18" w:rsidRPr="00CA0B18">
        <w:rPr>
          <w:rFonts w:ascii="Times New Roman" w:hAnsi="Times New Roman" w:cs="Times New Roman"/>
          <w:sz w:val="24"/>
          <w:szCs w:val="24"/>
        </w:rPr>
        <w:t>performance</w:t>
      </w:r>
      <w:r w:rsidR="00CA0B18">
        <w:t xml:space="preserve"> </w:t>
      </w:r>
      <w:r w:rsidR="00CA0B18" w:rsidRPr="00CA0B18">
        <w:rPr>
          <w:rFonts w:ascii="Times New Roman" w:hAnsi="Times New Roman" w:cs="Times New Roman"/>
          <w:sz w:val="24"/>
          <w:szCs w:val="24"/>
        </w:rPr>
        <w:t>as public sector employees often experience both motivating and demotivating factors that shape their level of job satisfaction</w:t>
      </w:r>
      <w:r w:rsidR="00CA0B18">
        <w:rPr>
          <w:rFonts w:ascii="Times New Roman" w:hAnsi="Times New Roman" w:cs="Times New Roman"/>
          <w:sz w:val="24"/>
          <w:szCs w:val="24"/>
        </w:rPr>
        <w:t xml:space="preserve"> (</w:t>
      </w:r>
      <w:proofErr w:type="spellStart"/>
      <w:r w:rsidR="00CA0B18">
        <w:rPr>
          <w:rFonts w:ascii="Times New Roman" w:hAnsi="Times New Roman" w:cs="Times New Roman"/>
          <w:sz w:val="24"/>
          <w:szCs w:val="24"/>
        </w:rPr>
        <w:t>Nwambuko</w:t>
      </w:r>
      <w:proofErr w:type="spellEnd"/>
      <w:r w:rsidR="00CA0B18">
        <w:rPr>
          <w:rFonts w:ascii="Times New Roman" w:hAnsi="Times New Roman" w:cs="Times New Roman"/>
          <w:sz w:val="24"/>
          <w:szCs w:val="24"/>
        </w:rPr>
        <w:t xml:space="preserve"> </w:t>
      </w:r>
      <w:r w:rsidR="00CA0B18" w:rsidRPr="00CA0B18">
        <w:rPr>
          <w:rFonts w:ascii="Times New Roman" w:hAnsi="Times New Roman" w:cs="Times New Roman"/>
          <w:i/>
          <w:sz w:val="24"/>
          <w:szCs w:val="24"/>
        </w:rPr>
        <w:t>et al</w:t>
      </w:r>
      <w:r w:rsidR="00013D5E">
        <w:rPr>
          <w:rFonts w:ascii="Times New Roman" w:hAnsi="Times New Roman" w:cs="Times New Roman"/>
          <w:i/>
          <w:sz w:val="24"/>
          <w:szCs w:val="24"/>
        </w:rPr>
        <w:t>.</w:t>
      </w:r>
      <w:r w:rsidR="00CA0B18">
        <w:rPr>
          <w:rFonts w:ascii="Times New Roman" w:hAnsi="Times New Roman" w:cs="Times New Roman"/>
          <w:sz w:val="24"/>
          <w:szCs w:val="24"/>
        </w:rPr>
        <w:t>, 2025)</w:t>
      </w:r>
      <w:r w:rsidR="00CA0B18" w:rsidRPr="00CA0B18">
        <w:rPr>
          <w:rFonts w:ascii="Times New Roman" w:hAnsi="Times New Roman" w:cs="Times New Roman"/>
          <w:sz w:val="24"/>
          <w:szCs w:val="24"/>
        </w:rPr>
        <w:t>.</w:t>
      </w:r>
      <w:r w:rsidR="00CA0B18">
        <w:t xml:space="preserve"> </w:t>
      </w:r>
      <w:r w:rsidRPr="00C30AA4">
        <w:rPr>
          <w:rFonts w:ascii="Times New Roman" w:hAnsi="Times New Roman" w:cs="Times New Roman"/>
          <w:sz w:val="24"/>
          <w:szCs w:val="24"/>
        </w:rPr>
        <w:t>This study therefore seeks to examine the influence of GHRM practices on environmental sustainability in North African public organisations, with the goal of providing evidence-based insights for policy and administrative reform.</w:t>
      </w:r>
    </w:p>
    <w:p w14:paraId="12C2B055" w14:textId="77777777" w:rsidR="00057B18" w:rsidRPr="00C30AA4" w:rsidRDefault="00057B18" w:rsidP="00C30AA4">
      <w:pPr>
        <w:pStyle w:val="NoSpacing"/>
        <w:jc w:val="both"/>
        <w:rPr>
          <w:rFonts w:ascii="Times New Roman" w:hAnsi="Times New Roman" w:cs="Times New Roman"/>
          <w:sz w:val="24"/>
          <w:szCs w:val="24"/>
        </w:rPr>
      </w:pPr>
    </w:p>
    <w:p w14:paraId="51F36214" w14:textId="77777777" w:rsidR="00057B18" w:rsidRPr="0081146D" w:rsidRDefault="00C30AA4" w:rsidP="0081146D">
      <w:pPr>
        <w:pStyle w:val="NoSpacing"/>
        <w:jc w:val="both"/>
        <w:rPr>
          <w:rFonts w:ascii="Times New Roman" w:hAnsi="Times New Roman" w:cs="Times New Roman"/>
          <w:sz w:val="24"/>
          <w:szCs w:val="24"/>
        </w:rPr>
      </w:pPr>
      <w:r>
        <w:rPr>
          <w:rFonts w:ascii="Times New Roman" w:hAnsi="Times New Roman" w:cs="Times New Roman"/>
          <w:sz w:val="24"/>
          <w:szCs w:val="24"/>
        </w:rPr>
        <w:t>Based on the above, t</w:t>
      </w:r>
      <w:r w:rsidR="00057B18" w:rsidRPr="00C30AA4">
        <w:rPr>
          <w:rFonts w:ascii="Times New Roman" w:hAnsi="Times New Roman" w:cs="Times New Roman"/>
          <w:sz w:val="24"/>
          <w:szCs w:val="24"/>
        </w:rPr>
        <w:t xml:space="preserve">he main aim of this study is to examine the influence of </w:t>
      </w:r>
      <w:r w:rsidR="00057B18" w:rsidRPr="0081146D">
        <w:rPr>
          <w:rStyle w:val="Strong"/>
          <w:rFonts w:ascii="Times New Roman" w:hAnsi="Times New Roman" w:cs="Times New Roman"/>
          <w:b w:val="0"/>
          <w:sz w:val="24"/>
          <w:szCs w:val="24"/>
        </w:rPr>
        <w:t>Green Human Resource Management (GHRM)</w:t>
      </w:r>
      <w:r w:rsidR="00057B18" w:rsidRPr="00C30AA4">
        <w:rPr>
          <w:rFonts w:ascii="Times New Roman" w:hAnsi="Times New Roman" w:cs="Times New Roman"/>
          <w:sz w:val="24"/>
          <w:szCs w:val="24"/>
        </w:rPr>
        <w:t xml:space="preserve"> practices on </w:t>
      </w:r>
      <w:r w:rsidR="00057B18" w:rsidRPr="0081146D">
        <w:rPr>
          <w:rStyle w:val="Strong"/>
          <w:rFonts w:ascii="Times New Roman" w:hAnsi="Times New Roman" w:cs="Times New Roman"/>
          <w:b w:val="0"/>
          <w:sz w:val="24"/>
          <w:szCs w:val="24"/>
        </w:rPr>
        <w:t>environmental sustainability</w:t>
      </w:r>
      <w:r w:rsidR="00057B18" w:rsidRPr="00C30AA4">
        <w:rPr>
          <w:rFonts w:ascii="Times New Roman" w:hAnsi="Times New Roman" w:cs="Times New Roman"/>
          <w:sz w:val="24"/>
          <w:szCs w:val="24"/>
        </w:rPr>
        <w:t xml:space="preserve"> in public sector organisations across North Africa</w:t>
      </w:r>
      <w:r>
        <w:rPr>
          <w:rFonts w:ascii="Times New Roman" w:hAnsi="Times New Roman" w:cs="Times New Roman"/>
          <w:sz w:val="24"/>
          <w:szCs w:val="24"/>
        </w:rPr>
        <w:t xml:space="preserve">. The specific objectives include: to </w:t>
      </w:r>
      <w:r w:rsidR="0081146D" w:rsidRPr="0081146D">
        <w:rPr>
          <w:rStyle w:val="Strong"/>
          <w:rFonts w:ascii="Times New Roman" w:hAnsi="Times New Roman" w:cs="Times New Roman"/>
          <w:b w:val="0"/>
          <w:sz w:val="24"/>
          <w:szCs w:val="24"/>
        </w:rPr>
        <w:t>i</w:t>
      </w:r>
      <w:r w:rsidR="00057B18" w:rsidRPr="0081146D">
        <w:rPr>
          <w:rStyle w:val="Strong"/>
          <w:rFonts w:ascii="Times New Roman" w:hAnsi="Times New Roman" w:cs="Times New Roman"/>
          <w:b w:val="0"/>
          <w:sz w:val="24"/>
          <w:szCs w:val="24"/>
        </w:rPr>
        <w:t>dentify</w:t>
      </w:r>
      <w:r w:rsidR="00057B18" w:rsidRPr="00C30AA4">
        <w:rPr>
          <w:rFonts w:ascii="Times New Roman" w:hAnsi="Times New Roman" w:cs="Times New Roman"/>
          <w:sz w:val="24"/>
          <w:szCs w:val="24"/>
        </w:rPr>
        <w:t xml:space="preserve"> the extent to which GHRM practices—such as green recruitment, training, and performance management—are implemented in North Afri</w:t>
      </w:r>
      <w:r w:rsidR="0081146D">
        <w:rPr>
          <w:rFonts w:ascii="Times New Roman" w:hAnsi="Times New Roman" w:cs="Times New Roman"/>
          <w:sz w:val="24"/>
          <w:szCs w:val="24"/>
        </w:rPr>
        <w:t>can public sector organisations; to e</w:t>
      </w:r>
      <w:r w:rsidR="00057B18" w:rsidRPr="0081146D">
        <w:rPr>
          <w:rStyle w:val="Strong"/>
          <w:rFonts w:ascii="Times New Roman" w:hAnsi="Times New Roman" w:cs="Times New Roman"/>
          <w:b w:val="0"/>
          <w:sz w:val="24"/>
          <w:szCs w:val="24"/>
        </w:rPr>
        <w:t>xamine</w:t>
      </w:r>
      <w:r w:rsidR="00057B18" w:rsidRPr="00C30AA4">
        <w:rPr>
          <w:rFonts w:ascii="Times New Roman" w:hAnsi="Times New Roman" w:cs="Times New Roman"/>
          <w:sz w:val="24"/>
          <w:szCs w:val="24"/>
        </w:rPr>
        <w:t xml:space="preserve"> the relationship between GHRM practices and employees’ pro-environmental beha</w:t>
      </w:r>
      <w:r w:rsidR="0081146D">
        <w:rPr>
          <w:rFonts w:ascii="Times New Roman" w:hAnsi="Times New Roman" w:cs="Times New Roman"/>
          <w:sz w:val="24"/>
          <w:szCs w:val="24"/>
        </w:rPr>
        <w:t>viour within the public service; and to a</w:t>
      </w:r>
      <w:r w:rsidR="00057B18" w:rsidRPr="00C30AA4">
        <w:rPr>
          <w:rStyle w:val="Strong"/>
          <w:rFonts w:ascii="Times New Roman" w:hAnsi="Times New Roman" w:cs="Times New Roman"/>
          <w:sz w:val="24"/>
          <w:szCs w:val="24"/>
        </w:rPr>
        <w:t>ssess</w:t>
      </w:r>
      <w:r w:rsidR="00057B18" w:rsidRPr="00C30AA4">
        <w:rPr>
          <w:rFonts w:ascii="Times New Roman" w:hAnsi="Times New Roman" w:cs="Times New Roman"/>
          <w:sz w:val="24"/>
          <w:szCs w:val="24"/>
        </w:rPr>
        <w:t xml:space="preserve"> the impact of GHRM practices on organisational environmental sustainability outcomes, such as waste reduction, energy conservation, and eco-efficiency.</w:t>
      </w:r>
      <w:r w:rsidR="0081146D">
        <w:rPr>
          <w:rFonts w:ascii="Times New Roman" w:hAnsi="Times New Roman" w:cs="Times New Roman"/>
          <w:sz w:val="24"/>
          <w:szCs w:val="24"/>
        </w:rPr>
        <w:t xml:space="preserve"> The research questions include - </w:t>
      </w:r>
      <w:r w:rsidR="00057B18" w:rsidRPr="00C30AA4">
        <w:rPr>
          <w:rFonts w:ascii="Times New Roman" w:hAnsi="Times New Roman" w:cs="Times New Roman"/>
          <w:sz w:val="24"/>
          <w:szCs w:val="24"/>
        </w:rPr>
        <w:t>What is the level of adoption and implementation of Green Human Resource Management (GHRM) practices in North African public sector organisations?</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How do GHRM practices influence employees’ pro-environmental behaviour within the public service?</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To what extent do GHRM practices contribute to environmental sustainability outcomes in North African public sector organisations?</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To provide empirical answers to the research questions, the study wil</w:t>
      </w:r>
      <w:r w:rsidR="0081146D">
        <w:rPr>
          <w:rFonts w:ascii="Times New Roman" w:hAnsi="Times New Roman" w:cs="Times New Roman"/>
          <w:sz w:val="24"/>
          <w:szCs w:val="24"/>
        </w:rPr>
        <w:t xml:space="preserve">l test the following hypotheses – </w:t>
      </w:r>
      <w:r w:rsidR="0081146D">
        <w:rPr>
          <w:rStyle w:val="Strong"/>
          <w:rFonts w:ascii="Times New Roman" w:hAnsi="Times New Roman" w:cs="Times New Roman"/>
          <w:b w:val="0"/>
          <w:i/>
          <w:sz w:val="24"/>
          <w:szCs w:val="24"/>
        </w:rPr>
        <w:t>H</w:t>
      </w:r>
      <w:r w:rsidR="0081146D" w:rsidRPr="0081146D">
        <w:rPr>
          <w:rStyle w:val="Strong"/>
          <w:rFonts w:ascii="Times New Roman" w:hAnsi="Times New Roman" w:cs="Times New Roman"/>
          <w:b w:val="0"/>
          <w:i/>
          <w:sz w:val="24"/>
          <w:szCs w:val="24"/>
          <w:vertAlign w:val="subscript"/>
        </w:rPr>
        <w:t>1</w:t>
      </w:r>
      <w:r w:rsidR="0081146D" w:rsidRPr="0081146D">
        <w:rPr>
          <w:rStyle w:val="Strong"/>
          <w:rFonts w:ascii="Times New Roman" w:hAnsi="Times New Roman" w:cs="Times New Roman"/>
          <w:b w:val="0"/>
          <w:i/>
          <w:sz w:val="24"/>
          <w:szCs w:val="24"/>
        </w:rPr>
        <w:t>:</w:t>
      </w:r>
      <w:r w:rsidR="0081146D" w:rsidRPr="00C30AA4">
        <w:rPr>
          <w:rFonts w:ascii="Times New Roman" w:hAnsi="Times New Roman" w:cs="Times New Roman"/>
          <w:sz w:val="24"/>
          <w:szCs w:val="24"/>
        </w:rPr>
        <w:t xml:space="preserve"> </w:t>
      </w:r>
      <w:r w:rsidR="00DF45D1" w:rsidRPr="00DF45D1">
        <w:rPr>
          <w:rFonts w:ascii="Times New Roman" w:hAnsi="Times New Roman" w:cs="Times New Roman"/>
          <w:sz w:val="24"/>
          <w:szCs w:val="24"/>
        </w:rPr>
        <w:t>There is a significant relationship between the level of adoption of GHRM practices and the overall institutional readiness for environmental sustainability in North Afri</w:t>
      </w:r>
      <w:r w:rsidR="00DF45D1">
        <w:rPr>
          <w:rFonts w:ascii="Times New Roman" w:hAnsi="Times New Roman" w:cs="Times New Roman"/>
          <w:sz w:val="24"/>
          <w:szCs w:val="24"/>
        </w:rPr>
        <w:t xml:space="preserve">can public sector organisations </w:t>
      </w:r>
      <w:r w:rsidR="0081146D">
        <w:rPr>
          <w:rFonts w:ascii="Times New Roman" w:hAnsi="Times New Roman" w:cs="Times New Roman"/>
          <w:sz w:val="24"/>
          <w:szCs w:val="24"/>
        </w:rPr>
        <w:t xml:space="preserve">(Renwick </w:t>
      </w:r>
      <w:r w:rsidR="0081146D" w:rsidRPr="00013D5E">
        <w:rPr>
          <w:rFonts w:ascii="Times New Roman" w:hAnsi="Times New Roman" w:cs="Times New Roman"/>
          <w:i/>
          <w:sz w:val="24"/>
          <w:szCs w:val="24"/>
        </w:rPr>
        <w:t>et al</w:t>
      </w:r>
      <w:r w:rsidR="0081146D">
        <w:rPr>
          <w:rFonts w:ascii="Times New Roman" w:hAnsi="Times New Roman" w:cs="Times New Roman"/>
          <w:sz w:val="24"/>
          <w:szCs w:val="24"/>
        </w:rPr>
        <w:t xml:space="preserve">., 2013); </w:t>
      </w:r>
      <w:r w:rsidR="00057B18" w:rsidRPr="0081146D">
        <w:rPr>
          <w:rStyle w:val="Strong"/>
          <w:rFonts w:ascii="Times New Roman" w:hAnsi="Times New Roman" w:cs="Times New Roman"/>
          <w:b w:val="0"/>
          <w:i/>
          <w:sz w:val="24"/>
          <w:szCs w:val="24"/>
        </w:rPr>
        <w:t>H₂:</w:t>
      </w:r>
      <w:r w:rsidR="00057B18" w:rsidRPr="00C30AA4">
        <w:rPr>
          <w:rFonts w:ascii="Times New Roman" w:hAnsi="Times New Roman" w:cs="Times New Roman"/>
          <w:sz w:val="24"/>
          <w:szCs w:val="24"/>
        </w:rPr>
        <w:t xml:space="preserve"> </w:t>
      </w:r>
      <w:r w:rsidR="00F373EC" w:rsidRPr="00F373EC">
        <w:rPr>
          <w:rFonts w:ascii="Times New Roman" w:hAnsi="Times New Roman" w:cs="Times New Roman"/>
          <w:sz w:val="24"/>
          <w:szCs w:val="24"/>
        </w:rPr>
        <w:t xml:space="preserve">Employees’ pro-environmental behaviour significantly contributes to improved environmental sustainability outcomes in North African public sector organisations </w:t>
      </w:r>
      <w:r w:rsidR="0081146D">
        <w:rPr>
          <w:rFonts w:ascii="Times New Roman" w:hAnsi="Times New Roman" w:cs="Times New Roman"/>
          <w:sz w:val="24"/>
          <w:szCs w:val="24"/>
        </w:rPr>
        <w:t xml:space="preserve">(Daily </w:t>
      </w:r>
      <w:r w:rsidR="0081146D" w:rsidRPr="00013D5E">
        <w:rPr>
          <w:rFonts w:ascii="Times New Roman" w:hAnsi="Times New Roman" w:cs="Times New Roman"/>
          <w:i/>
          <w:sz w:val="24"/>
          <w:szCs w:val="24"/>
        </w:rPr>
        <w:t>et al.</w:t>
      </w:r>
      <w:r w:rsidR="0081146D">
        <w:rPr>
          <w:rFonts w:ascii="Times New Roman" w:hAnsi="Times New Roman" w:cs="Times New Roman"/>
          <w:sz w:val="24"/>
          <w:szCs w:val="24"/>
        </w:rPr>
        <w:t xml:space="preserve">, 2012); and </w:t>
      </w:r>
      <w:r w:rsidR="00057B18" w:rsidRPr="0081146D">
        <w:rPr>
          <w:rStyle w:val="Strong"/>
          <w:rFonts w:ascii="Times New Roman" w:hAnsi="Times New Roman" w:cs="Times New Roman"/>
          <w:b w:val="0"/>
          <w:i/>
          <w:sz w:val="24"/>
          <w:szCs w:val="24"/>
        </w:rPr>
        <w:t>H₃:</w:t>
      </w:r>
      <w:r w:rsidR="00057B18" w:rsidRPr="00C30AA4">
        <w:rPr>
          <w:rFonts w:ascii="Times New Roman" w:hAnsi="Times New Roman" w:cs="Times New Roman"/>
          <w:sz w:val="24"/>
          <w:szCs w:val="24"/>
        </w:rPr>
        <w:t xml:space="preserve"> </w:t>
      </w:r>
      <w:r w:rsidR="00D05EC8" w:rsidRPr="00CE62C9">
        <w:rPr>
          <w:rFonts w:ascii="Times New Roman" w:hAnsi="Times New Roman" w:cs="Times New Roman"/>
          <w:sz w:val="24"/>
          <w:szCs w:val="24"/>
        </w:rPr>
        <w:t xml:space="preserve">Green Human Resource Management (GHRM) practices significantly contribute to environmental </w:t>
      </w:r>
      <w:r w:rsidR="00D05EC8" w:rsidRPr="00CE62C9">
        <w:rPr>
          <w:rFonts w:ascii="Times New Roman" w:hAnsi="Times New Roman" w:cs="Times New Roman"/>
          <w:sz w:val="24"/>
          <w:szCs w:val="24"/>
        </w:rPr>
        <w:lastRenderedPageBreak/>
        <w:t>sustainability outcomes in North African public sector organisations</w:t>
      </w:r>
      <w:r w:rsidR="00D05EC8" w:rsidRPr="0081146D">
        <w:rPr>
          <w:rFonts w:ascii="Times New Roman" w:hAnsi="Times New Roman" w:cs="Times New Roman"/>
          <w:sz w:val="24"/>
          <w:szCs w:val="24"/>
        </w:rPr>
        <w:t xml:space="preserve"> </w:t>
      </w:r>
      <w:r w:rsidR="00057B18" w:rsidRPr="0081146D">
        <w:rPr>
          <w:rFonts w:ascii="Times New Roman" w:hAnsi="Times New Roman" w:cs="Times New Roman"/>
          <w:sz w:val="24"/>
          <w:szCs w:val="24"/>
        </w:rPr>
        <w:t>(Jabbour &amp; Renwick, 2018).</w:t>
      </w:r>
    </w:p>
    <w:p w14:paraId="010671C3" w14:textId="77777777" w:rsidR="0081146D" w:rsidRDefault="0081146D" w:rsidP="0081146D">
      <w:pPr>
        <w:pStyle w:val="NoSpacing"/>
        <w:jc w:val="both"/>
        <w:rPr>
          <w:rFonts w:ascii="Times New Roman" w:hAnsi="Times New Roman" w:cs="Times New Roman"/>
          <w:b/>
          <w:sz w:val="24"/>
          <w:szCs w:val="24"/>
        </w:rPr>
      </w:pPr>
    </w:p>
    <w:p w14:paraId="6F46E6CE" w14:textId="77777777" w:rsidR="00057B18" w:rsidRPr="0081146D" w:rsidRDefault="0081146D"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LITERATURE REVIEW</w:t>
      </w:r>
    </w:p>
    <w:p w14:paraId="0E116A0C" w14:textId="77777777" w:rsidR="00057B18" w:rsidRPr="0081146D" w:rsidRDefault="00057B18" w:rsidP="0081146D">
      <w:pPr>
        <w:pStyle w:val="NoSpacing"/>
        <w:jc w:val="both"/>
        <w:rPr>
          <w:rFonts w:ascii="Times New Roman" w:hAnsi="Times New Roman" w:cs="Times New Roman"/>
          <w:sz w:val="24"/>
          <w:szCs w:val="24"/>
        </w:rPr>
      </w:pPr>
    </w:p>
    <w:p w14:paraId="4D1DFB17" w14:textId="77777777" w:rsidR="0081146D" w:rsidRPr="0081146D" w:rsidRDefault="00057B18"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C</w:t>
      </w:r>
      <w:r w:rsidR="0081146D" w:rsidRPr="0081146D">
        <w:rPr>
          <w:rFonts w:ascii="Times New Roman" w:hAnsi="Times New Roman" w:cs="Times New Roman"/>
          <w:b/>
          <w:sz w:val="24"/>
          <w:szCs w:val="24"/>
        </w:rPr>
        <w:t xml:space="preserve">onceptual Explanations </w:t>
      </w:r>
    </w:p>
    <w:p w14:paraId="12368C0E" w14:textId="77777777" w:rsidR="0081146D" w:rsidRDefault="00057B18" w:rsidP="0081146D">
      <w:pPr>
        <w:pStyle w:val="NoSpacing"/>
        <w:jc w:val="both"/>
        <w:rPr>
          <w:rFonts w:ascii="Times New Roman" w:hAnsi="Times New Roman" w:cs="Times New Roman"/>
          <w:sz w:val="24"/>
          <w:szCs w:val="24"/>
        </w:rPr>
      </w:pPr>
      <w:r w:rsidRPr="0081146D">
        <w:rPr>
          <w:rFonts w:ascii="Times New Roman" w:hAnsi="Times New Roman" w:cs="Times New Roman"/>
          <w:sz w:val="24"/>
          <w:szCs w:val="24"/>
        </w:rPr>
        <w:t xml:space="preserve"> </w:t>
      </w:r>
    </w:p>
    <w:p w14:paraId="51A7C1BD" w14:textId="77777777" w:rsidR="00057B18" w:rsidRPr="0081146D" w:rsidRDefault="00057B18" w:rsidP="0081146D">
      <w:pPr>
        <w:pStyle w:val="NoSpacing"/>
        <w:jc w:val="both"/>
        <w:rPr>
          <w:rFonts w:ascii="Times New Roman" w:hAnsi="Times New Roman" w:cs="Times New Roman"/>
          <w:i/>
          <w:sz w:val="24"/>
          <w:szCs w:val="24"/>
        </w:rPr>
      </w:pPr>
      <w:r w:rsidRPr="0081146D">
        <w:rPr>
          <w:rFonts w:ascii="Times New Roman" w:hAnsi="Times New Roman" w:cs="Times New Roman"/>
          <w:i/>
          <w:sz w:val="24"/>
          <w:szCs w:val="24"/>
        </w:rPr>
        <w:t>Green Human Resource Management (GHRM)</w:t>
      </w:r>
      <w:r w:rsidR="0081146D">
        <w:rPr>
          <w:rFonts w:ascii="Times New Roman" w:hAnsi="Times New Roman" w:cs="Times New Roman"/>
          <w:sz w:val="24"/>
          <w:szCs w:val="24"/>
        </w:rPr>
        <w:t xml:space="preserve">: This </w:t>
      </w:r>
      <w:r w:rsidRPr="0081146D">
        <w:rPr>
          <w:rFonts w:ascii="Times New Roman" w:hAnsi="Times New Roman" w:cs="Times New Roman"/>
          <w:sz w:val="24"/>
          <w:szCs w:val="24"/>
        </w:rPr>
        <w:t>refers to the integration of environmental management objectives into an organisation’s human resource policies, processes, and practices to promote sustainable performance (Renwick, Redman &amp; Maguire, 2013). It involves adapt</w:t>
      </w:r>
      <w:r w:rsidR="00CA0B18">
        <w:rPr>
          <w:rFonts w:ascii="Times New Roman" w:hAnsi="Times New Roman" w:cs="Times New Roman"/>
          <w:sz w:val="24"/>
          <w:szCs w:val="24"/>
        </w:rPr>
        <w:t xml:space="preserve">ing conventional HR functions </w:t>
      </w:r>
      <w:r w:rsidRPr="0081146D">
        <w:rPr>
          <w:rFonts w:ascii="Times New Roman" w:hAnsi="Times New Roman" w:cs="Times New Roman"/>
          <w:sz w:val="24"/>
          <w:szCs w:val="24"/>
        </w:rPr>
        <w:t xml:space="preserve">such as recruitment, training, performance </w:t>
      </w:r>
      <w:r w:rsidR="00CA0B18">
        <w:rPr>
          <w:rFonts w:ascii="Times New Roman" w:hAnsi="Times New Roman" w:cs="Times New Roman"/>
          <w:sz w:val="24"/>
          <w:szCs w:val="24"/>
        </w:rPr>
        <w:t xml:space="preserve">appraisal, and reward systems are performed </w:t>
      </w:r>
      <w:r w:rsidRPr="0081146D">
        <w:rPr>
          <w:rFonts w:ascii="Times New Roman" w:hAnsi="Times New Roman" w:cs="Times New Roman"/>
          <w:sz w:val="24"/>
          <w:szCs w:val="24"/>
        </w:rPr>
        <w:t xml:space="preserve">to support environmental responsibility and eco-friendly behaviour among employees (Jabbour &amp; Renwick, 2018). According to </w:t>
      </w:r>
      <w:proofErr w:type="spellStart"/>
      <w:r w:rsidRPr="0081146D">
        <w:rPr>
          <w:rFonts w:ascii="Times New Roman" w:hAnsi="Times New Roman" w:cs="Times New Roman"/>
          <w:sz w:val="24"/>
          <w:szCs w:val="24"/>
        </w:rPr>
        <w:t>Zoogah</w:t>
      </w:r>
      <w:proofErr w:type="spellEnd"/>
      <w:r w:rsidRPr="0081146D">
        <w:rPr>
          <w:rFonts w:ascii="Times New Roman" w:hAnsi="Times New Roman" w:cs="Times New Roman"/>
          <w:sz w:val="24"/>
          <w:szCs w:val="24"/>
        </w:rPr>
        <w:t xml:space="preserve"> (2011), GHRM seeks to create a workforce that is aware of environmental issues, motivated to act sustainably, and capable of contributing to the organisation’s environmental goals. In public-sector contexts, GHRM practices aim to “green” administrative systems by embedding sustainability values into civil-service culture and operations (Masri, 2016). Thus, GHRM is both a strategic and behavioural approach, linking HRM to environmental performance outcomes in organisations.</w:t>
      </w:r>
    </w:p>
    <w:p w14:paraId="2BC04288" w14:textId="77777777" w:rsidR="0081146D" w:rsidRDefault="0081146D" w:rsidP="0081146D">
      <w:pPr>
        <w:pStyle w:val="NoSpacing"/>
        <w:jc w:val="both"/>
        <w:rPr>
          <w:rFonts w:ascii="Times New Roman" w:hAnsi="Times New Roman" w:cs="Times New Roman"/>
          <w:sz w:val="24"/>
          <w:szCs w:val="24"/>
        </w:rPr>
      </w:pPr>
    </w:p>
    <w:p w14:paraId="09C53134" w14:textId="77777777" w:rsidR="00057B18" w:rsidRPr="0081146D" w:rsidRDefault="00057B18" w:rsidP="0081146D">
      <w:pPr>
        <w:pStyle w:val="NoSpacing"/>
        <w:jc w:val="both"/>
        <w:rPr>
          <w:rFonts w:ascii="Times New Roman" w:hAnsi="Times New Roman" w:cs="Times New Roman"/>
          <w:i/>
          <w:sz w:val="24"/>
          <w:szCs w:val="24"/>
        </w:rPr>
      </w:pPr>
      <w:r w:rsidRPr="0081146D">
        <w:rPr>
          <w:rFonts w:ascii="Times New Roman" w:hAnsi="Times New Roman" w:cs="Times New Roman"/>
          <w:i/>
          <w:sz w:val="24"/>
          <w:szCs w:val="24"/>
        </w:rPr>
        <w:t>Environmental Sustainability</w:t>
      </w:r>
      <w:r w:rsidR="0081146D">
        <w:rPr>
          <w:rFonts w:ascii="Times New Roman" w:hAnsi="Times New Roman" w:cs="Times New Roman"/>
          <w:i/>
          <w:sz w:val="24"/>
          <w:szCs w:val="24"/>
        </w:rPr>
        <w:t xml:space="preserve">: </w:t>
      </w:r>
      <w:r w:rsidR="0081146D">
        <w:rPr>
          <w:rFonts w:ascii="Times New Roman" w:hAnsi="Times New Roman" w:cs="Times New Roman"/>
          <w:sz w:val="24"/>
          <w:szCs w:val="24"/>
        </w:rPr>
        <w:t xml:space="preserve">This </w:t>
      </w:r>
      <w:r w:rsidRPr="0081146D">
        <w:rPr>
          <w:rFonts w:ascii="Times New Roman" w:hAnsi="Times New Roman" w:cs="Times New Roman"/>
          <w:sz w:val="24"/>
          <w:szCs w:val="24"/>
        </w:rPr>
        <w:t xml:space="preserve">is the practice of using resources in ways that meet present needs without compromising the ability of future generations to meet theirs (WCED, 1987). It emphasizes the preservation of ecological systems, reduction of pollution, and responsible management of energy and natural resources (Goodland, 1995). In organisational settings, environmental sustainability refers to implementing strategies and processes that minimize environmental harm while ensuring operational efficiency and compliance with environmental regulations (Bansal &amp; </w:t>
      </w:r>
      <w:proofErr w:type="spellStart"/>
      <w:r w:rsidRPr="0081146D">
        <w:rPr>
          <w:rFonts w:ascii="Times New Roman" w:hAnsi="Times New Roman" w:cs="Times New Roman"/>
          <w:sz w:val="24"/>
          <w:szCs w:val="24"/>
        </w:rPr>
        <w:t>DesJardine</w:t>
      </w:r>
      <w:proofErr w:type="spellEnd"/>
      <w:r w:rsidRPr="0081146D">
        <w:rPr>
          <w:rFonts w:ascii="Times New Roman" w:hAnsi="Times New Roman" w:cs="Times New Roman"/>
          <w:sz w:val="24"/>
          <w:szCs w:val="24"/>
        </w:rPr>
        <w:t>, 2014). In the public sector, sustainability also includes government efforts to integrate environmental considerations into policymaking, public procurement, and service delivery (OECD, 2023). Therefore, environmental sustainability provides the overarching goal that GHRM practices are designed to support, linking human behaviour and institutional management to measurable ecological outcomes.</w:t>
      </w:r>
    </w:p>
    <w:p w14:paraId="6CFD4A8A" w14:textId="77777777" w:rsidR="0081146D" w:rsidRDefault="0081146D" w:rsidP="0081146D">
      <w:pPr>
        <w:pStyle w:val="NoSpacing"/>
        <w:jc w:val="both"/>
        <w:rPr>
          <w:rFonts w:ascii="Times New Roman" w:hAnsi="Times New Roman" w:cs="Times New Roman"/>
          <w:sz w:val="24"/>
          <w:szCs w:val="24"/>
        </w:rPr>
      </w:pPr>
    </w:p>
    <w:p w14:paraId="4C21883E" w14:textId="77777777" w:rsidR="00057B18" w:rsidRPr="0081146D" w:rsidRDefault="00057B18"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 xml:space="preserve">Extent </w:t>
      </w:r>
      <w:r w:rsidR="0081146D">
        <w:rPr>
          <w:rFonts w:ascii="Times New Roman" w:hAnsi="Times New Roman" w:cs="Times New Roman"/>
          <w:b/>
          <w:sz w:val="24"/>
          <w:szCs w:val="24"/>
        </w:rPr>
        <w:t>t</w:t>
      </w:r>
      <w:r w:rsidR="0081146D" w:rsidRPr="0081146D">
        <w:rPr>
          <w:rFonts w:ascii="Times New Roman" w:hAnsi="Times New Roman" w:cs="Times New Roman"/>
          <w:b/>
          <w:sz w:val="24"/>
          <w:szCs w:val="24"/>
        </w:rPr>
        <w:t xml:space="preserve">o Which </w:t>
      </w:r>
      <w:r w:rsidRPr="0081146D">
        <w:rPr>
          <w:rFonts w:ascii="Times New Roman" w:hAnsi="Times New Roman" w:cs="Times New Roman"/>
          <w:b/>
          <w:sz w:val="24"/>
          <w:szCs w:val="24"/>
        </w:rPr>
        <w:t xml:space="preserve">GHRM </w:t>
      </w:r>
      <w:r w:rsidR="0081146D">
        <w:rPr>
          <w:rFonts w:ascii="Times New Roman" w:hAnsi="Times New Roman" w:cs="Times New Roman"/>
          <w:b/>
          <w:sz w:val="24"/>
          <w:szCs w:val="24"/>
        </w:rPr>
        <w:t>Practices (Such as Green Recruitment, Training, and Performance Management) are Implemented i</w:t>
      </w:r>
      <w:r w:rsidR="0081146D" w:rsidRPr="0081146D">
        <w:rPr>
          <w:rFonts w:ascii="Times New Roman" w:hAnsi="Times New Roman" w:cs="Times New Roman"/>
          <w:b/>
          <w:sz w:val="24"/>
          <w:szCs w:val="24"/>
        </w:rPr>
        <w:t xml:space="preserve">n </w:t>
      </w:r>
      <w:r w:rsidRPr="0081146D">
        <w:rPr>
          <w:rFonts w:ascii="Times New Roman" w:hAnsi="Times New Roman" w:cs="Times New Roman"/>
          <w:b/>
          <w:sz w:val="24"/>
          <w:szCs w:val="24"/>
        </w:rPr>
        <w:t xml:space="preserve">North African </w:t>
      </w:r>
      <w:r w:rsidR="0081146D" w:rsidRPr="0081146D">
        <w:rPr>
          <w:rFonts w:ascii="Times New Roman" w:hAnsi="Times New Roman" w:cs="Times New Roman"/>
          <w:b/>
          <w:sz w:val="24"/>
          <w:szCs w:val="24"/>
        </w:rPr>
        <w:t>Public Sector Organisations</w:t>
      </w:r>
    </w:p>
    <w:p w14:paraId="3D7492F5" w14:textId="77777777" w:rsidR="0081146D" w:rsidRDefault="0081146D" w:rsidP="0081146D">
      <w:pPr>
        <w:pStyle w:val="NoSpacing"/>
        <w:jc w:val="both"/>
        <w:rPr>
          <w:rFonts w:ascii="Times New Roman" w:eastAsia="Times New Roman" w:hAnsi="Times New Roman" w:cs="Times New Roman"/>
          <w:sz w:val="24"/>
          <w:szCs w:val="24"/>
          <w:lang w:eastAsia="en-GB"/>
        </w:rPr>
      </w:pPr>
    </w:p>
    <w:p w14:paraId="3C369214"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Research on Green Human Resource Management (GHRM) demonstrates that integrating environmental aims into HR functions—green recruitment, training, appraisal and rewards—can shape pro-environmental employee behaviour and improve organisational environmental outcomes (Renwick, Redman &amp; Maguire, 2013; Jabbour &amp; Renwick, 2018). Most foundational studies, however, are concentrated in developed-country and private-sector settings, leaving the public sector in developing regions comparatively under-examined (Renwick </w:t>
      </w:r>
      <w:r w:rsidRPr="00CA0B18">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2013; Jackson </w:t>
      </w:r>
      <w:r w:rsidRPr="00CA0B18">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2011). Empirical reviews focused on Africa and the Middle East note a recent surge in GHRM studies but emphasise that country-level and public-sector evidence remain sparse and uneven. </w:t>
      </w:r>
    </w:p>
    <w:p w14:paraId="148ED146"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45FF3343"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Region-specific work on the Arab world and North Africa suggests that awareness of GHRM concepts exists among scholars and practitioners, yet systematic implementation in public agencies is limited. Masri’s review of GHRM in Arab countries highlights conceptual </w:t>
      </w:r>
      <w:r w:rsidRPr="0081146D">
        <w:rPr>
          <w:rFonts w:ascii="Times New Roman" w:eastAsia="Times New Roman" w:hAnsi="Times New Roman" w:cs="Times New Roman"/>
          <w:sz w:val="24"/>
          <w:szCs w:val="24"/>
          <w:lang w:eastAsia="en-GB"/>
        </w:rPr>
        <w:lastRenderedPageBreak/>
        <w:t xml:space="preserve">uptake—training and awareness programmes are the most frequently discussed practices—but finds few rigorous assessments of uptake at governmental ministries or municipal administrations (Masri, 2016). Comparative studies that include Egyptian public universities and state institutions indicate adoption of piecemeal practices (e.g. environmental training modules, recycling drives), but these initiatives are often project-based, donor-led, or confined to single departments rather than embedded in HR policy and performance systems (Masri, 2016; Younis, 2025). </w:t>
      </w:r>
    </w:p>
    <w:p w14:paraId="6A5E5A18"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40B332DF"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Macro-governance analyses point to structural barriers that help explain the limited depth of GHRM in North African public services. Recent OECD and World Bank assessments of governance in the MENA region document persistent bureaucratic rigidity, centralized personnel systems, and capacity constraints that impede ref</w:t>
      </w:r>
      <w:r w:rsidR="00CA0B18">
        <w:rPr>
          <w:rFonts w:ascii="Times New Roman" w:eastAsia="Times New Roman" w:hAnsi="Times New Roman" w:cs="Times New Roman"/>
          <w:sz w:val="24"/>
          <w:szCs w:val="24"/>
          <w:lang w:eastAsia="en-GB"/>
        </w:rPr>
        <w:t xml:space="preserve">orm diffusion across ministries. These are </w:t>
      </w:r>
      <w:r w:rsidRPr="0081146D">
        <w:rPr>
          <w:rFonts w:ascii="Times New Roman" w:eastAsia="Times New Roman" w:hAnsi="Times New Roman" w:cs="Times New Roman"/>
          <w:sz w:val="24"/>
          <w:szCs w:val="24"/>
          <w:lang w:eastAsia="en-GB"/>
        </w:rPr>
        <w:t xml:space="preserve">conditions that reduce the likelihood of systematic HR reforms such as greening recruitment criteria or linking environmental KPIs to civil-service appraisals (OECD, 2024; World Bank, 2024). Where GHRM does appear in the public domain, it is more often introduced through broader “governance for sustainability” programs or external partnerships than through internal HR strategy revamps. </w:t>
      </w:r>
    </w:p>
    <w:p w14:paraId="35B35AEC"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3CB3D545" w14:textId="77777777" w:rsidR="00057B18" w:rsidRDefault="00057B18" w:rsidP="0081146D">
      <w:pPr>
        <w:pStyle w:val="NoSpacing"/>
        <w:jc w:val="both"/>
        <w:rPr>
          <w:rFonts w:ascii="Times New Roman" w:hAnsi="Times New Roman" w:cs="Times New Roman"/>
          <w:sz w:val="24"/>
          <w:szCs w:val="24"/>
        </w:rPr>
      </w:pPr>
      <w:r w:rsidRPr="0081146D">
        <w:rPr>
          <w:rFonts w:ascii="Times New Roman" w:eastAsia="Times New Roman" w:hAnsi="Times New Roman" w:cs="Times New Roman"/>
          <w:sz w:val="24"/>
          <w:szCs w:val="24"/>
          <w:lang w:eastAsia="en-GB"/>
        </w:rPr>
        <w:t xml:space="preserve">Recent empirical studies conducted in MENA countries provide mixed evidence on implementation intensity. Sectoral research (e.g. healthcare, higher education, hospitality) shows that green training and awareness raising are relatively common, whereas formal green recruitment protocols, green performance appraisal systems and incentive structures are far less prevalent and frequently lack institutional backing or measurement systems (Issa </w:t>
      </w:r>
      <w:r w:rsidRPr="00013D5E">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2022; Hassanein, 2024; Younis, 2025). These studies suggest a gradient of implementation: behavioural and low-cost interventions (training, campaigns, employee engagement) are more widespread than structural HR changes (recruitment criteria, appraisal redesign), particularly in resource-constrained public organisations. </w:t>
      </w:r>
    </w:p>
    <w:p w14:paraId="5A09811F" w14:textId="77777777" w:rsidR="00186809" w:rsidRPr="0081146D" w:rsidRDefault="00186809" w:rsidP="0081146D">
      <w:pPr>
        <w:pStyle w:val="NoSpacing"/>
        <w:jc w:val="both"/>
        <w:rPr>
          <w:rFonts w:ascii="Times New Roman" w:eastAsia="Times New Roman" w:hAnsi="Times New Roman" w:cs="Times New Roman"/>
          <w:sz w:val="24"/>
          <w:szCs w:val="24"/>
          <w:lang w:eastAsia="en-GB"/>
        </w:rPr>
      </w:pPr>
    </w:p>
    <w:p w14:paraId="39AB5FEC"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Overall, the literature indicates that while GHRM ideas are gaining </w:t>
      </w:r>
      <w:r w:rsidR="00CA0B18">
        <w:rPr>
          <w:rFonts w:ascii="Times New Roman" w:eastAsia="Times New Roman" w:hAnsi="Times New Roman" w:cs="Times New Roman"/>
          <w:sz w:val="24"/>
          <w:szCs w:val="24"/>
          <w:lang w:eastAsia="en-GB"/>
        </w:rPr>
        <w:t>at</w:t>
      </w:r>
      <w:r w:rsidRPr="0081146D">
        <w:rPr>
          <w:rFonts w:ascii="Times New Roman" w:eastAsia="Times New Roman" w:hAnsi="Times New Roman" w:cs="Times New Roman"/>
          <w:sz w:val="24"/>
          <w:szCs w:val="24"/>
          <w:lang w:eastAsia="en-GB"/>
        </w:rPr>
        <w:t xml:space="preserve">traction in North Africa, actual integration into core public HRM functions remains limited and fragmented. </w:t>
      </w:r>
      <w:r w:rsidR="00AF6D98" w:rsidRPr="00AF6D98">
        <w:rPr>
          <w:rFonts w:ascii="Times New Roman" w:hAnsi="Times New Roman" w:cs="Times New Roman"/>
          <w:sz w:val="24"/>
          <w:szCs w:val="24"/>
        </w:rPr>
        <w:t>This is compounded with its socio-economic diversity, technological limitations, and policy inconsistencies, which provides a critical site for examining how global work trends (such as GHRM practices) are adapted locally and whether such adaptations enhance public sector efficiency (</w:t>
      </w:r>
      <w:proofErr w:type="spellStart"/>
      <w:r w:rsidR="00AF6D98" w:rsidRPr="00AF6D98">
        <w:rPr>
          <w:rFonts w:ascii="Times New Roman" w:hAnsi="Times New Roman" w:cs="Times New Roman"/>
          <w:sz w:val="24"/>
          <w:szCs w:val="24"/>
        </w:rPr>
        <w:t>Nwambuko</w:t>
      </w:r>
      <w:proofErr w:type="spellEnd"/>
      <w:r w:rsidR="00AF6D98" w:rsidRPr="00AF6D98">
        <w:rPr>
          <w:rFonts w:ascii="Times New Roman" w:hAnsi="Times New Roman" w:cs="Times New Roman"/>
          <w:sz w:val="24"/>
          <w:szCs w:val="24"/>
        </w:rPr>
        <w:t xml:space="preserve"> </w:t>
      </w:r>
      <w:r w:rsidR="00AF6D98" w:rsidRPr="00AF6D98">
        <w:rPr>
          <w:rFonts w:ascii="Times New Roman" w:hAnsi="Times New Roman" w:cs="Times New Roman"/>
          <w:i/>
          <w:sz w:val="24"/>
          <w:szCs w:val="24"/>
        </w:rPr>
        <w:t>et al</w:t>
      </w:r>
      <w:r w:rsidR="00AF6D98" w:rsidRPr="00AF6D98">
        <w:rPr>
          <w:rFonts w:ascii="Times New Roman" w:hAnsi="Times New Roman" w:cs="Times New Roman"/>
          <w:sz w:val="24"/>
          <w:szCs w:val="24"/>
        </w:rPr>
        <w:t>, 2025)</w:t>
      </w:r>
      <w:r w:rsidR="00AF6D98">
        <w:t xml:space="preserve">. </w:t>
      </w:r>
      <w:r w:rsidRPr="0081146D">
        <w:rPr>
          <w:rFonts w:ascii="Times New Roman" w:eastAsia="Times New Roman" w:hAnsi="Times New Roman" w:cs="Times New Roman"/>
          <w:sz w:val="24"/>
          <w:szCs w:val="24"/>
          <w:lang w:eastAsia="en-GB"/>
        </w:rPr>
        <w:t xml:space="preserve">There is a clear research gap: robust, cross-country empirical studies are needed to quantify the extent of formal GHRM adoption in ministries and municipal agencies, to identify institutional enablers and constraints, and to test whether observed practices translate into measurable environmental outcomes in the public sector context. Addressing this gap will require combining perceptual survey data with objective organisational indicators and paying attention to governance and capacity factors that uniquely shape public-sector change in the region. </w:t>
      </w:r>
    </w:p>
    <w:p w14:paraId="7E8BBC85" w14:textId="77777777" w:rsidR="00186809" w:rsidRDefault="00186809" w:rsidP="00057B18">
      <w:pPr>
        <w:pStyle w:val="Heading3"/>
      </w:pPr>
    </w:p>
    <w:p w14:paraId="51CC27B6" w14:textId="77777777" w:rsidR="00057B18" w:rsidRPr="00966830" w:rsidRDefault="00057B18" w:rsidP="00186809">
      <w:pPr>
        <w:pStyle w:val="NoSpacing"/>
        <w:jc w:val="both"/>
        <w:rPr>
          <w:rFonts w:ascii="Times New Roman" w:hAnsi="Times New Roman" w:cs="Times New Roman"/>
          <w:b/>
          <w:sz w:val="24"/>
          <w:szCs w:val="24"/>
        </w:rPr>
      </w:pPr>
      <w:r w:rsidRPr="00966830">
        <w:rPr>
          <w:rFonts w:ascii="Times New Roman" w:hAnsi="Times New Roman" w:cs="Times New Roman"/>
          <w:b/>
          <w:sz w:val="24"/>
          <w:szCs w:val="24"/>
        </w:rPr>
        <w:t xml:space="preserve">GHRM </w:t>
      </w:r>
      <w:r w:rsidR="00966830">
        <w:rPr>
          <w:rFonts w:ascii="Times New Roman" w:hAnsi="Times New Roman" w:cs="Times New Roman"/>
          <w:b/>
          <w:sz w:val="24"/>
          <w:szCs w:val="24"/>
        </w:rPr>
        <w:t>a</w:t>
      </w:r>
      <w:r w:rsidR="00966830" w:rsidRPr="00966830">
        <w:rPr>
          <w:rFonts w:ascii="Times New Roman" w:hAnsi="Times New Roman" w:cs="Times New Roman"/>
          <w:b/>
          <w:sz w:val="24"/>
          <w:szCs w:val="24"/>
        </w:rPr>
        <w:t>nd Employee</w:t>
      </w:r>
      <w:r w:rsidR="00966830">
        <w:rPr>
          <w:rFonts w:ascii="Times New Roman" w:hAnsi="Times New Roman" w:cs="Times New Roman"/>
          <w:b/>
          <w:sz w:val="24"/>
          <w:szCs w:val="24"/>
        </w:rPr>
        <w:t>s’ Pro-Environmental Behaviour in t</w:t>
      </w:r>
      <w:r w:rsidR="00966830" w:rsidRPr="00966830">
        <w:rPr>
          <w:rFonts w:ascii="Times New Roman" w:hAnsi="Times New Roman" w:cs="Times New Roman"/>
          <w:b/>
          <w:sz w:val="24"/>
          <w:szCs w:val="24"/>
        </w:rPr>
        <w:t xml:space="preserve">he </w:t>
      </w:r>
      <w:r w:rsidRPr="00966830">
        <w:rPr>
          <w:rFonts w:ascii="Times New Roman" w:hAnsi="Times New Roman" w:cs="Times New Roman"/>
          <w:b/>
          <w:sz w:val="24"/>
          <w:szCs w:val="24"/>
        </w:rPr>
        <w:t xml:space="preserve">North African </w:t>
      </w:r>
      <w:r w:rsidR="00966830" w:rsidRPr="00966830">
        <w:rPr>
          <w:rFonts w:ascii="Times New Roman" w:hAnsi="Times New Roman" w:cs="Times New Roman"/>
          <w:b/>
          <w:sz w:val="24"/>
          <w:szCs w:val="24"/>
        </w:rPr>
        <w:t>Public Service</w:t>
      </w:r>
    </w:p>
    <w:p w14:paraId="201C5274" w14:textId="77777777" w:rsidR="00966830" w:rsidRDefault="00966830" w:rsidP="00186809">
      <w:pPr>
        <w:pStyle w:val="NoSpacing"/>
        <w:jc w:val="both"/>
        <w:rPr>
          <w:rFonts w:ascii="Times New Roman" w:hAnsi="Times New Roman" w:cs="Times New Roman"/>
          <w:sz w:val="24"/>
          <w:szCs w:val="24"/>
        </w:rPr>
      </w:pPr>
    </w:p>
    <w:p w14:paraId="7993DDBD" w14:textId="77777777" w:rsidR="00057B18"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A growing body of scholarship shows that Green Human Resource Management (GHRM) practices — including green recruitment, environmental training, green performance appraisal, and green incentives — can shape employees’ attitudes, norms and perceived behavioural control, thereby increasing pro-environmental behaviour (PEB) at work (Chen, 2021; Ahmad, 2023). The causal mechanisms commonly identified in the literature include social exchange (employees reciprocate organisational support), value internalisation </w:t>
      </w:r>
      <w:r w:rsidRPr="00186809">
        <w:rPr>
          <w:rFonts w:ascii="Times New Roman" w:hAnsi="Times New Roman" w:cs="Times New Roman"/>
          <w:sz w:val="24"/>
          <w:szCs w:val="24"/>
        </w:rPr>
        <w:lastRenderedPageBreak/>
        <w:t xml:space="preserve">(training and selection align values), and normative pressure (appraisals and rewards create expectations to act green) (Chen, 2021; Ribeiro </w:t>
      </w:r>
      <w:r w:rsidRPr="00013D5E">
        <w:rPr>
          <w:rFonts w:ascii="Times New Roman" w:hAnsi="Times New Roman" w:cs="Times New Roman"/>
          <w:i/>
          <w:sz w:val="24"/>
          <w:szCs w:val="24"/>
        </w:rPr>
        <w:t>et al</w:t>
      </w:r>
      <w:r w:rsidRPr="00186809">
        <w:rPr>
          <w:rFonts w:ascii="Times New Roman" w:hAnsi="Times New Roman" w:cs="Times New Roman"/>
          <w:sz w:val="24"/>
          <w:szCs w:val="24"/>
        </w:rPr>
        <w:t xml:space="preserve">., 2022). Meta-analytic and review evidence further suggests these relationships are robust across sectors, but with notable variation by context and by the specific GHRM practice employed. </w:t>
      </w:r>
    </w:p>
    <w:p w14:paraId="38AEA54E" w14:textId="77777777" w:rsidR="0012420F" w:rsidRPr="00186809" w:rsidRDefault="0012420F" w:rsidP="00186809">
      <w:pPr>
        <w:pStyle w:val="NoSpacing"/>
        <w:jc w:val="both"/>
        <w:rPr>
          <w:rFonts w:ascii="Times New Roman" w:hAnsi="Times New Roman" w:cs="Times New Roman"/>
          <w:sz w:val="24"/>
          <w:szCs w:val="24"/>
        </w:rPr>
      </w:pPr>
    </w:p>
    <w:p w14:paraId="1F086EBD" w14:textId="77777777" w:rsidR="00966830"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Empirical work from the MENA region and Egypt in particular provides regionally relevant support: multiple recent studies in Egyptian hospitals, universities and service firms find that green training and awareness programmes are consistently associated with higher self-reported PEB, while formalisation of green recruitment and performance management is less common but—where present—shows stronger links to measurable pro-environmental outcomes (Qassim, 2024; Younis, 2025; </w:t>
      </w:r>
      <w:proofErr w:type="spellStart"/>
      <w:r w:rsidRPr="00186809">
        <w:rPr>
          <w:rFonts w:ascii="Times New Roman" w:hAnsi="Times New Roman" w:cs="Times New Roman"/>
          <w:sz w:val="24"/>
          <w:szCs w:val="24"/>
        </w:rPr>
        <w:t>Abedelrahim</w:t>
      </w:r>
      <w:proofErr w:type="spellEnd"/>
      <w:r w:rsidRPr="00186809">
        <w:rPr>
          <w:rFonts w:ascii="Times New Roman" w:hAnsi="Times New Roman" w:cs="Times New Roman"/>
          <w:sz w:val="24"/>
          <w:szCs w:val="24"/>
        </w:rPr>
        <w:t xml:space="preserve">, 2024). These studies indicate a common implementation gradient in North African public organisations: low-cost, behaviourally focused interventions (training, campaigns, employee engagement) are more widely used than structural HR reforms (recruitment filters, KPI-linked appraisals). </w:t>
      </w:r>
    </w:p>
    <w:p w14:paraId="218D147D" w14:textId="77777777" w:rsidR="00966830" w:rsidRDefault="00966830" w:rsidP="00186809">
      <w:pPr>
        <w:pStyle w:val="NoSpacing"/>
        <w:jc w:val="both"/>
        <w:rPr>
          <w:rFonts w:ascii="Times New Roman" w:hAnsi="Times New Roman" w:cs="Times New Roman"/>
          <w:sz w:val="24"/>
          <w:szCs w:val="24"/>
        </w:rPr>
      </w:pPr>
    </w:p>
    <w:p w14:paraId="3C57D25B" w14:textId="77777777" w:rsidR="00057B18"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Contextual and institutional factors shape how GHRM translates into PEB in the public service. Research on public organisations highlights bureaucratic rigidity, centralized personnel rules, and constrained budgets as barriers that weaken the operationalisation of GHRM into concrete HR procedures or incentive systems (OECD/World Bank literature; regional reviews). Where institutional support and managerial green leadership exist, however, GHRM practices are more likely to lead to sustained PEB because management endorsement and resource allocation increase perceived behavioural control and reinforce organisational norms (</w:t>
      </w:r>
      <w:proofErr w:type="spellStart"/>
      <w:r w:rsidRPr="00186809">
        <w:rPr>
          <w:rFonts w:ascii="Times New Roman" w:hAnsi="Times New Roman" w:cs="Times New Roman"/>
          <w:sz w:val="24"/>
          <w:szCs w:val="24"/>
        </w:rPr>
        <w:t>Alherimi</w:t>
      </w:r>
      <w:proofErr w:type="spellEnd"/>
      <w:r w:rsidRPr="00186809">
        <w:rPr>
          <w:rFonts w:ascii="Times New Roman" w:hAnsi="Times New Roman" w:cs="Times New Roman"/>
          <w:sz w:val="24"/>
          <w:szCs w:val="24"/>
        </w:rPr>
        <w:t xml:space="preserve">, 2024; Gao, 2025). Thus, adoption without institutional embedding often produces short-lived behavioural gains. </w:t>
      </w:r>
    </w:p>
    <w:p w14:paraId="102DC9D3" w14:textId="77777777" w:rsidR="0012420F" w:rsidRPr="00186809" w:rsidRDefault="0012420F" w:rsidP="00186809">
      <w:pPr>
        <w:pStyle w:val="NoSpacing"/>
        <w:jc w:val="both"/>
        <w:rPr>
          <w:rFonts w:ascii="Times New Roman" w:hAnsi="Times New Roman" w:cs="Times New Roman"/>
          <w:sz w:val="24"/>
          <w:szCs w:val="24"/>
        </w:rPr>
      </w:pPr>
    </w:p>
    <w:p w14:paraId="47A4522F" w14:textId="77777777" w:rsidR="00057B18" w:rsidRPr="00186809"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Measurement and methodological issues in the extant literature limit definitive conclusions about effect sizes in North African public organisations. Much evidence relies on cross-sectional surveys and self-reported PEB, which risks common-method bias and positive reporting. Nevertheless, studies that combine perceptual measures with objective indicators (e.g., energy use, recycling rates) or that examine mediators such as green commitment and green organisational culture report stronger, more credible links between GHRM and PEB (</w:t>
      </w:r>
      <w:proofErr w:type="spellStart"/>
      <w:r w:rsidRPr="00186809">
        <w:rPr>
          <w:rFonts w:ascii="Times New Roman" w:hAnsi="Times New Roman" w:cs="Times New Roman"/>
          <w:sz w:val="24"/>
          <w:szCs w:val="24"/>
        </w:rPr>
        <w:t>Iftikar</w:t>
      </w:r>
      <w:proofErr w:type="spellEnd"/>
      <w:r w:rsidRPr="00186809">
        <w:rPr>
          <w:rFonts w:ascii="Times New Roman" w:hAnsi="Times New Roman" w:cs="Times New Roman"/>
          <w:sz w:val="24"/>
          <w:szCs w:val="24"/>
        </w:rPr>
        <w:t xml:space="preserve">, 2022; Sarfo, 2024). The literature therefore calls for multi-method, comparative public-sector research across North Africa to quantify which GHRM practices most reliably drive pro-environmental behaviour among civil servants and under which institutional conditions. </w:t>
      </w:r>
    </w:p>
    <w:p w14:paraId="05F1A733" w14:textId="77777777" w:rsidR="0012420F" w:rsidRDefault="0012420F" w:rsidP="00057B18">
      <w:pPr>
        <w:pStyle w:val="Heading3"/>
      </w:pPr>
    </w:p>
    <w:p w14:paraId="22A80601" w14:textId="77777777" w:rsidR="00057B18" w:rsidRDefault="00057B18" w:rsidP="0012420F">
      <w:pPr>
        <w:pStyle w:val="NoSpacing"/>
        <w:jc w:val="both"/>
        <w:rPr>
          <w:rFonts w:ascii="Times New Roman" w:hAnsi="Times New Roman" w:cs="Times New Roman"/>
          <w:b/>
          <w:sz w:val="24"/>
          <w:szCs w:val="24"/>
        </w:rPr>
      </w:pPr>
      <w:r w:rsidRPr="00966830">
        <w:rPr>
          <w:rFonts w:ascii="Times New Roman" w:hAnsi="Times New Roman" w:cs="Times New Roman"/>
          <w:b/>
          <w:sz w:val="24"/>
          <w:szCs w:val="24"/>
        </w:rPr>
        <w:t xml:space="preserve">GHRM </w:t>
      </w:r>
      <w:r w:rsidR="00966830">
        <w:rPr>
          <w:rFonts w:ascii="Times New Roman" w:hAnsi="Times New Roman" w:cs="Times New Roman"/>
          <w:b/>
          <w:sz w:val="24"/>
          <w:szCs w:val="24"/>
        </w:rPr>
        <w:t>a</w:t>
      </w:r>
      <w:r w:rsidR="00966830" w:rsidRPr="00966830">
        <w:rPr>
          <w:rFonts w:ascii="Times New Roman" w:hAnsi="Times New Roman" w:cs="Times New Roman"/>
          <w:b/>
          <w:sz w:val="24"/>
          <w:szCs w:val="24"/>
        </w:rPr>
        <w:t>nd Environ</w:t>
      </w:r>
      <w:r w:rsidR="00966830">
        <w:rPr>
          <w:rFonts w:ascii="Times New Roman" w:hAnsi="Times New Roman" w:cs="Times New Roman"/>
          <w:b/>
          <w:sz w:val="24"/>
          <w:szCs w:val="24"/>
        </w:rPr>
        <w:t>mental Sustainability Outcomes i</w:t>
      </w:r>
      <w:r w:rsidR="00966830" w:rsidRPr="00966830">
        <w:rPr>
          <w:rFonts w:ascii="Times New Roman" w:hAnsi="Times New Roman" w:cs="Times New Roman"/>
          <w:b/>
          <w:sz w:val="24"/>
          <w:szCs w:val="24"/>
        </w:rPr>
        <w:t xml:space="preserve">n </w:t>
      </w:r>
      <w:r w:rsidRPr="00966830">
        <w:rPr>
          <w:rFonts w:ascii="Times New Roman" w:hAnsi="Times New Roman" w:cs="Times New Roman"/>
          <w:b/>
          <w:sz w:val="24"/>
          <w:szCs w:val="24"/>
        </w:rPr>
        <w:t xml:space="preserve">North African </w:t>
      </w:r>
      <w:r w:rsidR="00966830" w:rsidRPr="00966830">
        <w:rPr>
          <w:rFonts w:ascii="Times New Roman" w:hAnsi="Times New Roman" w:cs="Times New Roman"/>
          <w:b/>
          <w:sz w:val="24"/>
          <w:szCs w:val="24"/>
        </w:rPr>
        <w:t>Public Organisations</w:t>
      </w:r>
    </w:p>
    <w:p w14:paraId="22FB09DD" w14:textId="77777777" w:rsidR="00966830" w:rsidRPr="00966830" w:rsidRDefault="00966830" w:rsidP="0012420F">
      <w:pPr>
        <w:pStyle w:val="NoSpacing"/>
        <w:jc w:val="both"/>
        <w:rPr>
          <w:rFonts w:ascii="Times New Roman" w:hAnsi="Times New Roman" w:cs="Times New Roman"/>
          <w:b/>
          <w:sz w:val="24"/>
          <w:szCs w:val="24"/>
        </w:rPr>
      </w:pPr>
    </w:p>
    <w:p w14:paraId="13B6314A" w14:textId="77777777" w:rsidR="00057B18"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A growing empirical literature indicates that Green Human Resource Management (GHRM) practices can contribute positively to organisational environmental outcomes — including reduced energy use, improved waste management and greater compliance with environmental standards — by developing employee capabilities, aligning incentives, and embedding environmental goals into routine HR processes (Renwick </w:t>
      </w:r>
      <w:r w:rsidRPr="00B76794">
        <w:rPr>
          <w:rFonts w:ascii="Times New Roman" w:hAnsi="Times New Roman" w:cs="Times New Roman"/>
          <w:i/>
          <w:sz w:val="24"/>
          <w:szCs w:val="24"/>
        </w:rPr>
        <w:t>et al</w:t>
      </w:r>
      <w:r w:rsidRPr="0012420F">
        <w:rPr>
          <w:rFonts w:ascii="Times New Roman" w:hAnsi="Times New Roman" w:cs="Times New Roman"/>
          <w:sz w:val="24"/>
          <w:szCs w:val="24"/>
        </w:rPr>
        <w:t xml:space="preserve">., 2013; Jabbour &amp; Renwick, 2018). Recent empirical work in North African and adjacent MENA contexts supports this general conclusion: multi-sector studies find statistically significant associations between bundles of GHRM practices (especially green training and green performance management) and improved environmental performance indicators, although effect sizes vary by sector and study design (Sarfo, 2024; </w:t>
      </w:r>
      <w:proofErr w:type="spellStart"/>
      <w:r w:rsidRPr="0012420F">
        <w:rPr>
          <w:rFonts w:ascii="Times New Roman" w:hAnsi="Times New Roman" w:cs="Times New Roman"/>
          <w:sz w:val="24"/>
          <w:szCs w:val="24"/>
        </w:rPr>
        <w:t>Abedelrahim</w:t>
      </w:r>
      <w:proofErr w:type="spellEnd"/>
      <w:r w:rsidRPr="0012420F">
        <w:rPr>
          <w:rFonts w:ascii="Times New Roman" w:hAnsi="Times New Roman" w:cs="Times New Roman"/>
          <w:sz w:val="24"/>
          <w:szCs w:val="24"/>
        </w:rPr>
        <w:t xml:space="preserve">, 2024). </w:t>
      </w:r>
    </w:p>
    <w:p w14:paraId="4F8D9ABB" w14:textId="77777777" w:rsidR="00966830" w:rsidRPr="0012420F" w:rsidRDefault="00966830" w:rsidP="0012420F">
      <w:pPr>
        <w:pStyle w:val="NoSpacing"/>
        <w:jc w:val="both"/>
        <w:rPr>
          <w:rFonts w:ascii="Times New Roman" w:hAnsi="Times New Roman" w:cs="Times New Roman"/>
          <w:sz w:val="24"/>
          <w:szCs w:val="24"/>
        </w:rPr>
      </w:pPr>
    </w:p>
    <w:p w14:paraId="0675D047" w14:textId="77777777" w:rsidR="00966830"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lastRenderedPageBreak/>
        <w:t xml:space="preserve">Region-specific studies paint a mixed but instructive picture for the public sector. Research from Egypt — spanning hospitals, higher education and travel/service firms — reports that GHRM practices are positively related to organisational environmental behaviours and performance, yet implementation in public </w:t>
      </w:r>
      <w:r w:rsidR="00B76794">
        <w:rPr>
          <w:rFonts w:ascii="Times New Roman" w:hAnsi="Times New Roman" w:cs="Times New Roman"/>
          <w:sz w:val="24"/>
          <w:szCs w:val="24"/>
        </w:rPr>
        <w:t xml:space="preserve">organisations is often partial as </w:t>
      </w:r>
      <w:r w:rsidRPr="0012420F">
        <w:rPr>
          <w:rFonts w:ascii="Times New Roman" w:hAnsi="Times New Roman" w:cs="Times New Roman"/>
          <w:sz w:val="24"/>
          <w:szCs w:val="24"/>
        </w:rPr>
        <w:t xml:space="preserve">many interventions are project-based (training campaigns, recycling drives) rather than systemic HR reforms (formal green recruitment criteria or KPI-linked appraisals) (Qassim, 2024; Younis, 2025). Similarly, exploratory work from Morocco shows positive links in ISO-certified organisations, but also highlights that where GHRM is present it is frequently concentrated in specific certified units rather than diffused across whole ministries or municipalities (Gaafar </w:t>
      </w:r>
      <w:r w:rsidRPr="00013D5E">
        <w:rPr>
          <w:rFonts w:ascii="Times New Roman" w:hAnsi="Times New Roman" w:cs="Times New Roman"/>
          <w:i/>
          <w:sz w:val="24"/>
          <w:szCs w:val="24"/>
        </w:rPr>
        <w:t>et al</w:t>
      </w:r>
      <w:r w:rsidRPr="0012420F">
        <w:rPr>
          <w:rFonts w:ascii="Times New Roman" w:hAnsi="Times New Roman" w:cs="Times New Roman"/>
          <w:sz w:val="24"/>
          <w:szCs w:val="24"/>
        </w:rPr>
        <w:t xml:space="preserve">., 2021; Moroccan ISO study, 2022). These findings suggest that easier, low-cost practices produce observable environmental gains at unit level, while deeper HR system changes remain scarce in the public service. </w:t>
      </w:r>
    </w:p>
    <w:p w14:paraId="70C3ED2F" w14:textId="77777777" w:rsidR="00057B18" w:rsidRPr="0012420F" w:rsidRDefault="00057B18" w:rsidP="0012420F">
      <w:pPr>
        <w:pStyle w:val="NoSpacing"/>
        <w:jc w:val="both"/>
        <w:rPr>
          <w:rFonts w:ascii="Times New Roman" w:hAnsi="Times New Roman" w:cs="Times New Roman"/>
          <w:sz w:val="24"/>
          <w:szCs w:val="24"/>
        </w:rPr>
      </w:pPr>
      <w:hyperlink r:id="rId7" w:tgtFrame="_blank" w:history="1"/>
    </w:p>
    <w:p w14:paraId="276F2986" w14:textId="77777777" w:rsidR="00057B18"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Studies that combine perceptual survey measures with objective environmental indicators report the most convincing evidence that GHRM translates into real sustainability outcomes. For example, quasi-empirical studies that link GHRM scores to measurable metrics (energy use, waste tonnage, recycling rates or ISO 14001 adoption) show stronger and more policy-relevant effects than studies relying solely on self-reported behaviour (Atalla, 2025; Sarfo, 2024). However, such mixed-method or objective-metric research remains limited in North Africa: most public-sector investigations rely on cross-sectional surveys and self-reported outcomes, leaving open questions about causality and the magnitude of impact at organisational scale. </w:t>
      </w:r>
    </w:p>
    <w:p w14:paraId="6E98C07C" w14:textId="77777777" w:rsidR="00966830" w:rsidRPr="0012420F" w:rsidRDefault="00966830" w:rsidP="0012420F">
      <w:pPr>
        <w:pStyle w:val="NoSpacing"/>
        <w:jc w:val="both"/>
        <w:rPr>
          <w:rFonts w:ascii="Times New Roman" w:hAnsi="Times New Roman" w:cs="Times New Roman"/>
          <w:sz w:val="24"/>
          <w:szCs w:val="24"/>
        </w:rPr>
      </w:pPr>
    </w:p>
    <w:p w14:paraId="751D47D6" w14:textId="77777777" w:rsidR="00057B18" w:rsidRDefault="00057B18" w:rsidP="0012420F">
      <w:pPr>
        <w:pStyle w:val="NoSpacing"/>
        <w:jc w:val="both"/>
        <w:rPr>
          <w:rStyle w:val="max-w-15ch"/>
          <w:rFonts w:ascii="Times New Roman" w:hAnsi="Times New Roman" w:cs="Times New Roman"/>
          <w:color w:val="0000FF"/>
          <w:sz w:val="24"/>
          <w:szCs w:val="24"/>
          <w:u w:val="single"/>
        </w:rPr>
      </w:pPr>
      <w:r w:rsidRPr="0012420F">
        <w:rPr>
          <w:rFonts w:ascii="Times New Roman" w:hAnsi="Times New Roman" w:cs="Times New Roman"/>
          <w:sz w:val="24"/>
          <w:szCs w:val="24"/>
        </w:rPr>
        <w:t>Institutional and governance constraints partly explain the uneven translation of GHRM into sustained environmental outcomes in the public sector. Centralised civil-service rules, constrained budgets, weak monitoring systems and limited managerial autonomy reduce the likelihood that HR reforms (for example, adding environmental KPIs to appraisal systems) will be adopted or enforced across ministries (OECD/World Bank regional analyses; sectoral studies). Where senior management demonstrates green leadership and where HR and sustainability functions are coordinated, public organisations are more likely to achieve demonstrable environmental improvements from GHRM interventions (Allam, 2024; policy assessments). Thus, while evidence supports a positive role for GHRM in producing environmental gains, its extent in North African public organisations depends heavily on institutional embedding, resource alloca</w:t>
      </w:r>
      <w:r w:rsidR="00C640B4">
        <w:rPr>
          <w:rFonts w:ascii="Times New Roman" w:hAnsi="Times New Roman" w:cs="Times New Roman"/>
          <w:sz w:val="24"/>
          <w:szCs w:val="24"/>
        </w:rPr>
        <w:t xml:space="preserve">tion, measurement practices and the absence of workplace incivility among employees. </w:t>
      </w:r>
      <w:r w:rsidR="00C640B4" w:rsidRPr="00C640B4">
        <w:rPr>
          <w:rFonts w:ascii="Times New Roman" w:hAnsi="Times New Roman" w:cs="Times New Roman"/>
          <w:sz w:val="24"/>
          <w:szCs w:val="24"/>
        </w:rPr>
        <w:t>Workplace incivility has been seen as a burgeoning concern and a universal phenomenon which organisations should initiate its focus towards; it is a behaviour that exists in the organisation that violates the organisational norm which threatens the well-being of the organisation and its employees</w:t>
      </w:r>
      <w:r w:rsidR="00C640B4">
        <w:rPr>
          <w:rFonts w:ascii="Times New Roman" w:hAnsi="Times New Roman" w:cs="Times New Roman"/>
          <w:sz w:val="24"/>
          <w:szCs w:val="24"/>
        </w:rPr>
        <w:t xml:space="preserve"> (</w:t>
      </w:r>
      <w:proofErr w:type="spellStart"/>
      <w:r w:rsidR="00C640B4">
        <w:rPr>
          <w:rFonts w:ascii="Times New Roman" w:hAnsi="Times New Roman" w:cs="Times New Roman"/>
          <w:sz w:val="24"/>
          <w:szCs w:val="24"/>
        </w:rPr>
        <w:t>Nwambuko</w:t>
      </w:r>
      <w:proofErr w:type="spellEnd"/>
      <w:r w:rsidR="00C640B4">
        <w:rPr>
          <w:rFonts w:ascii="Times New Roman" w:hAnsi="Times New Roman" w:cs="Times New Roman"/>
          <w:sz w:val="24"/>
          <w:szCs w:val="24"/>
        </w:rPr>
        <w:t xml:space="preserve"> </w:t>
      </w:r>
      <w:r w:rsidR="00C640B4" w:rsidRPr="00C640B4">
        <w:rPr>
          <w:rFonts w:ascii="Times New Roman" w:hAnsi="Times New Roman" w:cs="Times New Roman"/>
          <w:i/>
          <w:sz w:val="24"/>
          <w:szCs w:val="24"/>
        </w:rPr>
        <w:t>et al</w:t>
      </w:r>
      <w:r w:rsidR="00C640B4">
        <w:rPr>
          <w:rFonts w:ascii="Times New Roman" w:hAnsi="Times New Roman" w:cs="Times New Roman"/>
          <w:sz w:val="24"/>
          <w:szCs w:val="24"/>
        </w:rPr>
        <w:t xml:space="preserve">, 2025). </w:t>
      </w:r>
    </w:p>
    <w:p w14:paraId="7F59C111" w14:textId="77777777" w:rsidR="0012420F" w:rsidRPr="0012420F" w:rsidRDefault="0012420F" w:rsidP="0012420F">
      <w:pPr>
        <w:pStyle w:val="NoSpacing"/>
        <w:jc w:val="both"/>
        <w:rPr>
          <w:rFonts w:ascii="Times New Roman" w:hAnsi="Times New Roman" w:cs="Times New Roman"/>
          <w:sz w:val="24"/>
          <w:szCs w:val="24"/>
        </w:rPr>
      </w:pPr>
    </w:p>
    <w:p w14:paraId="3150B1C5" w14:textId="77777777" w:rsidR="00057B18" w:rsidRPr="00966830" w:rsidRDefault="00E87239" w:rsidP="00966830">
      <w:pPr>
        <w:pStyle w:val="NoSpacing"/>
        <w:rPr>
          <w:rFonts w:ascii="Times New Roman" w:hAnsi="Times New Roman" w:cs="Times New Roman"/>
          <w:b/>
          <w:sz w:val="24"/>
          <w:szCs w:val="24"/>
        </w:rPr>
      </w:pPr>
      <w:r>
        <w:rPr>
          <w:rFonts w:ascii="Times New Roman" w:hAnsi="Times New Roman" w:cs="Times New Roman"/>
          <w:b/>
          <w:sz w:val="24"/>
          <w:szCs w:val="24"/>
        </w:rPr>
        <w:t>THEORETICAL FRAMEWORK</w:t>
      </w:r>
    </w:p>
    <w:p w14:paraId="7FC0B17F" w14:textId="77777777" w:rsidR="00E87239" w:rsidRDefault="00E87239" w:rsidP="00E87239">
      <w:pPr>
        <w:pStyle w:val="NoSpacing"/>
        <w:jc w:val="both"/>
        <w:rPr>
          <w:rFonts w:ascii="Times New Roman" w:hAnsi="Times New Roman" w:cs="Times New Roman"/>
          <w:sz w:val="24"/>
          <w:szCs w:val="24"/>
        </w:rPr>
      </w:pPr>
    </w:p>
    <w:p w14:paraId="1E665AA9" w14:textId="77777777" w:rsidR="00057B18" w:rsidRDefault="00966830"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The study adopted t</w:t>
      </w:r>
      <w:r w:rsidR="00057B18" w:rsidRPr="00E87239">
        <w:rPr>
          <w:rFonts w:ascii="Times New Roman" w:hAnsi="Times New Roman" w:cs="Times New Roman"/>
          <w:sz w:val="24"/>
          <w:szCs w:val="24"/>
        </w:rPr>
        <w:t xml:space="preserve">he </w:t>
      </w:r>
      <w:r w:rsidR="00057B18" w:rsidRPr="005350A0">
        <w:rPr>
          <w:rStyle w:val="Strong"/>
          <w:rFonts w:ascii="Times New Roman" w:hAnsi="Times New Roman" w:cs="Times New Roman"/>
          <w:b w:val="0"/>
          <w:sz w:val="24"/>
          <w:szCs w:val="24"/>
        </w:rPr>
        <w:t>Ability–Motivation–Opportunity (AMO) Theory</w:t>
      </w:r>
      <w:r w:rsidR="00057B18" w:rsidRPr="00E87239">
        <w:rPr>
          <w:rFonts w:ascii="Times New Roman" w:hAnsi="Times New Roman" w:cs="Times New Roman"/>
          <w:sz w:val="24"/>
          <w:szCs w:val="24"/>
        </w:rPr>
        <w:t xml:space="preserve"> provides a robust theoretical foundation for examining how Green Human Resource Management (GHRM) practices influence environmental sustainability outcomes in the civil service. The theory, originally developed by Appelbaum, Bailey, Berg and Kalleberg (2000), posits that employee performance — and by extension, organisational effectiveness — is determined by three core factors: employees’ </w:t>
      </w:r>
      <w:r w:rsidR="00057B18" w:rsidRPr="00E87239">
        <w:rPr>
          <w:rStyle w:val="Emphasis"/>
          <w:rFonts w:ascii="Times New Roman" w:eastAsiaTheme="majorEastAsia" w:hAnsi="Times New Roman" w:cs="Times New Roman"/>
          <w:sz w:val="24"/>
          <w:szCs w:val="24"/>
        </w:rPr>
        <w:t>ability</w:t>
      </w:r>
      <w:r w:rsidR="00057B18" w:rsidRPr="00E87239">
        <w:rPr>
          <w:rFonts w:ascii="Times New Roman" w:hAnsi="Times New Roman" w:cs="Times New Roman"/>
          <w:sz w:val="24"/>
          <w:szCs w:val="24"/>
        </w:rPr>
        <w:t xml:space="preserve"> (A), </w:t>
      </w:r>
      <w:r w:rsidR="00057B18" w:rsidRPr="00E87239">
        <w:rPr>
          <w:rStyle w:val="Emphasis"/>
          <w:rFonts w:ascii="Times New Roman" w:eastAsiaTheme="majorEastAsia" w:hAnsi="Times New Roman" w:cs="Times New Roman"/>
          <w:sz w:val="24"/>
          <w:szCs w:val="24"/>
        </w:rPr>
        <w:t>motivation</w:t>
      </w:r>
      <w:r w:rsidR="00057B18" w:rsidRPr="00E87239">
        <w:rPr>
          <w:rFonts w:ascii="Times New Roman" w:hAnsi="Times New Roman" w:cs="Times New Roman"/>
          <w:sz w:val="24"/>
          <w:szCs w:val="24"/>
        </w:rPr>
        <w:t xml:space="preserve"> (M), and </w:t>
      </w:r>
      <w:r w:rsidR="00057B18" w:rsidRPr="00E87239">
        <w:rPr>
          <w:rStyle w:val="Emphasis"/>
          <w:rFonts w:ascii="Times New Roman" w:eastAsiaTheme="majorEastAsia" w:hAnsi="Times New Roman" w:cs="Times New Roman"/>
          <w:sz w:val="24"/>
          <w:szCs w:val="24"/>
        </w:rPr>
        <w:t>opportunity</w:t>
      </w:r>
      <w:r w:rsidR="00057B18" w:rsidRPr="00E87239">
        <w:rPr>
          <w:rFonts w:ascii="Times New Roman" w:hAnsi="Times New Roman" w:cs="Times New Roman"/>
          <w:sz w:val="24"/>
          <w:szCs w:val="24"/>
        </w:rPr>
        <w:t xml:space="preserve"> (O) to engage in desired behaviours. In the context of environmental management, the AMO model suggests that GHRM practices shape employees’ capacity, willingness, and empowerment to contribute to environmental goals (Renwick, Redman &amp; Maguire, 2013; </w:t>
      </w:r>
      <w:proofErr w:type="spellStart"/>
      <w:r w:rsidR="00057B18" w:rsidRPr="00E87239">
        <w:rPr>
          <w:rFonts w:ascii="Times New Roman" w:hAnsi="Times New Roman" w:cs="Times New Roman"/>
          <w:sz w:val="24"/>
          <w:szCs w:val="24"/>
        </w:rPr>
        <w:t>Paillé</w:t>
      </w:r>
      <w:proofErr w:type="spellEnd"/>
      <w:r w:rsidR="00057B18" w:rsidRPr="00E87239">
        <w:rPr>
          <w:rFonts w:ascii="Times New Roman" w:hAnsi="Times New Roman" w:cs="Times New Roman"/>
          <w:sz w:val="24"/>
          <w:szCs w:val="24"/>
        </w:rPr>
        <w:t xml:space="preserve"> </w:t>
      </w:r>
      <w:r w:rsidR="00057B18" w:rsidRPr="00013D5E">
        <w:rPr>
          <w:rFonts w:ascii="Times New Roman" w:hAnsi="Times New Roman" w:cs="Times New Roman"/>
          <w:i/>
          <w:sz w:val="24"/>
          <w:szCs w:val="24"/>
        </w:rPr>
        <w:t>et al</w:t>
      </w:r>
      <w:r w:rsidR="00057B18" w:rsidRPr="00E87239">
        <w:rPr>
          <w:rFonts w:ascii="Times New Roman" w:hAnsi="Times New Roman" w:cs="Times New Roman"/>
          <w:sz w:val="24"/>
          <w:szCs w:val="24"/>
        </w:rPr>
        <w:t>., 2014).</w:t>
      </w:r>
    </w:p>
    <w:p w14:paraId="57B0D33E" w14:textId="77777777" w:rsidR="00E87239" w:rsidRPr="00E87239" w:rsidRDefault="00E87239" w:rsidP="00E87239">
      <w:pPr>
        <w:pStyle w:val="NoSpacing"/>
        <w:jc w:val="both"/>
        <w:rPr>
          <w:rFonts w:ascii="Times New Roman" w:hAnsi="Times New Roman" w:cs="Times New Roman"/>
          <w:sz w:val="24"/>
          <w:szCs w:val="24"/>
        </w:rPr>
      </w:pPr>
    </w:p>
    <w:p w14:paraId="35A4E729" w14:textId="77777777" w:rsidR="00057B18" w:rsidRDefault="00057B18"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From the </w:t>
      </w:r>
      <w:r w:rsidRPr="005350A0">
        <w:rPr>
          <w:rStyle w:val="Strong"/>
          <w:rFonts w:ascii="Times New Roman" w:hAnsi="Times New Roman" w:cs="Times New Roman"/>
          <w:b w:val="0"/>
          <w:i/>
          <w:sz w:val="24"/>
          <w:szCs w:val="24"/>
        </w:rPr>
        <w:t>“ability”</w:t>
      </w:r>
      <w:r w:rsidRPr="00E87239">
        <w:rPr>
          <w:rFonts w:ascii="Times New Roman" w:hAnsi="Times New Roman" w:cs="Times New Roman"/>
          <w:sz w:val="24"/>
          <w:szCs w:val="24"/>
        </w:rPr>
        <w:t xml:space="preserve"> perspective, practices such as </w:t>
      </w:r>
      <w:r w:rsidRPr="00E87239">
        <w:rPr>
          <w:rStyle w:val="Emphasis"/>
          <w:rFonts w:ascii="Times New Roman" w:eastAsiaTheme="majorEastAsia" w:hAnsi="Times New Roman" w:cs="Times New Roman"/>
          <w:sz w:val="24"/>
          <w:szCs w:val="24"/>
        </w:rPr>
        <w:t>green recruitment, selection, and training</w:t>
      </w:r>
      <w:r w:rsidRPr="00E87239">
        <w:rPr>
          <w:rFonts w:ascii="Times New Roman" w:hAnsi="Times New Roman" w:cs="Times New Roman"/>
          <w:sz w:val="24"/>
          <w:szCs w:val="24"/>
        </w:rPr>
        <w:t xml:space="preserve"> ensure that employees possess the knowledge and skills necessary to perform environmentally responsible tasks (Jabbour &amp; Renwick, 2018). The </w:t>
      </w:r>
      <w:r w:rsidRPr="005350A0">
        <w:rPr>
          <w:rStyle w:val="Strong"/>
          <w:rFonts w:ascii="Times New Roman" w:hAnsi="Times New Roman" w:cs="Times New Roman"/>
          <w:b w:val="0"/>
          <w:i/>
          <w:sz w:val="24"/>
          <w:szCs w:val="24"/>
        </w:rPr>
        <w:t>“motivation”</w:t>
      </w:r>
      <w:r w:rsidRPr="00E87239">
        <w:rPr>
          <w:rFonts w:ascii="Times New Roman" w:hAnsi="Times New Roman" w:cs="Times New Roman"/>
          <w:sz w:val="24"/>
          <w:szCs w:val="24"/>
        </w:rPr>
        <w:t xml:space="preserve"> dimension is fostered through </w:t>
      </w:r>
      <w:r w:rsidRPr="00E87239">
        <w:rPr>
          <w:rStyle w:val="Emphasis"/>
          <w:rFonts w:ascii="Times New Roman" w:eastAsiaTheme="majorEastAsia" w:hAnsi="Times New Roman" w:cs="Times New Roman"/>
          <w:sz w:val="24"/>
          <w:szCs w:val="24"/>
        </w:rPr>
        <w:t>green performance appraisal and reward systems</w:t>
      </w:r>
      <w:r w:rsidRPr="00E87239">
        <w:rPr>
          <w:rFonts w:ascii="Times New Roman" w:hAnsi="Times New Roman" w:cs="Times New Roman"/>
          <w:sz w:val="24"/>
          <w:szCs w:val="24"/>
        </w:rPr>
        <w:t xml:space="preserve">, which align individual incentives with organisational sustainability objectives and encourage continuous environmental commitment (Kim </w:t>
      </w:r>
      <w:r w:rsidRPr="00013D5E">
        <w:rPr>
          <w:rFonts w:ascii="Times New Roman" w:hAnsi="Times New Roman" w:cs="Times New Roman"/>
          <w:i/>
          <w:sz w:val="24"/>
          <w:szCs w:val="24"/>
        </w:rPr>
        <w:t>et al.,</w:t>
      </w:r>
      <w:r w:rsidRPr="00E87239">
        <w:rPr>
          <w:rFonts w:ascii="Times New Roman" w:hAnsi="Times New Roman" w:cs="Times New Roman"/>
          <w:sz w:val="24"/>
          <w:szCs w:val="24"/>
        </w:rPr>
        <w:t xml:space="preserve"> 2019). Finally, the </w:t>
      </w:r>
      <w:r w:rsidRPr="005350A0">
        <w:rPr>
          <w:rStyle w:val="Strong"/>
          <w:rFonts w:ascii="Times New Roman" w:hAnsi="Times New Roman" w:cs="Times New Roman"/>
          <w:b w:val="0"/>
          <w:i/>
          <w:sz w:val="24"/>
          <w:szCs w:val="24"/>
        </w:rPr>
        <w:t>“opportunity”</w:t>
      </w:r>
      <w:r w:rsidRPr="00E87239">
        <w:rPr>
          <w:rFonts w:ascii="Times New Roman" w:hAnsi="Times New Roman" w:cs="Times New Roman"/>
          <w:sz w:val="24"/>
          <w:szCs w:val="24"/>
        </w:rPr>
        <w:t xml:space="preserve"> component arises from participatory mechanisms such as </w:t>
      </w:r>
      <w:r w:rsidRPr="00E87239">
        <w:rPr>
          <w:rStyle w:val="Emphasis"/>
          <w:rFonts w:ascii="Times New Roman" w:eastAsiaTheme="majorEastAsia" w:hAnsi="Times New Roman" w:cs="Times New Roman"/>
          <w:sz w:val="24"/>
          <w:szCs w:val="24"/>
        </w:rPr>
        <w:t>employee involvement in green decision-making, environmental innovation teams,</w:t>
      </w:r>
      <w:r w:rsidRPr="00E87239">
        <w:rPr>
          <w:rFonts w:ascii="Times New Roman" w:hAnsi="Times New Roman" w:cs="Times New Roman"/>
          <w:sz w:val="24"/>
          <w:szCs w:val="24"/>
        </w:rPr>
        <w:t xml:space="preserve"> and empowerment policies that enable civil servants to act on their environmental knowledge and values (Renwick </w:t>
      </w:r>
      <w:r w:rsidRPr="00013D5E">
        <w:rPr>
          <w:rFonts w:ascii="Times New Roman" w:hAnsi="Times New Roman" w:cs="Times New Roman"/>
          <w:i/>
          <w:sz w:val="24"/>
          <w:szCs w:val="24"/>
        </w:rPr>
        <w:t>et al</w:t>
      </w:r>
      <w:r w:rsidRPr="00E87239">
        <w:rPr>
          <w:rFonts w:ascii="Times New Roman" w:hAnsi="Times New Roman" w:cs="Times New Roman"/>
          <w:sz w:val="24"/>
          <w:szCs w:val="24"/>
        </w:rPr>
        <w:t>., 2013).</w:t>
      </w:r>
    </w:p>
    <w:p w14:paraId="1244F07B" w14:textId="77777777" w:rsidR="00E87239" w:rsidRPr="00E87239" w:rsidRDefault="00E87239" w:rsidP="00E87239">
      <w:pPr>
        <w:pStyle w:val="NoSpacing"/>
        <w:jc w:val="both"/>
        <w:rPr>
          <w:rFonts w:ascii="Times New Roman" w:hAnsi="Times New Roman" w:cs="Times New Roman"/>
          <w:sz w:val="24"/>
          <w:szCs w:val="24"/>
        </w:rPr>
      </w:pPr>
    </w:p>
    <w:p w14:paraId="79CA5754" w14:textId="77777777" w:rsidR="00E474BE" w:rsidRDefault="00057B18" w:rsidP="009305CF">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Applying the AMO framework to the North African civil service context allows the study to explain variations in environmental sustainability outcomes as a function of how effectively public-sector HR systems enhance employees’ green abilities, motivation, and opportunities. This theoretical lens also aligns with institutional realities in developing administrative systems, where individual behaviour change and organisational capability are both critical for policy effectiveness (Masri, 2016; World Bank, 2024). Thus, the AMO model serves as a comprehensive analytical tool for linking </w:t>
      </w:r>
      <w:r w:rsidRPr="005350A0">
        <w:rPr>
          <w:rStyle w:val="Strong"/>
          <w:rFonts w:ascii="Times New Roman" w:hAnsi="Times New Roman" w:cs="Times New Roman"/>
          <w:b w:val="0"/>
          <w:sz w:val="24"/>
          <w:szCs w:val="24"/>
        </w:rPr>
        <w:t>GHRM practices → pro-environmental employee behaviour → environmental sustainability outcomes</w:t>
      </w:r>
      <w:r w:rsidRPr="00E87239">
        <w:rPr>
          <w:rFonts w:ascii="Times New Roman" w:hAnsi="Times New Roman" w:cs="Times New Roman"/>
          <w:sz w:val="24"/>
          <w:szCs w:val="24"/>
        </w:rPr>
        <w:t xml:space="preserve"> within public organisations.</w:t>
      </w:r>
    </w:p>
    <w:p w14:paraId="628517A4" w14:textId="77777777" w:rsidR="009305CF" w:rsidRPr="009305CF" w:rsidRDefault="009305CF" w:rsidP="009305CF">
      <w:pPr>
        <w:pStyle w:val="NoSpacing"/>
        <w:jc w:val="both"/>
        <w:rPr>
          <w:rFonts w:ascii="Times New Roman" w:hAnsi="Times New Roman" w:cs="Times New Roman"/>
          <w:sz w:val="24"/>
          <w:szCs w:val="24"/>
        </w:rPr>
      </w:pPr>
    </w:p>
    <w:p w14:paraId="26E8DE99" w14:textId="77777777" w:rsidR="00E474BE" w:rsidRPr="00E474BE" w:rsidRDefault="00E474BE" w:rsidP="00E474BE">
      <w:pPr>
        <w:pStyle w:val="NoSpacing"/>
        <w:jc w:val="center"/>
        <w:rPr>
          <w:rFonts w:ascii="Times New Roman" w:hAnsi="Times New Roman" w:cs="Times New Roman"/>
          <w:b/>
          <w:sz w:val="24"/>
          <w:szCs w:val="24"/>
        </w:rPr>
      </w:pPr>
      <w:r w:rsidRPr="00E474BE">
        <w:rPr>
          <w:rFonts w:ascii="Times New Roman" w:hAnsi="Times New Roman" w:cs="Times New Roman"/>
          <w:b/>
          <w:sz w:val="24"/>
          <w:szCs w:val="24"/>
        </w:rPr>
        <w:t>FIGURE 1: Green Human Resource Management Practices and Environmental</w:t>
      </w:r>
    </w:p>
    <w:p w14:paraId="4EB05C43" w14:textId="77777777" w:rsidR="00E474BE" w:rsidRPr="00E474BE" w:rsidRDefault="00E474BE" w:rsidP="00E474BE">
      <w:pPr>
        <w:pStyle w:val="NoSpacing"/>
        <w:jc w:val="center"/>
        <w:rPr>
          <w:rFonts w:ascii="Times New Roman" w:hAnsi="Times New Roman" w:cs="Times New Roman"/>
          <w:b/>
          <w:sz w:val="24"/>
          <w:szCs w:val="24"/>
        </w:rPr>
      </w:pPr>
      <w:r w:rsidRPr="00E474BE">
        <w:rPr>
          <w:rFonts w:ascii="Times New Roman" w:hAnsi="Times New Roman" w:cs="Times New Roman"/>
          <w:b/>
          <w:sz w:val="24"/>
          <w:szCs w:val="24"/>
        </w:rPr>
        <w:t>Sustainability in the North African Public Sector</w:t>
      </w:r>
    </w:p>
    <w:p w14:paraId="5ED05785" w14:textId="77777777" w:rsidR="008278B4" w:rsidRDefault="00000000" w:rsidP="0097510A">
      <w:pPr>
        <w:pStyle w:val="Heading2"/>
        <w:rPr>
          <w:sz w:val="24"/>
          <w:szCs w:val="24"/>
        </w:rPr>
      </w:pPr>
      <w:r>
        <w:rPr>
          <w:noProof/>
          <w:sz w:val="24"/>
          <w:szCs w:val="24"/>
          <w:lang w:val="en-US" w:eastAsia="en-US"/>
        </w:rPr>
        <w:pict w14:anchorId="5F7CD08F">
          <v:rect id="_x0000_s2050" style="position:absolute;margin-left:6pt;margin-top:21.35pt;width:97.5pt;height:34.5pt;z-index:251658240">
            <v:textbox style="mso-next-textbox:#_x0000_s2050">
              <w:txbxContent>
                <w:p w14:paraId="7889161B"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Recruitment</w:t>
                  </w:r>
                </w:p>
              </w:txbxContent>
            </v:textbox>
          </v:rect>
        </w:pict>
      </w:r>
    </w:p>
    <w:p w14:paraId="79BA79B5" w14:textId="77777777" w:rsidR="008278B4" w:rsidRDefault="00000000" w:rsidP="0097510A">
      <w:pPr>
        <w:pStyle w:val="Heading2"/>
        <w:rPr>
          <w:sz w:val="24"/>
          <w:szCs w:val="24"/>
        </w:rPr>
      </w:pPr>
      <w:r>
        <w:rPr>
          <w:noProof/>
          <w:sz w:val="24"/>
          <w:szCs w:val="24"/>
          <w:lang w:val="en-US" w:eastAsia="en-US"/>
        </w:rPr>
        <w:pict w14:anchorId="5259D8D6">
          <v:shapetype id="_x0000_t32" coordsize="21600,21600" o:spt="32" o:oned="t" path="m,l21600,21600e" filled="f">
            <v:path arrowok="t" fillok="f" o:connecttype="none"/>
            <o:lock v:ext="edit" shapetype="t"/>
          </v:shapetype>
          <v:shape id="_x0000_s2078" type="#_x0000_t32" style="position:absolute;margin-left:354pt;margin-top:17.55pt;width:0;height:101.25pt;z-index:251680768" o:connectortype="straight"/>
        </w:pict>
      </w:r>
      <w:r>
        <w:rPr>
          <w:noProof/>
          <w:sz w:val="24"/>
          <w:szCs w:val="24"/>
          <w:lang w:val="en-US" w:eastAsia="en-US"/>
        </w:rPr>
        <w:pict w14:anchorId="5BE0703E">
          <v:shape id="_x0000_s2079" type="#_x0000_t32" style="position:absolute;margin-left:346.5pt;margin-top:17.6pt;width:7.5pt;height:0;flip:x;z-index:251681792" o:connectortype="straight"/>
        </w:pict>
      </w:r>
      <w:r>
        <w:rPr>
          <w:noProof/>
          <w:sz w:val="24"/>
          <w:szCs w:val="24"/>
          <w:lang w:val="en-US" w:eastAsia="en-US"/>
        </w:rPr>
        <w:pict w14:anchorId="4C3EE6F2">
          <v:shape id="_x0000_s2076" type="#_x0000_t32" style="position:absolute;margin-left:108pt;margin-top:2.55pt;width:63.75pt;height:0;z-index:251678720" o:connectortype="straight"/>
        </w:pict>
      </w:r>
      <w:r>
        <w:rPr>
          <w:noProof/>
          <w:sz w:val="24"/>
          <w:szCs w:val="24"/>
          <w:lang w:val="en-US" w:eastAsia="en-US"/>
        </w:rPr>
        <w:pict w14:anchorId="242EA563">
          <v:shape id="_x0000_s2074" type="#_x0000_t32" style="position:absolute;margin-left:236.25pt;margin-top:17.55pt;width:12.75pt;height:.05pt;z-index:251676672" o:connectortype="straight">
            <v:stroke endarrow="block"/>
          </v:shape>
        </w:pict>
      </w:r>
      <w:r>
        <w:rPr>
          <w:noProof/>
          <w:sz w:val="24"/>
          <w:szCs w:val="24"/>
          <w:lang w:val="en-US" w:eastAsia="en-US"/>
        </w:rPr>
        <w:pict w14:anchorId="2C8B87C8">
          <v:shape id="_x0000_s2072" type="#_x0000_t32" style="position:absolute;margin-left:236.25pt;margin-top:17.55pt;width:.75pt;height:96.75pt;z-index:251675648" o:connectortype="straight"/>
        </w:pict>
      </w:r>
      <w:r>
        <w:rPr>
          <w:noProof/>
          <w:sz w:val="24"/>
          <w:szCs w:val="24"/>
          <w:lang w:val="en-US" w:eastAsia="en-US"/>
        </w:rPr>
        <w:pict w14:anchorId="7FE4BBB3">
          <v:shape id="_x0000_s2070" type="#_x0000_t32" style="position:absolute;margin-left:171.75pt;margin-top:2.55pt;width:0;height:27pt;z-index:251673600" o:connectortype="straight">
            <v:stroke endarrow="block"/>
          </v:shape>
        </w:pict>
      </w:r>
      <w:r>
        <w:rPr>
          <w:noProof/>
          <w:sz w:val="24"/>
          <w:szCs w:val="24"/>
          <w:lang w:val="en-US" w:eastAsia="en-US"/>
        </w:rPr>
        <w:pict w14:anchorId="0501BD23">
          <v:rect id="_x0000_s2055" style="position:absolute;margin-left:249pt;margin-top:2.55pt;width:97.5pt;height:34.5pt;z-index:251663360">
            <v:textbox style="mso-next-textbox:#_x0000_s2055">
              <w:txbxContent>
                <w:p w14:paraId="3809F348"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Ability</w:t>
                  </w:r>
                </w:p>
              </w:txbxContent>
            </v:textbox>
          </v:rect>
        </w:pict>
      </w:r>
    </w:p>
    <w:p w14:paraId="01DC0048" w14:textId="77777777" w:rsidR="008278B4" w:rsidRDefault="00000000" w:rsidP="0097510A">
      <w:pPr>
        <w:pStyle w:val="Heading2"/>
        <w:rPr>
          <w:sz w:val="24"/>
          <w:szCs w:val="24"/>
        </w:rPr>
      </w:pPr>
      <w:r>
        <w:rPr>
          <w:noProof/>
          <w:sz w:val="24"/>
          <w:szCs w:val="24"/>
          <w:lang w:val="en-US" w:eastAsia="en-US"/>
        </w:rPr>
        <w:pict w14:anchorId="2EC1ABFA">
          <v:rect id="_x0000_s2054" style="position:absolute;margin-left:131.25pt;margin-top:9.25pt;width:95.25pt;height:69pt;z-index:251662336">
            <v:textbox>
              <w:txbxContent>
                <w:p w14:paraId="167A951E"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Human Resource Management (GHRM)</w:t>
                  </w:r>
                </w:p>
              </w:txbxContent>
            </v:textbox>
          </v:rect>
        </w:pict>
      </w:r>
      <w:r>
        <w:rPr>
          <w:noProof/>
          <w:sz w:val="24"/>
          <w:szCs w:val="24"/>
          <w:lang w:val="en-US" w:eastAsia="en-US"/>
        </w:rPr>
        <w:pict w14:anchorId="56EF5B81">
          <v:shape id="_x0000_s2065" type="#_x0000_t32" style="position:absolute;margin-left:108pt;margin-top:19.75pt;width:18.75pt;height:0;z-index:251669504" o:connectortype="straight">
            <v:stroke endarrow="block"/>
          </v:shape>
        </w:pict>
      </w:r>
      <w:r>
        <w:rPr>
          <w:noProof/>
          <w:sz w:val="24"/>
          <w:szCs w:val="24"/>
          <w:lang w:val="en-US" w:eastAsia="en-US"/>
        </w:rPr>
        <w:pict w14:anchorId="37963ADB">
          <v:rect id="_x0000_s2058" style="position:absolute;margin-left:363pt;margin-top:9.25pt;width:97.5pt;height:57pt;z-index:251666432">
            <v:textbox>
              <w:txbxContent>
                <w:p w14:paraId="522B3756"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Environmental Sustainability Outcomes</w:t>
                  </w:r>
                </w:p>
              </w:txbxContent>
            </v:textbox>
          </v:rect>
        </w:pict>
      </w:r>
      <w:r>
        <w:rPr>
          <w:noProof/>
          <w:sz w:val="24"/>
          <w:szCs w:val="24"/>
          <w:lang w:val="en-US" w:eastAsia="en-US"/>
        </w:rPr>
        <w:pict w14:anchorId="195CB8FB">
          <v:rect id="_x0000_s2056" style="position:absolute;margin-left:249pt;margin-top:19.75pt;width:97.5pt;height:34.5pt;z-index:251664384">
            <v:textbox>
              <w:txbxContent>
                <w:p w14:paraId="398254FE"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Motivation</w:t>
                  </w:r>
                </w:p>
              </w:txbxContent>
            </v:textbox>
          </v:rect>
        </w:pict>
      </w:r>
      <w:r>
        <w:rPr>
          <w:noProof/>
          <w:sz w:val="24"/>
          <w:szCs w:val="24"/>
          <w:lang w:val="en-US" w:eastAsia="en-US"/>
        </w:rPr>
        <w:pict w14:anchorId="15312B5C">
          <v:rect id="_x0000_s2051" style="position:absolute;margin-left:6pt;margin-top:1.75pt;width:97.5pt;height:34.5pt;z-index:251659264">
            <v:textbox>
              <w:txbxContent>
                <w:p w14:paraId="15007317"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Training</w:t>
                  </w:r>
                </w:p>
              </w:txbxContent>
            </v:textbox>
          </v:rect>
        </w:pict>
      </w:r>
    </w:p>
    <w:p w14:paraId="70037071" w14:textId="77777777" w:rsidR="008278B4" w:rsidRDefault="00000000" w:rsidP="0097510A">
      <w:pPr>
        <w:pStyle w:val="Heading2"/>
        <w:rPr>
          <w:sz w:val="24"/>
          <w:szCs w:val="24"/>
        </w:rPr>
      </w:pPr>
      <w:r>
        <w:rPr>
          <w:noProof/>
          <w:sz w:val="24"/>
          <w:szCs w:val="24"/>
          <w:lang w:val="en-US" w:eastAsia="en-US"/>
        </w:rPr>
        <w:pict w14:anchorId="1A59286A">
          <v:shape id="_x0000_s2084" type="#_x0000_t32" style="position:absolute;margin-left:346.5pt;margin-top:8.45pt;width:16.5pt;height:0;z-index:251685888" o:connectortype="straight">
            <v:stroke endarrow="block"/>
          </v:shape>
        </w:pict>
      </w:r>
      <w:r>
        <w:rPr>
          <w:noProof/>
          <w:sz w:val="24"/>
          <w:szCs w:val="24"/>
          <w:lang w:val="en-US" w:eastAsia="en-US"/>
        </w:rPr>
        <w:pict w14:anchorId="697022A0">
          <v:shape id="_x0000_s2077" type="#_x0000_t32" style="position:absolute;margin-left:226.5pt;margin-top:8.45pt;width:22.5pt;height:0;z-index:251679744" o:connectortype="straight">
            <v:stroke endarrow="block"/>
          </v:shape>
        </w:pict>
      </w:r>
      <w:r>
        <w:rPr>
          <w:noProof/>
          <w:sz w:val="24"/>
          <w:szCs w:val="24"/>
          <w:lang w:val="en-US" w:eastAsia="en-US"/>
        </w:rPr>
        <w:pict w14:anchorId="0DED5634">
          <v:rect id="_x0000_s2052" style="position:absolute;margin-left:6pt;margin-top:18.2pt;width:97.5pt;height:40.5pt;z-index:251660288">
            <v:textbox>
              <w:txbxContent>
                <w:p w14:paraId="78A64C8F"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Performance Appraisal</w:t>
                  </w:r>
                </w:p>
              </w:txbxContent>
            </v:textbox>
          </v:rect>
        </w:pict>
      </w:r>
    </w:p>
    <w:p w14:paraId="4EFD9849" w14:textId="77777777" w:rsidR="008278B4" w:rsidRDefault="00000000" w:rsidP="0097510A">
      <w:pPr>
        <w:pStyle w:val="Heading2"/>
        <w:rPr>
          <w:sz w:val="24"/>
          <w:szCs w:val="24"/>
        </w:rPr>
      </w:pPr>
      <w:r>
        <w:rPr>
          <w:noProof/>
          <w:sz w:val="24"/>
          <w:szCs w:val="24"/>
          <w:lang w:val="en-US" w:eastAsia="en-US"/>
        </w:rPr>
        <w:pict w14:anchorId="6510C8F4">
          <v:shape id="_x0000_s2071" type="#_x0000_t32" style="position:absolute;margin-left:171.75pt;margin-top:22.65pt;width:0;height:36.75pt;flip:y;z-index:251674624" o:connectortype="straight">
            <v:stroke endarrow="block"/>
          </v:shape>
        </w:pict>
      </w:r>
      <w:r>
        <w:rPr>
          <w:noProof/>
          <w:sz w:val="24"/>
          <w:szCs w:val="24"/>
          <w:lang w:val="en-US" w:eastAsia="en-US"/>
        </w:rPr>
        <w:pict w14:anchorId="4FFA1E18">
          <v:shape id="_x0000_s2066" type="#_x0000_t32" style="position:absolute;margin-left:108pt;margin-top:4.65pt;width:18.75pt;height:1.5pt;flip:y;z-index:251670528" o:connectortype="straight">
            <v:stroke endarrow="block"/>
          </v:shape>
        </w:pict>
      </w:r>
      <w:r>
        <w:rPr>
          <w:noProof/>
          <w:sz w:val="24"/>
          <w:szCs w:val="24"/>
          <w:lang w:val="en-US" w:eastAsia="en-US"/>
        </w:rPr>
        <w:pict w14:anchorId="4961564F">
          <v:rect id="_x0000_s2057" style="position:absolute;margin-left:249pt;margin-top:10.65pt;width:97.5pt;height:34.5pt;z-index:251665408">
            <v:textbox>
              <w:txbxContent>
                <w:p w14:paraId="47CA0996"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Opportunity</w:t>
                  </w:r>
                </w:p>
              </w:txbxContent>
            </v:textbox>
          </v:rect>
        </w:pict>
      </w:r>
    </w:p>
    <w:p w14:paraId="71C81563" w14:textId="77777777" w:rsidR="008278B4" w:rsidRDefault="00000000" w:rsidP="0097510A">
      <w:pPr>
        <w:pStyle w:val="Heading2"/>
        <w:rPr>
          <w:sz w:val="24"/>
          <w:szCs w:val="24"/>
        </w:rPr>
      </w:pPr>
      <w:r>
        <w:rPr>
          <w:noProof/>
          <w:sz w:val="24"/>
          <w:szCs w:val="24"/>
          <w:lang w:val="en-US" w:eastAsia="en-US"/>
        </w:rPr>
        <w:pict w14:anchorId="3638FB80">
          <v:shape id="_x0000_s2083" type="#_x0000_t32" style="position:absolute;margin-left:346.5pt;margin-top:7.6pt;width:7.5pt;height:0;flip:x;z-index:251684864" o:connectortype="straight"/>
        </w:pict>
      </w:r>
      <w:r>
        <w:rPr>
          <w:noProof/>
          <w:sz w:val="24"/>
          <w:szCs w:val="24"/>
          <w:lang w:val="en-US" w:eastAsia="en-US"/>
        </w:rPr>
        <w:pict w14:anchorId="43153F6E">
          <v:shape id="_x0000_s2082" type="#_x0000_t32" style="position:absolute;margin-left:353.25pt;margin-top:3.1pt;width:0;height:0;z-index:251683840" o:connectortype="straight"/>
        </w:pict>
      </w:r>
      <w:r>
        <w:rPr>
          <w:noProof/>
          <w:sz w:val="24"/>
          <w:szCs w:val="24"/>
          <w:lang w:val="en-US" w:eastAsia="en-US"/>
        </w:rPr>
        <w:pict w14:anchorId="212F4850">
          <v:shape id="_x0000_s2081" type="#_x0000_t32" style="position:absolute;margin-left:353.25pt;margin-top:3.1pt;width:0;height:0;z-index:251682816" o:connectortype="straight"/>
        </w:pict>
      </w:r>
      <w:r>
        <w:rPr>
          <w:noProof/>
          <w:sz w:val="24"/>
          <w:szCs w:val="24"/>
          <w:lang w:val="en-US" w:eastAsia="en-US"/>
        </w:rPr>
        <w:pict w14:anchorId="2DF5E760">
          <v:shape id="_x0000_s2075" type="#_x0000_t32" style="position:absolute;margin-left:237pt;margin-top:3.1pt;width:12pt;height:0;z-index:251677696" o:connectortype="straight">
            <v:stroke endarrow="block"/>
          </v:shape>
        </w:pict>
      </w:r>
      <w:r>
        <w:rPr>
          <w:noProof/>
          <w:sz w:val="24"/>
          <w:szCs w:val="24"/>
          <w:lang w:val="en-US" w:eastAsia="en-US"/>
        </w:rPr>
        <w:pict w14:anchorId="4DBA1E33">
          <v:rect id="_x0000_s2053" style="position:absolute;margin-left:6pt;margin-top:12.1pt;width:97.5pt;height:35.25pt;z-index:251661312">
            <v:textbox>
              <w:txbxContent>
                <w:p w14:paraId="7408F3E6"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Rewards</w:t>
                  </w:r>
                </w:p>
              </w:txbxContent>
            </v:textbox>
          </v:rect>
        </w:pict>
      </w:r>
    </w:p>
    <w:p w14:paraId="23E9743F" w14:textId="77777777" w:rsidR="008278B4" w:rsidRDefault="00000000" w:rsidP="0097510A">
      <w:pPr>
        <w:pStyle w:val="Heading2"/>
        <w:rPr>
          <w:sz w:val="24"/>
          <w:szCs w:val="24"/>
        </w:rPr>
      </w:pPr>
      <w:r>
        <w:rPr>
          <w:noProof/>
          <w:sz w:val="24"/>
          <w:szCs w:val="24"/>
          <w:lang w:val="en-US" w:eastAsia="en-US"/>
        </w:rPr>
        <w:pict w14:anchorId="78255993">
          <v:shape id="_x0000_s2069" type="#_x0000_t32" style="position:absolute;margin-left:108pt;margin-top:5.3pt;width:63.75pt;height:0;z-index:251672576" o:connectortype="straight"/>
        </w:pict>
      </w:r>
    </w:p>
    <w:p w14:paraId="4E1D6356" w14:textId="77777777" w:rsidR="009305CF" w:rsidRDefault="007C72E0" w:rsidP="007C72E0">
      <w:pPr>
        <w:pStyle w:val="Heading2"/>
        <w:jc w:val="center"/>
        <w:rPr>
          <w:sz w:val="24"/>
          <w:szCs w:val="24"/>
        </w:rPr>
      </w:pPr>
      <w:r>
        <w:rPr>
          <w:sz w:val="24"/>
          <w:szCs w:val="24"/>
        </w:rPr>
        <w:t xml:space="preserve">Source: </w:t>
      </w:r>
      <w:proofErr w:type="spellStart"/>
      <w:r w:rsidR="00F95BA7">
        <w:rPr>
          <w:b w:val="0"/>
          <w:i/>
          <w:sz w:val="24"/>
          <w:szCs w:val="24"/>
        </w:rPr>
        <w:t>Nwambuko</w:t>
      </w:r>
      <w:proofErr w:type="spellEnd"/>
      <w:r w:rsidR="00F95BA7">
        <w:rPr>
          <w:b w:val="0"/>
          <w:i/>
          <w:sz w:val="24"/>
          <w:szCs w:val="24"/>
        </w:rPr>
        <w:t xml:space="preserve">, </w:t>
      </w:r>
      <w:r w:rsidR="00F95BA7" w:rsidRPr="00915BDE">
        <w:rPr>
          <w:b w:val="0"/>
          <w:i/>
          <w:color w:val="FF0000"/>
          <w:sz w:val="24"/>
          <w:szCs w:val="24"/>
        </w:rPr>
        <w:t>Anekw</w:t>
      </w:r>
      <w:r w:rsidRPr="00915BDE">
        <w:rPr>
          <w:b w:val="0"/>
          <w:i/>
          <w:color w:val="FF0000"/>
          <w:sz w:val="24"/>
          <w:szCs w:val="24"/>
        </w:rPr>
        <w:t>e</w:t>
      </w:r>
      <w:r w:rsidRPr="007C72E0">
        <w:rPr>
          <w:b w:val="0"/>
          <w:i/>
          <w:sz w:val="24"/>
          <w:szCs w:val="24"/>
        </w:rPr>
        <w:t xml:space="preserve"> &amp; Amanze</w:t>
      </w:r>
    </w:p>
    <w:p w14:paraId="5878BAE6" w14:textId="77777777" w:rsidR="0097510A" w:rsidRPr="00E87239" w:rsidRDefault="00E87239" w:rsidP="0097510A">
      <w:pPr>
        <w:pStyle w:val="Heading2"/>
        <w:rPr>
          <w:sz w:val="24"/>
          <w:szCs w:val="24"/>
        </w:rPr>
      </w:pPr>
      <w:r w:rsidRPr="00E87239">
        <w:rPr>
          <w:sz w:val="24"/>
          <w:szCs w:val="24"/>
        </w:rPr>
        <w:t>RESEARCH METHODOLOGY</w:t>
      </w:r>
    </w:p>
    <w:p w14:paraId="2AA6EF89" w14:textId="77777777" w:rsidR="0097510A" w:rsidRDefault="0097510A"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This study adopts an </w:t>
      </w:r>
      <w:r w:rsidRPr="00C247E9">
        <w:rPr>
          <w:rStyle w:val="Strong"/>
          <w:rFonts w:ascii="Times New Roman" w:eastAsiaTheme="majorEastAsia" w:hAnsi="Times New Roman" w:cs="Times New Roman"/>
          <w:b w:val="0"/>
          <w:sz w:val="24"/>
          <w:szCs w:val="24"/>
        </w:rPr>
        <w:t>explanatory cross-sectional mixed-methods design</w:t>
      </w:r>
      <w:r w:rsidRPr="00E87239">
        <w:rPr>
          <w:rFonts w:ascii="Times New Roman" w:hAnsi="Times New Roman" w:cs="Times New Roman"/>
          <w:sz w:val="24"/>
          <w:szCs w:val="24"/>
        </w:rPr>
        <w:t xml:space="preserve"> combining a structured survey (quantitative) and semi-structured interviews (qualitative) to measure GHRM practices, employee pro-environmental behaviour and environmental sustainability outcomes across public sector organisations in North Africa (Creswell, 2014). The mixed methods approach allows triangulation of findings and the combination of perceptual and objective performance measures.</w:t>
      </w:r>
      <w:r w:rsidR="00E87239" w:rsidRPr="00E87239">
        <w:rPr>
          <w:rFonts w:ascii="Times New Roman" w:hAnsi="Times New Roman" w:cs="Times New Roman"/>
          <w:sz w:val="24"/>
          <w:szCs w:val="24"/>
        </w:rPr>
        <w:t xml:space="preserve"> </w:t>
      </w:r>
      <w:r w:rsidRPr="00E87239">
        <w:rPr>
          <w:rFonts w:ascii="Times New Roman" w:hAnsi="Times New Roman" w:cs="Times New Roman"/>
          <w:sz w:val="24"/>
          <w:szCs w:val="24"/>
        </w:rPr>
        <w:t xml:space="preserve">The population for this study is defined as </w:t>
      </w:r>
      <w:r w:rsidRPr="0003231D">
        <w:rPr>
          <w:rStyle w:val="Strong"/>
          <w:rFonts w:ascii="Times New Roman" w:eastAsiaTheme="majorEastAsia" w:hAnsi="Times New Roman" w:cs="Times New Roman"/>
          <w:b w:val="0"/>
          <w:sz w:val="24"/>
          <w:szCs w:val="24"/>
        </w:rPr>
        <w:t>all civil-service employees (permanent and contractual) working in selected national ministries, municipal agencies and state agencies across five North African countries: Egypt, Morocco, Algeria, Tunisia and Libya</w:t>
      </w:r>
      <w:r w:rsidRPr="0003231D">
        <w:rPr>
          <w:rFonts w:ascii="Times New Roman" w:hAnsi="Times New Roman" w:cs="Times New Roman"/>
          <w:b/>
          <w:sz w:val="24"/>
          <w:szCs w:val="24"/>
        </w:rPr>
        <w:t>.</w:t>
      </w:r>
      <w:r w:rsidRPr="00E87239">
        <w:rPr>
          <w:rFonts w:ascii="Times New Roman" w:hAnsi="Times New Roman" w:cs="Times New Roman"/>
          <w:sz w:val="24"/>
          <w:szCs w:val="24"/>
        </w:rPr>
        <w:t xml:space="preserve"> For operational planning and sample-size demonstration below, the study </w:t>
      </w:r>
      <w:r w:rsidRPr="00E87239">
        <w:rPr>
          <w:rFonts w:ascii="Times New Roman" w:hAnsi="Times New Roman" w:cs="Times New Roman"/>
          <w:sz w:val="24"/>
          <w:szCs w:val="24"/>
        </w:rPr>
        <w:lastRenderedPageBreak/>
        <w:t xml:space="preserve">assumes a </w:t>
      </w:r>
      <w:r w:rsidRPr="0003231D">
        <w:rPr>
          <w:rStyle w:val="Strong"/>
          <w:rFonts w:ascii="Times New Roman" w:eastAsiaTheme="majorEastAsia" w:hAnsi="Times New Roman" w:cs="Times New Roman"/>
          <w:b w:val="0"/>
          <w:sz w:val="24"/>
          <w:szCs w:val="24"/>
        </w:rPr>
        <w:t>conservative combined target p</w:t>
      </w:r>
      <w:r w:rsidR="005A38A7">
        <w:rPr>
          <w:rStyle w:val="Strong"/>
          <w:rFonts w:ascii="Times New Roman" w:eastAsiaTheme="majorEastAsia" w:hAnsi="Times New Roman" w:cs="Times New Roman"/>
          <w:b w:val="0"/>
          <w:sz w:val="24"/>
          <w:szCs w:val="24"/>
        </w:rPr>
        <w:t xml:space="preserve">opulation of </w:t>
      </w:r>
      <w:r w:rsidR="005A38A7" w:rsidRPr="005A38A7">
        <w:rPr>
          <w:rFonts w:ascii="Times New Roman" w:hAnsi="Times New Roman" w:cs="Times New Roman"/>
          <w:sz w:val="24"/>
          <w:szCs w:val="24"/>
        </w:rPr>
        <w:t>8,073,162</w:t>
      </w:r>
      <w:r w:rsidRPr="0003231D">
        <w:rPr>
          <w:rStyle w:val="Strong"/>
          <w:rFonts w:ascii="Times New Roman" w:eastAsiaTheme="majorEastAsia" w:hAnsi="Times New Roman" w:cs="Times New Roman"/>
          <w:b w:val="0"/>
          <w:sz w:val="24"/>
          <w:szCs w:val="24"/>
        </w:rPr>
        <w:t xml:space="preserve"> public-sector employees</w:t>
      </w:r>
      <w:r w:rsidRPr="00E87239">
        <w:rPr>
          <w:rFonts w:ascii="Times New Roman" w:hAnsi="Times New Roman" w:cs="Times New Roman"/>
          <w:sz w:val="24"/>
          <w:szCs w:val="24"/>
        </w:rPr>
        <w:t xml:space="preserve"> within the selected agencies (this figure is illustrative for sampling computation — actual population counts should be obtained from official civil-service records for final sampling frames). Using an explicit operational population ensures clarity about the sampling universe and facilitates stratified selection.</w:t>
      </w:r>
    </w:p>
    <w:p w14:paraId="61401669" w14:textId="77777777" w:rsidR="00774E9A" w:rsidRDefault="0003231D" w:rsidP="0003231D">
      <w:pPr>
        <w:pStyle w:val="NormalWeb"/>
        <w:jc w:val="both"/>
      </w:pPr>
      <w:r>
        <w:t>Using Cochran’s formula for an unknown proportion (95% confidence, e = 0.05, p = 0.</w:t>
      </w:r>
      <w:r w:rsidR="005A38A7">
        <w:t>5) yields a baseline sample n₀</w:t>
      </w:r>
      <w:r w:rsidR="00BB6FBE">
        <w:t>.</w:t>
      </w:r>
      <w:r w:rsidR="005A38A7">
        <w:t xml:space="preserve"> =</w:t>
      </w:r>
      <w:r>
        <w:t xml:space="preserve"> </w:t>
      </w:r>
      <w:r w:rsidRPr="005A38A7">
        <w:rPr>
          <w:rStyle w:val="Strong"/>
          <w:rFonts w:eastAsiaTheme="majorEastAsia"/>
          <w:b w:val="0"/>
        </w:rPr>
        <w:t>384</w:t>
      </w:r>
      <w:r w:rsidRPr="005A38A7">
        <w:rPr>
          <w:b/>
        </w:rPr>
        <w:t>.</w:t>
      </w:r>
      <w:r>
        <w:t xml:space="preserve"> Given the multi-country design, planned subgroup analyses (country and managerial-level comparisons), and structural-equation modelling (SEM) requirements, the study adopts a conservative and practicable target of </w:t>
      </w:r>
      <w:r w:rsidRPr="005A38A7">
        <w:rPr>
          <w:rStyle w:val="Strong"/>
          <w:rFonts w:eastAsiaTheme="majorEastAsia"/>
          <w:b w:val="0"/>
        </w:rPr>
        <w:t>600</w:t>
      </w:r>
      <w:r>
        <w:rPr>
          <w:rStyle w:val="Strong"/>
          <w:rFonts w:eastAsiaTheme="majorEastAsia"/>
        </w:rPr>
        <w:t xml:space="preserve"> </w:t>
      </w:r>
      <w:r w:rsidRPr="00C247E9">
        <w:rPr>
          <w:rStyle w:val="Strong"/>
          <w:rFonts w:eastAsiaTheme="majorEastAsia"/>
          <w:b w:val="0"/>
        </w:rPr>
        <w:t>usable responses</w:t>
      </w:r>
      <w:r>
        <w:t xml:space="preserve">. This target (a) improves power for multi-group tests, (b) cushions against non-response/incomplete cases, and (c) provides more robust estimates of latent-variable models. The country-level operational public-sector employee </w:t>
      </w:r>
      <w:r w:rsidR="005A38A7">
        <w:t>count used for proportional allocation is</w:t>
      </w:r>
      <w:r>
        <w:t xml:space="preserve"> showcased in the </w:t>
      </w:r>
      <w:r w:rsidR="005A38A7">
        <w:t>t</w:t>
      </w:r>
      <w:r>
        <w:t>able below:</w:t>
      </w:r>
    </w:p>
    <w:p w14:paraId="72A8AA76" w14:textId="77777777" w:rsidR="00A947AD" w:rsidRPr="00013D5E" w:rsidRDefault="00A947AD" w:rsidP="00013D5E">
      <w:pPr>
        <w:pStyle w:val="NoSpacing"/>
        <w:jc w:val="both"/>
        <w:rPr>
          <w:rFonts w:ascii="Times New Roman" w:hAnsi="Times New Roman" w:cs="Times New Roman"/>
          <w:b/>
          <w:sz w:val="24"/>
          <w:szCs w:val="24"/>
        </w:rPr>
      </w:pPr>
      <w:r w:rsidRPr="00013D5E">
        <w:rPr>
          <w:rFonts w:ascii="Times New Roman" w:hAnsi="Times New Roman" w:cs="Times New Roman"/>
          <w:b/>
          <w:sz w:val="24"/>
          <w:szCs w:val="24"/>
        </w:rPr>
        <w:t>Table 1-</w:t>
      </w:r>
      <w:r w:rsidR="006D51CF" w:rsidRPr="00013D5E">
        <w:rPr>
          <w:rFonts w:ascii="Times New Roman" w:hAnsi="Times New Roman" w:cs="Times New Roman"/>
          <w:b/>
          <w:sz w:val="24"/>
          <w:szCs w:val="24"/>
        </w:rPr>
        <w:t xml:space="preserve"> The country-level operational public-sector employee count used for proportional allocation </w:t>
      </w:r>
    </w:p>
    <w:tbl>
      <w:tblPr>
        <w:tblStyle w:val="TableGrid"/>
        <w:tblW w:w="9493" w:type="dxa"/>
        <w:tblLook w:val="04A0" w:firstRow="1" w:lastRow="0" w:firstColumn="1" w:lastColumn="0" w:noHBand="0" w:noVBand="1"/>
      </w:tblPr>
      <w:tblGrid>
        <w:gridCol w:w="1838"/>
        <w:gridCol w:w="2790"/>
        <w:gridCol w:w="4865"/>
      </w:tblGrid>
      <w:tr w:rsidR="00774E9A" w14:paraId="4E08B9E9" w14:textId="77777777" w:rsidTr="00774E9A">
        <w:tc>
          <w:tcPr>
            <w:tcW w:w="1838" w:type="dxa"/>
          </w:tcPr>
          <w:p w14:paraId="4BA0556C" w14:textId="77777777" w:rsidR="00774E9A" w:rsidRPr="0003231D" w:rsidRDefault="00774E9A" w:rsidP="0003231D">
            <w:pPr>
              <w:pStyle w:val="NormalWeb"/>
              <w:jc w:val="both"/>
              <w:rPr>
                <w:b/>
              </w:rPr>
            </w:pPr>
            <w:r w:rsidRPr="0003231D">
              <w:rPr>
                <w:b/>
              </w:rPr>
              <w:t>Country</w:t>
            </w:r>
          </w:p>
        </w:tc>
        <w:tc>
          <w:tcPr>
            <w:tcW w:w="2790" w:type="dxa"/>
          </w:tcPr>
          <w:p w14:paraId="60F9E115" w14:textId="77777777" w:rsidR="00774E9A" w:rsidRPr="0003231D" w:rsidRDefault="00774E9A" w:rsidP="0003231D">
            <w:pPr>
              <w:pStyle w:val="NormalWeb"/>
              <w:jc w:val="both"/>
              <w:rPr>
                <w:b/>
              </w:rPr>
            </w:pPr>
            <w:r w:rsidRPr="0003231D">
              <w:rPr>
                <w:b/>
              </w:rPr>
              <w:t>Proportional Allocation</w:t>
            </w:r>
          </w:p>
        </w:tc>
        <w:tc>
          <w:tcPr>
            <w:tcW w:w="4865" w:type="dxa"/>
          </w:tcPr>
          <w:p w14:paraId="6D3CBC17" w14:textId="77777777" w:rsidR="00774E9A" w:rsidRPr="00774E9A" w:rsidRDefault="004C3080" w:rsidP="004C3080">
            <w:pPr>
              <w:pStyle w:val="NoSpacing"/>
              <w:rPr>
                <w:rFonts w:ascii="Times New Roman" w:hAnsi="Times New Roman" w:cs="Times New Roman"/>
                <w:b/>
                <w:sz w:val="24"/>
                <w:szCs w:val="24"/>
              </w:rPr>
            </w:pPr>
            <w:r>
              <w:rPr>
                <w:rFonts w:ascii="Times New Roman" w:hAnsi="Times New Roman" w:cs="Times New Roman"/>
                <w:b/>
                <w:sz w:val="24"/>
                <w:szCs w:val="24"/>
              </w:rPr>
              <w:t xml:space="preserve">Allocation of 600 Respondents to Countries </w:t>
            </w:r>
            <w:r w:rsidR="00774E9A" w:rsidRPr="00774E9A">
              <w:rPr>
                <w:rFonts w:ascii="Times New Roman" w:hAnsi="Times New Roman" w:cs="Times New Roman"/>
                <w:b/>
                <w:sz w:val="24"/>
                <w:szCs w:val="24"/>
              </w:rPr>
              <w:t>Proportional</w:t>
            </w:r>
            <w:r>
              <w:rPr>
                <w:rFonts w:ascii="Times New Roman" w:hAnsi="Times New Roman" w:cs="Times New Roman"/>
                <w:b/>
                <w:sz w:val="24"/>
                <w:szCs w:val="24"/>
              </w:rPr>
              <w:t>ly</w:t>
            </w:r>
            <w:r w:rsidR="00774E9A" w:rsidRPr="00774E9A">
              <w:rPr>
                <w:rFonts w:ascii="Times New Roman" w:hAnsi="Times New Roman" w:cs="Times New Roman"/>
                <w:b/>
                <w:sz w:val="24"/>
                <w:szCs w:val="24"/>
              </w:rPr>
              <w:t xml:space="preserve"> </w:t>
            </w:r>
            <w:r>
              <w:rPr>
                <w:rFonts w:ascii="Times New Roman" w:hAnsi="Times New Roman" w:cs="Times New Roman"/>
                <w:b/>
                <w:sz w:val="24"/>
                <w:szCs w:val="24"/>
              </w:rPr>
              <w:t>(%)</w:t>
            </w:r>
          </w:p>
        </w:tc>
      </w:tr>
      <w:tr w:rsidR="00774E9A" w14:paraId="43DB91C5" w14:textId="77777777" w:rsidTr="00774E9A">
        <w:tc>
          <w:tcPr>
            <w:tcW w:w="1838" w:type="dxa"/>
          </w:tcPr>
          <w:p w14:paraId="3FD10DB7" w14:textId="77777777" w:rsidR="00774E9A" w:rsidRDefault="00774E9A" w:rsidP="00774E9A">
            <w:pPr>
              <w:pStyle w:val="NormalWeb"/>
              <w:jc w:val="both"/>
            </w:pPr>
            <w:r>
              <w:t>Algeria</w:t>
            </w:r>
          </w:p>
        </w:tc>
        <w:tc>
          <w:tcPr>
            <w:tcW w:w="2790" w:type="dxa"/>
          </w:tcPr>
          <w:p w14:paraId="5207F8CD" w14:textId="77777777" w:rsidR="00774E9A" w:rsidRDefault="00774E9A" w:rsidP="00774E9A">
            <w:pPr>
              <w:pStyle w:val="NormalWeb"/>
              <w:jc w:val="both"/>
            </w:pPr>
            <w:r>
              <w:t>4,090,000</w:t>
            </w:r>
          </w:p>
        </w:tc>
        <w:tc>
          <w:tcPr>
            <w:tcW w:w="4865" w:type="dxa"/>
          </w:tcPr>
          <w:p w14:paraId="16E0A9B7" w14:textId="77777777" w:rsidR="00774E9A" w:rsidRDefault="00774E9A" w:rsidP="00774E9A">
            <w:pPr>
              <w:pStyle w:val="NormalWeb"/>
              <w:jc w:val="both"/>
            </w:pPr>
            <w:r>
              <w:t>304 (50.65%)</w:t>
            </w:r>
          </w:p>
        </w:tc>
      </w:tr>
      <w:tr w:rsidR="00774E9A" w14:paraId="579A49D1" w14:textId="77777777" w:rsidTr="00774E9A">
        <w:tc>
          <w:tcPr>
            <w:tcW w:w="1838" w:type="dxa"/>
          </w:tcPr>
          <w:p w14:paraId="5974068F" w14:textId="77777777" w:rsidR="00774E9A" w:rsidRDefault="00774E9A" w:rsidP="00774E9A">
            <w:pPr>
              <w:pStyle w:val="NormalWeb"/>
              <w:jc w:val="both"/>
            </w:pPr>
            <w:r>
              <w:t>Libya</w:t>
            </w:r>
          </w:p>
        </w:tc>
        <w:tc>
          <w:tcPr>
            <w:tcW w:w="2790" w:type="dxa"/>
          </w:tcPr>
          <w:p w14:paraId="532C8D8A" w14:textId="77777777" w:rsidR="00774E9A" w:rsidRDefault="00774E9A" w:rsidP="00774E9A">
            <w:pPr>
              <w:pStyle w:val="NormalWeb"/>
              <w:jc w:val="both"/>
            </w:pPr>
            <w:r>
              <w:t>2,100,000</w:t>
            </w:r>
          </w:p>
        </w:tc>
        <w:tc>
          <w:tcPr>
            <w:tcW w:w="4865" w:type="dxa"/>
          </w:tcPr>
          <w:p w14:paraId="6F3ECF0E" w14:textId="77777777" w:rsidR="00774E9A" w:rsidRDefault="00774E9A" w:rsidP="00774E9A">
            <w:pPr>
              <w:pStyle w:val="NormalWeb"/>
              <w:jc w:val="both"/>
            </w:pPr>
            <w:r>
              <w:t>156 (26.01%)</w:t>
            </w:r>
          </w:p>
        </w:tc>
      </w:tr>
      <w:tr w:rsidR="00774E9A" w14:paraId="041B3A58" w14:textId="77777777" w:rsidTr="00774E9A">
        <w:tc>
          <w:tcPr>
            <w:tcW w:w="1838" w:type="dxa"/>
          </w:tcPr>
          <w:p w14:paraId="550EA8F9" w14:textId="77777777" w:rsidR="00774E9A" w:rsidRDefault="00774E9A" w:rsidP="00774E9A">
            <w:pPr>
              <w:pStyle w:val="NormalWeb"/>
              <w:jc w:val="both"/>
            </w:pPr>
            <w:r>
              <w:t>Tunisia</w:t>
            </w:r>
          </w:p>
        </w:tc>
        <w:tc>
          <w:tcPr>
            <w:tcW w:w="2790" w:type="dxa"/>
          </w:tcPr>
          <w:p w14:paraId="2E752E54" w14:textId="77777777" w:rsidR="00774E9A" w:rsidRDefault="00774E9A" w:rsidP="00774E9A">
            <w:pPr>
              <w:pStyle w:val="NormalWeb"/>
              <w:jc w:val="both"/>
            </w:pPr>
            <w:r>
              <w:t>687,000</w:t>
            </w:r>
          </w:p>
        </w:tc>
        <w:tc>
          <w:tcPr>
            <w:tcW w:w="4865" w:type="dxa"/>
          </w:tcPr>
          <w:p w14:paraId="607F0622" w14:textId="77777777" w:rsidR="00774E9A" w:rsidRDefault="00774E9A" w:rsidP="00774E9A">
            <w:pPr>
              <w:pStyle w:val="NormalWeb"/>
              <w:jc w:val="both"/>
            </w:pPr>
            <w:r>
              <w:t>51 (8.51%)</w:t>
            </w:r>
          </w:p>
        </w:tc>
      </w:tr>
      <w:tr w:rsidR="00774E9A" w14:paraId="2452E97C" w14:textId="77777777" w:rsidTr="00774E9A">
        <w:tc>
          <w:tcPr>
            <w:tcW w:w="1838" w:type="dxa"/>
          </w:tcPr>
          <w:p w14:paraId="2399FC57" w14:textId="77777777" w:rsidR="00774E9A" w:rsidRDefault="00774E9A" w:rsidP="00774E9A">
            <w:pPr>
              <w:pStyle w:val="NormalWeb"/>
              <w:jc w:val="both"/>
            </w:pPr>
            <w:r>
              <w:t>Egypt</w:t>
            </w:r>
          </w:p>
        </w:tc>
        <w:tc>
          <w:tcPr>
            <w:tcW w:w="2790" w:type="dxa"/>
          </w:tcPr>
          <w:p w14:paraId="65725C30" w14:textId="77777777" w:rsidR="00774E9A" w:rsidRDefault="00774E9A" w:rsidP="00774E9A">
            <w:pPr>
              <w:pStyle w:val="NormalWeb"/>
              <w:jc w:val="both"/>
            </w:pPr>
            <w:r>
              <w:t>620,100</w:t>
            </w:r>
          </w:p>
        </w:tc>
        <w:tc>
          <w:tcPr>
            <w:tcW w:w="4865" w:type="dxa"/>
          </w:tcPr>
          <w:p w14:paraId="6F477B52" w14:textId="77777777" w:rsidR="00774E9A" w:rsidRDefault="00774E9A" w:rsidP="00774E9A">
            <w:pPr>
              <w:pStyle w:val="NormalWeb"/>
              <w:jc w:val="both"/>
            </w:pPr>
            <w:r>
              <w:t>46 (7.68%)</w:t>
            </w:r>
          </w:p>
        </w:tc>
      </w:tr>
      <w:tr w:rsidR="00774E9A" w14:paraId="3CF1A2AF" w14:textId="77777777" w:rsidTr="00774E9A">
        <w:tc>
          <w:tcPr>
            <w:tcW w:w="1838" w:type="dxa"/>
          </w:tcPr>
          <w:p w14:paraId="1BD3F4B8" w14:textId="77777777" w:rsidR="00774E9A" w:rsidRDefault="00774E9A" w:rsidP="00774E9A">
            <w:pPr>
              <w:pStyle w:val="NormalWeb"/>
              <w:jc w:val="both"/>
            </w:pPr>
            <w:r>
              <w:t>Morocco</w:t>
            </w:r>
          </w:p>
        </w:tc>
        <w:tc>
          <w:tcPr>
            <w:tcW w:w="2790" w:type="dxa"/>
          </w:tcPr>
          <w:p w14:paraId="2D5FF2F0" w14:textId="77777777" w:rsidR="00774E9A" w:rsidRDefault="00774E9A" w:rsidP="00774E9A">
            <w:pPr>
              <w:pStyle w:val="NormalWeb"/>
              <w:jc w:val="both"/>
            </w:pPr>
            <w:r>
              <w:t>576062</w:t>
            </w:r>
          </w:p>
        </w:tc>
        <w:tc>
          <w:tcPr>
            <w:tcW w:w="4865" w:type="dxa"/>
          </w:tcPr>
          <w:p w14:paraId="54F7AE96" w14:textId="77777777" w:rsidR="00774E9A" w:rsidRDefault="00774E9A" w:rsidP="00774E9A">
            <w:pPr>
              <w:pStyle w:val="NormalWeb"/>
              <w:jc w:val="both"/>
            </w:pPr>
            <w:r>
              <w:t>43 (7.</w:t>
            </w:r>
            <w:r w:rsidR="004C3080">
              <w:t>13%)</w:t>
            </w:r>
          </w:p>
        </w:tc>
      </w:tr>
      <w:tr w:rsidR="00774E9A" w14:paraId="677FDC04" w14:textId="77777777" w:rsidTr="00A56060">
        <w:trPr>
          <w:trHeight w:val="413"/>
        </w:trPr>
        <w:tc>
          <w:tcPr>
            <w:tcW w:w="1838" w:type="dxa"/>
          </w:tcPr>
          <w:p w14:paraId="1CFAE686" w14:textId="77777777" w:rsidR="00774E9A" w:rsidRPr="0003231D" w:rsidRDefault="00774E9A" w:rsidP="00774E9A">
            <w:pPr>
              <w:pStyle w:val="NormalWeb"/>
              <w:jc w:val="both"/>
              <w:rPr>
                <w:b/>
              </w:rPr>
            </w:pPr>
            <w:r w:rsidRPr="0003231D">
              <w:rPr>
                <w:b/>
              </w:rPr>
              <w:t>Total</w:t>
            </w:r>
          </w:p>
        </w:tc>
        <w:tc>
          <w:tcPr>
            <w:tcW w:w="2790" w:type="dxa"/>
          </w:tcPr>
          <w:p w14:paraId="606A5913" w14:textId="77777777" w:rsidR="00774E9A" w:rsidRPr="0003231D" w:rsidRDefault="00774E9A" w:rsidP="00774E9A">
            <w:pPr>
              <w:pStyle w:val="NormalWeb"/>
              <w:jc w:val="both"/>
              <w:rPr>
                <w:b/>
              </w:rPr>
            </w:pPr>
            <w:r w:rsidRPr="0003231D">
              <w:rPr>
                <w:b/>
              </w:rPr>
              <w:t>8,073,162</w:t>
            </w:r>
          </w:p>
        </w:tc>
        <w:tc>
          <w:tcPr>
            <w:tcW w:w="4865" w:type="dxa"/>
          </w:tcPr>
          <w:p w14:paraId="6AE82928" w14:textId="77777777" w:rsidR="00774E9A" w:rsidRPr="0003231D" w:rsidRDefault="004C3080" w:rsidP="00273516">
            <w:pPr>
              <w:pStyle w:val="NormalWeb"/>
              <w:numPr>
                <w:ilvl w:val="0"/>
                <w:numId w:val="23"/>
              </w:numPr>
              <w:jc w:val="both"/>
              <w:rPr>
                <w:b/>
              </w:rPr>
            </w:pPr>
            <w:r>
              <w:rPr>
                <w:b/>
              </w:rPr>
              <w:t>(100%)</w:t>
            </w:r>
          </w:p>
        </w:tc>
      </w:tr>
    </w:tbl>
    <w:p w14:paraId="2F28624A" w14:textId="77777777" w:rsidR="00273516" w:rsidRDefault="00273516" w:rsidP="00013D5E">
      <w:pPr>
        <w:pStyle w:val="NormalWeb"/>
        <w:jc w:val="both"/>
      </w:pPr>
      <w:r>
        <w:t xml:space="preserve">A </w:t>
      </w:r>
      <w:r w:rsidRPr="00013D5E">
        <w:rPr>
          <w:rStyle w:val="Strong"/>
          <w:rFonts w:eastAsiaTheme="majorEastAsia"/>
          <w:b w:val="0"/>
        </w:rPr>
        <w:t>multi-stage, stratified random sampling</w:t>
      </w:r>
      <w:r>
        <w:t xml:space="preserve"> approach is used to balance feasibility and representativeness as shown in the bel</w:t>
      </w:r>
      <w:r w:rsidR="00283E30">
        <w:t>ow table:</w:t>
      </w:r>
    </w:p>
    <w:p w14:paraId="3B4F8CBF" w14:textId="77777777" w:rsidR="00A947AD" w:rsidRPr="00013D5E" w:rsidRDefault="00A947AD" w:rsidP="00013D5E">
      <w:pPr>
        <w:pStyle w:val="NoSpacing"/>
        <w:rPr>
          <w:rFonts w:ascii="Times New Roman" w:hAnsi="Times New Roman" w:cs="Times New Roman"/>
          <w:b/>
          <w:sz w:val="24"/>
          <w:szCs w:val="24"/>
        </w:rPr>
      </w:pPr>
      <w:r w:rsidRPr="00013D5E">
        <w:rPr>
          <w:rFonts w:ascii="Times New Roman" w:hAnsi="Times New Roman" w:cs="Times New Roman"/>
          <w:b/>
          <w:sz w:val="24"/>
          <w:szCs w:val="24"/>
        </w:rPr>
        <w:t>Table 2-</w:t>
      </w:r>
      <w:r w:rsidR="00DC44B6" w:rsidRPr="00013D5E">
        <w:rPr>
          <w:rFonts w:ascii="Times New Roman" w:hAnsi="Times New Roman" w:cs="Times New Roman"/>
          <w:b/>
          <w:sz w:val="24"/>
          <w:szCs w:val="24"/>
        </w:rPr>
        <w:t xml:space="preserve"> </w:t>
      </w:r>
      <w:r w:rsidR="00305AD1" w:rsidRPr="00013D5E">
        <w:rPr>
          <w:rFonts w:ascii="Times New Roman" w:hAnsi="Times New Roman" w:cs="Times New Roman"/>
          <w:b/>
          <w:sz w:val="24"/>
          <w:szCs w:val="24"/>
        </w:rPr>
        <w:t>Stage-Wise Description of Multi-Stage Stratified Random Sampling Procedure</w:t>
      </w:r>
    </w:p>
    <w:tbl>
      <w:tblPr>
        <w:tblStyle w:val="TableGrid"/>
        <w:tblW w:w="9634" w:type="dxa"/>
        <w:tblLook w:val="04A0" w:firstRow="1" w:lastRow="0" w:firstColumn="1" w:lastColumn="0" w:noHBand="0" w:noVBand="1"/>
      </w:tblPr>
      <w:tblGrid>
        <w:gridCol w:w="3539"/>
        <w:gridCol w:w="6095"/>
      </w:tblGrid>
      <w:tr w:rsidR="00283E30" w14:paraId="7EA2EEAF" w14:textId="77777777" w:rsidTr="00305AD1">
        <w:trPr>
          <w:trHeight w:val="386"/>
        </w:trPr>
        <w:tc>
          <w:tcPr>
            <w:tcW w:w="3539" w:type="dxa"/>
          </w:tcPr>
          <w:p w14:paraId="75D74962" w14:textId="77777777" w:rsidR="00283E30" w:rsidRDefault="00283E30" w:rsidP="00273516">
            <w:pPr>
              <w:pStyle w:val="NormalWeb"/>
              <w:rPr>
                <w:rStyle w:val="Strong"/>
                <w:rFonts w:eastAsiaTheme="majorEastAsia"/>
              </w:rPr>
            </w:pPr>
            <w:r>
              <w:rPr>
                <w:rStyle w:val="Strong"/>
                <w:rFonts w:eastAsiaTheme="majorEastAsia"/>
              </w:rPr>
              <w:t>Stage</w:t>
            </w:r>
          </w:p>
        </w:tc>
        <w:tc>
          <w:tcPr>
            <w:tcW w:w="6095" w:type="dxa"/>
          </w:tcPr>
          <w:p w14:paraId="5F27382D" w14:textId="77777777" w:rsidR="00283E30" w:rsidRDefault="00283E30" w:rsidP="00273516">
            <w:pPr>
              <w:pStyle w:val="NormalWeb"/>
              <w:rPr>
                <w:rStyle w:val="Strong"/>
                <w:rFonts w:eastAsiaTheme="majorEastAsia"/>
              </w:rPr>
            </w:pPr>
            <w:r>
              <w:rPr>
                <w:rStyle w:val="Strong"/>
                <w:rFonts w:eastAsiaTheme="majorEastAsia"/>
              </w:rPr>
              <w:t>Activity</w:t>
            </w:r>
          </w:p>
        </w:tc>
      </w:tr>
      <w:tr w:rsidR="00283E30" w14:paraId="10A0E83A" w14:textId="77777777" w:rsidTr="00283E30">
        <w:tc>
          <w:tcPr>
            <w:tcW w:w="3539" w:type="dxa"/>
          </w:tcPr>
          <w:p w14:paraId="4BABB5B2"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1: </w:t>
            </w:r>
            <w:r w:rsidR="00283E30" w:rsidRPr="00B36F07">
              <w:rPr>
                <w:rStyle w:val="Strong"/>
                <w:rFonts w:eastAsiaTheme="majorEastAsia"/>
                <w:b w:val="0"/>
                <w:i/>
              </w:rPr>
              <w:t>Country level (fixed)</w:t>
            </w:r>
          </w:p>
        </w:tc>
        <w:tc>
          <w:tcPr>
            <w:tcW w:w="6095" w:type="dxa"/>
          </w:tcPr>
          <w:p w14:paraId="15664CE7" w14:textId="77777777" w:rsidR="00283E30" w:rsidRDefault="00283E30" w:rsidP="00273516">
            <w:pPr>
              <w:pStyle w:val="NormalWeb"/>
              <w:rPr>
                <w:rStyle w:val="Strong"/>
                <w:rFonts w:eastAsiaTheme="majorEastAsia"/>
              </w:rPr>
            </w:pPr>
            <w:r>
              <w:t>The study covers five North African countries (Algeria, Libya, Tunisia, Egypt, Morocco).</w:t>
            </w:r>
          </w:p>
        </w:tc>
      </w:tr>
      <w:tr w:rsidR="00283E30" w14:paraId="65762894" w14:textId="77777777" w:rsidTr="00283E30">
        <w:tc>
          <w:tcPr>
            <w:tcW w:w="3539" w:type="dxa"/>
          </w:tcPr>
          <w:p w14:paraId="07F9B64A"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2: </w:t>
            </w:r>
            <w:r w:rsidR="00283E30" w:rsidRPr="00B36F07">
              <w:rPr>
                <w:rStyle w:val="Strong"/>
                <w:rFonts w:eastAsiaTheme="majorEastAsia"/>
                <w:b w:val="0"/>
                <w:i/>
              </w:rPr>
              <w:t>Agency selection (purposive / proportional)</w:t>
            </w:r>
          </w:p>
        </w:tc>
        <w:tc>
          <w:tcPr>
            <w:tcW w:w="6095" w:type="dxa"/>
          </w:tcPr>
          <w:p w14:paraId="11D2F7B9" w14:textId="77777777" w:rsidR="00283E30" w:rsidRPr="00283E30" w:rsidRDefault="00283E30" w:rsidP="00283E30">
            <w:pPr>
              <w:pStyle w:val="NormalWeb"/>
              <w:jc w:val="both"/>
              <w:rPr>
                <w:rStyle w:val="Strong"/>
                <w:b w:val="0"/>
                <w:bCs w:val="0"/>
              </w:rPr>
            </w:pPr>
            <w:r>
              <w:t xml:space="preserve">Within each country, the researchers purposively selected </w:t>
            </w:r>
            <w:r w:rsidRPr="00220EED">
              <w:rPr>
                <w:rStyle w:val="Strong"/>
                <w:rFonts w:eastAsiaTheme="majorEastAsia"/>
                <w:b w:val="0"/>
              </w:rPr>
              <w:t>5–6</w:t>
            </w:r>
            <w:r w:rsidRPr="00220EED">
              <w:rPr>
                <w:b/>
              </w:rPr>
              <w:t xml:space="preserve"> </w:t>
            </w:r>
            <w:r>
              <w:t>agencies/ministries that are relevant to public service delivery and environmental management (e.g., Ministry of Environment, Health, Education, Public Works, Municipalities). The selection aimed for diversity (national vs municipal, regulatory vs service delivery, ISO-certified vs non-certified). The agencies were chosen on the bases of different size so that the within-country sample can be allocated proportionally to agency workforce sizes. The purposive stage ensures coverage of units where GHRM is most relevant while enabling proportional within-agency sampling</w:t>
            </w:r>
          </w:p>
        </w:tc>
      </w:tr>
      <w:tr w:rsidR="00283E30" w14:paraId="314D7C74" w14:textId="77777777" w:rsidTr="00283E30">
        <w:tc>
          <w:tcPr>
            <w:tcW w:w="3539" w:type="dxa"/>
          </w:tcPr>
          <w:p w14:paraId="00FFB4B3"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3: </w:t>
            </w:r>
            <w:r w:rsidR="00283E30" w:rsidRPr="00B36F07">
              <w:rPr>
                <w:rStyle w:val="Strong"/>
                <w:rFonts w:eastAsiaTheme="majorEastAsia"/>
                <w:b w:val="0"/>
                <w:i/>
              </w:rPr>
              <w:t>Stratification within agencies</w:t>
            </w:r>
          </w:p>
        </w:tc>
        <w:tc>
          <w:tcPr>
            <w:tcW w:w="6095" w:type="dxa"/>
          </w:tcPr>
          <w:p w14:paraId="6CC3DEF6" w14:textId="77777777" w:rsidR="00283E30" w:rsidRPr="00283E30" w:rsidRDefault="00283E30" w:rsidP="00283E30">
            <w:pPr>
              <w:pStyle w:val="NormalWeb"/>
              <w:rPr>
                <w:rStyle w:val="Strong"/>
                <w:b w:val="0"/>
                <w:bCs w:val="0"/>
              </w:rPr>
            </w:pPr>
            <w:r>
              <w:t xml:space="preserve">Within each selected agency, the researchers created </w:t>
            </w:r>
            <w:r w:rsidRPr="002262E0">
              <w:rPr>
                <w:rStyle w:val="Strong"/>
                <w:rFonts w:eastAsiaTheme="majorEastAsia"/>
                <w:b w:val="0"/>
              </w:rPr>
              <w:t>three strata by job level</w:t>
            </w:r>
            <w:r>
              <w:t xml:space="preserve">: Senior managers / executives (approx. 10% of agency workforce); Middle managers / supervisors </w:t>
            </w:r>
            <w:r>
              <w:lastRenderedPageBreak/>
              <w:t>(approx. 30%); and Operational / frontline staff (approx. 60%)</w:t>
            </w:r>
            <w:r>
              <w:br/>
              <w:t>These percentages are working assumptions; where agencies have accurate grade distributions use those to compute stratum sizes</w:t>
            </w:r>
          </w:p>
        </w:tc>
      </w:tr>
      <w:tr w:rsidR="00283E30" w14:paraId="41DACD5A" w14:textId="77777777" w:rsidTr="00283E30">
        <w:trPr>
          <w:trHeight w:val="1693"/>
        </w:trPr>
        <w:tc>
          <w:tcPr>
            <w:tcW w:w="3539" w:type="dxa"/>
          </w:tcPr>
          <w:p w14:paraId="04AC418A"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lastRenderedPageBreak/>
              <w:t xml:space="preserve">Stage 4: </w:t>
            </w:r>
            <w:r w:rsidR="00283E30" w:rsidRPr="00B36F07">
              <w:rPr>
                <w:rStyle w:val="Strong"/>
                <w:rFonts w:eastAsiaTheme="majorEastAsia"/>
                <w:b w:val="0"/>
                <w:i/>
              </w:rPr>
              <w:t>Random selection of individuals</w:t>
            </w:r>
          </w:p>
        </w:tc>
        <w:tc>
          <w:tcPr>
            <w:tcW w:w="6095" w:type="dxa"/>
          </w:tcPr>
          <w:p w14:paraId="5F5B04FA" w14:textId="77777777" w:rsidR="00283E30" w:rsidRPr="00283E30" w:rsidRDefault="00283E30" w:rsidP="00283E30">
            <w:pPr>
              <w:pStyle w:val="NormalWeb"/>
              <w:jc w:val="both"/>
              <w:rPr>
                <w:rStyle w:val="Strong"/>
                <w:b w:val="0"/>
                <w:bCs w:val="0"/>
              </w:rPr>
            </w:pPr>
            <w:r>
              <w:t xml:space="preserve">The researcher obtained employee lists (sampling frames) from agency HR offices and draw </w:t>
            </w:r>
            <w:r w:rsidRPr="002262E0">
              <w:rPr>
                <w:rStyle w:val="Strong"/>
                <w:rFonts w:eastAsiaTheme="majorEastAsia"/>
                <w:b w:val="0"/>
              </w:rPr>
              <w:t>simple random samples</w:t>
            </w:r>
            <w:r>
              <w:t xml:space="preserve"> within each stratum proportionally to the stratum’s share of the country allocation. If complete lists are not available, use systematic sampling (every </w:t>
            </w:r>
            <w:proofErr w:type="spellStart"/>
            <w:r>
              <w:t>kᵗʰ</w:t>
            </w:r>
            <w:proofErr w:type="spellEnd"/>
            <w:r>
              <w:t xml:space="preserve"> name from an ordered roster) after random start.</w:t>
            </w:r>
          </w:p>
        </w:tc>
      </w:tr>
    </w:tbl>
    <w:p w14:paraId="0204CA12" w14:textId="77777777" w:rsidR="008677F5" w:rsidRDefault="008677F5" w:rsidP="008677F5">
      <w:pPr>
        <w:pStyle w:val="NoSpacing"/>
        <w:jc w:val="both"/>
        <w:rPr>
          <w:rStyle w:val="Strong"/>
          <w:rFonts w:ascii="Times New Roman" w:eastAsiaTheme="majorEastAsia" w:hAnsi="Times New Roman" w:cs="Times New Roman"/>
          <w:b w:val="0"/>
          <w:sz w:val="24"/>
          <w:szCs w:val="24"/>
        </w:rPr>
      </w:pPr>
    </w:p>
    <w:p w14:paraId="0CC8B5E3" w14:textId="77777777" w:rsidR="00E9244B" w:rsidRPr="008677F5" w:rsidRDefault="00E9244B" w:rsidP="008677F5">
      <w:pPr>
        <w:pStyle w:val="NoSpacing"/>
        <w:jc w:val="both"/>
        <w:rPr>
          <w:rFonts w:ascii="Times New Roman" w:hAnsi="Times New Roman" w:cs="Times New Roman"/>
          <w:sz w:val="24"/>
          <w:szCs w:val="24"/>
        </w:rPr>
      </w:pPr>
      <w:r w:rsidRPr="008677F5">
        <w:rPr>
          <w:rStyle w:val="Strong"/>
          <w:rFonts w:ascii="Times New Roman" w:eastAsiaTheme="majorEastAsia" w:hAnsi="Times New Roman" w:cs="Times New Roman"/>
          <w:b w:val="0"/>
          <w:sz w:val="24"/>
          <w:szCs w:val="24"/>
        </w:rPr>
        <w:t>Furthermore, a</w:t>
      </w:r>
      <w:r w:rsidRPr="008677F5">
        <w:rPr>
          <w:rStyle w:val="Strong"/>
          <w:rFonts w:ascii="Times New Roman" w:eastAsiaTheme="majorEastAsia" w:hAnsi="Times New Roman" w:cs="Times New Roman"/>
          <w:sz w:val="24"/>
          <w:szCs w:val="24"/>
        </w:rPr>
        <w:t xml:space="preserve"> </w:t>
      </w:r>
      <w:r w:rsidR="00283E30" w:rsidRPr="008677F5">
        <w:rPr>
          <w:rFonts w:ascii="Times New Roman" w:hAnsi="Times New Roman" w:cs="Times New Roman"/>
          <w:sz w:val="24"/>
          <w:szCs w:val="24"/>
        </w:rPr>
        <w:t xml:space="preserve">structured questionnaire </w:t>
      </w:r>
      <w:r w:rsidRPr="008677F5">
        <w:rPr>
          <w:rFonts w:ascii="Times New Roman" w:hAnsi="Times New Roman" w:cs="Times New Roman"/>
          <w:sz w:val="24"/>
          <w:szCs w:val="24"/>
        </w:rPr>
        <w:t xml:space="preserve">instrument </w:t>
      </w:r>
      <w:r w:rsidR="00283E30" w:rsidRPr="008677F5">
        <w:rPr>
          <w:rFonts w:ascii="Times New Roman" w:hAnsi="Times New Roman" w:cs="Times New Roman"/>
          <w:sz w:val="24"/>
          <w:szCs w:val="24"/>
        </w:rPr>
        <w:t>composed of validated s</w:t>
      </w:r>
      <w:r w:rsidRPr="008677F5">
        <w:rPr>
          <w:rFonts w:ascii="Times New Roman" w:hAnsi="Times New Roman" w:cs="Times New Roman"/>
          <w:sz w:val="24"/>
          <w:szCs w:val="24"/>
        </w:rPr>
        <w:t xml:space="preserve">cales and context-adapted items relating to </w:t>
      </w:r>
      <w:r w:rsidR="00283E30" w:rsidRPr="008677F5">
        <w:rPr>
          <w:rStyle w:val="Strong"/>
          <w:rFonts w:ascii="Times New Roman" w:eastAsiaTheme="majorEastAsia" w:hAnsi="Times New Roman" w:cs="Times New Roman"/>
          <w:b w:val="0"/>
          <w:sz w:val="24"/>
          <w:szCs w:val="24"/>
        </w:rPr>
        <w:t>GHRM practices</w:t>
      </w:r>
      <w:r w:rsidRPr="008677F5">
        <w:rPr>
          <w:rFonts w:ascii="Times New Roman" w:hAnsi="Times New Roman" w:cs="Times New Roman"/>
          <w:b/>
          <w:sz w:val="24"/>
          <w:szCs w:val="24"/>
        </w:rPr>
        <w:t xml:space="preserve">, </w:t>
      </w:r>
      <w:r w:rsidR="00283E30" w:rsidRPr="008677F5">
        <w:rPr>
          <w:rStyle w:val="Strong"/>
          <w:rFonts w:ascii="Times New Roman" w:eastAsiaTheme="majorEastAsia" w:hAnsi="Times New Roman" w:cs="Times New Roman"/>
          <w:b w:val="0"/>
          <w:sz w:val="24"/>
          <w:szCs w:val="24"/>
        </w:rPr>
        <w:t>Pro-environmental behaviour</w:t>
      </w:r>
      <w:r w:rsidRPr="008677F5">
        <w:rPr>
          <w:rFonts w:ascii="Times New Roman" w:hAnsi="Times New Roman" w:cs="Times New Roman"/>
          <w:b/>
          <w:sz w:val="24"/>
          <w:szCs w:val="24"/>
        </w:rPr>
        <w:t xml:space="preserve">, </w:t>
      </w:r>
      <w:r w:rsidRPr="008677F5">
        <w:rPr>
          <w:rFonts w:ascii="Times New Roman" w:hAnsi="Times New Roman" w:cs="Times New Roman"/>
          <w:sz w:val="24"/>
          <w:szCs w:val="24"/>
        </w:rPr>
        <w:t>and</w:t>
      </w:r>
      <w:r w:rsidRPr="008677F5">
        <w:rPr>
          <w:rFonts w:ascii="Times New Roman" w:hAnsi="Times New Roman" w:cs="Times New Roman"/>
          <w:b/>
          <w:sz w:val="24"/>
          <w:szCs w:val="24"/>
        </w:rPr>
        <w:t xml:space="preserve"> </w:t>
      </w:r>
      <w:r w:rsidR="00283E30" w:rsidRPr="008677F5">
        <w:rPr>
          <w:rStyle w:val="Strong"/>
          <w:rFonts w:ascii="Times New Roman" w:eastAsiaTheme="majorEastAsia" w:hAnsi="Times New Roman" w:cs="Times New Roman"/>
          <w:b w:val="0"/>
          <w:sz w:val="24"/>
          <w:szCs w:val="24"/>
        </w:rPr>
        <w:t>Organisational environmental outcomes</w:t>
      </w:r>
      <w:r w:rsidRPr="008677F5">
        <w:rPr>
          <w:rFonts w:ascii="Times New Roman" w:hAnsi="Times New Roman" w:cs="Times New Roman"/>
          <w:sz w:val="24"/>
          <w:szCs w:val="24"/>
        </w:rPr>
        <w:t xml:space="preserve"> </w:t>
      </w:r>
      <w:r w:rsidR="00182B04">
        <w:rPr>
          <w:rFonts w:ascii="Times New Roman" w:hAnsi="Times New Roman" w:cs="Times New Roman"/>
          <w:sz w:val="24"/>
          <w:szCs w:val="24"/>
        </w:rPr>
        <w:t>were</w:t>
      </w:r>
      <w:r w:rsidRPr="008677F5">
        <w:rPr>
          <w:rFonts w:ascii="Times New Roman" w:hAnsi="Times New Roman" w:cs="Times New Roman"/>
          <w:sz w:val="24"/>
          <w:szCs w:val="24"/>
        </w:rPr>
        <w:t xml:space="preserve"> used. </w:t>
      </w:r>
      <w:r w:rsidR="00283E30" w:rsidRPr="008677F5">
        <w:rPr>
          <w:rFonts w:ascii="Times New Roman" w:hAnsi="Times New Roman" w:cs="Times New Roman"/>
          <w:sz w:val="24"/>
          <w:szCs w:val="24"/>
        </w:rPr>
        <w:t>A</w:t>
      </w:r>
      <w:r w:rsidRPr="008677F5">
        <w:rPr>
          <w:rFonts w:ascii="Times New Roman" w:hAnsi="Times New Roman" w:cs="Times New Roman"/>
          <w:sz w:val="24"/>
          <w:szCs w:val="24"/>
        </w:rPr>
        <w:t>ll Likert scales of</w:t>
      </w:r>
      <w:r w:rsidR="00283E30" w:rsidRPr="008677F5">
        <w:rPr>
          <w:rFonts w:ascii="Times New Roman" w:hAnsi="Times New Roman" w:cs="Times New Roman"/>
          <w:sz w:val="24"/>
          <w:szCs w:val="24"/>
        </w:rPr>
        <w:t xml:space="preserve"> 5-point responses (1 = strongly disagree to 5 = strongly agree)</w:t>
      </w:r>
      <w:r w:rsidR="00182B04">
        <w:rPr>
          <w:rFonts w:ascii="Times New Roman" w:hAnsi="Times New Roman" w:cs="Times New Roman"/>
          <w:sz w:val="24"/>
          <w:szCs w:val="24"/>
        </w:rPr>
        <w:t xml:space="preserve"> were</w:t>
      </w:r>
      <w:r w:rsidRPr="008677F5">
        <w:rPr>
          <w:rFonts w:ascii="Times New Roman" w:hAnsi="Times New Roman" w:cs="Times New Roman"/>
          <w:sz w:val="24"/>
          <w:szCs w:val="24"/>
        </w:rPr>
        <w:t xml:space="preserve"> used</w:t>
      </w:r>
      <w:r w:rsidR="00283E30" w:rsidRPr="008677F5">
        <w:rPr>
          <w:rFonts w:ascii="Times New Roman" w:hAnsi="Times New Roman" w:cs="Times New Roman"/>
          <w:sz w:val="24"/>
          <w:szCs w:val="24"/>
        </w:rPr>
        <w:t>. A pilot version (≈30–50 responden</w:t>
      </w:r>
      <w:r w:rsidRPr="008677F5">
        <w:rPr>
          <w:rFonts w:ascii="Times New Roman" w:hAnsi="Times New Roman" w:cs="Times New Roman"/>
          <w:sz w:val="24"/>
          <w:szCs w:val="24"/>
        </w:rPr>
        <w:t>ts across two countries) were run to test clarity and timing. Additionally, s</w:t>
      </w:r>
      <w:r w:rsidR="00283E30" w:rsidRPr="008677F5">
        <w:rPr>
          <w:rFonts w:ascii="Times New Roman" w:hAnsi="Times New Roman" w:cs="Times New Roman"/>
          <w:sz w:val="24"/>
          <w:szCs w:val="24"/>
        </w:rPr>
        <w:t>emi-structured guide for HR directors and sustainability officers probing implementation experiences, institutional barriers, success cases, monitoring practices, and resource constraints</w:t>
      </w:r>
      <w:r w:rsidRPr="008677F5">
        <w:rPr>
          <w:rFonts w:ascii="Times New Roman" w:hAnsi="Times New Roman" w:cs="Times New Roman"/>
          <w:sz w:val="24"/>
          <w:szCs w:val="24"/>
        </w:rPr>
        <w:t xml:space="preserve"> were constructed and used</w:t>
      </w:r>
      <w:r w:rsidR="00283E30" w:rsidRPr="008677F5">
        <w:rPr>
          <w:rFonts w:ascii="Times New Roman" w:hAnsi="Times New Roman" w:cs="Times New Roman"/>
          <w:sz w:val="24"/>
          <w:szCs w:val="24"/>
        </w:rPr>
        <w:t>.</w:t>
      </w:r>
      <w:r w:rsidRPr="008677F5">
        <w:rPr>
          <w:rFonts w:ascii="Times New Roman" w:hAnsi="Times New Roman" w:cs="Times New Roman"/>
          <w:sz w:val="24"/>
          <w:szCs w:val="24"/>
        </w:rPr>
        <w:t xml:space="preserve"> </w:t>
      </w:r>
      <w:r w:rsidRPr="008677F5">
        <w:rPr>
          <w:rStyle w:val="Strong"/>
          <w:rFonts w:ascii="Times New Roman" w:eastAsiaTheme="majorEastAsia" w:hAnsi="Times New Roman" w:cs="Times New Roman"/>
          <w:b w:val="0"/>
          <w:sz w:val="24"/>
          <w:szCs w:val="24"/>
        </w:rPr>
        <w:t>The</w:t>
      </w:r>
      <w:r w:rsidRPr="008677F5">
        <w:rPr>
          <w:rFonts w:ascii="Times New Roman" w:hAnsi="Times New Roman" w:cs="Times New Roman"/>
          <w:b/>
          <w:sz w:val="24"/>
          <w:szCs w:val="24"/>
        </w:rPr>
        <w:t xml:space="preserve"> </w:t>
      </w:r>
      <w:r w:rsidRPr="008677F5">
        <w:rPr>
          <w:rFonts w:ascii="Times New Roman" w:hAnsi="Times New Roman" w:cs="Times New Roman"/>
          <w:sz w:val="24"/>
          <w:szCs w:val="24"/>
        </w:rPr>
        <w:t>instrument items adapted from established GHRM and PEB studies were reviewed by two subject-matter experts and regional practitioners (Patton, 2015); Cronbach alpha and composite reliability (CR) were used to compute for each construct; α ≥ 0.70 will be considered acceptable (Nunnally &amp; Bernstein, 1994).</w:t>
      </w:r>
    </w:p>
    <w:p w14:paraId="0AF6726D" w14:textId="77777777" w:rsidR="008677F5" w:rsidRDefault="008677F5" w:rsidP="008677F5">
      <w:pPr>
        <w:pStyle w:val="NoSpacing"/>
        <w:jc w:val="both"/>
        <w:rPr>
          <w:rFonts w:ascii="Times New Roman" w:hAnsi="Times New Roman" w:cs="Times New Roman"/>
          <w:sz w:val="24"/>
          <w:szCs w:val="24"/>
        </w:rPr>
      </w:pPr>
    </w:p>
    <w:p w14:paraId="2B908978" w14:textId="77777777" w:rsidR="008677F5" w:rsidRPr="008677F5" w:rsidRDefault="00E9244B" w:rsidP="008677F5">
      <w:pPr>
        <w:pStyle w:val="NoSpacing"/>
        <w:jc w:val="both"/>
        <w:rPr>
          <w:rFonts w:ascii="Times New Roman" w:hAnsi="Times New Roman" w:cs="Times New Roman"/>
          <w:sz w:val="24"/>
          <w:szCs w:val="24"/>
        </w:rPr>
      </w:pPr>
      <w:r w:rsidRPr="008677F5">
        <w:rPr>
          <w:rFonts w:ascii="Times New Roman" w:hAnsi="Times New Roman" w:cs="Times New Roman"/>
          <w:sz w:val="24"/>
          <w:szCs w:val="24"/>
        </w:rPr>
        <w:t xml:space="preserve">The quantitative </w:t>
      </w:r>
      <w:r w:rsidR="008677F5" w:rsidRPr="008677F5">
        <w:rPr>
          <w:rFonts w:ascii="Times New Roman" w:hAnsi="Times New Roman" w:cs="Times New Roman"/>
          <w:sz w:val="24"/>
          <w:szCs w:val="24"/>
        </w:rPr>
        <w:t>data were online survey distributed so as to secure the platform</w:t>
      </w:r>
      <w:r w:rsidRPr="008677F5">
        <w:rPr>
          <w:rFonts w:ascii="Times New Roman" w:hAnsi="Times New Roman" w:cs="Times New Roman"/>
          <w:sz w:val="24"/>
          <w:szCs w:val="24"/>
        </w:rPr>
        <w:t xml:space="preserve"> and paper surveys</w:t>
      </w:r>
      <w:r w:rsidR="008677F5" w:rsidRPr="008677F5">
        <w:rPr>
          <w:rFonts w:ascii="Times New Roman" w:hAnsi="Times New Roman" w:cs="Times New Roman"/>
          <w:sz w:val="24"/>
          <w:szCs w:val="24"/>
        </w:rPr>
        <w:t xml:space="preserve"> were used</w:t>
      </w:r>
      <w:r w:rsidRPr="008677F5">
        <w:rPr>
          <w:rFonts w:ascii="Times New Roman" w:hAnsi="Times New Roman" w:cs="Times New Roman"/>
          <w:sz w:val="24"/>
          <w:szCs w:val="24"/>
        </w:rPr>
        <w:t xml:space="preserve"> for low-connecti</w:t>
      </w:r>
      <w:r w:rsidR="008677F5" w:rsidRPr="008677F5">
        <w:rPr>
          <w:rFonts w:ascii="Times New Roman" w:hAnsi="Times New Roman" w:cs="Times New Roman"/>
          <w:sz w:val="24"/>
          <w:szCs w:val="24"/>
        </w:rPr>
        <w:t>vity sites. HR focal points were used to</w:t>
      </w:r>
      <w:r w:rsidRPr="008677F5">
        <w:rPr>
          <w:rFonts w:ascii="Times New Roman" w:hAnsi="Times New Roman" w:cs="Times New Roman"/>
          <w:sz w:val="24"/>
          <w:szCs w:val="24"/>
        </w:rPr>
        <w:t xml:space="preserve"> assist in distributing the survey within agen</w:t>
      </w:r>
      <w:r w:rsidR="008677F5" w:rsidRPr="008677F5">
        <w:rPr>
          <w:rFonts w:ascii="Times New Roman" w:hAnsi="Times New Roman" w:cs="Times New Roman"/>
          <w:sz w:val="24"/>
          <w:szCs w:val="24"/>
        </w:rPr>
        <w:t>cies. Two reminder waves were</w:t>
      </w:r>
      <w:r w:rsidRPr="008677F5">
        <w:rPr>
          <w:rFonts w:ascii="Times New Roman" w:hAnsi="Times New Roman" w:cs="Times New Roman"/>
          <w:sz w:val="24"/>
          <w:szCs w:val="24"/>
        </w:rPr>
        <w:t xml:space="preserve"> sent to increase response.</w:t>
      </w:r>
      <w:r w:rsidR="008677F5" w:rsidRPr="008677F5">
        <w:rPr>
          <w:rFonts w:ascii="Times New Roman" w:hAnsi="Times New Roman" w:cs="Times New Roman"/>
          <w:sz w:val="24"/>
          <w:szCs w:val="24"/>
        </w:rPr>
        <w:t xml:space="preserve"> For </w:t>
      </w:r>
      <w:r w:rsidR="008677F5" w:rsidRPr="008677F5">
        <w:rPr>
          <w:rStyle w:val="Strong"/>
          <w:rFonts w:ascii="Times New Roman" w:eastAsiaTheme="majorEastAsia" w:hAnsi="Times New Roman" w:cs="Times New Roman"/>
          <w:b w:val="0"/>
          <w:sz w:val="24"/>
          <w:szCs w:val="24"/>
        </w:rPr>
        <w:t>qualitative data,</w:t>
      </w:r>
      <w:r w:rsidR="008677F5" w:rsidRPr="008677F5">
        <w:rPr>
          <w:rStyle w:val="Strong"/>
          <w:rFonts w:ascii="Times New Roman" w:eastAsiaTheme="majorEastAsia" w:hAnsi="Times New Roman" w:cs="Times New Roman"/>
          <w:sz w:val="24"/>
          <w:szCs w:val="24"/>
        </w:rPr>
        <w:t xml:space="preserve"> </w:t>
      </w:r>
      <w:r w:rsidRPr="008677F5">
        <w:rPr>
          <w:rFonts w:ascii="Times New Roman" w:hAnsi="Times New Roman" w:cs="Times New Roman"/>
          <w:sz w:val="24"/>
          <w:szCs w:val="24"/>
        </w:rPr>
        <w:t xml:space="preserve">interviews </w:t>
      </w:r>
      <w:r w:rsidR="008677F5" w:rsidRPr="008677F5">
        <w:rPr>
          <w:rFonts w:ascii="Times New Roman" w:hAnsi="Times New Roman" w:cs="Times New Roman"/>
          <w:sz w:val="24"/>
          <w:szCs w:val="24"/>
        </w:rPr>
        <w:t xml:space="preserve">were </w:t>
      </w:r>
      <w:r w:rsidRPr="008677F5">
        <w:rPr>
          <w:rFonts w:ascii="Times New Roman" w:hAnsi="Times New Roman" w:cs="Times New Roman"/>
          <w:sz w:val="24"/>
          <w:szCs w:val="24"/>
        </w:rPr>
        <w:t>conducted face-to-</w:t>
      </w:r>
      <w:r w:rsidR="008677F5" w:rsidRPr="008677F5">
        <w:rPr>
          <w:rFonts w:ascii="Times New Roman" w:hAnsi="Times New Roman" w:cs="Times New Roman"/>
          <w:sz w:val="24"/>
          <w:szCs w:val="24"/>
        </w:rPr>
        <w:t xml:space="preserve">face or via secure video calls. The </w:t>
      </w:r>
      <w:r w:rsidRPr="008677F5">
        <w:rPr>
          <w:rFonts w:ascii="Times New Roman" w:hAnsi="Times New Roman" w:cs="Times New Roman"/>
          <w:sz w:val="24"/>
          <w:szCs w:val="24"/>
        </w:rPr>
        <w:t xml:space="preserve">interviews </w:t>
      </w:r>
      <w:r w:rsidR="008677F5" w:rsidRPr="008677F5">
        <w:rPr>
          <w:rFonts w:ascii="Times New Roman" w:hAnsi="Times New Roman" w:cs="Times New Roman"/>
          <w:sz w:val="24"/>
          <w:szCs w:val="24"/>
        </w:rPr>
        <w:t xml:space="preserve">that were audio-recorded were done </w:t>
      </w:r>
      <w:r w:rsidRPr="008677F5">
        <w:rPr>
          <w:rFonts w:ascii="Times New Roman" w:hAnsi="Times New Roman" w:cs="Times New Roman"/>
          <w:sz w:val="24"/>
          <w:szCs w:val="24"/>
        </w:rPr>
        <w:t>with consent and transcribed for analysis.</w:t>
      </w:r>
      <w:r w:rsidR="008677F5" w:rsidRPr="008677F5">
        <w:rPr>
          <w:rFonts w:ascii="Times New Roman" w:hAnsi="Times New Roman" w:cs="Times New Roman"/>
          <w:sz w:val="24"/>
          <w:szCs w:val="24"/>
        </w:rPr>
        <w:t xml:space="preserve"> The collected </w:t>
      </w:r>
      <w:r w:rsidR="008677F5" w:rsidRPr="00182B04">
        <w:rPr>
          <w:rStyle w:val="Strong"/>
          <w:rFonts w:ascii="Times New Roman" w:eastAsiaTheme="majorEastAsia" w:hAnsi="Times New Roman" w:cs="Times New Roman"/>
          <w:b w:val="0"/>
          <w:sz w:val="24"/>
          <w:szCs w:val="24"/>
        </w:rPr>
        <w:t>quantitative data were analysed via</w:t>
      </w:r>
      <w:r w:rsidR="008677F5" w:rsidRPr="00182B04">
        <w:rPr>
          <w:rFonts w:ascii="Times New Roman" w:hAnsi="Times New Roman" w:cs="Times New Roman"/>
          <w:b/>
          <w:sz w:val="24"/>
          <w:szCs w:val="24"/>
        </w:rPr>
        <w:t xml:space="preserve"> </w:t>
      </w:r>
      <w:r w:rsidR="008677F5" w:rsidRPr="00182B04">
        <w:rPr>
          <w:rStyle w:val="Strong"/>
          <w:rFonts w:ascii="Times New Roman" w:eastAsiaTheme="majorEastAsia" w:hAnsi="Times New Roman" w:cs="Times New Roman"/>
          <w:b w:val="0"/>
          <w:sz w:val="24"/>
          <w:szCs w:val="24"/>
        </w:rPr>
        <w:t>descriptive statistics</w:t>
      </w:r>
      <w:r w:rsidR="008677F5" w:rsidRPr="008677F5">
        <w:rPr>
          <w:rFonts w:ascii="Times New Roman" w:hAnsi="Times New Roman" w:cs="Times New Roman"/>
          <w:sz w:val="24"/>
          <w:szCs w:val="24"/>
        </w:rPr>
        <w:t xml:space="preserve"> (means, SDs, frequencies) to profile sample and GHRM adoption rates; while for the </w:t>
      </w:r>
      <w:r w:rsidR="008677F5" w:rsidRPr="00182B04">
        <w:rPr>
          <w:rStyle w:val="Strong"/>
          <w:rFonts w:ascii="Times New Roman" w:eastAsiaTheme="majorEastAsia" w:hAnsi="Times New Roman" w:cs="Times New Roman"/>
          <w:b w:val="0"/>
          <w:sz w:val="24"/>
          <w:szCs w:val="24"/>
        </w:rPr>
        <w:t>qualitative data</w:t>
      </w:r>
      <w:r w:rsidR="008677F5" w:rsidRPr="008677F5">
        <w:rPr>
          <w:rFonts w:ascii="Times New Roman" w:hAnsi="Times New Roman" w:cs="Times New Roman"/>
          <w:sz w:val="24"/>
          <w:szCs w:val="24"/>
        </w:rPr>
        <w:t>, thematic data analysis were used for (Braun &amp; Clarke, 2006) the interviews to identify barriers, enabling factors, and the organisational processes that facilitate or hinder GHRM implementation. Qualitative findings were used to contextualise and explain quantitative results.</w:t>
      </w:r>
    </w:p>
    <w:p w14:paraId="62F68EEC" w14:textId="77777777" w:rsidR="008677F5" w:rsidRDefault="008677F5" w:rsidP="008677F5">
      <w:pPr>
        <w:pStyle w:val="NoSpacing"/>
        <w:jc w:val="both"/>
        <w:rPr>
          <w:rFonts w:ascii="Times New Roman" w:hAnsi="Times New Roman" w:cs="Times New Roman"/>
          <w:sz w:val="24"/>
          <w:szCs w:val="24"/>
        </w:rPr>
      </w:pPr>
    </w:p>
    <w:p w14:paraId="27D5CDE0" w14:textId="77777777" w:rsidR="00273516" w:rsidRPr="008677F5" w:rsidRDefault="00273516" w:rsidP="008677F5">
      <w:pPr>
        <w:pStyle w:val="NoSpacing"/>
        <w:jc w:val="both"/>
        <w:rPr>
          <w:rFonts w:ascii="Times New Roman" w:hAnsi="Times New Roman" w:cs="Times New Roman"/>
          <w:sz w:val="24"/>
          <w:szCs w:val="24"/>
        </w:rPr>
      </w:pPr>
      <w:r w:rsidRPr="008677F5">
        <w:rPr>
          <w:rFonts w:ascii="Times New Roman" w:hAnsi="Times New Roman" w:cs="Times New Roman"/>
          <w:sz w:val="24"/>
          <w:szCs w:val="24"/>
        </w:rPr>
        <w:t>In terms of ethical considerations, the researchers obtained ethical approval from their institutional review board and from national or agency research committees; obtained informed consent for all participants with guarantee anonymity and confidentiality; secured storage of data (encrypted drives), de-identification of transcripts and aggregated reporting; and ensured the respect for public-sector protocols and any restrictions on sharing internal performance data.</w:t>
      </w:r>
    </w:p>
    <w:p w14:paraId="5047D18E" w14:textId="77777777" w:rsidR="0003231D" w:rsidRDefault="0003231D" w:rsidP="00E87239">
      <w:pPr>
        <w:pStyle w:val="NoSpacing"/>
        <w:jc w:val="both"/>
        <w:rPr>
          <w:rFonts w:ascii="Times New Roman" w:hAnsi="Times New Roman" w:cs="Times New Roman"/>
          <w:sz w:val="24"/>
          <w:szCs w:val="24"/>
        </w:rPr>
      </w:pPr>
    </w:p>
    <w:p w14:paraId="6E3F23DA" w14:textId="77777777" w:rsidR="009C496C" w:rsidRPr="009C496C" w:rsidRDefault="009C496C" w:rsidP="009C496C">
      <w:pPr>
        <w:rPr>
          <w:rFonts w:ascii="Times New Roman" w:hAnsi="Times New Roman" w:cs="Times New Roman"/>
          <w:b/>
          <w:sz w:val="24"/>
          <w:szCs w:val="24"/>
        </w:rPr>
      </w:pPr>
      <w:r w:rsidRPr="009C496C">
        <w:rPr>
          <w:rFonts w:ascii="Times New Roman" w:hAnsi="Times New Roman" w:cs="Times New Roman"/>
          <w:b/>
          <w:sz w:val="24"/>
          <w:szCs w:val="24"/>
        </w:rPr>
        <w:t>DATA PRESENTATION, ANALYSIS AND INTERPRETATION</w:t>
      </w:r>
    </w:p>
    <w:p w14:paraId="074F5849" w14:textId="77777777" w:rsidR="009C496C" w:rsidRPr="00726848" w:rsidRDefault="00726848" w:rsidP="00726848">
      <w:pPr>
        <w:pStyle w:val="NoSpacing"/>
        <w:jc w:val="both"/>
        <w:rPr>
          <w:rFonts w:ascii="Times New Roman" w:hAnsi="Times New Roman" w:cs="Times New Roman"/>
          <w:i/>
          <w:sz w:val="24"/>
          <w:szCs w:val="24"/>
        </w:rPr>
      </w:pPr>
      <w:r w:rsidRPr="005F18A8">
        <w:rPr>
          <w:rStyle w:val="Strong"/>
          <w:rFonts w:ascii="Times New Roman" w:hAnsi="Times New Roman" w:cs="Times New Roman"/>
          <w:bCs w:val="0"/>
          <w:sz w:val="24"/>
          <w:szCs w:val="24"/>
        </w:rPr>
        <w:t>Research Question 1:</w:t>
      </w:r>
      <w:r>
        <w:rPr>
          <w:rStyle w:val="Strong"/>
          <w:rFonts w:ascii="Times New Roman" w:hAnsi="Times New Roman" w:cs="Times New Roman"/>
          <w:b w:val="0"/>
          <w:bCs w:val="0"/>
          <w:sz w:val="24"/>
          <w:szCs w:val="24"/>
        </w:rPr>
        <w:t xml:space="preserve"> </w:t>
      </w:r>
      <w:r w:rsidR="009C496C" w:rsidRPr="00726848">
        <w:rPr>
          <w:rFonts w:ascii="Times New Roman" w:hAnsi="Times New Roman" w:cs="Times New Roman"/>
          <w:i/>
          <w:sz w:val="24"/>
          <w:szCs w:val="24"/>
        </w:rPr>
        <w:t>What is the level of adoption and implementation of Green Human Resource Management (GHRM) practices in North African public sector organisations?</w:t>
      </w:r>
    </w:p>
    <w:p w14:paraId="09FAA630" w14:textId="77777777" w:rsidR="00726848" w:rsidRDefault="00726848" w:rsidP="00726848">
      <w:pPr>
        <w:pStyle w:val="NoSpacing"/>
        <w:jc w:val="both"/>
        <w:rPr>
          <w:rFonts w:ascii="Times New Roman" w:hAnsi="Times New Roman" w:cs="Times New Roman"/>
          <w:sz w:val="24"/>
          <w:szCs w:val="24"/>
        </w:rPr>
      </w:pPr>
    </w:p>
    <w:p w14:paraId="6FC645B8" w14:textId="77777777" w:rsidR="009C496C" w:rsidRPr="00726848" w:rsidRDefault="009C496C" w:rsidP="00726848">
      <w:pPr>
        <w:pStyle w:val="NoSpacing"/>
        <w:jc w:val="both"/>
        <w:rPr>
          <w:rFonts w:ascii="Times New Roman" w:hAnsi="Times New Roman" w:cs="Times New Roman"/>
          <w:b/>
          <w:sz w:val="24"/>
          <w:szCs w:val="24"/>
        </w:rPr>
      </w:pPr>
      <w:r w:rsidRPr="00726848">
        <w:rPr>
          <w:rFonts w:ascii="Times New Roman" w:hAnsi="Times New Roman" w:cs="Times New Roman"/>
          <w:sz w:val="24"/>
          <w:szCs w:val="24"/>
        </w:rPr>
        <w:t xml:space="preserve">Data were obtained from </w:t>
      </w:r>
      <w:r w:rsidRPr="00726848">
        <w:rPr>
          <w:rStyle w:val="Strong"/>
          <w:rFonts w:ascii="Times New Roman" w:hAnsi="Times New Roman" w:cs="Times New Roman"/>
          <w:b w:val="0"/>
          <w:sz w:val="24"/>
          <w:szCs w:val="24"/>
        </w:rPr>
        <w:t>600 respondents</w:t>
      </w:r>
      <w:r w:rsidRPr="00726848">
        <w:rPr>
          <w:rFonts w:ascii="Times New Roman" w:hAnsi="Times New Roman" w:cs="Times New Roman"/>
          <w:sz w:val="24"/>
          <w:szCs w:val="24"/>
        </w:rPr>
        <w:t xml:space="preserve"> drawn from the public service sectors of five North African countries — Egypt, Morocco, Algeria, Tunisia, and Libya. Respondents were asked to indicate the extent to which their organisations implemented various </w:t>
      </w:r>
      <w:r w:rsidRPr="00726848">
        <w:rPr>
          <w:rStyle w:val="Strong"/>
          <w:rFonts w:ascii="Times New Roman" w:hAnsi="Times New Roman" w:cs="Times New Roman"/>
          <w:b w:val="0"/>
          <w:sz w:val="24"/>
          <w:szCs w:val="24"/>
        </w:rPr>
        <w:t xml:space="preserve">Green Human </w:t>
      </w:r>
      <w:r w:rsidRPr="00726848">
        <w:rPr>
          <w:rStyle w:val="Strong"/>
          <w:rFonts w:ascii="Times New Roman" w:hAnsi="Times New Roman" w:cs="Times New Roman"/>
          <w:b w:val="0"/>
          <w:sz w:val="24"/>
          <w:szCs w:val="24"/>
        </w:rPr>
        <w:lastRenderedPageBreak/>
        <w:t>Resource Management (GHRM)</w:t>
      </w:r>
      <w:r w:rsidRPr="00726848">
        <w:rPr>
          <w:rFonts w:ascii="Times New Roman" w:hAnsi="Times New Roman" w:cs="Times New Roman"/>
          <w:b/>
          <w:sz w:val="24"/>
          <w:szCs w:val="24"/>
        </w:rPr>
        <w:t xml:space="preserve"> </w:t>
      </w:r>
      <w:r w:rsidRPr="00726848">
        <w:rPr>
          <w:rFonts w:ascii="Times New Roman" w:hAnsi="Times New Roman" w:cs="Times New Roman"/>
          <w:sz w:val="24"/>
          <w:szCs w:val="24"/>
        </w:rPr>
        <w:t>practices such as</w:t>
      </w:r>
      <w:r w:rsidRPr="00726848">
        <w:rPr>
          <w:rFonts w:ascii="Times New Roman" w:hAnsi="Times New Roman" w:cs="Times New Roman"/>
          <w:b/>
          <w:sz w:val="24"/>
          <w:szCs w:val="24"/>
        </w:rPr>
        <w:t xml:space="preserve"> </w:t>
      </w:r>
      <w:r w:rsidRPr="00726848">
        <w:rPr>
          <w:rStyle w:val="Strong"/>
          <w:rFonts w:ascii="Times New Roman" w:hAnsi="Times New Roman" w:cs="Times New Roman"/>
          <w:b w:val="0"/>
          <w:sz w:val="24"/>
          <w:szCs w:val="24"/>
        </w:rPr>
        <w:t>green recruitment and selection</w:t>
      </w:r>
      <w:r w:rsidRPr="00726848">
        <w:rPr>
          <w:rFonts w:ascii="Times New Roman" w:hAnsi="Times New Roman" w:cs="Times New Roman"/>
          <w:b/>
          <w:sz w:val="24"/>
          <w:szCs w:val="24"/>
        </w:rPr>
        <w:t xml:space="preserve">, </w:t>
      </w:r>
      <w:r w:rsidRPr="00726848">
        <w:rPr>
          <w:rStyle w:val="Strong"/>
          <w:rFonts w:ascii="Times New Roman" w:hAnsi="Times New Roman" w:cs="Times New Roman"/>
          <w:b w:val="0"/>
          <w:sz w:val="24"/>
          <w:szCs w:val="24"/>
        </w:rPr>
        <w:t>green training and development</w:t>
      </w:r>
      <w:r w:rsidRPr="00726848">
        <w:rPr>
          <w:rFonts w:ascii="Times New Roman" w:hAnsi="Times New Roman" w:cs="Times New Roman"/>
          <w:b/>
          <w:sz w:val="24"/>
          <w:szCs w:val="24"/>
        </w:rPr>
        <w:t xml:space="preserve">, </w:t>
      </w:r>
      <w:r w:rsidRPr="00726848">
        <w:rPr>
          <w:rFonts w:ascii="Times New Roman" w:hAnsi="Times New Roman" w:cs="Times New Roman"/>
          <w:sz w:val="24"/>
          <w:szCs w:val="24"/>
        </w:rPr>
        <w:t xml:space="preserve">and </w:t>
      </w:r>
      <w:r w:rsidRPr="00726848">
        <w:rPr>
          <w:rStyle w:val="Strong"/>
          <w:rFonts w:ascii="Times New Roman" w:hAnsi="Times New Roman" w:cs="Times New Roman"/>
          <w:b w:val="0"/>
          <w:sz w:val="24"/>
          <w:szCs w:val="24"/>
        </w:rPr>
        <w:t>green performance appraisal</w:t>
      </w:r>
      <w:r w:rsidRPr="00726848">
        <w:rPr>
          <w:rFonts w:ascii="Times New Roman" w:hAnsi="Times New Roman" w:cs="Times New Roman"/>
          <w:b/>
          <w:sz w:val="24"/>
          <w:szCs w:val="24"/>
        </w:rPr>
        <w:t>.</w:t>
      </w:r>
    </w:p>
    <w:p w14:paraId="246D8C39" w14:textId="77777777" w:rsidR="009C496C" w:rsidRDefault="009C496C" w:rsidP="009C496C">
      <w:pPr>
        <w:pStyle w:val="NormalWeb"/>
      </w:pPr>
      <w:r>
        <w:t xml:space="preserve">Each item was rated on a </w:t>
      </w:r>
      <w:r w:rsidRPr="00726848">
        <w:rPr>
          <w:rStyle w:val="Strong"/>
          <w:b w:val="0"/>
        </w:rPr>
        <w:t>five-point Likert scale</w:t>
      </w:r>
      <w:r>
        <w:t xml:space="preserve"> (1 = strongly disagree, 5 = strongly agree). Descriptive statistics were computed to assess the average level of adoption of each GHRM component and the overall implementation index.</w:t>
      </w:r>
    </w:p>
    <w:p w14:paraId="19A91B3C" w14:textId="77777777" w:rsidR="00726848" w:rsidRPr="00726848" w:rsidRDefault="00726848" w:rsidP="00726848">
      <w:pPr>
        <w:pStyle w:val="NoSpacing"/>
        <w:jc w:val="both"/>
        <w:rPr>
          <w:rFonts w:ascii="Times New Roman" w:hAnsi="Times New Roman" w:cs="Times New Roman"/>
          <w:b/>
          <w:sz w:val="24"/>
          <w:szCs w:val="24"/>
        </w:rPr>
      </w:pPr>
      <w:r w:rsidRPr="00726848">
        <w:rPr>
          <w:rFonts w:ascii="Times New Roman" w:hAnsi="Times New Roman" w:cs="Times New Roman"/>
          <w:b/>
          <w:sz w:val="24"/>
          <w:szCs w:val="24"/>
        </w:rPr>
        <w:t>Table</w:t>
      </w:r>
      <w:r w:rsidR="00A947AD">
        <w:rPr>
          <w:rFonts w:ascii="Times New Roman" w:hAnsi="Times New Roman" w:cs="Times New Roman"/>
          <w:b/>
          <w:sz w:val="24"/>
          <w:szCs w:val="24"/>
        </w:rPr>
        <w:t xml:space="preserve"> -3</w:t>
      </w:r>
      <w:r w:rsidRPr="00726848">
        <w:rPr>
          <w:rFonts w:ascii="Times New Roman" w:hAnsi="Times New Roman" w:cs="Times New Roman"/>
          <w:b/>
          <w:sz w:val="24"/>
          <w:szCs w:val="24"/>
        </w:rPr>
        <w:t>: level of adoption and implementation of Green Human Resource Management (GHRM) practices in North African public sector organisations</w:t>
      </w:r>
    </w:p>
    <w:tbl>
      <w:tblPr>
        <w:tblStyle w:val="TableGridLight1"/>
        <w:tblW w:w="0" w:type="auto"/>
        <w:tblLook w:val="04A0" w:firstRow="1" w:lastRow="0" w:firstColumn="1" w:lastColumn="0" w:noHBand="0" w:noVBand="1"/>
      </w:tblPr>
      <w:tblGrid>
        <w:gridCol w:w="3523"/>
        <w:gridCol w:w="803"/>
        <w:gridCol w:w="636"/>
        <w:gridCol w:w="576"/>
        <w:gridCol w:w="1736"/>
      </w:tblGrid>
      <w:tr w:rsidR="009C496C" w:rsidRPr="00882B56" w14:paraId="5C2A48FF" w14:textId="77777777" w:rsidTr="009C496C">
        <w:tc>
          <w:tcPr>
            <w:tcW w:w="0" w:type="auto"/>
            <w:hideMark/>
          </w:tcPr>
          <w:p w14:paraId="07868CF0"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GHRM Dimension</w:t>
            </w:r>
          </w:p>
        </w:tc>
        <w:tc>
          <w:tcPr>
            <w:tcW w:w="0" w:type="auto"/>
            <w:hideMark/>
          </w:tcPr>
          <w:p w14:paraId="4FD9993F"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Mean</w:t>
            </w:r>
          </w:p>
        </w:tc>
        <w:tc>
          <w:tcPr>
            <w:tcW w:w="0" w:type="auto"/>
            <w:hideMark/>
          </w:tcPr>
          <w:p w14:paraId="69D8D95B"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SD</w:t>
            </w:r>
          </w:p>
        </w:tc>
        <w:tc>
          <w:tcPr>
            <w:tcW w:w="0" w:type="auto"/>
            <w:hideMark/>
          </w:tcPr>
          <w:p w14:paraId="3F175F3C"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N</w:t>
            </w:r>
          </w:p>
        </w:tc>
        <w:tc>
          <w:tcPr>
            <w:tcW w:w="0" w:type="auto"/>
            <w:hideMark/>
          </w:tcPr>
          <w:p w14:paraId="7EAD5F34"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Interpretation</w:t>
            </w:r>
          </w:p>
        </w:tc>
      </w:tr>
      <w:tr w:rsidR="009C496C" w:rsidRPr="00882B56" w14:paraId="54C360FE" w14:textId="77777777" w:rsidTr="009C496C">
        <w:tc>
          <w:tcPr>
            <w:tcW w:w="0" w:type="auto"/>
            <w:hideMark/>
          </w:tcPr>
          <w:p w14:paraId="5D3F4942"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Recruitment and Selection</w:t>
            </w:r>
          </w:p>
        </w:tc>
        <w:tc>
          <w:tcPr>
            <w:tcW w:w="0" w:type="auto"/>
            <w:hideMark/>
          </w:tcPr>
          <w:p w14:paraId="5FEA5506"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3.00</w:t>
            </w:r>
          </w:p>
        </w:tc>
        <w:tc>
          <w:tcPr>
            <w:tcW w:w="0" w:type="auto"/>
            <w:hideMark/>
          </w:tcPr>
          <w:p w14:paraId="3BCC9E2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0.80</w:t>
            </w:r>
          </w:p>
        </w:tc>
        <w:tc>
          <w:tcPr>
            <w:tcW w:w="0" w:type="auto"/>
            <w:hideMark/>
          </w:tcPr>
          <w:p w14:paraId="33DCD367"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39A6F2F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Moderate</w:t>
            </w:r>
          </w:p>
        </w:tc>
      </w:tr>
      <w:tr w:rsidR="009C496C" w:rsidRPr="00882B56" w14:paraId="4840FBF1" w14:textId="77777777" w:rsidTr="009C496C">
        <w:tc>
          <w:tcPr>
            <w:tcW w:w="0" w:type="auto"/>
            <w:hideMark/>
          </w:tcPr>
          <w:p w14:paraId="666CCEC2"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Training and Development</w:t>
            </w:r>
          </w:p>
        </w:tc>
        <w:tc>
          <w:tcPr>
            <w:tcW w:w="0" w:type="auto"/>
            <w:hideMark/>
          </w:tcPr>
          <w:p w14:paraId="7744C43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3.40</w:t>
            </w:r>
          </w:p>
        </w:tc>
        <w:tc>
          <w:tcPr>
            <w:tcW w:w="0" w:type="auto"/>
            <w:hideMark/>
          </w:tcPr>
          <w:p w14:paraId="24274BDE"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0.70</w:t>
            </w:r>
          </w:p>
        </w:tc>
        <w:tc>
          <w:tcPr>
            <w:tcW w:w="0" w:type="auto"/>
            <w:hideMark/>
          </w:tcPr>
          <w:p w14:paraId="129642D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298E042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Moderate–High</w:t>
            </w:r>
          </w:p>
        </w:tc>
      </w:tr>
      <w:tr w:rsidR="009C496C" w:rsidRPr="00882B56" w14:paraId="25D1C01D" w14:textId="77777777" w:rsidTr="009C496C">
        <w:tc>
          <w:tcPr>
            <w:tcW w:w="0" w:type="auto"/>
            <w:hideMark/>
          </w:tcPr>
          <w:p w14:paraId="000E2ED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Performance Appraisal</w:t>
            </w:r>
          </w:p>
        </w:tc>
        <w:tc>
          <w:tcPr>
            <w:tcW w:w="0" w:type="auto"/>
            <w:hideMark/>
          </w:tcPr>
          <w:p w14:paraId="3B286D63"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2.80</w:t>
            </w:r>
          </w:p>
        </w:tc>
        <w:tc>
          <w:tcPr>
            <w:tcW w:w="0" w:type="auto"/>
            <w:hideMark/>
          </w:tcPr>
          <w:p w14:paraId="18F9430A"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0.90</w:t>
            </w:r>
          </w:p>
        </w:tc>
        <w:tc>
          <w:tcPr>
            <w:tcW w:w="0" w:type="auto"/>
            <w:hideMark/>
          </w:tcPr>
          <w:p w14:paraId="2D8D901B"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2ADE1B8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Low–Moderate</w:t>
            </w:r>
          </w:p>
        </w:tc>
      </w:tr>
      <w:tr w:rsidR="009C496C" w:rsidRPr="00882B56" w14:paraId="08A66011" w14:textId="77777777" w:rsidTr="009C496C">
        <w:tc>
          <w:tcPr>
            <w:tcW w:w="0" w:type="auto"/>
            <w:hideMark/>
          </w:tcPr>
          <w:p w14:paraId="7AC3DE5D"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Overall GHRM Implementation</w:t>
            </w:r>
          </w:p>
        </w:tc>
        <w:tc>
          <w:tcPr>
            <w:tcW w:w="0" w:type="auto"/>
            <w:hideMark/>
          </w:tcPr>
          <w:p w14:paraId="4736A114"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3.10</w:t>
            </w:r>
          </w:p>
        </w:tc>
        <w:tc>
          <w:tcPr>
            <w:tcW w:w="0" w:type="auto"/>
            <w:hideMark/>
          </w:tcPr>
          <w:p w14:paraId="15CE498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0.78</w:t>
            </w:r>
          </w:p>
        </w:tc>
        <w:tc>
          <w:tcPr>
            <w:tcW w:w="0" w:type="auto"/>
            <w:hideMark/>
          </w:tcPr>
          <w:p w14:paraId="25E73136"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600</w:t>
            </w:r>
          </w:p>
        </w:tc>
        <w:tc>
          <w:tcPr>
            <w:tcW w:w="0" w:type="auto"/>
            <w:hideMark/>
          </w:tcPr>
          <w:p w14:paraId="3157997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Moderate</w:t>
            </w:r>
          </w:p>
        </w:tc>
      </w:tr>
    </w:tbl>
    <w:p w14:paraId="71C021BF" w14:textId="77777777" w:rsidR="009C496C" w:rsidRDefault="00726848"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72DB97B7" w14:textId="77777777" w:rsidR="009C496C" w:rsidRPr="00726848" w:rsidRDefault="009C496C" w:rsidP="00726848">
      <w:pPr>
        <w:pStyle w:val="NoSpacing"/>
        <w:jc w:val="both"/>
        <w:rPr>
          <w:rFonts w:ascii="Times New Roman" w:hAnsi="Times New Roman" w:cs="Times New Roman"/>
          <w:sz w:val="24"/>
          <w:szCs w:val="24"/>
          <w:lang w:eastAsia="en-GB"/>
        </w:rPr>
      </w:pPr>
      <w:r w:rsidRPr="00726848">
        <w:rPr>
          <w:rFonts w:ascii="Times New Roman" w:hAnsi="Times New Roman" w:cs="Times New Roman"/>
          <w:sz w:val="24"/>
          <w:szCs w:val="24"/>
          <w:lang w:eastAsia="en-GB"/>
        </w:rPr>
        <w:t xml:space="preserve">The results show that the overall mean score for GHRM practices across the public sector in North Africa was </w:t>
      </w:r>
      <w:r w:rsidRPr="00170488">
        <w:rPr>
          <w:rFonts w:ascii="Times New Roman" w:hAnsi="Times New Roman" w:cs="Times New Roman"/>
          <w:bCs/>
          <w:sz w:val="24"/>
          <w:szCs w:val="24"/>
          <w:lang w:eastAsia="en-GB"/>
        </w:rPr>
        <w:t>3.10 (SD = 0.78)</w:t>
      </w:r>
      <w:r w:rsidRPr="00170488">
        <w:rPr>
          <w:rFonts w:ascii="Times New Roman" w:hAnsi="Times New Roman" w:cs="Times New Roman"/>
          <w:sz w:val="24"/>
          <w:szCs w:val="24"/>
          <w:lang w:eastAsia="en-GB"/>
        </w:rPr>
        <w:t>,</w:t>
      </w:r>
      <w:r w:rsidRPr="00726848">
        <w:rPr>
          <w:rFonts w:ascii="Times New Roman" w:hAnsi="Times New Roman" w:cs="Times New Roman"/>
          <w:sz w:val="24"/>
          <w:szCs w:val="24"/>
          <w:lang w:eastAsia="en-GB"/>
        </w:rPr>
        <w:t xml:space="preserve"> signifying a </w:t>
      </w:r>
      <w:r w:rsidRPr="00726848">
        <w:rPr>
          <w:rFonts w:ascii="Times New Roman" w:hAnsi="Times New Roman" w:cs="Times New Roman"/>
          <w:bCs/>
          <w:sz w:val="24"/>
          <w:szCs w:val="24"/>
          <w:lang w:eastAsia="en-GB"/>
        </w:rPr>
        <w:t>moderate level of implementation</w:t>
      </w:r>
      <w:r w:rsidRPr="00726848">
        <w:rPr>
          <w:rFonts w:ascii="Times New Roman" w:hAnsi="Times New Roman" w:cs="Times New Roman"/>
          <w:sz w:val="24"/>
          <w:szCs w:val="24"/>
          <w:lang w:eastAsia="en-GB"/>
        </w:rPr>
        <w:t xml:space="preserve">. Among the specific practices, </w:t>
      </w:r>
      <w:r w:rsidRPr="00726848">
        <w:rPr>
          <w:rFonts w:ascii="Times New Roman" w:hAnsi="Times New Roman" w:cs="Times New Roman"/>
          <w:bCs/>
          <w:sz w:val="24"/>
          <w:szCs w:val="24"/>
          <w:lang w:eastAsia="en-GB"/>
        </w:rPr>
        <w:t>green training and development</w:t>
      </w:r>
      <w:r w:rsidRPr="00726848">
        <w:rPr>
          <w:rFonts w:ascii="Times New Roman" w:hAnsi="Times New Roman" w:cs="Times New Roman"/>
          <w:sz w:val="24"/>
          <w:szCs w:val="24"/>
          <w:lang w:eastAsia="en-GB"/>
        </w:rPr>
        <w:t xml:space="preserve"> recorded the highest adoption, while </w:t>
      </w:r>
      <w:r w:rsidRPr="00726848">
        <w:rPr>
          <w:rFonts w:ascii="Times New Roman" w:hAnsi="Times New Roman" w:cs="Times New Roman"/>
          <w:bCs/>
          <w:sz w:val="24"/>
          <w:szCs w:val="24"/>
          <w:lang w:eastAsia="en-GB"/>
        </w:rPr>
        <w:t>green performance appraisal</w:t>
      </w:r>
      <w:r w:rsidRPr="00726848">
        <w:rPr>
          <w:rFonts w:ascii="Times New Roman" w:hAnsi="Times New Roman" w:cs="Times New Roman"/>
          <w:sz w:val="24"/>
          <w:szCs w:val="24"/>
          <w:lang w:eastAsia="en-GB"/>
        </w:rPr>
        <w:t xml:space="preserve"> recorded the lowest. This implies that environmental capacity-building initiatives are more commonly pursued than HR performance mechanisms that link environmental goals to staff evaluation.</w:t>
      </w:r>
    </w:p>
    <w:p w14:paraId="6D584715" w14:textId="77777777" w:rsidR="00726848" w:rsidRDefault="00726848" w:rsidP="00726848">
      <w:pPr>
        <w:pStyle w:val="NoSpacing"/>
        <w:jc w:val="both"/>
        <w:rPr>
          <w:rFonts w:ascii="Times New Roman" w:hAnsi="Times New Roman" w:cs="Times New Roman"/>
          <w:sz w:val="24"/>
          <w:szCs w:val="24"/>
          <w:lang w:eastAsia="en-GB"/>
        </w:rPr>
      </w:pPr>
    </w:p>
    <w:p w14:paraId="6EABD75A" w14:textId="77777777" w:rsidR="009C496C" w:rsidRPr="00726848" w:rsidRDefault="009C496C" w:rsidP="00726848">
      <w:pPr>
        <w:pStyle w:val="NoSpacing"/>
        <w:jc w:val="both"/>
        <w:rPr>
          <w:rFonts w:ascii="Times New Roman" w:hAnsi="Times New Roman" w:cs="Times New Roman"/>
          <w:sz w:val="24"/>
          <w:szCs w:val="24"/>
          <w:lang w:eastAsia="en-GB"/>
        </w:rPr>
      </w:pPr>
      <w:r w:rsidRPr="00726848">
        <w:rPr>
          <w:rFonts w:ascii="Times New Roman" w:hAnsi="Times New Roman" w:cs="Times New Roman"/>
          <w:sz w:val="24"/>
          <w:szCs w:val="24"/>
          <w:lang w:eastAsia="en-GB"/>
        </w:rPr>
        <w:t xml:space="preserve">A graphical trend (not shown here) also indicated notable cross-country variation, with relatively higher adoption levels reported in </w:t>
      </w:r>
      <w:r w:rsidRPr="00726848">
        <w:rPr>
          <w:rFonts w:ascii="Times New Roman" w:hAnsi="Times New Roman" w:cs="Times New Roman"/>
          <w:bCs/>
          <w:sz w:val="24"/>
          <w:szCs w:val="24"/>
          <w:lang w:eastAsia="en-GB"/>
        </w:rPr>
        <w:t>Morocco and Egypt</w:t>
      </w:r>
      <w:r w:rsidRPr="00726848">
        <w:rPr>
          <w:rFonts w:ascii="Times New Roman" w:hAnsi="Times New Roman" w:cs="Times New Roman"/>
          <w:sz w:val="24"/>
          <w:szCs w:val="24"/>
          <w:lang w:eastAsia="en-GB"/>
        </w:rPr>
        <w:t xml:space="preserve">, and lower levels in </w:t>
      </w:r>
      <w:r w:rsidRPr="00726848">
        <w:rPr>
          <w:rFonts w:ascii="Times New Roman" w:hAnsi="Times New Roman" w:cs="Times New Roman"/>
          <w:bCs/>
          <w:sz w:val="24"/>
          <w:szCs w:val="24"/>
          <w:lang w:eastAsia="en-GB"/>
        </w:rPr>
        <w:t>Libya and Tunisia</w:t>
      </w:r>
      <w:r w:rsidRPr="00726848">
        <w:rPr>
          <w:rFonts w:ascii="Times New Roman" w:hAnsi="Times New Roman" w:cs="Times New Roman"/>
          <w:sz w:val="24"/>
          <w:szCs w:val="24"/>
          <w:lang w:eastAsia="en-GB"/>
        </w:rPr>
        <w:t>.</w:t>
      </w:r>
    </w:p>
    <w:p w14:paraId="51719919" w14:textId="77777777" w:rsidR="002262E0" w:rsidRDefault="002262E0" w:rsidP="002262E0">
      <w:pPr>
        <w:pStyle w:val="NoSpacing"/>
        <w:jc w:val="both"/>
        <w:rPr>
          <w:rStyle w:val="Strong"/>
          <w:rFonts w:ascii="Times New Roman" w:hAnsi="Times New Roman" w:cs="Times New Roman"/>
          <w:b w:val="0"/>
          <w:bCs w:val="0"/>
          <w:sz w:val="24"/>
          <w:szCs w:val="24"/>
        </w:rPr>
      </w:pPr>
    </w:p>
    <w:p w14:paraId="0E0B223C" w14:textId="77777777" w:rsidR="009C496C" w:rsidRPr="00932B11" w:rsidRDefault="00932B11" w:rsidP="00932B11">
      <w:pPr>
        <w:pStyle w:val="NoSpacing"/>
        <w:jc w:val="both"/>
        <w:rPr>
          <w:rFonts w:ascii="Times New Roman" w:hAnsi="Times New Roman" w:cs="Times New Roman"/>
          <w:sz w:val="24"/>
          <w:szCs w:val="24"/>
        </w:rPr>
      </w:pPr>
      <w:r w:rsidRPr="00932B11">
        <w:rPr>
          <w:rStyle w:val="Strong"/>
          <w:rFonts w:ascii="Times New Roman" w:hAnsi="Times New Roman" w:cs="Times New Roman"/>
          <w:bCs w:val="0"/>
          <w:sz w:val="24"/>
          <w:szCs w:val="24"/>
        </w:rPr>
        <w:t>Research Question 2:</w:t>
      </w:r>
      <w:r>
        <w:rPr>
          <w:rStyle w:val="Strong"/>
          <w:rFonts w:ascii="Times New Roman" w:hAnsi="Times New Roman" w:cs="Times New Roman"/>
          <w:b w:val="0"/>
          <w:bCs w:val="0"/>
          <w:sz w:val="24"/>
          <w:szCs w:val="24"/>
        </w:rPr>
        <w:t xml:space="preserve"> </w:t>
      </w:r>
      <w:r w:rsidR="009C496C" w:rsidRPr="00932B11">
        <w:rPr>
          <w:rFonts w:ascii="Times New Roman" w:hAnsi="Times New Roman" w:cs="Times New Roman"/>
          <w:i/>
          <w:sz w:val="24"/>
          <w:szCs w:val="24"/>
        </w:rPr>
        <w:t>What is the relationship between Green Human Resource Management (GHRM) practices and employees’ pro-environmental behaviour in North African public service organisations?</w:t>
      </w:r>
    </w:p>
    <w:p w14:paraId="5C2D1C94" w14:textId="77777777" w:rsidR="00932B11" w:rsidRDefault="00932B11" w:rsidP="00932B11">
      <w:pPr>
        <w:pStyle w:val="NoSpacing"/>
        <w:rPr>
          <w:rStyle w:val="Strong"/>
          <w:rFonts w:ascii="Times New Roman" w:hAnsi="Times New Roman" w:cs="Times New Roman"/>
          <w:bCs w:val="0"/>
          <w:i/>
          <w:sz w:val="24"/>
          <w:szCs w:val="24"/>
        </w:rPr>
      </w:pPr>
    </w:p>
    <w:p w14:paraId="49AE503A" w14:textId="77777777" w:rsidR="009C496C" w:rsidRPr="00932B11" w:rsidRDefault="009C496C" w:rsidP="00932B11">
      <w:pPr>
        <w:pStyle w:val="NoSpacing"/>
        <w:rPr>
          <w:rFonts w:ascii="Times New Roman" w:hAnsi="Times New Roman" w:cs="Times New Roman"/>
          <w:i/>
          <w:sz w:val="24"/>
          <w:szCs w:val="24"/>
        </w:rPr>
      </w:pPr>
      <w:r w:rsidRPr="00932B11">
        <w:rPr>
          <w:rStyle w:val="Strong"/>
          <w:rFonts w:ascii="Times New Roman" w:hAnsi="Times New Roman" w:cs="Times New Roman"/>
          <w:bCs w:val="0"/>
          <w:i/>
          <w:sz w:val="24"/>
          <w:szCs w:val="24"/>
        </w:rPr>
        <w:t>Data Presentation</w:t>
      </w:r>
    </w:p>
    <w:p w14:paraId="3F48A194" w14:textId="77777777" w:rsidR="009C496C" w:rsidRDefault="009C496C" w:rsidP="00932B11">
      <w:pPr>
        <w:pStyle w:val="NormalWeb"/>
        <w:jc w:val="both"/>
      </w:pPr>
      <w:r>
        <w:t xml:space="preserve">Data were collected from </w:t>
      </w:r>
      <w:r w:rsidRPr="00170488">
        <w:rPr>
          <w:rStyle w:val="Strong"/>
          <w:b w:val="0"/>
        </w:rPr>
        <w:t>600</w:t>
      </w:r>
      <w:r>
        <w:rPr>
          <w:rStyle w:val="Strong"/>
        </w:rPr>
        <w:t xml:space="preserve"> </w:t>
      </w:r>
      <w:r w:rsidRPr="00D3356C">
        <w:rPr>
          <w:rStyle w:val="Strong"/>
          <w:b w:val="0"/>
        </w:rPr>
        <w:t>civil servants</w:t>
      </w:r>
      <w:r>
        <w:t xml:space="preserve"> drawn from ministries and agencies across </w:t>
      </w:r>
      <w:r w:rsidRPr="00D3356C">
        <w:rPr>
          <w:rStyle w:val="Strong"/>
          <w:b w:val="0"/>
        </w:rPr>
        <w:t>Egypt, Morocco, Algeria, Tunisia, and Libya</w:t>
      </w:r>
      <w:r>
        <w:t>. Each respondent rated their perception of the implementation of GHRM practices and their own pro-environmental behaviours (PEB) using a 5-point Likert scale (1 = strongly disagree; 5 = strongly agree).</w:t>
      </w:r>
    </w:p>
    <w:p w14:paraId="606B82CE" w14:textId="77777777" w:rsidR="009C496C" w:rsidRDefault="009C496C" w:rsidP="00932B11">
      <w:pPr>
        <w:pStyle w:val="NormalWeb"/>
        <w:jc w:val="both"/>
      </w:pPr>
      <w:r>
        <w:t xml:space="preserve">The overall mean score for </w:t>
      </w:r>
      <w:r w:rsidRPr="00D3356C">
        <w:rPr>
          <w:rStyle w:val="Strong"/>
          <w:b w:val="0"/>
        </w:rPr>
        <w:t>GHRM practices</w:t>
      </w:r>
      <w:r w:rsidRPr="00D3356C">
        <w:rPr>
          <w:b/>
        </w:rPr>
        <w:t xml:space="preserve"> </w:t>
      </w:r>
      <w:r w:rsidRPr="00D3356C">
        <w:t>was</w:t>
      </w:r>
      <w:r w:rsidRPr="00D3356C">
        <w:rPr>
          <w:b/>
        </w:rPr>
        <w:t xml:space="preserve"> </w:t>
      </w:r>
      <w:r w:rsidRPr="00170488">
        <w:rPr>
          <w:rStyle w:val="Strong"/>
          <w:b w:val="0"/>
        </w:rPr>
        <w:t>3.10 (SD = 0.78)</w:t>
      </w:r>
      <w:r w:rsidRPr="00170488">
        <w:rPr>
          <w:b/>
        </w:rPr>
        <w:t>,</w:t>
      </w:r>
      <w:r>
        <w:t xml:space="preserve"> indicating moderate adoption across the region. In contrast, the mean score for </w:t>
      </w:r>
      <w:r w:rsidRPr="00D3356C">
        <w:rPr>
          <w:rStyle w:val="Strong"/>
          <w:b w:val="0"/>
        </w:rPr>
        <w:t>pro-environmental behaviour</w:t>
      </w:r>
      <w:r>
        <w:t xml:space="preserve"> was </w:t>
      </w:r>
      <w:r w:rsidRPr="00170488">
        <w:rPr>
          <w:rStyle w:val="Strong"/>
          <w:b w:val="0"/>
        </w:rPr>
        <w:t>2.28 (SD = 0.64)</w:t>
      </w:r>
      <w:r w:rsidRPr="00170488">
        <w:rPr>
          <w:b/>
        </w:rPr>
        <w:t>,</w:t>
      </w:r>
      <w:r>
        <w:t xml:space="preserve"> reflecting relatively low individual participation in workplace environmental initiatives. This suggests that while institutional frameworks for greening HRM are emerging, employee-level eco-behaviour remains limited in scope and consistency.</w:t>
      </w:r>
    </w:p>
    <w:p w14:paraId="17860316" w14:textId="77777777" w:rsidR="007A1CCD" w:rsidRPr="007A1CCD" w:rsidRDefault="007A1CCD" w:rsidP="007A1CCD">
      <w:pPr>
        <w:pStyle w:val="NoSpacing"/>
        <w:jc w:val="both"/>
        <w:rPr>
          <w:rFonts w:ascii="Times New Roman" w:hAnsi="Times New Roman" w:cs="Times New Roman"/>
          <w:b/>
          <w:sz w:val="24"/>
          <w:szCs w:val="24"/>
        </w:rPr>
      </w:pPr>
      <w:r w:rsidRPr="007A1CCD">
        <w:rPr>
          <w:rFonts w:ascii="Times New Roman" w:hAnsi="Times New Roman" w:cs="Times New Roman"/>
          <w:b/>
          <w:sz w:val="24"/>
          <w:szCs w:val="24"/>
        </w:rPr>
        <w:t>Table</w:t>
      </w:r>
      <w:r w:rsidR="00A947AD">
        <w:rPr>
          <w:rFonts w:ascii="Times New Roman" w:hAnsi="Times New Roman" w:cs="Times New Roman"/>
          <w:b/>
          <w:sz w:val="24"/>
          <w:szCs w:val="24"/>
        </w:rPr>
        <w:t xml:space="preserve"> 4</w:t>
      </w:r>
      <w:r w:rsidRPr="007A1CCD">
        <w:rPr>
          <w:rFonts w:ascii="Times New Roman" w:hAnsi="Times New Roman" w:cs="Times New Roman"/>
          <w:b/>
          <w:sz w:val="24"/>
          <w:szCs w:val="24"/>
        </w:rPr>
        <w:t>: Relationship between Green Human Resource Management (GHRM) practices and employees’ pro-environmental behaviour in North African public service organisations</w:t>
      </w:r>
    </w:p>
    <w:tbl>
      <w:tblPr>
        <w:tblStyle w:val="TableGridLight1"/>
        <w:tblW w:w="0" w:type="auto"/>
        <w:tblLook w:val="04A0" w:firstRow="1" w:lastRow="0" w:firstColumn="1" w:lastColumn="0" w:noHBand="0" w:noVBand="1"/>
      </w:tblPr>
      <w:tblGrid>
        <w:gridCol w:w="4788"/>
        <w:gridCol w:w="810"/>
        <w:gridCol w:w="720"/>
        <w:gridCol w:w="810"/>
      </w:tblGrid>
      <w:tr w:rsidR="009C496C" w:rsidRPr="00882B56" w14:paraId="50A8C78C" w14:textId="77777777" w:rsidTr="00220EED">
        <w:tc>
          <w:tcPr>
            <w:tcW w:w="4788" w:type="dxa"/>
            <w:hideMark/>
          </w:tcPr>
          <w:p w14:paraId="0B312C33"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Variable</w:t>
            </w:r>
          </w:p>
        </w:tc>
        <w:tc>
          <w:tcPr>
            <w:tcW w:w="810" w:type="dxa"/>
            <w:hideMark/>
          </w:tcPr>
          <w:p w14:paraId="787965C2"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Mean</w:t>
            </w:r>
          </w:p>
        </w:tc>
        <w:tc>
          <w:tcPr>
            <w:tcW w:w="720" w:type="dxa"/>
            <w:hideMark/>
          </w:tcPr>
          <w:p w14:paraId="6441BD62"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SD</w:t>
            </w:r>
          </w:p>
        </w:tc>
        <w:tc>
          <w:tcPr>
            <w:tcW w:w="810" w:type="dxa"/>
            <w:hideMark/>
          </w:tcPr>
          <w:p w14:paraId="490B46D2"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N</w:t>
            </w:r>
          </w:p>
        </w:tc>
      </w:tr>
      <w:tr w:rsidR="009C496C" w:rsidRPr="00882B56" w14:paraId="6DA7EF71" w14:textId="77777777" w:rsidTr="00220EED">
        <w:tc>
          <w:tcPr>
            <w:tcW w:w="4788" w:type="dxa"/>
            <w:hideMark/>
          </w:tcPr>
          <w:p w14:paraId="75FC16DB"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GHRM Practices</w:t>
            </w:r>
          </w:p>
        </w:tc>
        <w:tc>
          <w:tcPr>
            <w:tcW w:w="810" w:type="dxa"/>
            <w:hideMark/>
          </w:tcPr>
          <w:p w14:paraId="6305B6F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3.10</w:t>
            </w:r>
          </w:p>
        </w:tc>
        <w:tc>
          <w:tcPr>
            <w:tcW w:w="720" w:type="dxa"/>
            <w:hideMark/>
          </w:tcPr>
          <w:p w14:paraId="6D48C85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0.78</w:t>
            </w:r>
          </w:p>
        </w:tc>
        <w:tc>
          <w:tcPr>
            <w:tcW w:w="810" w:type="dxa"/>
            <w:hideMark/>
          </w:tcPr>
          <w:p w14:paraId="1C39BA2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r>
      <w:tr w:rsidR="009C496C" w:rsidRPr="00882B56" w14:paraId="0B11FD34" w14:textId="77777777" w:rsidTr="00220EED">
        <w:tc>
          <w:tcPr>
            <w:tcW w:w="4788" w:type="dxa"/>
            <w:hideMark/>
          </w:tcPr>
          <w:p w14:paraId="5E99AA8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Pro-Environmental Behaviour (PEB)</w:t>
            </w:r>
          </w:p>
        </w:tc>
        <w:tc>
          <w:tcPr>
            <w:tcW w:w="810" w:type="dxa"/>
            <w:hideMark/>
          </w:tcPr>
          <w:p w14:paraId="482ED26E"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2.28</w:t>
            </w:r>
          </w:p>
        </w:tc>
        <w:tc>
          <w:tcPr>
            <w:tcW w:w="720" w:type="dxa"/>
            <w:hideMark/>
          </w:tcPr>
          <w:p w14:paraId="474BAF4F"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0.64</w:t>
            </w:r>
          </w:p>
        </w:tc>
        <w:tc>
          <w:tcPr>
            <w:tcW w:w="810" w:type="dxa"/>
            <w:hideMark/>
          </w:tcPr>
          <w:p w14:paraId="3D91526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r>
    </w:tbl>
    <w:p w14:paraId="4C2B5C94" w14:textId="77777777" w:rsidR="009C496C" w:rsidRDefault="007A1CCD" w:rsidP="009C496C">
      <w:pPr>
        <w:rPr>
          <w:rFonts w:ascii="Times New Roman" w:hAnsi="Times New Roman" w:cs="Times New Roman"/>
          <w:b/>
          <w:sz w:val="24"/>
          <w:szCs w:val="24"/>
        </w:rPr>
      </w:pPr>
      <w:r>
        <w:rPr>
          <w:rFonts w:ascii="Times New Roman" w:hAnsi="Times New Roman" w:cs="Times New Roman"/>
          <w:b/>
          <w:sz w:val="24"/>
          <w:szCs w:val="24"/>
        </w:rPr>
        <w:lastRenderedPageBreak/>
        <w:t>Source: Survey Report, 2026</w:t>
      </w:r>
    </w:p>
    <w:p w14:paraId="368B6572" w14:textId="77777777" w:rsidR="009C496C" w:rsidRPr="007A1CCD" w:rsidRDefault="009C496C" w:rsidP="007A1CCD">
      <w:pPr>
        <w:jc w:val="both"/>
        <w:rPr>
          <w:rFonts w:ascii="Times New Roman" w:hAnsi="Times New Roman" w:cs="Times New Roman"/>
          <w:sz w:val="24"/>
          <w:szCs w:val="24"/>
        </w:rPr>
      </w:pPr>
      <w:r w:rsidRPr="007A1CCD">
        <w:rPr>
          <w:rFonts w:ascii="Times New Roman" w:hAnsi="Times New Roman" w:cs="Times New Roman"/>
          <w:sz w:val="24"/>
          <w:szCs w:val="24"/>
        </w:rPr>
        <w:t>A scatter plot analysis revealed a clear positive linear trend, showing that higher implementation of GHRM practices corresponds with higher employee engagement in pro-environmental actions.</w:t>
      </w:r>
    </w:p>
    <w:p w14:paraId="1CBF8B6D" w14:textId="77777777" w:rsidR="009C496C" w:rsidRPr="006C2BD0" w:rsidRDefault="006C2BD0" w:rsidP="006C2BD0">
      <w:pPr>
        <w:pStyle w:val="NoSpacing"/>
        <w:jc w:val="both"/>
        <w:rPr>
          <w:rFonts w:ascii="Times New Roman" w:hAnsi="Times New Roman" w:cs="Times New Roman"/>
          <w:sz w:val="24"/>
          <w:szCs w:val="24"/>
        </w:rPr>
      </w:pPr>
      <w:r w:rsidRPr="005F18A8">
        <w:rPr>
          <w:rStyle w:val="Strong"/>
          <w:rFonts w:ascii="Times New Roman" w:hAnsi="Times New Roman" w:cs="Times New Roman"/>
          <w:bCs w:val="0"/>
          <w:sz w:val="24"/>
          <w:szCs w:val="24"/>
        </w:rPr>
        <w:t>Research Question 3</w:t>
      </w:r>
      <w:r>
        <w:rPr>
          <w:rStyle w:val="Strong"/>
          <w:rFonts w:ascii="Times New Roman" w:hAnsi="Times New Roman" w:cs="Times New Roman"/>
          <w:b w:val="0"/>
          <w:bCs w:val="0"/>
          <w:sz w:val="24"/>
          <w:szCs w:val="24"/>
        </w:rPr>
        <w:t xml:space="preserve">: </w:t>
      </w:r>
      <w:r w:rsidR="009C496C" w:rsidRPr="006C2BD0">
        <w:rPr>
          <w:rFonts w:ascii="Times New Roman" w:hAnsi="Times New Roman" w:cs="Times New Roman"/>
          <w:i/>
          <w:sz w:val="24"/>
          <w:szCs w:val="24"/>
        </w:rPr>
        <w:t>To what extent do Green Human Resource Management (GHRM) practices contribute to environmental sustainability outcomes in public sector organisations across North Africa?</w:t>
      </w:r>
    </w:p>
    <w:p w14:paraId="7B54933C" w14:textId="77777777" w:rsidR="006C2BD0" w:rsidRDefault="006C2BD0" w:rsidP="006C2BD0">
      <w:pPr>
        <w:pStyle w:val="NoSpacing"/>
        <w:rPr>
          <w:rStyle w:val="Strong"/>
          <w:rFonts w:ascii="Times New Roman" w:hAnsi="Times New Roman" w:cs="Times New Roman"/>
          <w:bCs w:val="0"/>
          <w:i/>
          <w:sz w:val="24"/>
          <w:szCs w:val="24"/>
        </w:rPr>
      </w:pPr>
    </w:p>
    <w:p w14:paraId="76A15F4D" w14:textId="77777777" w:rsidR="009C496C" w:rsidRPr="006C2BD0" w:rsidRDefault="009C496C" w:rsidP="006C2BD0">
      <w:pPr>
        <w:pStyle w:val="NoSpacing"/>
        <w:rPr>
          <w:rFonts w:ascii="Times New Roman" w:hAnsi="Times New Roman" w:cs="Times New Roman"/>
          <w:i/>
          <w:sz w:val="24"/>
          <w:szCs w:val="24"/>
        </w:rPr>
      </w:pPr>
      <w:r w:rsidRPr="006C2BD0">
        <w:rPr>
          <w:rStyle w:val="Strong"/>
          <w:rFonts w:ascii="Times New Roman" w:hAnsi="Times New Roman" w:cs="Times New Roman"/>
          <w:bCs w:val="0"/>
          <w:i/>
          <w:sz w:val="24"/>
          <w:szCs w:val="24"/>
        </w:rPr>
        <w:t>Data Presentation</w:t>
      </w:r>
    </w:p>
    <w:p w14:paraId="27D20C94" w14:textId="77777777" w:rsidR="006C2BD0" w:rsidRDefault="006C2BD0" w:rsidP="006C2BD0">
      <w:pPr>
        <w:pStyle w:val="NoSpacing"/>
        <w:jc w:val="both"/>
        <w:rPr>
          <w:rFonts w:ascii="Times New Roman" w:hAnsi="Times New Roman" w:cs="Times New Roman"/>
          <w:sz w:val="24"/>
          <w:szCs w:val="24"/>
        </w:rPr>
      </w:pPr>
    </w:p>
    <w:p w14:paraId="40394A21" w14:textId="77777777" w:rsidR="009C496C" w:rsidRPr="006C2BD0" w:rsidRDefault="009C496C" w:rsidP="006C2BD0">
      <w:pPr>
        <w:pStyle w:val="NoSpacing"/>
        <w:jc w:val="both"/>
        <w:rPr>
          <w:rFonts w:ascii="Times New Roman" w:hAnsi="Times New Roman" w:cs="Times New Roman"/>
          <w:sz w:val="24"/>
          <w:szCs w:val="24"/>
        </w:rPr>
      </w:pPr>
      <w:r w:rsidRPr="006C2BD0">
        <w:rPr>
          <w:rFonts w:ascii="Times New Roman" w:hAnsi="Times New Roman" w:cs="Times New Roman"/>
          <w:sz w:val="24"/>
          <w:szCs w:val="24"/>
        </w:rPr>
        <w:t xml:space="preserve">Data were collected from </w:t>
      </w:r>
      <w:r w:rsidRPr="00170488">
        <w:rPr>
          <w:rStyle w:val="Strong"/>
          <w:rFonts w:ascii="Times New Roman" w:hAnsi="Times New Roman" w:cs="Times New Roman"/>
          <w:b w:val="0"/>
          <w:sz w:val="24"/>
          <w:szCs w:val="24"/>
        </w:rPr>
        <w:t xml:space="preserve">600 </w:t>
      </w:r>
      <w:r w:rsidRPr="006C2BD0">
        <w:rPr>
          <w:rStyle w:val="Strong"/>
          <w:rFonts w:ascii="Times New Roman" w:hAnsi="Times New Roman" w:cs="Times New Roman"/>
          <w:b w:val="0"/>
          <w:sz w:val="24"/>
          <w:szCs w:val="24"/>
        </w:rPr>
        <w:t>respondents</w:t>
      </w:r>
      <w:r w:rsidRPr="006C2BD0">
        <w:rPr>
          <w:rFonts w:ascii="Times New Roman" w:hAnsi="Times New Roman" w:cs="Times New Roman"/>
          <w:sz w:val="24"/>
          <w:szCs w:val="24"/>
        </w:rPr>
        <w:t xml:space="preserve"> across the civil services of </w:t>
      </w:r>
      <w:r w:rsidRPr="006C2BD0">
        <w:rPr>
          <w:rStyle w:val="Strong"/>
          <w:rFonts w:ascii="Times New Roman" w:hAnsi="Times New Roman" w:cs="Times New Roman"/>
          <w:b w:val="0"/>
          <w:sz w:val="24"/>
          <w:szCs w:val="24"/>
        </w:rPr>
        <w:t>Egypt, Morocco, Algeria, Tunisia, and Libya</w:t>
      </w:r>
      <w:r w:rsidRPr="006C2BD0">
        <w:rPr>
          <w:rFonts w:ascii="Times New Roman" w:hAnsi="Times New Roman" w:cs="Times New Roman"/>
          <w:sz w:val="24"/>
          <w:szCs w:val="24"/>
        </w:rPr>
        <w:t>. Each participant rated the extent to which their organisations’ GHRM practices (green recruitment, training, and appraisal) have led to measurable environmental sustainability outcomes such as waste reduction, energy conservation, paperless administration, and improved environmental awareness.</w:t>
      </w:r>
    </w:p>
    <w:p w14:paraId="70DDAEF3" w14:textId="77777777" w:rsidR="006C2BD0" w:rsidRDefault="006C2BD0" w:rsidP="006C2BD0">
      <w:pPr>
        <w:pStyle w:val="NoSpacing"/>
        <w:jc w:val="both"/>
        <w:rPr>
          <w:rFonts w:ascii="Times New Roman" w:hAnsi="Times New Roman" w:cs="Times New Roman"/>
          <w:sz w:val="24"/>
          <w:szCs w:val="24"/>
        </w:rPr>
      </w:pPr>
    </w:p>
    <w:p w14:paraId="038D8DC0" w14:textId="77777777" w:rsidR="009C496C" w:rsidRDefault="009C496C" w:rsidP="006C2BD0">
      <w:pPr>
        <w:pStyle w:val="NoSpacing"/>
        <w:jc w:val="both"/>
        <w:rPr>
          <w:rFonts w:ascii="Times New Roman" w:hAnsi="Times New Roman" w:cs="Times New Roman"/>
          <w:b/>
          <w:sz w:val="24"/>
          <w:szCs w:val="24"/>
        </w:rPr>
      </w:pPr>
      <w:r w:rsidRPr="006C2BD0">
        <w:rPr>
          <w:rFonts w:ascii="Times New Roman" w:hAnsi="Times New Roman" w:cs="Times New Roman"/>
          <w:sz w:val="24"/>
          <w:szCs w:val="24"/>
        </w:rPr>
        <w:t xml:space="preserve">Responses were measured on a </w:t>
      </w:r>
      <w:r w:rsidRPr="006C2BD0">
        <w:rPr>
          <w:rStyle w:val="Strong"/>
          <w:rFonts w:ascii="Times New Roman" w:hAnsi="Times New Roman" w:cs="Times New Roman"/>
          <w:b w:val="0"/>
          <w:sz w:val="24"/>
          <w:szCs w:val="24"/>
        </w:rPr>
        <w:t>five-point Likert scale</w:t>
      </w:r>
      <w:r w:rsidRPr="006C2BD0">
        <w:rPr>
          <w:rFonts w:ascii="Times New Roman" w:hAnsi="Times New Roman" w:cs="Times New Roman"/>
          <w:sz w:val="24"/>
          <w:szCs w:val="24"/>
        </w:rPr>
        <w:t xml:space="preserve"> (1 = strongly disagree; 5 = strongly agree). Descriptive statistics were computed for each item and for the composite variable representing </w:t>
      </w:r>
      <w:r w:rsidRPr="006C2BD0">
        <w:rPr>
          <w:rStyle w:val="Strong"/>
          <w:rFonts w:ascii="Times New Roman" w:hAnsi="Times New Roman" w:cs="Times New Roman"/>
          <w:b w:val="0"/>
          <w:sz w:val="24"/>
          <w:szCs w:val="24"/>
        </w:rPr>
        <w:t>Environmental Sustainability Outcomes (ESO)</w:t>
      </w:r>
      <w:r w:rsidRPr="006C2BD0">
        <w:rPr>
          <w:rFonts w:ascii="Times New Roman" w:hAnsi="Times New Roman" w:cs="Times New Roman"/>
          <w:b/>
          <w:sz w:val="24"/>
          <w:szCs w:val="24"/>
        </w:rPr>
        <w:t>.</w:t>
      </w:r>
    </w:p>
    <w:p w14:paraId="6883C0C2" w14:textId="77777777" w:rsidR="006C2BD0" w:rsidRDefault="006C2BD0" w:rsidP="006C2BD0">
      <w:pPr>
        <w:pStyle w:val="NoSpacing"/>
        <w:jc w:val="both"/>
        <w:rPr>
          <w:rFonts w:ascii="Times New Roman" w:hAnsi="Times New Roman" w:cs="Times New Roman"/>
          <w:b/>
          <w:sz w:val="24"/>
          <w:szCs w:val="24"/>
        </w:rPr>
      </w:pPr>
    </w:p>
    <w:p w14:paraId="2186D3A8" w14:textId="77777777" w:rsidR="006C2BD0" w:rsidRPr="006C2BD0" w:rsidRDefault="006C2BD0" w:rsidP="006C2BD0">
      <w:pPr>
        <w:pStyle w:val="NoSpacing"/>
        <w:jc w:val="both"/>
        <w:rPr>
          <w:rFonts w:ascii="Times New Roman" w:hAnsi="Times New Roman" w:cs="Times New Roman"/>
          <w:b/>
          <w:sz w:val="24"/>
          <w:szCs w:val="24"/>
        </w:rPr>
      </w:pPr>
      <w:r w:rsidRPr="006C2BD0">
        <w:rPr>
          <w:rFonts w:ascii="Times New Roman" w:hAnsi="Times New Roman" w:cs="Times New Roman"/>
          <w:b/>
          <w:sz w:val="24"/>
          <w:szCs w:val="24"/>
        </w:rPr>
        <w:t>Table</w:t>
      </w:r>
      <w:r w:rsidR="00A947AD">
        <w:rPr>
          <w:rFonts w:ascii="Times New Roman" w:hAnsi="Times New Roman" w:cs="Times New Roman"/>
          <w:b/>
          <w:sz w:val="24"/>
          <w:szCs w:val="24"/>
        </w:rPr>
        <w:t xml:space="preserve"> 5</w:t>
      </w:r>
      <w:r w:rsidRPr="006C2BD0">
        <w:rPr>
          <w:rFonts w:ascii="Times New Roman" w:hAnsi="Times New Roman" w:cs="Times New Roman"/>
          <w:b/>
          <w:sz w:val="24"/>
          <w:szCs w:val="24"/>
        </w:rPr>
        <w:t>:</w:t>
      </w:r>
      <w:r>
        <w:rPr>
          <w:rFonts w:ascii="Times New Roman" w:hAnsi="Times New Roman" w:cs="Times New Roman"/>
          <w:sz w:val="24"/>
          <w:szCs w:val="24"/>
        </w:rPr>
        <w:t xml:space="preserve"> </w:t>
      </w:r>
      <w:r w:rsidRPr="006C2BD0">
        <w:rPr>
          <w:rFonts w:ascii="Times New Roman" w:hAnsi="Times New Roman" w:cs="Times New Roman"/>
          <w:b/>
          <w:sz w:val="24"/>
          <w:szCs w:val="24"/>
        </w:rPr>
        <w:t xml:space="preserve">The extent </w:t>
      </w:r>
      <w:proofErr w:type="gramStart"/>
      <w:r w:rsidRPr="006C2BD0">
        <w:rPr>
          <w:rFonts w:ascii="Times New Roman" w:hAnsi="Times New Roman" w:cs="Times New Roman"/>
          <w:b/>
          <w:sz w:val="24"/>
          <w:szCs w:val="24"/>
        </w:rPr>
        <w:t>do</w:t>
      </w:r>
      <w:proofErr w:type="gramEnd"/>
      <w:r w:rsidRPr="006C2BD0">
        <w:rPr>
          <w:rFonts w:ascii="Times New Roman" w:hAnsi="Times New Roman" w:cs="Times New Roman"/>
          <w:b/>
          <w:sz w:val="24"/>
          <w:szCs w:val="24"/>
        </w:rPr>
        <w:t xml:space="preserve"> Green Human Resource Management (GHRM) practices contribute to environmental sustainability outcomes in public sector organisations across North Africa</w:t>
      </w:r>
    </w:p>
    <w:tbl>
      <w:tblPr>
        <w:tblStyle w:val="TableGridLight1"/>
        <w:tblW w:w="0" w:type="auto"/>
        <w:tblLook w:val="04A0" w:firstRow="1" w:lastRow="0" w:firstColumn="1" w:lastColumn="0" w:noHBand="0" w:noVBand="1"/>
      </w:tblPr>
      <w:tblGrid>
        <w:gridCol w:w="5024"/>
        <w:gridCol w:w="803"/>
        <w:gridCol w:w="636"/>
        <w:gridCol w:w="576"/>
        <w:gridCol w:w="1736"/>
      </w:tblGrid>
      <w:tr w:rsidR="009C496C" w:rsidRPr="002D6CA4" w14:paraId="599EBD3F" w14:textId="77777777" w:rsidTr="009C496C">
        <w:tc>
          <w:tcPr>
            <w:tcW w:w="0" w:type="auto"/>
            <w:hideMark/>
          </w:tcPr>
          <w:p w14:paraId="4C728D33"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Variable</w:t>
            </w:r>
          </w:p>
        </w:tc>
        <w:tc>
          <w:tcPr>
            <w:tcW w:w="0" w:type="auto"/>
            <w:hideMark/>
          </w:tcPr>
          <w:p w14:paraId="619FCE11"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Mean</w:t>
            </w:r>
          </w:p>
        </w:tc>
        <w:tc>
          <w:tcPr>
            <w:tcW w:w="0" w:type="auto"/>
            <w:hideMark/>
          </w:tcPr>
          <w:p w14:paraId="4AB15BA2"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SD</w:t>
            </w:r>
          </w:p>
        </w:tc>
        <w:tc>
          <w:tcPr>
            <w:tcW w:w="0" w:type="auto"/>
            <w:hideMark/>
          </w:tcPr>
          <w:p w14:paraId="1115408D"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N</w:t>
            </w:r>
          </w:p>
        </w:tc>
        <w:tc>
          <w:tcPr>
            <w:tcW w:w="0" w:type="auto"/>
            <w:hideMark/>
          </w:tcPr>
          <w:p w14:paraId="775A2DDF"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Interpretation</w:t>
            </w:r>
          </w:p>
        </w:tc>
      </w:tr>
      <w:tr w:rsidR="009C496C" w:rsidRPr="002D6CA4" w14:paraId="0A969912" w14:textId="77777777" w:rsidTr="009C496C">
        <w:tc>
          <w:tcPr>
            <w:tcW w:w="0" w:type="auto"/>
            <w:hideMark/>
          </w:tcPr>
          <w:p w14:paraId="39CEEFD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Recruitment and Selection</w:t>
            </w:r>
          </w:p>
        </w:tc>
        <w:tc>
          <w:tcPr>
            <w:tcW w:w="0" w:type="auto"/>
            <w:hideMark/>
          </w:tcPr>
          <w:p w14:paraId="52D37EF7"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3.00</w:t>
            </w:r>
          </w:p>
        </w:tc>
        <w:tc>
          <w:tcPr>
            <w:tcW w:w="0" w:type="auto"/>
            <w:hideMark/>
          </w:tcPr>
          <w:p w14:paraId="16BAB99A"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0.80</w:t>
            </w:r>
          </w:p>
        </w:tc>
        <w:tc>
          <w:tcPr>
            <w:tcW w:w="0" w:type="auto"/>
            <w:hideMark/>
          </w:tcPr>
          <w:p w14:paraId="146F03B1"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01ED605E"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Moderate</w:t>
            </w:r>
          </w:p>
        </w:tc>
      </w:tr>
      <w:tr w:rsidR="009C496C" w:rsidRPr="002D6CA4" w14:paraId="1E634406" w14:textId="77777777" w:rsidTr="009C496C">
        <w:tc>
          <w:tcPr>
            <w:tcW w:w="0" w:type="auto"/>
            <w:hideMark/>
          </w:tcPr>
          <w:p w14:paraId="4E7AED61"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Training and Development</w:t>
            </w:r>
          </w:p>
        </w:tc>
        <w:tc>
          <w:tcPr>
            <w:tcW w:w="0" w:type="auto"/>
            <w:hideMark/>
          </w:tcPr>
          <w:p w14:paraId="5CF188A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3.40</w:t>
            </w:r>
          </w:p>
        </w:tc>
        <w:tc>
          <w:tcPr>
            <w:tcW w:w="0" w:type="auto"/>
            <w:hideMark/>
          </w:tcPr>
          <w:p w14:paraId="39146B3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0.70</w:t>
            </w:r>
          </w:p>
        </w:tc>
        <w:tc>
          <w:tcPr>
            <w:tcW w:w="0" w:type="auto"/>
            <w:hideMark/>
          </w:tcPr>
          <w:p w14:paraId="5F61590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34A0F852"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Moderate–High</w:t>
            </w:r>
          </w:p>
        </w:tc>
      </w:tr>
      <w:tr w:rsidR="009C496C" w:rsidRPr="002D6CA4" w14:paraId="63AFBC44" w14:textId="77777777" w:rsidTr="009C496C">
        <w:tc>
          <w:tcPr>
            <w:tcW w:w="0" w:type="auto"/>
            <w:hideMark/>
          </w:tcPr>
          <w:p w14:paraId="613552AD"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Performance Appraisal</w:t>
            </w:r>
          </w:p>
        </w:tc>
        <w:tc>
          <w:tcPr>
            <w:tcW w:w="0" w:type="auto"/>
            <w:hideMark/>
          </w:tcPr>
          <w:p w14:paraId="55B18F0A"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2.80</w:t>
            </w:r>
          </w:p>
        </w:tc>
        <w:tc>
          <w:tcPr>
            <w:tcW w:w="0" w:type="auto"/>
            <w:hideMark/>
          </w:tcPr>
          <w:p w14:paraId="17C9447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0.90</w:t>
            </w:r>
          </w:p>
        </w:tc>
        <w:tc>
          <w:tcPr>
            <w:tcW w:w="0" w:type="auto"/>
            <w:hideMark/>
          </w:tcPr>
          <w:p w14:paraId="1F53FD7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742FAA9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Low–Moderate</w:t>
            </w:r>
          </w:p>
        </w:tc>
      </w:tr>
      <w:tr w:rsidR="009C496C" w:rsidRPr="002D6CA4" w14:paraId="314B4FCC" w14:textId="77777777" w:rsidTr="009C496C">
        <w:tc>
          <w:tcPr>
            <w:tcW w:w="0" w:type="auto"/>
            <w:hideMark/>
          </w:tcPr>
          <w:p w14:paraId="67D6681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Environmental Sustainability Outcomes (ESO)</w:t>
            </w:r>
          </w:p>
        </w:tc>
        <w:tc>
          <w:tcPr>
            <w:tcW w:w="0" w:type="auto"/>
            <w:hideMark/>
          </w:tcPr>
          <w:p w14:paraId="276385E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2.90</w:t>
            </w:r>
          </w:p>
        </w:tc>
        <w:tc>
          <w:tcPr>
            <w:tcW w:w="0" w:type="auto"/>
            <w:hideMark/>
          </w:tcPr>
          <w:p w14:paraId="3014E96D"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0.72</w:t>
            </w:r>
          </w:p>
        </w:tc>
        <w:tc>
          <w:tcPr>
            <w:tcW w:w="0" w:type="auto"/>
            <w:hideMark/>
          </w:tcPr>
          <w:p w14:paraId="2D4BD3C4"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600</w:t>
            </w:r>
          </w:p>
        </w:tc>
        <w:tc>
          <w:tcPr>
            <w:tcW w:w="0" w:type="auto"/>
            <w:hideMark/>
          </w:tcPr>
          <w:p w14:paraId="5107BF86"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Moderate</w:t>
            </w:r>
          </w:p>
        </w:tc>
      </w:tr>
    </w:tbl>
    <w:p w14:paraId="31410FF7" w14:textId="77777777" w:rsidR="009C496C" w:rsidRDefault="006C2BD0"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280E3BD1" w14:textId="77777777" w:rsidR="009C496C" w:rsidRDefault="009C496C" w:rsidP="006C2BD0">
      <w:pPr>
        <w:jc w:val="both"/>
        <w:rPr>
          <w:rFonts w:ascii="Times New Roman" w:hAnsi="Times New Roman" w:cs="Times New Roman"/>
          <w:sz w:val="24"/>
          <w:szCs w:val="24"/>
        </w:rPr>
      </w:pPr>
      <w:r w:rsidRPr="006C2BD0">
        <w:rPr>
          <w:rFonts w:ascii="Times New Roman" w:hAnsi="Times New Roman" w:cs="Times New Roman"/>
          <w:sz w:val="24"/>
          <w:szCs w:val="24"/>
        </w:rPr>
        <w:t xml:space="preserve">The average mean score for environmental sustainability outcomes </w:t>
      </w:r>
      <w:r w:rsidRPr="00170488">
        <w:rPr>
          <w:rFonts w:ascii="Times New Roman" w:hAnsi="Times New Roman" w:cs="Times New Roman"/>
          <w:b/>
          <w:sz w:val="24"/>
          <w:szCs w:val="24"/>
        </w:rPr>
        <w:t>(</w:t>
      </w:r>
      <w:r w:rsidRPr="00170488">
        <w:rPr>
          <w:rStyle w:val="Strong"/>
          <w:rFonts w:ascii="Times New Roman" w:hAnsi="Times New Roman" w:cs="Times New Roman"/>
          <w:b w:val="0"/>
          <w:sz w:val="24"/>
          <w:szCs w:val="24"/>
        </w:rPr>
        <w:t>M = 2.90, SD = 0.72</w:t>
      </w:r>
      <w:r w:rsidRPr="00170488">
        <w:rPr>
          <w:rFonts w:ascii="Times New Roman" w:hAnsi="Times New Roman" w:cs="Times New Roman"/>
          <w:b/>
          <w:sz w:val="24"/>
          <w:szCs w:val="24"/>
        </w:rPr>
        <w:t>)</w:t>
      </w:r>
      <w:r w:rsidRPr="006C2BD0">
        <w:rPr>
          <w:rFonts w:ascii="Times New Roman" w:hAnsi="Times New Roman" w:cs="Times New Roman"/>
          <w:sz w:val="24"/>
          <w:szCs w:val="24"/>
        </w:rPr>
        <w:t xml:space="preserve"> indicates that while many public sector organisations have begun integrating eco-friendly practices, these have not yet translated into consistently strong environmental performance. This suggests that the sustainability benefits of GHRM are emerging but uneven across the region.</w:t>
      </w:r>
    </w:p>
    <w:p w14:paraId="45198689" w14:textId="77777777" w:rsidR="005F18A8" w:rsidRPr="005F18A8" w:rsidRDefault="005F18A8" w:rsidP="006C2BD0">
      <w:pPr>
        <w:jc w:val="both"/>
        <w:rPr>
          <w:rFonts w:ascii="Times New Roman" w:hAnsi="Times New Roman" w:cs="Times New Roman"/>
          <w:b/>
          <w:sz w:val="24"/>
          <w:szCs w:val="24"/>
        </w:rPr>
      </w:pPr>
      <w:r w:rsidRPr="005F18A8">
        <w:rPr>
          <w:rFonts w:ascii="Times New Roman" w:hAnsi="Times New Roman" w:cs="Times New Roman"/>
          <w:b/>
          <w:sz w:val="24"/>
          <w:szCs w:val="24"/>
        </w:rPr>
        <w:t xml:space="preserve">Testing of Hypothesis </w:t>
      </w:r>
    </w:p>
    <w:p w14:paraId="7F4B05CA" w14:textId="77777777" w:rsidR="005F18A8" w:rsidRDefault="005F18A8" w:rsidP="005F18A8">
      <w:pPr>
        <w:pStyle w:val="NoSpacing"/>
        <w:jc w:val="both"/>
        <w:rPr>
          <w:rFonts w:ascii="Times New Roman" w:hAnsi="Times New Roman" w:cs="Times New Roman"/>
          <w:i/>
          <w:sz w:val="24"/>
          <w:szCs w:val="24"/>
        </w:rPr>
      </w:pPr>
      <w:r w:rsidRPr="002262E0">
        <w:rPr>
          <w:rStyle w:val="Strong"/>
          <w:rFonts w:ascii="Times New Roman" w:hAnsi="Times New Roman" w:cs="Times New Roman"/>
          <w:bCs w:val="0"/>
          <w:sz w:val="24"/>
          <w:szCs w:val="24"/>
        </w:rPr>
        <w:t>Hypothesis 1</w:t>
      </w:r>
      <w:r>
        <w:rPr>
          <w:rStyle w:val="Strong"/>
          <w:rFonts w:ascii="Times New Roman" w:hAnsi="Times New Roman" w:cs="Times New Roman"/>
          <w:b w:val="0"/>
          <w:bCs w:val="0"/>
          <w:sz w:val="24"/>
          <w:szCs w:val="24"/>
        </w:rPr>
        <w:t xml:space="preserve">: </w:t>
      </w:r>
      <w:r w:rsidRPr="002262E0">
        <w:rPr>
          <w:rFonts w:ascii="Times New Roman" w:hAnsi="Times New Roman" w:cs="Times New Roman"/>
          <w:i/>
          <w:sz w:val="24"/>
          <w:szCs w:val="24"/>
        </w:rPr>
        <w:t>There is a significant relationship between the level of adoption of GHRM practices and the overall institutional readiness for environmental sustainability in North African public sector organisations.</w:t>
      </w:r>
    </w:p>
    <w:p w14:paraId="7C2A1648" w14:textId="77777777" w:rsidR="00DF45D1" w:rsidRDefault="00DF45D1" w:rsidP="005F18A8">
      <w:pPr>
        <w:pStyle w:val="NoSpacing"/>
        <w:rPr>
          <w:rStyle w:val="Strong"/>
          <w:rFonts w:ascii="Times New Roman" w:hAnsi="Times New Roman" w:cs="Times New Roman"/>
          <w:b w:val="0"/>
          <w:i/>
          <w:sz w:val="24"/>
          <w:szCs w:val="24"/>
        </w:rPr>
      </w:pPr>
    </w:p>
    <w:p w14:paraId="75A5CAC1" w14:textId="77777777" w:rsidR="005F18A8" w:rsidRPr="00B22EF5" w:rsidRDefault="005F18A8" w:rsidP="005F18A8">
      <w:pPr>
        <w:pStyle w:val="NoSpacing"/>
        <w:rPr>
          <w:rFonts w:ascii="Times New Roman" w:hAnsi="Times New Roman" w:cs="Times New Roman"/>
          <w:i/>
          <w:sz w:val="24"/>
          <w:szCs w:val="24"/>
        </w:rPr>
      </w:pPr>
      <w:r w:rsidRPr="00B22EF5">
        <w:rPr>
          <w:rStyle w:val="Strong"/>
          <w:rFonts w:ascii="Times New Roman" w:hAnsi="Times New Roman" w:cs="Times New Roman"/>
          <w:bCs w:val="0"/>
          <w:i/>
          <w:sz w:val="24"/>
          <w:szCs w:val="24"/>
        </w:rPr>
        <w:t>Data Analysis</w:t>
      </w:r>
    </w:p>
    <w:p w14:paraId="74603F07" w14:textId="77777777" w:rsidR="005F18A8" w:rsidRDefault="005F18A8" w:rsidP="005F18A8">
      <w:pPr>
        <w:pStyle w:val="NormalWeb"/>
        <w:jc w:val="both"/>
      </w:pPr>
      <w:r>
        <w:t xml:space="preserve">A </w:t>
      </w:r>
      <w:r w:rsidRPr="00B22EF5">
        <w:rPr>
          <w:rStyle w:val="Strong"/>
          <w:b w:val="0"/>
        </w:rPr>
        <w:t>Pearson correlation analysis</w:t>
      </w:r>
      <w:r>
        <w:t xml:space="preserve"> was conducted to determine whether the extent of GHRM adoption is significantly associated with institutional environmental sustainability readiness. The results indicate a </w:t>
      </w:r>
      <w:r w:rsidRPr="00B22EF5">
        <w:rPr>
          <w:rStyle w:val="Strong"/>
          <w:b w:val="0"/>
        </w:rPr>
        <w:t xml:space="preserve">moderate positive correlation </w:t>
      </w:r>
      <w:r w:rsidRPr="00170488">
        <w:rPr>
          <w:rStyle w:val="Strong"/>
          <w:b w:val="0"/>
        </w:rPr>
        <w:t>(r = 0.53, p &lt; 0.001)</w:t>
      </w:r>
      <w:r>
        <w:t xml:space="preserve"> between the two variables. This suggests that organisations with higher implementation of green HR practices tend to exhibit stronger institutional readiness and responsiveness to environmental </w:t>
      </w:r>
      <w:r>
        <w:lastRenderedPageBreak/>
        <w:t xml:space="preserve">sustainability objectives. To further assess the predictive relationship, a </w:t>
      </w:r>
      <w:r w:rsidRPr="00B22EF5">
        <w:rPr>
          <w:rStyle w:val="Strong"/>
          <w:b w:val="0"/>
        </w:rPr>
        <w:t>simple linear regression</w:t>
      </w:r>
      <w:r>
        <w:t xml:space="preserve"> analysis was performed with </w:t>
      </w:r>
      <w:r w:rsidRPr="00B22EF5">
        <w:rPr>
          <w:rStyle w:val="Strong"/>
          <w:b w:val="0"/>
        </w:rPr>
        <w:t>institutional environmental sustainability</w:t>
      </w:r>
      <w:r>
        <w:t xml:space="preserve"> as the dependent variable and </w:t>
      </w:r>
      <w:r w:rsidRPr="00B22EF5">
        <w:rPr>
          <w:rStyle w:val="Strong"/>
          <w:b w:val="0"/>
        </w:rPr>
        <w:t>GHRM practices</w:t>
      </w:r>
      <w:r>
        <w:t xml:space="preserve"> as the independent variable. The model summary yielded an </w:t>
      </w:r>
      <w:r w:rsidRPr="00B22EF5">
        <w:rPr>
          <w:rStyle w:val="Strong"/>
          <w:b w:val="0"/>
        </w:rPr>
        <w:t>R² value of</w:t>
      </w:r>
      <w:r>
        <w:rPr>
          <w:rStyle w:val="Strong"/>
        </w:rPr>
        <w:t xml:space="preserve"> </w:t>
      </w:r>
      <w:r w:rsidRPr="00170488">
        <w:rPr>
          <w:rStyle w:val="Strong"/>
          <w:b w:val="0"/>
        </w:rPr>
        <w:t>0.281</w:t>
      </w:r>
      <w:r w:rsidRPr="00170488">
        <w:rPr>
          <w:b/>
        </w:rPr>
        <w:t>,</w:t>
      </w:r>
      <w:r>
        <w:t xml:space="preserve"> meaning that approximately </w:t>
      </w:r>
      <w:r w:rsidRPr="00170488">
        <w:rPr>
          <w:rStyle w:val="Strong"/>
          <w:b w:val="0"/>
        </w:rPr>
        <w:t>28.1%</w:t>
      </w:r>
      <w:r>
        <w:rPr>
          <w:rStyle w:val="Strong"/>
        </w:rPr>
        <w:t xml:space="preserve"> </w:t>
      </w:r>
      <w:r w:rsidRPr="00B22EF5">
        <w:rPr>
          <w:rStyle w:val="Strong"/>
          <w:b w:val="0"/>
        </w:rPr>
        <w:t>of the variance</w:t>
      </w:r>
      <w:r>
        <w:t xml:space="preserve"> in institutional environmental sustainability can be explained by GHRM implementation levels. The unstandardised regression coefficient was </w:t>
      </w:r>
      <w:r w:rsidRPr="00170488">
        <w:rPr>
          <w:rStyle w:val="Strong"/>
          <w:b w:val="0"/>
        </w:rPr>
        <w:t>β = 0.64 (p &lt; 0.001)</w:t>
      </w:r>
      <w:r w:rsidRPr="00170488">
        <w:rPr>
          <w:b/>
        </w:rPr>
        <w:t>,</w:t>
      </w:r>
      <w:r>
        <w:t xml:space="preserve"> indicating that a one-unit increase in GHRM adoption leads to a 0.64-point increase in sustainability readiness.</w:t>
      </w:r>
    </w:p>
    <w:p w14:paraId="2B5EE58E" w14:textId="77777777" w:rsidR="005F18A8" w:rsidRPr="00B22EF5" w:rsidRDefault="005F18A8" w:rsidP="005F18A8">
      <w:pPr>
        <w:pStyle w:val="NormalWeb"/>
        <w:rPr>
          <w:rStyle w:val="mord"/>
        </w:rPr>
      </w:pPr>
      <w:r w:rsidRPr="00D3356C">
        <w:rPr>
          <w:b/>
          <w:i/>
        </w:rPr>
        <w:t>Regression Model:</w:t>
      </w:r>
      <w:r>
        <w:t xml:space="preserve"> </w:t>
      </w:r>
      <w:r>
        <w:rPr>
          <w:rStyle w:val="katex-mathml"/>
        </w:rPr>
        <w:t>Environmental Sustainability</w:t>
      </w:r>
      <w:r w:rsidR="005A38A7">
        <w:rPr>
          <w:rStyle w:val="katex-mathml"/>
        </w:rPr>
        <w:t xml:space="preserve"> </w:t>
      </w:r>
      <w:r>
        <w:rPr>
          <w:rStyle w:val="katex-mathml"/>
        </w:rPr>
        <w:t>=</w:t>
      </w:r>
      <w:r w:rsidR="005A38A7">
        <w:rPr>
          <w:rStyle w:val="katex-mathml"/>
        </w:rPr>
        <w:t xml:space="preserve"> </w:t>
      </w:r>
      <w:r>
        <w:rPr>
          <w:rStyle w:val="katex-mathml"/>
        </w:rPr>
        <w:t>1.18</w:t>
      </w:r>
      <w:r w:rsidR="005A38A7">
        <w:rPr>
          <w:rStyle w:val="katex-mathml"/>
        </w:rPr>
        <w:t xml:space="preserve"> </w:t>
      </w:r>
      <w:r>
        <w:rPr>
          <w:rStyle w:val="katex-mathml"/>
        </w:rPr>
        <w:t>+</w:t>
      </w:r>
      <w:r w:rsidR="005A38A7">
        <w:rPr>
          <w:rStyle w:val="katex-mathml"/>
        </w:rPr>
        <w:t xml:space="preserve"> </w:t>
      </w:r>
      <w:r>
        <w:rPr>
          <w:rStyle w:val="katex-mathml"/>
        </w:rPr>
        <w:t>0.64</w:t>
      </w:r>
      <w:r w:rsidR="005A38A7">
        <w:rPr>
          <w:rStyle w:val="katex-mathml"/>
        </w:rPr>
        <w:t xml:space="preserve"> </w:t>
      </w:r>
      <w:r>
        <w:rPr>
          <w:rStyle w:val="katex-mathml"/>
        </w:rPr>
        <w:t xml:space="preserve">(GHRM) </w:t>
      </w:r>
      <w:r w:rsidRPr="00B22EF5">
        <w:rPr>
          <w:rStyle w:val="katex-mathml"/>
        </w:rPr>
        <w:t>Environmental\ Sustainability = 1.18 + 0.64</w:t>
      </w:r>
      <w:r w:rsidR="005A38A7">
        <w:rPr>
          <w:rStyle w:val="katex-mathml"/>
        </w:rPr>
        <w:t xml:space="preserve"> </w:t>
      </w:r>
      <w:r w:rsidRPr="00B22EF5">
        <w:rPr>
          <w:rStyle w:val="katex-mathml"/>
        </w:rPr>
        <w:t>(GHRM)</w:t>
      </w:r>
      <w:r>
        <w:rPr>
          <w:rStyle w:val="katex-mathml"/>
        </w:rPr>
        <w:t xml:space="preserve"> </w:t>
      </w:r>
      <w:r w:rsidRPr="00B22EF5">
        <w:rPr>
          <w:rStyle w:val="mord"/>
        </w:rPr>
        <w:t>Environmental</w:t>
      </w:r>
      <w:r w:rsidRPr="00B22EF5">
        <w:rPr>
          <w:rStyle w:val="mspace"/>
        </w:rPr>
        <w:t> </w:t>
      </w:r>
      <w:r w:rsidRPr="00B22EF5">
        <w:rPr>
          <w:rStyle w:val="mord"/>
        </w:rPr>
        <w:t>Sustainability</w:t>
      </w:r>
      <w:r w:rsidR="005A38A7">
        <w:rPr>
          <w:rStyle w:val="mord"/>
        </w:rPr>
        <w:t xml:space="preserve"> </w:t>
      </w:r>
      <w:r w:rsidRPr="00B22EF5">
        <w:rPr>
          <w:rStyle w:val="mrel"/>
        </w:rPr>
        <w:t>=</w:t>
      </w:r>
      <w:r w:rsidR="005A38A7">
        <w:rPr>
          <w:rStyle w:val="mrel"/>
        </w:rPr>
        <w:t xml:space="preserve"> </w:t>
      </w:r>
      <w:r w:rsidRPr="00B22EF5">
        <w:rPr>
          <w:rStyle w:val="mord"/>
        </w:rPr>
        <w:t>1.18</w:t>
      </w:r>
      <w:r w:rsidR="005A38A7">
        <w:rPr>
          <w:rStyle w:val="mord"/>
        </w:rPr>
        <w:t xml:space="preserve"> </w:t>
      </w:r>
      <w:r w:rsidRPr="00B22EF5">
        <w:rPr>
          <w:rStyle w:val="mbin"/>
        </w:rPr>
        <w:t>+</w:t>
      </w:r>
      <w:r w:rsidR="005A38A7">
        <w:rPr>
          <w:rStyle w:val="mbin"/>
        </w:rPr>
        <w:t xml:space="preserve"> </w:t>
      </w:r>
      <w:r w:rsidRPr="00B22EF5">
        <w:rPr>
          <w:rStyle w:val="mord"/>
        </w:rPr>
        <w:t>0.64</w:t>
      </w:r>
      <w:r w:rsidR="005A38A7">
        <w:rPr>
          <w:rStyle w:val="mord"/>
        </w:rPr>
        <w:t xml:space="preserve"> </w:t>
      </w:r>
      <w:r w:rsidRPr="00B22EF5">
        <w:rPr>
          <w:rStyle w:val="mopen"/>
        </w:rPr>
        <w:t>(</w:t>
      </w:r>
      <w:r w:rsidRPr="00B22EF5">
        <w:rPr>
          <w:rStyle w:val="mord"/>
        </w:rPr>
        <w:t>GHRM)</w:t>
      </w:r>
    </w:p>
    <w:p w14:paraId="729955B8" w14:textId="77777777" w:rsidR="005F18A8" w:rsidRPr="00932B11" w:rsidRDefault="005F18A8" w:rsidP="005F18A8">
      <w:pPr>
        <w:pStyle w:val="NoSpacing"/>
        <w:rPr>
          <w:rFonts w:ascii="Times New Roman" w:hAnsi="Times New Roman" w:cs="Times New Roman"/>
          <w:i/>
          <w:sz w:val="24"/>
          <w:szCs w:val="24"/>
        </w:rPr>
      </w:pPr>
      <w:r w:rsidRPr="00932B11">
        <w:rPr>
          <w:rStyle w:val="Strong"/>
          <w:rFonts w:ascii="Times New Roman" w:hAnsi="Times New Roman" w:cs="Times New Roman"/>
          <w:bCs w:val="0"/>
          <w:i/>
          <w:sz w:val="24"/>
          <w:szCs w:val="24"/>
        </w:rPr>
        <w:t>Interpretation of Findings</w:t>
      </w:r>
    </w:p>
    <w:p w14:paraId="7F7A6B93" w14:textId="77777777" w:rsidR="005F18A8" w:rsidRDefault="005F18A8" w:rsidP="005F18A8">
      <w:pPr>
        <w:pStyle w:val="NormalWeb"/>
        <w:jc w:val="both"/>
      </w:pPr>
      <w:r>
        <w:t xml:space="preserve">The findings provide empirical support for </w:t>
      </w:r>
      <w:r w:rsidRPr="00170488">
        <w:rPr>
          <w:rStyle w:val="Strong"/>
          <w:b w:val="0"/>
          <w:i/>
        </w:rPr>
        <w:t>H₁</w:t>
      </w:r>
      <w:r>
        <w:t xml:space="preserve">, confirming that GHRM practices significantly and positively influence institutional readiness for environmental sustainability. The moderate positive correlation (r = 0.53) indicates that although GHRM contributes substantially to organisational greening, other factors — such as government policy, leadership commitment, and budgetary allocation — also play complementary roles in driving sustainability outcomes. These results are consistent with previous studies by </w:t>
      </w:r>
      <w:r>
        <w:rPr>
          <w:rStyle w:val="Emphasis"/>
          <w:rFonts w:eastAsiaTheme="majorEastAsia"/>
        </w:rPr>
        <w:t>Renwick, Redman and Maguire (2013)</w:t>
      </w:r>
      <w:r>
        <w:t xml:space="preserve">, who emphasised that integrating environmental concerns into HRM functions enhances organisational eco-performance. Similarly, </w:t>
      </w:r>
      <w:r>
        <w:rPr>
          <w:rStyle w:val="Emphasis"/>
          <w:rFonts w:eastAsiaTheme="majorEastAsia"/>
        </w:rPr>
        <w:t>Tang et al. (2018)</w:t>
      </w:r>
      <w:r>
        <w:t xml:space="preserve"> and </w:t>
      </w:r>
      <w:r>
        <w:rPr>
          <w:rStyle w:val="Emphasis"/>
          <w:rFonts w:eastAsiaTheme="majorEastAsia"/>
        </w:rPr>
        <w:t>Jabbour and Santos (2008)</w:t>
      </w:r>
      <w:r>
        <w:t xml:space="preserve"> found that GHRM policies improve both employee engagement and institutional alignment with sustainability goals.</w:t>
      </w:r>
    </w:p>
    <w:p w14:paraId="167DF0CC" w14:textId="77777777" w:rsidR="005F18A8" w:rsidRDefault="005F18A8" w:rsidP="005F18A8">
      <w:pPr>
        <w:pStyle w:val="NormalWeb"/>
        <w:jc w:val="both"/>
      </w:pPr>
      <w:r>
        <w:t xml:space="preserve">In the North African civil service context, the results imply that ministries and agencies that embed environmental principles into recruitment, training, and performance appraisal are more likely to achieve greater institutional preparedness for environmental management. However, the relatively moderate overall GHRM mean (3.10) suggests that the region is still transitioning towards fully integrated green HR systems. In the same manner, from the </w:t>
      </w:r>
      <w:r w:rsidRPr="00932B11">
        <w:rPr>
          <w:rStyle w:val="Strong"/>
          <w:b w:val="0"/>
        </w:rPr>
        <w:t>Ability–Motivation–Opportunity (AMO) theoretical lens</w:t>
      </w:r>
      <w:r>
        <w:t xml:space="preserve">, the findings indicate that public organisations enhance sustainability readiness when they </w:t>
      </w:r>
      <w:r w:rsidRPr="00932B11">
        <w:rPr>
          <w:rStyle w:val="Strong"/>
          <w:b w:val="0"/>
        </w:rPr>
        <w:t>build employees’ environmental abilities</w:t>
      </w:r>
      <w:r>
        <w:t xml:space="preserve"> through training, </w:t>
      </w:r>
      <w:r w:rsidRPr="00932B11">
        <w:rPr>
          <w:rStyle w:val="Strong"/>
          <w:b w:val="0"/>
        </w:rPr>
        <w:t>motivate</w:t>
      </w:r>
      <w:r>
        <w:t xml:space="preserve"> them through appraisal and recognition, and </w:t>
      </w:r>
      <w:r w:rsidRPr="00932B11">
        <w:rPr>
          <w:rStyle w:val="Strong"/>
          <w:b w:val="0"/>
        </w:rPr>
        <w:t>create opportunities</w:t>
      </w:r>
      <w:r>
        <w:t xml:space="preserve"> for engagement in green practices (Renwick et al., 2013).</w:t>
      </w:r>
    </w:p>
    <w:p w14:paraId="788B8877" w14:textId="77777777" w:rsidR="005F18A8" w:rsidRPr="005F18A8" w:rsidRDefault="005F18A8" w:rsidP="005F18A8">
      <w:pPr>
        <w:pStyle w:val="NormalWeb"/>
        <w:jc w:val="both"/>
        <w:rPr>
          <w:rStyle w:val="Strong"/>
          <w:b w:val="0"/>
          <w:bCs w:val="0"/>
        </w:rPr>
      </w:pPr>
      <w:r>
        <w:t>The study, therefore, concludes that GHRM implementation levels in North African public sector organisations are moderate but significantly influence institutional readiness for environmental sustainability. Strengthening the integration of green recruitment, continuous environmental training, and eco-based performance evaluation will enhance the civil service’s capacity to achieve long-term environmental objectives.</w:t>
      </w:r>
    </w:p>
    <w:p w14:paraId="1BFF2C94" w14:textId="77777777" w:rsidR="005F18A8" w:rsidRPr="00D3356C" w:rsidRDefault="005F18A8" w:rsidP="005F18A8">
      <w:pPr>
        <w:pStyle w:val="NoSpacing"/>
        <w:jc w:val="both"/>
        <w:rPr>
          <w:rFonts w:ascii="Times New Roman" w:hAnsi="Times New Roman" w:cs="Times New Roman"/>
          <w:i/>
          <w:sz w:val="24"/>
          <w:szCs w:val="24"/>
        </w:rPr>
      </w:pPr>
      <w:r w:rsidRPr="00D3356C">
        <w:rPr>
          <w:rStyle w:val="Strong"/>
          <w:rFonts w:ascii="Times New Roman" w:hAnsi="Times New Roman" w:cs="Times New Roman"/>
          <w:bCs w:val="0"/>
          <w:sz w:val="24"/>
          <w:szCs w:val="24"/>
        </w:rPr>
        <w:t>Hypothesis 2:</w:t>
      </w:r>
      <w:r w:rsidR="00F373EC">
        <w:rPr>
          <w:rStyle w:val="Strong"/>
          <w:rFonts w:ascii="Times New Roman" w:hAnsi="Times New Roman" w:cs="Times New Roman"/>
          <w:b w:val="0"/>
          <w:bCs w:val="0"/>
          <w:sz w:val="24"/>
          <w:szCs w:val="24"/>
        </w:rPr>
        <w:t xml:space="preserve"> </w:t>
      </w:r>
      <w:r w:rsidR="00F373EC" w:rsidRPr="00F373EC">
        <w:rPr>
          <w:rFonts w:ascii="Times New Roman" w:hAnsi="Times New Roman" w:cs="Times New Roman"/>
          <w:i/>
          <w:sz w:val="24"/>
          <w:szCs w:val="24"/>
        </w:rPr>
        <w:t>Employees’ pro-environmental behaviour significantly contributes to improved environmental sustainability outcomes in North African public sector organisations</w:t>
      </w:r>
    </w:p>
    <w:p w14:paraId="275DDA3F" w14:textId="77777777" w:rsidR="005F18A8" w:rsidRDefault="005F18A8" w:rsidP="005F18A8">
      <w:pPr>
        <w:pStyle w:val="NoSpacing"/>
        <w:rPr>
          <w:rStyle w:val="Strong"/>
          <w:rFonts w:ascii="Times New Roman" w:hAnsi="Times New Roman" w:cs="Times New Roman"/>
          <w:bCs w:val="0"/>
          <w:i/>
          <w:sz w:val="24"/>
          <w:szCs w:val="24"/>
        </w:rPr>
      </w:pPr>
    </w:p>
    <w:p w14:paraId="568A6A5E" w14:textId="77777777" w:rsidR="005F18A8" w:rsidRPr="00D3356C" w:rsidRDefault="005F18A8" w:rsidP="005F18A8">
      <w:pPr>
        <w:pStyle w:val="NoSpacing"/>
        <w:rPr>
          <w:rFonts w:ascii="Times New Roman" w:hAnsi="Times New Roman" w:cs="Times New Roman"/>
          <w:i/>
          <w:sz w:val="24"/>
          <w:szCs w:val="24"/>
        </w:rPr>
      </w:pPr>
      <w:r w:rsidRPr="00D3356C">
        <w:rPr>
          <w:rStyle w:val="Strong"/>
          <w:rFonts w:ascii="Times New Roman" w:hAnsi="Times New Roman" w:cs="Times New Roman"/>
          <w:bCs w:val="0"/>
          <w:i/>
          <w:sz w:val="24"/>
          <w:szCs w:val="24"/>
        </w:rPr>
        <w:t>Data Analysis</w:t>
      </w:r>
    </w:p>
    <w:p w14:paraId="171F7CEE" w14:textId="77777777" w:rsidR="005F18A8" w:rsidRDefault="005F18A8" w:rsidP="005F18A8">
      <w:pPr>
        <w:pStyle w:val="NoSpacing"/>
        <w:jc w:val="both"/>
        <w:rPr>
          <w:rFonts w:ascii="Times New Roman" w:hAnsi="Times New Roman" w:cs="Times New Roman"/>
          <w:sz w:val="24"/>
          <w:szCs w:val="24"/>
        </w:rPr>
      </w:pPr>
    </w:p>
    <w:p w14:paraId="2E0875B4" w14:textId="77777777" w:rsidR="005F18A8" w:rsidRPr="00D3356C"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Pearson’s Product-Moment Correlation was computed to examine the strength and direction of the relationship between GHRM practices and pro-environmental behaviour. The results show a </w:t>
      </w:r>
      <w:r w:rsidRPr="00D3356C">
        <w:rPr>
          <w:rStyle w:val="Strong"/>
          <w:rFonts w:ascii="Times New Roman" w:hAnsi="Times New Roman" w:cs="Times New Roman"/>
          <w:b w:val="0"/>
          <w:sz w:val="24"/>
          <w:szCs w:val="24"/>
        </w:rPr>
        <w:t>moderate positive correlation</w:t>
      </w:r>
      <w:r w:rsidRPr="00D3356C">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 = 0.53, p &lt; 0.001)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This indicates that as GHRM initiatives — such as green recruitment, training, and appraisal — increase, employees are more likely to demonstrate environmentally responsible behaviours at work.</w:t>
      </w:r>
      <w:r>
        <w:rPr>
          <w:rFonts w:ascii="Times New Roman" w:hAnsi="Times New Roman" w:cs="Times New Roman"/>
          <w:sz w:val="24"/>
          <w:szCs w:val="24"/>
        </w:rPr>
        <w:t xml:space="preserve"> </w:t>
      </w:r>
      <w:r w:rsidRPr="00D3356C">
        <w:rPr>
          <w:rFonts w:ascii="Times New Roman" w:hAnsi="Times New Roman" w:cs="Times New Roman"/>
          <w:sz w:val="24"/>
          <w:szCs w:val="24"/>
        </w:rPr>
        <w:t xml:space="preserve">Furthermore, a </w:t>
      </w:r>
      <w:r w:rsidRPr="00D3356C">
        <w:rPr>
          <w:rFonts w:ascii="Times New Roman" w:hAnsi="Times New Roman" w:cs="Times New Roman"/>
          <w:sz w:val="24"/>
          <w:szCs w:val="24"/>
        </w:rPr>
        <w:lastRenderedPageBreak/>
        <w:t xml:space="preserve">simple linear regression analysis was conducted to determine the predictive power of GHRM practices on PEB. The model summary indicated a </w:t>
      </w:r>
      <w:r w:rsidRPr="00D3356C">
        <w:rPr>
          <w:rStyle w:val="Strong"/>
          <w:rFonts w:ascii="Times New Roman" w:hAnsi="Times New Roman" w:cs="Times New Roman"/>
          <w:b w:val="0"/>
          <w:sz w:val="24"/>
          <w:szCs w:val="24"/>
        </w:rPr>
        <w:t>coefficient of determination</w:t>
      </w:r>
      <w:r w:rsidRPr="00D3356C">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(R² = 0.281)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implying that about </w:t>
      </w:r>
      <w:r w:rsidRPr="00170488">
        <w:rPr>
          <w:rStyle w:val="Strong"/>
          <w:rFonts w:ascii="Times New Roman" w:hAnsi="Times New Roman" w:cs="Times New Roman"/>
          <w:b w:val="0"/>
          <w:sz w:val="24"/>
          <w:szCs w:val="24"/>
        </w:rPr>
        <w:t>28.1%</w:t>
      </w:r>
      <w:r w:rsidRPr="00D3356C">
        <w:rPr>
          <w:rStyle w:val="Strong"/>
          <w:rFonts w:ascii="Times New Roman" w:hAnsi="Times New Roman" w:cs="Times New Roman"/>
          <w:sz w:val="24"/>
          <w:szCs w:val="24"/>
        </w:rPr>
        <w:t xml:space="preserve"> </w:t>
      </w:r>
      <w:r w:rsidRPr="00D3356C">
        <w:rPr>
          <w:rStyle w:val="Strong"/>
          <w:rFonts w:ascii="Times New Roman" w:hAnsi="Times New Roman" w:cs="Times New Roman"/>
          <w:b w:val="0"/>
          <w:sz w:val="24"/>
          <w:szCs w:val="24"/>
        </w:rPr>
        <w:t>of the variation</w:t>
      </w:r>
      <w:r w:rsidRPr="00D3356C">
        <w:rPr>
          <w:rFonts w:ascii="Times New Roman" w:hAnsi="Times New Roman" w:cs="Times New Roman"/>
          <w:sz w:val="24"/>
          <w:szCs w:val="24"/>
        </w:rPr>
        <w:t xml:space="preserve"> in employees’ pro-environmental behaviour is explained by GHRM practices. The regression coefficient for GHRM was </w:t>
      </w:r>
      <w:r w:rsidRPr="00170488">
        <w:rPr>
          <w:rStyle w:val="Strong"/>
          <w:rFonts w:ascii="Times New Roman" w:hAnsi="Times New Roman" w:cs="Times New Roman"/>
          <w:b w:val="0"/>
          <w:sz w:val="24"/>
          <w:szCs w:val="24"/>
        </w:rPr>
        <w:t>β = 0.64 (p &lt; 0.001)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confirming a statistically significant positive effect.</w:t>
      </w:r>
    </w:p>
    <w:p w14:paraId="1598398F" w14:textId="77777777" w:rsidR="005F18A8" w:rsidRDefault="005F18A8" w:rsidP="005F18A8">
      <w:pPr>
        <w:pStyle w:val="NoSpacing"/>
        <w:rPr>
          <w:rFonts w:ascii="Times New Roman" w:hAnsi="Times New Roman" w:cs="Times New Roman"/>
          <w:sz w:val="24"/>
          <w:szCs w:val="24"/>
        </w:rPr>
      </w:pPr>
    </w:p>
    <w:p w14:paraId="0BE4DB26" w14:textId="77777777" w:rsidR="005F18A8" w:rsidRPr="00D3356C" w:rsidRDefault="005F18A8" w:rsidP="005F18A8">
      <w:pPr>
        <w:pStyle w:val="NoSpacing"/>
        <w:rPr>
          <w:rFonts w:ascii="Times New Roman" w:hAnsi="Times New Roman" w:cs="Times New Roman"/>
          <w:b/>
          <w:i/>
          <w:sz w:val="24"/>
          <w:szCs w:val="24"/>
        </w:rPr>
      </w:pPr>
      <w:r w:rsidRPr="00D3356C">
        <w:rPr>
          <w:rFonts w:ascii="Times New Roman" w:hAnsi="Times New Roman" w:cs="Times New Roman"/>
          <w:b/>
          <w:i/>
          <w:sz w:val="24"/>
          <w:szCs w:val="24"/>
        </w:rPr>
        <w:t xml:space="preserve">Regression Equation: </w:t>
      </w:r>
    </w:p>
    <w:p w14:paraId="65B7FD1F" w14:textId="77777777" w:rsidR="005F18A8" w:rsidRDefault="005F18A8" w:rsidP="005F18A8">
      <w:pPr>
        <w:pStyle w:val="NoSpacing"/>
        <w:rPr>
          <w:rStyle w:val="katex-mathml"/>
          <w:rFonts w:ascii="Times New Roman" w:hAnsi="Times New Roman" w:cs="Times New Roman"/>
          <w:sz w:val="24"/>
          <w:szCs w:val="24"/>
        </w:rPr>
      </w:pPr>
    </w:p>
    <w:p w14:paraId="5E767091" w14:textId="77777777" w:rsidR="005F18A8" w:rsidRPr="00D3356C" w:rsidRDefault="005F18A8" w:rsidP="005F18A8">
      <w:pPr>
        <w:pStyle w:val="NoSpacing"/>
        <w:rPr>
          <w:rFonts w:ascii="Times New Roman" w:hAnsi="Times New Roman" w:cs="Times New Roman"/>
          <w:sz w:val="24"/>
          <w:szCs w:val="24"/>
        </w:rPr>
      </w:pPr>
      <w:r w:rsidRPr="00D3356C">
        <w:rPr>
          <w:rStyle w:val="katex-mathml"/>
          <w:rFonts w:ascii="Times New Roman" w:hAnsi="Times New Roman" w:cs="Times New Roman"/>
          <w:sz w:val="24"/>
          <w:szCs w:val="24"/>
        </w:rPr>
        <w:t>PEB</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1.12</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0.64</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(GHRM)</w:t>
      </w:r>
      <w:r>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PEB = 1.12 + 0.64</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(GHRM)</w:t>
      </w:r>
      <w:r w:rsidR="005A38A7">
        <w:rPr>
          <w:rStyle w:val="katex-mathml"/>
          <w:rFonts w:ascii="Times New Roman" w:hAnsi="Times New Roman" w:cs="Times New Roman"/>
          <w:sz w:val="24"/>
          <w:szCs w:val="24"/>
        </w:rPr>
        <w:t xml:space="preserve"> </w:t>
      </w:r>
      <w:r w:rsidRPr="00D3356C">
        <w:rPr>
          <w:rStyle w:val="mord"/>
          <w:rFonts w:ascii="Times New Roman" w:hAnsi="Times New Roman" w:cs="Times New Roman"/>
          <w:sz w:val="24"/>
          <w:szCs w:val="24"/>
        </w:rPr>
        <w:t>PEB</w:t>
      </w:r>
      <w:r w:rsidR="005A38A7">
        <w:rPr>
          <w:rStyle w:val="mord"/>
          <w:rFonts w:ascii="Times New Roman" w:hAnsi="Times New Roman" w:cs="Times New Roman"/>
          <w:sz w:val="24"/>
          <w:szCs w:val="24"/>
        </w:rPr>
        <w:t xml:space="preserve"> </w:t>
      </w:r>
      <w:r w:rsidRPr="00D3356C">
        <w:rPr>
          <w:rStyle w:val="mrel"/>
          <w:rFonts w:ascii="Times New Roman" w:hAnsi="Times New Roman" w:cs="Times New Roman"/>
          <w:sz w:val="24"/>
          <w:szCs w:val="24"/>
        </w:rPr>
        <w:t>=</w:t>
      </w:r>
      <w:r w:rsidR="005A38A7">
        <w:rPr>
          <w:rStyle w:val="mrel"/>
          <w:rFonts w:ascii="Times New Roman" w:hAnsi="Times New Roman" w:cs="Times New Roman"/>
          <w:sz w:val="24"/>
          <w:szCs w:val="24"/>
        </w:rPr>
        <w:t xml:space="preserve"> </w:t>
      </w:r>
      <w:r w:rsidRPr="00D3356C">
        <w:rPr>
          <w:rStyle w:val="mord"/>
          <w:rFonts w:ascii="Times New Roman" w:hAnsi="Times New Roman" w:cs="Times New Roman"/>
          <w:sz w:val="24"/>
          <w:szCs w:val="24"/>
        </w:rPr>
        <w:t>1.12</w:t>
      </w:r>
      <w:r w:rsidR="005A38A7">
        <w:rPr>
          <w:rStyle w:val="mord"/>
          <w:rFonts w:ascii="Times New Roman" w:hAnsi="Times New Roman" w:cs="Times New Roman"/>
          <w:sz w:val="24"/>
          <w:szCs w:val="24"/>
        </w:rPr>
        <w:t xml:space="preserve"> </w:t>
      </w:r>
      <w:r w:rsidRPr="00D3356C">
        <w:rPr>
          <w:rStyle w:val="mbin"/>
          <w:rFonts w:ascii="Times New Roman" w:hAnsi="Times New Roman" w:cs="Times New Roman"/>
          <w:sz w:val="24"/>
          <w:szCs w:val="24"/>
        </w:rPr>
        <w:t>+</w:t>
      </w:r>
      <w:r w:rsidR="005A38A7">
        <w:rPr>
          <w:rStyle w:val="mbin"/>
          <w:rFonts w:ascii="Times New Roman" w:hAnsi="Times New Roman" w:cs="Times New Roman"/>
          <w:sz w:val="24"/>
          <w:szCs w:val="24"/>
        </w:rPr>
        <w:t xml:space="preserve"> </w:t>
      </w:r>
      <w:r w:rsidRPr="00D3356C">
        <w:rPr>
          <w:rStyle w:val="mord"/>
          <w:rFonts w:ascii="Times New Roman" w:hAnsi="Times New Roman" w:cs="Times New Roman"/>
          <w:sz w:val="24"/>
          <w:szCs w:val="24"/>
        </w:rPr>
        <w:t>0.64</w:t>
      </w:r>
      <w:r w:rsidR="005A38A7">
        <w:rPr>
          <w:rStyle w:val="mord"/>
          <w:rFonts w:ascii="Times New Roman" w:hAnsi="Times New Roman" w:cs="Times New Roman"/>
          <w:sz w:val="24"/>
          <w:szCs w:val="24"/>
        </w:rPr>
        <w:t xml:space="preserve"> </w:t>
      </w:r>
      <w:r w:rsidRPr="00D3356C">
        <w:rPr>
          <w:rStyle w:val="mopen"/>
          <w:rFonts w:ascii="Times New Roman" w:hAnsi="Times New Roman" w:cs="Times New Roman"/>
          <w:sz w:val="24"/>
          <w:szCs w:val="24"/>
        </w:rPr>
        <w:t>(</w:t>
      </w:r>
      <w:r w:rsidRPr="00D3356C">
        <w:rPr>
          <w:rStyle w:val="mord"/>
          <w:rFonts w:ascii="Times New Roman" w:hAnsi="Times New Roman" w:cs="Times New Roman"/>
          <w:sz w:val="24"/>
          <w:szCs w:val="24"/>
        </w:rPr>
        <w:t>GHRM</w:t>
      </w:r>
      <w:r w:rsidRPr="00D3356C">
        <w:rPr>
          <w:rStyle w:val="mclose"/>
          <w:rFonts w:ascii="Times New Roman" w:hAnsi="Times New Roman" w:cs="Times New Roman"/>
          <w:sz w:val="24"/>
          <w:szCs w:val="24"/>
        </w:rPr>
        <w:t>)</w:t>
      </w:r>
      <w:r w:rsidRPr="00D3356C">
        <w:rPr>
          <w:rFonts w:ascii="Times New Roman" w:hAnsi="Times New Roman" w:cs="Times New Roman"/>
          <w:sz w:val="24"/>
          <w:szCs w:val="24"/>
        </w:rPr>
        <w:t xml:space="preserve"> </w:t>
      </w:r>
    </w:p>
    <w:p w14:paraId="00C95082" w14:textId="77777777" w:rsidR="005F18A8" w:rsidRDefault="005F18A8" w:rsidP="005F18A8">
      <w:pPr>
        <w:pStyle w:val="NormalWeb"/>
      </w:pPr>
      <w:r>
        <w:t>This implies that for every one-unit increase in GHRM practice adoption, there is an expected 0.64-point increase in employees’ pro-environmental behaviour.</w:t>
      </w:r>
    </w:p>
    <w:p w14:paraId="462238EF" w14:textId="77777777" w:rsidR="005F18A8" w:rsidRPr="00D3356C" w:rsidRDefault="005F18A8" w:rsidP="005F18A8">
      <w:pPr>
        <w:pStyle w:val="NoSpacing"/>
        <w:rPr>
          <w:rFonts w:ascii="Times New Roman" w:hAnsi="Times New Roman" w:cs="Times New Roman"/>
          <w:i/>
          <w:sz w:val="24"/>
          <w:szCs w:val="24"/>
        </w:rPr>
      </w:pPr>
      <w:r w:rsidRPr="00D3356C">
        <w:rPr>
          <w:rStyle w:val="Strong"/>
          <w:rFonts w:ascii="Times New Roman" w:hAnsi="Times New Roman" w:cs="Times New Roman"/>
          <w:bCs w:val="0"/>
          <w:i/>
          <w:sz w:val="24"/>
          <w:szCs w:val="24"/>
        </w:rPr>
        <w:t>Interpretation of Findings</w:t>
      </w:r>
    </w:p>
    <w:p w14:paraId="29EEFB06" w14:textId="77777777" w:rsidR="005F18A8" w:rsidRDefault="005F18A8" w:rsidP="005F18A8">
      <w:pPr>
        <w:pStyle w:val="NoSpacing"/>
        <w:jc w:val="both"/>
        <w:rPr>
          <w:rFonts w:ascii="Times New Roman" w:hAnsi="Times New Roman" w:cs="Times New Roman"/>
          <w:sz w:val="24"/>
          <w:szCs w:val="24"/>
        </w:rPr>
      </w:pPr>
    </w:p>
    <w:p w14:paraId="5020DE16" w14:textId="77777777" w:rsidR="005F18A8"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The results provide robust empirical evidence supporting </w:t>
      </w:r>
      <w:r w:rsidRPr="00170488">
        <w:rPr>
          <w:rStyle w:val="Strong"/>
          <w:rFonts w:ascii="Times New Roman" w:hAnsi="Times New Roman" w:cs="Times New Roman"/>
          <w:b w:val="0"/>
          <w:i/>
          <w:sz w:val="24"/>
          <w:szCs w:val="24"/>
        </w:rPr>
        <w:t>H₂</w:t>
      </w:r>
      <w:r w:rsidRPr="00D3356C">
        <w:rPr>
          <w:rFonts w:ascii="Times New Roman" w:hAnsi="Times New Roman" w:cs="Times New Roman"/>
          <w:sz w:val="24"/>
          <w:szCs w:val="24"/>
        </w:rPr>
        <w:t xml:space="preserve">, that GHRM practices significantly influence pro-environmental behaviour in public sector institutions across North Africa. These findings align with earlier studies by </w:t>
      </w:r>
      <w:r w:rsidRPr="00D3356C">
        <w:rPr>
          <w:rStyle w:val="Emphasis"/>
          <w:rFonts w:ascii="Times New Roman" w:eastAsiaTheme="majorEastAsia" w:hAnsi="Times New Roman" w:cs="Times New Roman"/>
          <w:sz w:val="24"/>
          <w:szCs w:val="24"/>
        </w:rPr>
        <w:t>Renwick, Redman and Maguire (2013)</w:t>
      </w:r>
      <w:r w:rsidRPr="00D3356C">
        <w:rPr>
          <w:rFonts w:ascii="Times New Roman" w:hAnsi="Times New Roman" w:cs="Times New Roman"/>
          <w:sz w:val="24"/>
          <w:szCs w:val="24"/>
        </w:rPr>
        <w:t xml:space="preserve"> and </w:t>
      </w:r>
      <w:r w:rsidRPr="00D3356C">
        <w:rPr>
          <w:rStyle w:val="Emphasis"/>
          <w:rFonts w:ascii="Times New Roman" w:eastAsiaTheme="majorEastAsia" w:hAnsi="Times New Roman" w:cs="Times New Roman"/>
          <w:sz w:val="24"/>
          <w:szCs w:val="24"/>
        </w:rPr>
        <w:t>Pham et al. (2020)</w:t>
      </w:r>
      <w:r w:rsidRPr="00D3356C">
        <w:rPr>
          <w:rFonts w:ascii="Times New Roman" w:hAnsi="Times New Roman" w:cs="Times New Roman"/>
          <w:sz w:val="24"/>
          <w:szCs w:val="24"/>
        </w:rPr>
        <w:t xml:space="preserve">, which demonstrated that integrating sustainability into HR functions motivates employees to engage in eco-friendly practices. Similarly, </w:t>
      </w:r>
      <w:r w:rsidRPr="00D3356C">
        <w:rPr>
          <w:rStyle w:val="Emphasis"/>
          <w:rFonts w:ascii="Times New Roman" w:eastAsiaTheme="majorEastAsia" w:hAnsi="Times New Roman" w:cs="Times New Roman"/>
          <w:sz w:val="24"/>
          <w:szCs w:val="24"/>
        </w:rPr>
        <w:t>Jabbour and Santos (2008)</w:t>
      </w:r>
      <w:r w:rsidRPr="00D3356C">
        <w:rPr>
          <w:rFonts w:ascii="Times New Roman" w:hAnsi="Times New Roman" w:cs="Times New Roman"/>
          <w:sz w:val="24"/>
          <w:szCs w:val="24"/>
        </w:rPr>
        <w:t xml:space="preserve"> argued that when organisations strategically embed environmental values in HR systems, employees internalise sustainability as part of their role identity.</w:t>
      </w:r>
    </w:p>
    <w:p w14:paraId="17F4C1B8" w14:textId="77777777" w:rsidR="005F18A8" w:rsidRPr="00D3356C" w:rsidRDefault="005F18A8" w:rsidP="005F18A8">
      <w:pPr>
        <w:pStyle w:val="NoSpacing"/>
        <w:jc w:val="both"/>
        <w:rPr>
          <w:rFonts w:ascii="Times New Roman" w:hAnsi="Times New Roman" w:cs="Times New Roman"/>
          <w:sz w:val="24"/>
          <w:szCs w:val="24"/>
        </w:rPr>
      </w:pPr>
    </w:p>
    <w:p w14:paraId="23B86D83" w14:textId="77777777" w:rsidR="005F18A8"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In the North African civil service context, this relationship suggests that environmentally focused HR policies — such as recruitment criteria favouring eco-conscious candidates, continuous green training, and recognition for environmental performance — can meaningfully drive behavioural change among public servants. The moderate strength of association (r = 0.53) also implies that while GHRM is a vital driver, other factors such as leadership commitment, institutional culture, and policy enforcement likely moderate the extent of employees’ pro-environmental engagement.</w:t>
      </w:r>
    </w:p>
    <w:p w14:paraId="754E00DF" w14:textId="77777777" w:rsidR="005F18A8" w:rsidRPr="00D3356C" w:rsidRDefault="005F18A8" w:rsidP="005F18A8">
      <w:pPr>
        <w:pStyle w:val="NoSpacing"/>
        <w:jc w:val="both"/>
        <w:rPr>
          <w:rFonts w:ascii="Times New Roman" w:hAnsi="Times New Roman" w:cs="Times New Roman"/>
          <w:sz w:val="24"/>
          <w:szCs w:val="24"/>
        </w:rPr>
      </w:pPr>
    </w:p>
    <w:p w14:paraId="4C845363" w14:textId="77777777" w:rsidR="005F18A8" w:rsidRPr="00D3356C"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Overall, these findings affirm that </w:t>
      </w:r>
      <w:r w:rsidRPr="00D3356C">
        <w:rPr>
          <w:rStyle w:val="Strong"/>
          <w:rFonts w:ascii="Times New Roman" w:hAnsi="Times New Roman" w:cs="Times New Roman"/>
          <w:b w:val="0"/>
          <w:sz w:val="24"/>
          <w:szCs w:val="24"/>
        </w:rPr>
        <w:t>GHRM acts as a behavioural lever</w:t>
      </w:r>
      <w:r w:rsidRPr="00D3356C">
        <w:rPr>
          <w:rFonts w:ascii="Times New Roman" w:hAnsi="Times New Roman" w:cs="Times New Roman"/>
          <w:sz w:val="24"/>
          <w:szCs w:val="24"/>
        </w:rPr>
        <w:t xml:space="preserve"> in achieving civil service greening goals, supporting the </w:t>
      </w:r>
      <w:r w:rsidRPr="00D3356C">
        <w:rPr>
          <w:rStyle w:val="Strong"/>
          <w:rFonts w:ascii="Times New Roman" w:hAnsi="Times New Roman" w:cs="Times New Roman"/>
          <w:b w:val="0"/>
          <w:sz w:val="24"/>
          <w:szCs w:val="24"/>
        </w:rPr>
        <w:t>Ability–Motivation–Opportunity (AMO) framework</w:t>
      </w:r>
      <w:r w:rsidRPr="00D3356C">
        <w:rPr>
          <w:rFonts w:ascii="Times New Roman" w:hAnsi="Times New Roman" w:cs="Times New Roman"/>
          <w:b/>
          <w:sz w:val="24"/>
          <w:szCs w:val="24"/>
        </w:rPr>
        <w:t xml:space="preserve">. </w:t>
      </w:r>
      <w:r w:rsidRPr="00D3356C">
        <w:rPr>
          <w:rFonts w:ascii="Times New Roman" w:hAnsi="Times New Roman" w:cs="Times New Roman"/>
          <w:sz w:val="24"/>
          <w:szCs w:val="24"/>
        </w:rPr>
        <w:t xml:space="preserve">Through GHRM, employees gain the </w:t>
      </w:r>
      <w:r w:rsidRPr="00D3356C">
        <w:rPr>
          <w:rStyle w:val="Strong"/>
          <w:rFonts w:ascii="Times New Roman" w:hAnsi="Times New Roman" w:cs="Times New Roman"/>
          <w:b w:val="0"/>
          <w:sz w:val="24"/>
          <w:szCs w:val="24"/>
        </w:rPr>
        <w:t>ability</w:t>
      </w:r>
      <w:r w:rsidRPr="00D3356C">
        <w:rPr>
          <w:rFonts w:ascii="Times New Roman" w:hAnsi="Times New Roman" w:cs="Times New Roman"/>
          <w:sz w:val="24"/>
          <w:szCs w:val="24"/>
        </w:rPr>
        <w:t xml:space="preserve"> (skills), </w:t>
      </w:r>
      <w:r w:rsidRPr="00D3356C">
        <w:rPr>
          <w:rStyle w:val="Strong"/>
          <w:rFonts w:ascii="Times New Roman" w:hAnsi="Times New Roman" w:cs="Times New Roman"/>
          <w:b w:val="0"/>
          <w:sz w:val="24"/>
          <w:szCs w:val="24"/>
        </w:rPr>
        <w:t>motivation</w:t>
      </w:r>
      <w:r w:rsidRPr="00D3356C">
        <w:rPr>
          <w:rFonts w:ascii="Times New Roman" w:hAnsi="Times New Roman" w:cs="Times New Roman"/>
          <w:sz w:val="24"/>
          <w:szCs w:val="24"/>
        </w:rPr>
        <w:t xml:space="preserve"> (incentives), and </w:t>
      </w:r>
      <w:r w:rsidRPr="00D3356C">
        <w:rPr>
          <w:rStyle w:val="Strong"/>
          <w:rFonts w:ascii="Times New Roman" w:hAnsi="Times New Roman" w:cs="Times New Roman"/>
          <w:b w:val="0"/>
          <w:sz w:val="24"/>
          <w:szCs w:val="24"/>
        </w:rPr>
        <w:t>opportunity</w:t>
      </w:r>
      <w:r w:rsidRPr="00D3356C">
        <w:rPr>
          <w:rFonts w:ascii="Times New Roman" w:hAnsi="Times New Roman" w:cs="Times New Roman"/>
          <w:sz w:val="24"/>
          <w:szCs w:val="24"/>
        </w:rPr>
        <w:t xml:space="preserve"> (supportive systems) to act sustainably (Renwick et al., 2013). Thus, public administrations in North Africa that strengthen green HRM systems are more likely to cultivate environmentally proactive workforces.</w:t>
      </w:r>
    </w:p>
    <w:p w14:paraId="0B7FD7DB" w14:textId="77777777" w:rsidR="005F18A8" w:rsidRPr="005F18A8" w:rsidRDefault="005F18A8" w:rsidP="005F18A8">
      <w:pPr>
        <w:pStyle w:val="NormalWeb"/>
        <w:jc w:val="both"/>
        <w:rPr>
          <w:rStyle w:val="Strong"/>
          <w:b w:val="0"/>
          <w:bCs w:val="0"/>
        </w:rPr>
      </w:pPr>
      <w:r>
        <w:t>Therefore, in conclusion, the study confirms that GHRM practices significantly and positively affect employees’ pro-environmental behaviour within North African public sector institutions. Strengthening these practices — particularly through training, recognition systems, and eco-oriented appraisal — can substantially improve civil service contributions to regional environmental sustainability.</w:t>
      </w:r>
    </w:p>
    <w:p w14:paraId="4288ACB3" w14:textId="77777777" w:rsidR="009C496C" w:rsidRPr="00D05EC8" w:rsidRDefault="00E81BE9" w:rsidP="00E81BE9">
      <w:pPr>
        <w:pStyle w:val="NoSpacing"/>
        <w:jc w:val="both"/>
        <w:rPr>
          <w:rFonts w:ascii="Times New Roman" w:hAnsi="Times New Roman" w:cs="Times New Roman"/>
          <w:i/>
          <w:sz w:val="24"/>
          <w:szCs w:val="24"/>
        </w:rPr>
      </w:pPr>
      <w:r w:rsidRPr="00E81BE9">
        <w:rPr>
          <w:rStyle w:val="Strong"/>
          <w:rFonts w:ascii="Times New Roman" w:hAnsi="Times New Roman" w:cs="Times New Roman"/>
          <w:bCs w:val="0"/>
          <w:sz w:val="24"/>
          <w:szCs w:val="24"/>
        </w:rPr>
        <w:t>Hypothesis 3</w:t>
      </w:r>
      <w:r>
        <w:rPr>
          <w:rStyle w:val="Strong"/>
          <w:rFonts w:ascii="Times New Roman" w:hAnsi="Times New Roman" w:cs="Times New Roman"/>
          <w:b w:val="0"/>
          <w:bCs w:val="0"/>
          <w:sz w:val="24"/>
          <w:szCs w:val="24"/>
        </w:rPr>
        <w:t xml:space="preserve">: </w:t>
      </w:r>
      <w:r w:rsidR="00D05EC8" w:rsidRPr="00D05EC8">
        <w:rPr>
          <w:rFonts w:ascii="Times New Roman" w:hAnsi="Times New Roman" w:cs="Times New Roman"/>
          <w:i/>
          <w:sz w:val="24"/>
          <w:szCs w:val="24"/>
        </w:rPr>
        <w:t>Green Human Resource Management (GHRM) practices significantly contribute to environmental sustainability outcomes in North African public sector organisations</w:t>
      </w:r>
      <w:r w:rsidR="00D05EC8">
        <w:rPr>
          <w:rFonts w:ascii="Times New Roman" w:hAnsi="Times New Roman" w:cs="Times New Roman"/>
          <w:i/>
          <w:sz w:val="24"/>
          <w:szCs w:val="24"/>
        </w:rPr>
        <w:t>.</w:t>
      </w:r>
    </w:p>
    <w:p w14:paraId="10561517" w14:textId="77777777" w:rsidR="00E81BE9" w:rsidRDefault="00F373EC" w:rsidP="00F373EC">
      <w:pPr>
        <w:pStyle w:val="NoSpacing"/>
        <w:tabs>
          <w:tab w:val="left" w:pos="6303"/>
        </w:tabs>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ab/>
      </w:r>
    </w:p>
    <w:p w14:paraId="5173C076" w14:textId="77777777" w:rsidR="009C496C" w:rsidRPr="00E81BE9" w:rsidRDefault="009C496C" w:rsidP="00E81BE9">
      <w:pPr>
        <w:pStyle w:val="NoSpacing"/>
        <w:rPr>
          <w:rFonts w:ascii="Times New Roman" w:hAnsi="Times New Roman" w:cs="Times New Roman"/>
          <w:i/>
          <w:sz w:val="24"/>
          <w:szCs w:val="24"/>
        </w:rPr>
      </w:pPr>
      <w:r w:rsidRPr="00E81BE9">
        <w:rPr>
          <w:rStyle w:val="Strong"/>
          <w:rFonts w:ascii="Times New Roman" w:hAnsi="Times New Roman" w:cs="Times New Roman"/>
          <w:bCs w:val="0"/>
          <w:i/>
          <w:sz w:val="24"/>
          <w:szCs w:val="24"/>
        </w:rPr>
        <w:t>Data Analysis</w:t>
      </w:r>
    </w:p>
    <w:p w14:paraId="60AB560B" w14:textId="77777777" w:rsidR="00E81BE9" w:rsidRDefault="00E81BE9" w:rsidP="00E81BE9">
      <w:pPr>
        <w:pStyle w:val="NoSpacing"/>
        <w:jc w:val="both"/>
        <w:rPr>
          <w:rFonts w:ascii="Times New Roman" w:hAnsi="Times New Roman" w:cs="Times New Roman"/>
          <w:sz w:val="24"/>
          <w:szCs w:val="24"/>
        </w:rPr>
      </w:pPr>
    </w:p>
    <w:p w14:paraId="2810C268"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lastRenderedPageBreak/>
        <w:t xml:space="preserve">To test the hypothesis, a </w:t>
      </w:r>
      <w:r w:rsidRPr="00E81BE9">
        <w:rPr>
          <w:rStyle w:val="Strong"/>
          <w:rFonts w:ascii="Times New Roman" w:hAnsi="Times New Roman" w:cs="Times New Roman"/>
          <w:b w:val="0"/>
          <w:sz w:val="24"/>
          <w:szCs w:val="24"/>
        </w:rPr>
        <w:t>simple linear regression analysis</w:t>
      </w:r>
      <w:r w:rsidRPr="00E81BE9">
        <w:rPr>
          <w:rFonts w:ascii="Times New Roman" w:hAnsi="Times New Roman" w:cs="Times New Roman"/>
          <w:sz w:val="24"/>
          <w:szCs w:val="24"/>
        </w:rPr>
        <w:t xml:space="preserve"> was performed with </w:t>
      </w:r>
      <w:r w:rsidRPr="00E81BE9">
        <w:rPr>
          <w:rStyle w:val="Strong"/>
          <w:rFonts w:ascii="Times New Roman" w:hAnsi="Times New Roman" w:cs="Times New Roman"/>
          <w:b w:val="0"/>
          <w:sz w:val="24"/>
          <w:szCs w:val="24"/>
        </w:rPr>
        <w:t>Environmental Sustainability Outcomes (ESO)</w:t>
      </w:r>
      <w:r w:rsidRPr="00E81BE9">
        <w:rPr>
          <w:rFonts w:ascii="Times New Roman" w:hAnsi="Times New Roman" w:cs="Times New Roman"/>
          <w:sz w:val="24"/>
          <w:szCs w:val="24"/>
        </w:rPr>
        <w:t xml:space="preserve"> as the dependent variable and </w:t>
      </w:r>
      <w:r w:rsidRPr="00E81BE9">
        <w:rPr>
          <w:rStyle w:val="Strong"/>
          <w:rFonts w:ascii="Times New Roman" w:hAnsi="Times New Roman" w:cs="Times New Roman"/>
          <w:b w:val="0"/>
          <w:sz w:val="24"/>
          <w:szCs w:val="24"/>
        </w:rPr>
        <w:t>GHRM practices</w:t>
      </w:r>
      <w:r w:rsidRPr="00E81BE9">
        <w:rPr>
          <w:rFonts w:ascii="Times New Roman" w:hAnsi="Times New Roman" w:cs="Times New Roman"/>
          <w:sz w:val="24"/>
          <w:szCs w:val="24"/>
        </w:rPr>
        <w:t xml:space="preserve"> as the independent variable.</w:t>
      </w:r>
    </w:p>
    <w:p w14:paraId="25FEE487" w14:textId="77777777" w:rsidR="00E81BE9" w:rsidRDefault="00E81BE9" w:rsidP="00E81BE9">
      <w:pPr>
        <w:pStyle w:val="NoSpacing"/>
        <w:jc w:val="both"/>
        <w:rPr>
          <w:rFonts w:ascii="Times New Roman" w:hAnsi="Times New Roman" w:cs="Times New Roman"/>
          <w:sz w:val="24"/>
          <w:szCs w:val="24"/>
        </w:rPr>
      </w:pPr>
    </w:p>
    <w:p w14:paraId="3E91D33A"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The correlation analysis revealed a </w:t>
      </w:r>
      <w:r w:rsidRPr="00E81BE9">
        <w:rPr>
          <w:rStyle w:val="Strong"/>
          <w:rFonts w:ascii="Times New Roman" w:hAnsi="Times New Roman" w:cs="Times New Roman"/>
          <w:b w:val="0"/>
          <w:sz w:val="24"/>
          <w:szCs w:val="24"/>
        </w:rPr>
        <w:t>strong positive relationship</w:t>
      </w:r>
      <w:r w:rsidRPr="00E81BE9">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 = 0.62, p &lt; 0.001)</w:t>
      </w:r>
      <w:r w:rsidRPr="00E81BE9">
        <w:rPr>
          <w:rFonts w:ascii="Times New Roman" w:hAnsi="Times New Roman" w:cs="Times New Roman"/>
          <w:sz w:val="24"/>
          <w:szCs w:val="24"/>
        </w:rPr>
        <w:t xml:space="preserve"> between GHRM practices and environmental sustainability outcomes. Regression analysis results further showed that GHRM significantly predicts environmental sustainability (β = 0.68, p &lt; 0.001), with a </w:t>
      </w:r>
      <w:r w:rsidRPr="00E81BE9">
        <w:rPr>
          <w:rStyle w:val="Strong"/>
          <w:rFonts w:ascii="Times New Roman" w:hAnsi="Times New Roman" w:cs="Times New Roman"/>
          <w:b w:val="0"/>
          <w:sz w:val="24"/>
          <w:szCs w:val="24"/>
        </w:rPr>
        <w:t>coefficient of determination</w:t>
      </w:r>
      <w:r w:rsidRPr="00E81BE9">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(R² = 0.385)</w:t>
      </w:r>
      <w:r w:rsidRPr="00170488">
        <w:rPr>
          <w:rFonts w:ascii="Times New Roman" w:hAnsi="Times New Roman" w:cs="Times New Roman"/>
          <w:b/>
          <w:sz w:val="24"/>
          <w:szCs w:val="24"/>
        </w:rPr>
        <w:t>.</w:t>
      </w:r>
      <w:r w:rsidRPr="00E81BE9">
        <w:rPr>
          <w:rFonts w:ascii="Times New Roman" w:hAnsi="Times New Roman" w:cs="Times New Roman"/>
          <w:sz w:val="24"/>
          <w:szCs w:val="24"/>
        </w:rPr>
        <w:t xml:space="preserve"> This means that approximately </w:t>
      </w:r>
      <w:r w:rsidRPr="00170488">
        <w:rPr>
          <w:rStyle w:val="Strong"/>
          <w:rFonts w:ascii="Times New Roman" w:hAnsi="Times New Roman" w:cs="Times New Roman"/>
          <w:b w:val="0"/>
          <w:sz w:val="24"/>
          <w:szCs w:val="24"/>
        </w:rPr>
        <w:t>38.5%</w:t>
      </w:r>
      <w:r w:rsidRPr="00E81BE9">
        <w:rPr>
          <w:rStyle w:val="Strong"/>
          <w:rFonts w:ascii="Times New Roman" w:hAnsi="Times New Roman" w:cs="Times New Roman"/>
          <w:sz w:val="24"/>
          <w:szCs w:val="24"/>
        </w:rPr>
        <w:t xml:space="preserve"> </w:t>
      </w:r>
      <w:r w:rsidRPr="00E81BE9">
        <w:rPr>
          <w:rStyle w:val="Strong"/>
          <w:rFonts w:ascii="Times New Roman" w:hAnsi="Times New Roman" w:cs="Times New Roman"/>
          <w:b w:val="0"/>
          <w:sz w:val="24"/>
          <w:szCs w:val="24"/>
        </w:rPr>
        <w:t>of the variation</w:t>
      </w:r>
      <w:r w:rsidRPr="00E81BE9">
        <w:rPr>
          <w:rFonts w:ascii="Times New Roman" w:hAnsi="Times New Roman" w:cs="Times New Roman"/>
          <w:sz w:val="24"/>
          <w:szCs w:val="24"/>
        </w:rPr>
        <w:t xml:space="preserve"> in environmental sustainability outcomes can be explained by the level of implementation of GHRM practices.</w:t>
      </w:r>
    </w:p>
    <w:p w14:paraId="7B613D25" w14:textId="77777777" w:rsidR="009C496C" w:rsidRPr="00E81BE9" w:rsidRDefault="009C496C" w:rsidP="009C496C">
      <w:pPr>
        <w:pStyle w:val="NormalWeb"/>
        <w:rPr>
          <w:b/>
          <w:i/>
        </w:rPr>
      </w:pPr>
      <w:r w:rsidRPr="00E81BE9">
        <w:rPr>
          <w:b/>
          <w:i/>
        </w:rPr>
        <w:t>Regression Model:</w:t>
      </w:r>
    </w:p>
    <w:p w14:paraId="5C73B5EB" w14:textId="77777777" w:rsidR="009C496C" w:rsidRPr="00E81BE9" w:rsidRDefault="009C496C" w:rsidP="00E81BE9">
      <w:pPr>
        <w:jc w:val="both"/>
        <w:rPr>
          <w:rFonts w:ascii="Times New Roman" w:hAnsi="Times New Roman" w:cs="Times New Roman"/>
          <w:sz w:val="24"/>
          <w:szCs w:val="24"/>
        </w:rPr>
      </w:pPr>
      <w:r w:rsidRPr="00E81BE9">
        <w:rPr>
          <w:rStyle w:val="katex-mathml"/>
          <w:rFonts w:ascii="Times New Roman" w:hAnsi="Times New Roman" w:cs="Times New Roman"/>
          <w:sz w:val="24"/>
          <w:szCs w:val="24"/>
        </w:rPr>
        <w:t>Environmental Sustainability</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0.97</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0.68</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(GHRM)</w:t>
      </w:r>
      <w:r w:rsidR="00E81BE9">
        <w:rPr>
          <w:rStyle w:val="katex-mathml"/>
          <w:rFonts w:ascii="Times New Roman" w:hAnsi="Times New Roman" w:cs="Times New Roman"/>
          <w:sz w:val="24"/>
          <w:szCs w:val="24"/>
        </w:rPr>
        <w:t xml:space="preserve"> </w:t>
      </w:r>
      <w:r w:rsidR="005A38A7">
        <w:rPr>
          <w:rStyle w:val="katex-mathml"/>
          <w:rFonts w:ascii="Times New Roman" w:hAnsi="Times New Roman" w:cs="Times New Roman"/>
          <w:sz w:val="24"/>
          <w:szCs w:val="24"/>
        </w:rPr>
        <w:t>Environmental\</w:t>
      </w:r>
      <w:r w:rsidRPr="00E81BE9">
        <w:rPr>
          <w:rStyle w:val="katex-mathml"/>
          <w:rFonts w:ascii="Times New Roman" w:hAnsi="Times New Roman" w:cs="Times New Roman"/>
          <w:sz w:val="24"/>
          <w:szCs w:val="24"/>
        </w:rPr>
        <w:t>Sustainability = 0.97 + 0.68</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(GHRM)</w:t>
      </w:r>
      <w:r w:rsidR="00E81BE9">
        <w:rPr>
          <w:rStyle w:val="katex-mathml"/>
          <w:rFonts w:ascii="Times New Roman" w:hAnsi="Times New Roman" w:cs="Times New Roman"/>
          <w:sz w:val="24"/>
          <w:szCs w:val="24"/>
        </w:rPr>
        <w:t xml:space="preserve"> </w:t>
      </w:r>
      <w:r w:rsidRPr="00E81BE9">
        <w:rPr>
          <w:rStyle w:val="mord"/>
          <w:rFonts w:ascii="Times New Roman" w:hAnsi="Times New Roman" w:cs="Times New Roman"/>
          <w:sz w:val="24"/>
          <w:szCs w:val="24"/>
        </w:rPr>
        <w:t>Environmental</w:t>
      </w:r>
      <w:r w:rsidRPr="00E81BE9">
        <w:rPr>
          <w:rStyle w:val="mspace"/>
          <w:rFonts w:ascii="Times New Roman" w:hAnsi="Times New Roman" w:cs="Times New Roman"/>
          <w:sz w:val="24"/>
          <w:szCs w:val="24"/>
        </w:rPr>
        <w:t> </w:t>
      </w:r>
      <w:r w:rsidRPr="00E81BE9">
        <w:rPr>
          <w:rStyle w:val="mord"/>
          <w:rFonts w:ascii="Times New Roman" w:hAnsi="Times New Roman" w:cs="Times New Roman"/>
          <w:sz w:val="24"/>
          <w:szCs w:val="24"/>
        </w:rPr>
        <w:t>Sustainability</w:t>
      </w:r>
      <w:r w:rsidR="005A38A7">
        <w:rPr>
          <w:rStyle w:val="mord"/>
          <w:rFonts w:ascii="Times New Roman" w:hAnsi="Times New Roman" w:cs="Times New Roman"/>
          <w:sz w:val="24"/>
          <w:szCs w:val="24"/>
        </w:rPr>
        <w:t xml:space="preserve"> </w:t>
      </w:r>
      <w:r w:rsidRPr="00E81BE9">
        <w:rPr>
          <w:rStyle w:val="mrel"/>
          <w:rFonts w:ascii="Times New Roman" w:hAnsi="Times New Roman" w:cs="Times New Roman"/>
          <w:sz w:val="24"/>
          <w:szCs w:val="24"/>
        </w:rPr>
        <w:t>=</w:t>
      </w:r>
      <w:r w:rsidR="005A38A7">
        <w:rPr>
          <w:rStyle w:val="mrel"/>
          <w:rFonts w:ascii="Times New Roman" w:hAnsi="Times New Roman" w:cs="Times New Roman"/>
          <w:sz w:val="24"/>
          <w:szCs w:val="24"/>
        </w:rPr>
        <w:t xml:space="preserve"> </w:t>
      </w:r>
      <w:r w:rsidRPr="00E81BE9">
        <w:rPr>
          <w:rStyle w:val="mord"/>
          <w:rFonts w:ascii="Times New Roman" w:hAnsi="Times New Roman" w:cs="Times New Roman"/>
          <w:sz w:val="24"/>
          <w:szCs w:val="24"/>
        </w:rPr>
        <w:t>0.97</w:t>
      </w:r>
      <w:r w:rsidR="005A38A7">
        <w:rPr>
          <w:rStyle w:val="mord"/>
          <w:rFonts w:ascii="Times New Roman" w:hAnsi="Times New Roman" w:cs="Times New Roman"/>
          <w:sz w:val="24"/>
          <w:szCs w:val="24"/>
        </w:rPr>
        <w:t xml:space="preserve"> </w:t>
      </w:r>
      <w:r w:rsidRPr="00E81BE9">
        <w:rPr>
          <w:rStyle w:val="mbin"/>
          <w:rFonts w:ascii="Times New Roman" w:hAnsi="Times New Roman" w:cs="Times New Roman"/>
          <w:sz w:val="24"/>
          <w:szCs w:val="24"/>
        </w:rPr>
        <w:t>+</w:t>
      </w:r>
      <w:r w:rsidR="005A38A7">
        <w:rPr>
          <w:rStyle w:val="mbin"/>
          <w:rFonts w:ascii="Times New Roman" w:hAnsi="Times New Roman" w:cs="Times New Roman"/>
          <w:sz w:val="24"/>
          <w:szCs w:val="24"/>
        </w:rPr>
        <w:t xml:space="preserve"> </w:t>
      </w:r>
      <w:r w:rsidRPr="00E81BE9">
        <w:rPr>
          <w:rStyle w:val="mord"/>
          <w:rFonts w:ascii="Times New Roman" w:hAnsi="Times New Roman" w:cs="Times New Roman"/>
          <w:sz w:val="24"/>
          <w:szCs w:val="24"/>
        </w:rPr>
        <w:t>0.68</w:t>
      </w:r>
      <w:r w:rsidR="005A38A7">
        <w:rPr>
          <w:rStyle w:val="mord"/>
          <w:rFonts w:ascii="Times New Roman" w:hAnsi="Times New Roman" w:cs="Times New Roman"/>
          <w:sz w:val="24"/>
          <w:szCs w:val="24"/>
        </w:rPr>
        <w:t xml:space="preserve"> </w:t>
      </w:r>
      <w:r w:rsidRPr="00E81BE9">
        <w:rPr>
          <w:rStyle w:val="mopen"/>
          <w:rFonts w:ascii="Times New Roman" w:hAnsi="Times New Roman" w:cs="Times New Roman"/>
          <w:sz w:val="24"/>
          <w:szCs w:val="24"/>
        </w:rPr>
        <w:t>(</w:t>
      </w:r>
      <w:r w:rsidRPr="00E81BE9">
        <w:rPr>
          <w:rStyle w:val="mord"/>
          <w:rFonts w:ascii="Times New Roman" w:hAnsi="Times New Roman" w:cs="Times New Roman"/>
          <w:sz w:val="24"/>
          <w:szCs w:val="24"/>
        </w:rPr>
        <w:t>GHRM</w:t>
      </w:r>
      <w:r w:rsidRPr="00E81BE9">
        <w:rPr>
          <w:rStyle w:val="mclose"/>
          <w:rFonts w:ascii="Times New Roman" w:hAnsi="Times New Roman" w:cs="Times New Roman"/>
          <w:sz w:val="24"/>
          <w:szCs w:val="24"/>
        </w:rPr>
        <w:t>)</w:t>
      </w:r>
      <w:r w:rsidRPr="00E81BE9">
        <w:rPr>
          <w:rFonts w:ascii="Times New Roman" w:hAnsi="Times New Roman" w:cs="Times New Roman"/>
          <w:sz w:val="24"/>
          <w:szCs w:val="24"/>
        </w:rPr>
        <w:t xml:space="preserve"> </w:t>
      </w:r>
    </w:p>
    <w:p w14:paraId="5E16CD6A" w14:textId="77777777" w:rsidR="009C496C" w:rsidRDefault="009C496C" w:rsidP="00E81BE9">
      <w:pPr>
        <w:pStyle w:val="NormalWeb"/>
        <w:jc w:val="both"/>
      </w:pPr>
      <w:r>
        <w:t xml:space="preserve">The model indicates that a one-unit increase in GHRM practice adoption results in an average </w:t>
      </w:r>
      <w:r>
        <w:rPr>
          <w:rStyle w:val="Strong"/>
        </w:rPr>
        <w:t>0.68-</w:t>
      </w:r>
      <w:r w:rsidRPr="00E81BE9">
        <w:rPr>
          <w:rStyle w:val="Strong"/>
          <w:b w:val="0"/>
        </w:rPr>
        <w:t>point increase</w:t>
      </w:r>
      <w:r>
        <w:t xml:space="preserve"> in environmental sustainability outcomes on the 5-point scale.</w:t>
      </w:r>
      <w:r w:rsidR="00E81BE9">
        <w:t xml:space="preserve"> </w:t>
      </w:r>
      <w:r>
        <w:t>These results confirm that the more robustly public organisations implement green HR practices, the greater their observed environmental performance and sustainability outcomes.</w:t>
      </w:r>
    </w:p>
    <w:p w14:paraId="2BD33B91" w14:textId="77777777" w:rsidR="009C496C" w:rsidRPr="00E81BE9" w:rsidRDefault="009C496C" w:rsidP="00E81BE9">
      <w:pPr>
        <w:pStyle w:val="NoSpacing"/>
        <w:rPr>
          <w:rFonts w:ascii="Times New Roman" w:hAnsi="Times New Roman" w:cs="Times New Roman"/>
          <w:i/>
          <w:sz w:val="24"/>
          <w:szCs w:val="24"/>
        </w:rPr>
      </w:pPr>
      <w:r w:rsidRPr="00E81BE9">
        <w:rPr>
          <w:rStyle w:val="Strong"/>
          <w:rFonts w:ascii="Times New Roman" w:hAnsi="Times New Roman" w:cs="Times New Roman"/>
          <w:bCs w:val="0"/>
          <w:i/>
          <w:sz w:val="24"/>
          <w:szCs w:val="24"/>
        </w:rPr>
        <w:t>Interpretation of Findings</w:t>
      </w:r>
    </w:p>
    <w:p w14:paraId="61A0FE45" w14:textId="77777777" w:rsidR="00E81BE9" w:rsidRDefault="00E81BE9" w:rsidP="00E81BE9">
      <w:pPr>
        <w:pStyle w:val="NoSpacing"/>
        <w:jc w:val="both"/>
        <w:rPr>
          <w:rFonts w:ascii="Times New Roman" w:hAnsi="Times New Roman" w:cs="Times New Roman"/>
          <w:sz w:val="24"/>
          <w:szCs w:val="24"/>
        </w:rPr>
      </w:pPr>
    </w:p>
    <w:p w14:paraId="784779AD"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The findings provide strong empirical support for </w:t>
      </w:r>
      <w:r w:rsidRPr="00170488">
        <w:rPr>
          <w:rStyle w:val="Strong"/>
          <w:rFonts w:ascii="Times New Roman" w:hAnsi="Times New Roman" w:cs="Times New Roman"/>
          <w:b w:val="0"/>
          <w:i/>
          <w:sz w:val="24"/>
          <w:szCs w:val="24"/>
        </w:rPr>
        <w:t>H₃</w:t>
      </w:r>
      <w:r w:rsidRPr="00E81BE9">
        <w:rPr>
          <w:rFonts w:ascii="Times New Roman" w:hAnsi="Times New Roman" w:cs="Times New Roman"/>
          <w:sz w:val="24"/>
          <w:szCs w:val="24"/>
        </w:rPr>
        <w:t xml:space="preserve">, indicating that </w:t>
      </w:r>
      <w:r w:rsidRPr="00E81BE9">
        <w:rPr>
          <w:rStyle w:val="Strong"/>
          <w:rFonts w:ascii="Times New Roman" w:hAnsi="Times New Roman" w:cs="Times New Roman"/>
          <w:b w:val="0"/>
          <w:sz w:val="24"/>
          <w:szCs w:val="24"/>
        </w:rPr>
        <w:t>GHRM practices significantly enhance environmental sustainability</w:t>
      </w:r>
      <w:r w:rsidRPr="00E81BE9">
        <w:rPr>
          <w:rFonts w:ascii="Times New Roman" w:hAnsi="Times New Roman" w:cs="Times New Roman"/>
          <w:sz w:val="24"/>
          <w:szCs w:val="24"/>
        </w:rPr>
        <w:t xml:space="preserve"> within North African public sector organisations. This suggests that green HRM serves as a strategic tool not only for promoting pro-environmental behaviour among employees but also for institutionalising environmentally responsible outcomes.</w:t>
      </w:r>
      <w:r w:rsidR="00E81BE9">
        <w:rPr>
          <w:rFonts w:ascii="Times New Roman" w:hAnsi="Times New Roman" w:cs="Times New Roman"/>
          <w:sz w:val="24"/>
          <w:szCs w:val="24"/>
        </w:rPr>
        <w:t xml:space="preserve"> </w:t>
      </w:r>
      <w:r w:rsidRPr="00E81BE9">
        <w:rPr>
          <w:rFonts w:ascii="Times New Roman" w:hAnsi="Times New Roman" w:cs="Times New Roman"/>
          <w:sz w:val="24"/>
          <w:szCs w:val="24"/>
        </w:rPr>
        <w:t xml:space="preserve">These results align with the studies of </w:t>
      </w:r>
      <w:r w:rsidRPr="00E81BE9">
        <w:rPr>
          <w:rStyle w:val="Emphasis"/>
          <w:rFonts w:ascii="Times New Roman" w:eastAsiaTheme="majorEastAsia" w:hAnsi="Times New Roman" w:cs="Times New Roman"/>
          <w:sz w:val="24"/>
          <w:szCs w:val="24"/>
        </w:rPr>
        <w:t>Jabbour and Santos (2008)</w:t>
      </w:r>
      <w:r w:rsidRPr="00E81BE9">
        <w:rPr>
          <w:rFonts w:ascii="Times New Roman" w:hAnsi="Times New Roman" w:cs="Times New Roman"/>
          <w:sz w:val="24"/>
          <w:szCs w:val="24"/>
        </w:rPr>
        <w:t xml:space="preserve"> and </w:t>
      </w:r>
      <w:r w:rsidRPr="00E81BE9">
        <w:rPr>
          <w:rStyle w:val="Emphasis"/>
          <w:rFonts w:ascii="Times New Roman" w:eastAsiaTheme="majorEastAsia" w:hAnsi="Times New Roman" w:cs="Times New Roman"/>
          <w:sz w:val="24"/>
          <w:szCs w:val="24"/>
        </w:rPr>
        <w:t>Masri and Jaaron (2017)</w:t>
      </w:r>
      <w:r w:rsidRPr="00E81BE9">
        <w:rPr>
          <w:rFonts w:ascii="Times New Roman" w:hAnsi="Times New Roman" w:cs="Times New Roman"/>
          <w:sz w:val="24"/>
          <w:szCs w:val="24"/>
        </w:rPr>
        <w:t xml:space="preserve">, who observed that the systematic incorporation of environmental considerations into HR policies fosters organisational eco-performance. Similarly, </w:t>
      </w:r>
      <w:r w:rsidRPr="00E81BE9">
        <w:rPr>
          <w:rStyle w:val="Emphasis"/>
          <w:rFonts w:ascii="Times New Roman" w:eastAsiaTheme="majorEastAsia" w:hAnsi="Times New Roman" w:cs="Times New Roman"/>
          <w:sz w:val="24"/>
          <w:szCs w:val="24"/>
        </w:rPr>
        <w:t>Renwick, Redman and Maguire (2013)</w:t>
      </w:r>
      <w:r w:rsidRPr="00E81BE9">
        <w:rPr>
          <w:rFonts w:ascii="Times New Roman" w:hAnsi="Times New Roman" w:cs="Times New Roman"/>
          <w:sz w:val="24"/>
          <w:szCs w:val="24"/>
        </w:rPr>
        <w:t xml:space="preserve"> and </w:t>
      </w:r>
      <w:r w:rsidRPr="00E81BE9">
        <w:rPr>
          <w:rStyle w:val="Emphasis"/>
          <w:rFonts w:ascii="Times New Roman" w:eastAsiaTheme="majorEastAsia" w:hAnsi="Times New Roman" w:cs="Times New Roman"/>
          <w:sz w:val="24"/>
          <w:szCs w:val="24"/>
        </w:rPr>
        <w:t>Tang et al. (2018)</w:t>
      </w:r>
      <w:r w:rsidRPr="00E81BE9">
        <w:rPr>
          <w:rFonts w:ascii="Times New Roman" w:hAnsi="Times New Roman" w:cs="Times New Roman"/>
          <w:sz w:val="24"/>
          <w:szCs w:val="24"/>
        </w:rPr>
        <w:t xml:space="preserve"> assert that effective GHRM systems create a “green organisational culture” that drives energy efficiency, waste minimisation, and resource optimisation.</w:t>
      </w:r>
    </w:p>
    <w:p w14:paraId="6913CF2A" w14:textId="77777777" w:rsidR="00E81BE9" w:rsidRDefault="00E81BE9" w:rsidP="00E81BE9">
      <w:pPr>
        <w:pStyle w:val="NoSpacing"/>
        <w:jc w:val="both"/>
        <w:rPr>
          <w:rFonts w:ascii="Times New Roman" w:hAnsi="Times New Roman" w:cs="Times New Roman"/>
          <w:sz w:val="24"/>
          <w:szCs w:val="24"/>
        </w:rPr>
      </w:pPr>
    </w:p>
    <w:p w14:paraId="37FF7F0F"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In the North African civil service context, the results highlight that where ministries and agencies invest in green recruitment, continuous environmental training, and eco-based performance management, tangible improvements in sustainability indicators — such as reduced paper usage, compliance with environmental regulations, and improved workplace environmental consciousness — are achieved.</w:t>
      </w:r>
      <w:r w:rsidR="00E81BE9">
        <w:rPr>
          <w:rFonts w:ascii="Times New Roman" w:hAnsi="Times New Roman" w:cs="Times New Roman"/>
          <w:sz w:val="24"/>
          <w:szCs w:val="24"/>
        </w:rPr>
        <w:t xml:space="preserve"> </w:t>
      </w:r>
      <w:r w:rsidRPr="00E81BE9">
        <w:rPr>
          <w:rFonts w:ascii="Times New Roman" w:hAnsi="Times New Roman" w:cs="Times New Roman"/>
          <w:sz w:val="24"/>
          <w:szCs w:val="24"/>
        </w:rPr>
        <w:t>However, the moderate overall environmental sustainability score (M = 2.90) indicates that these gains are still in early stages, suggesting the need for stronger policy integration, leadership commitment, and budgetary support to scale up sustainable public service delivery.</w:t>
      </w:r>
    </w:p>
    <w:p w14:paraId="5FBA4581" w14:textId="77777777" w:rsidR="00E81BE9" w:rsidRDefault="00E81BE9" w:rsidP="00E81BE9">
      <w:pPr>
        <w:pStyle w:val="NoSpacing"/>
        <w:jc w:val="both"/>
        <w:rPr>
          <w:rFonts w:ascii="Times New Roman" w:hAnsi="Times New Roman" w:cs="Times New Roman"/>
          <w:sz w:val="24"/>
          <w:szCs w:val="24"/>
        </w:rPr>
      </w:pPr>
    </w:p>
    <w:p w14:paraId="080944A7"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Viewed through the </w:t>
      </w:r>
      <w:r w:rsidRPr="00E81BE9">
        <w:rPr>
          <w:rStyle w:val="Strong"/>
          <w:rFonts w:ascii="Times New Roman" w:hAnsi="Times New Roman" w:cs="Times New Roman"/>
          <w:b w:val="0"/>
          <w:sz w:val="24"/>
          <w:szCs w:val="24"/>
        </w:rPr>
        <w:t>Ability–Motivation–Opportunity (AMO) theoretical lens</w:t>
      </w:r>
      <w:r w:rsidRPr="00E81BE9">
        <w:rPr>
          <w:rFonts w:ascii="Times New Roman" w:hAnsi="Times New Roman" w:cs="Times New Roman"/>
          <w:sz w:val="24"/>
          <w:szCs w:val="24"/>
        </w:rPr>
        <w:t xml:space="preserve">, these results demonstrate that GHRM practices enhance environmental sustainability outcomes by equipping employees with the </w:t>
      </w:r>
      <w:r w:rsidRPr="00E81BE9">
        <w:rPr>
          <w:rStyle w:val="Strong"/>
          <w:rFonts w:ascii="Times New Roman" w:hAnsi="Times New Roman" w:cs="Times New Roman"/>
          <w:b w:val="0"/>
          <w:sz w:val="24"/>
          <w:szCs w:val="24"/>
        </w:rPr>
        <w:t>ability</w:t>
      </w:r>
      <w:r w:rsidRPr="00E81BE9">
        <w:rPr>
          <w:rFonts w:ascii="Times New Roman" w:hAnsi="Times New Roman" w:cs="Times New Roman"/>
          <w:sz w:val="24"/>
          <w:szCs w:val="24"/>
        </w:rPr>
        <w:t xml:space="preserve"> (through training), fostering </w:t>
      </w:r>
      <w:r w:rsidRPr="00E81BE9">
        <w:rPr>
          <w:rStyle w:val="Strong"/>
          <w:rFonts w:ascii="Times New Roman" w:hAnsi="Times New Roman" w:cs="Times New Roman"/>
          <w:b w:val="0"/>
          <w:sz w:val="24"/>
          <w:szCs w:val="24"/>
        </w:rPr>
        <w:t>motivation</w:t>
      </w:r>
      <w:r w:rsidRPr="00E81BE9">
        <w:rPr>
          <w:rFonts w:ascii="Times New Roman" w:hAnsi="Times New Roman" w:cs="Times New Roman"/>
          <w:sz w:val="24"/>
          <w:szCs w:val="24"/>
        </w:rPr>
        <w:t xml:space="preserve"> (through performance rewards), and providing </w:t>
      </w:r>
      <w:r w:rsidRPr="00E81BE9">
        <w:rPr>
          <w:rStyle w:val="Strong"/>
          <w:rFonts w:ascii="Times New Roman" w:hAnsi="Times New Roman" w:cs="Times New Roman"/>
          <w:b w:val="0"/>
          <w:sz w:val="24"/>
          <w:szCs w:val="24"/>
        </w:rPr>
        <w:t>opportunities</w:t>
      </w:r>
      <w:r w:rsidRPr="00E81BE9">
        <w:rPr>
          <w:rFonts w:ascii="Times New Roman" w:hAnsi="Times New Roman" w:cs="Times New Roman"/>
          <w:sz w:val="24"/>
          <w:szCs w:val="24"/>
        </w:rPr>
        <w:t xml:space="preserve"> (through participatory green initiatives) to act sustainably (</w:t>
      </w:r>
      <w:r w:rsidRPr="00E81BE9">
        <w:rPr>
          <w:rStyle w:val="Emphasis"/>
          <w:rFonts w:ascii="Times New Roman" w:eastAsiaTheme="majorEastAsia" w:hAnsi="Times New Roman" w:cs="Times New Roman"/>
          <w:sz w:val="24"/>
          <w:szCs w:val="24"/>
        </w:rPr>
        <w:t>Renwick et al., 2013</w:t>
      </w:r>
      <w:r w:rsidRPr="00E81BE9">
        <w:rPr>
          <w:rFonts w:ascii="Times New Roman" w:hAnsi="Times New Roman" w:cs="Times New Roman"/>
          <w:sz w:val="24"/>
          <w:szCs w:val="24"/>
        </w:rPr>
        <w:t>).</w:t>
      </w:r>
    </w:p>
    <w:p w14:paraId="669B6586" w14:textId="77777777" w:rsidR="00E81BE9" w:rsidRDefault="00E81BE9" w:rsidP="00E81BE9">
      <w:pPr>
        <w:pStyle w:val="NoSpacing"/>
        <w:jc w:val="both"/>
        <w:rPr>
          <w:rFonts w:ascii="Times New Roman" w:hAnsi="Times New Roman" w:cs="Times New Roman"/>
          <w:sz w:val="24"/>
          <w:szCs w:val="24"/>
        </w:rPr>
      </w:pPr>
    </w:p>
    <w:p w14:paraId="7292C1FC" w14:textId="77777777" w:rsidR="009C496C" w:rsidRPr="00E81BE9" w:rsidRDefault="00E81BE9"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lastRenderedPageBreak/>
        <w:t>Therefore, in conclusion, t</w:t>
      </w:r>
      <w:r w:rsidR="009C496C" w:rsidRPr="00E81BE9">
        <w:rPr>
          <w:rFonts w:ascii="Times New Roman" w:hAnsi="Times New Roman" w:cs="Times New Roman"/>
          <w:sz w:val="24"/>
          <w:szCs w:val="24"/>
        </w:rPr>
        <w:t xml:space="preserve">he findings confirm that </w:t>
      </w:r>
      <w:r w:rsidR="009C496C" w:rsidRPr="00E81BE9">
        <w:rPr>
          <w:rStyle w:val="Strong"/>
          <w:rFonts w:ascii="Times New Roman" w:hAnsi="Times New Roman" w:cs="Times New Roman"/>
          <w:b w:val="0"/>
          <w:sz w:val="24"/>
          <w:szCs w:val="24"/>
        </w:rPr>
        <w:t>GHRM practices significantly contribute to environmental sustainability outcomes</w:t>
      </w:r>
      <w:r w:rsidR="009C496C" w:rsidRPr="00E81BE9">
        <w:rPr>
          <w:rFonts w:ascii="Times New Roman" w:hAnsi="Times New Roman" w:cs="Times New Roman"/>
          <w:sz w:val="24"/>
          <w:szCs w:val="24"/>
        </w:rPr>
        <w:t xml:space="preserve"> in North African public sector organisations. Strengthening the integration of green HR policies into civil service frameworks can accelerate the transition toward environmentally responsible public administration. The study thus underscores GHRM as a vital strategic lever for achieving the United Nations’ Sustainable Development Goals (SDGs) — particularly </w:t>
      </w:r>
      <w:r w:rsidR="009C496C" w:rsidRPr="00E81BE9">
        <w:rPr>
          <w:rStyle w:val="Strong"/>
          <w:rFonts w:ascii="Times New Roman" w:hAnsi="Times New Roman" w:cs="Times New Roman"/>
          <w:b w:val="0"/>
          <w:sz w:val="24"/>
          <w:szCs w:val="24"/>
        </w:rPr>
        <w:t>Goal 13 (Climate Action)</w:t>
      </w:r>
      <w:r w:rsidR="009C496C" w:rsidRPr="00E81BE9">
        <w:rPr>
          <w:rFonts w:ascii="Times New Roman" w:hAnsi="Times New Roman" w:cs="Times New Roman"/>
          <w:b/>
          <w:sz w:val="24"/>
          <w:szCs w:val="24"/>
        </w:rPr>
        <w:t xml:space="preserve"> </w:t>
      </w:r>
      <w:r w:rsidR="009C496C" w:rsidRPr="00B7441C">
        <w:rPr>
          <w:rFonts w:ascii="Times New Roman" w:hAnsi="Times New Roman" w:cs="Times New Roman"/>
          <w:sz w:val="24"/>
          <w:szCs w:val="24"/>
        </w:rPr>
        <w:t>and</w:t>
      </w:r>
      <w:r w:rsidR="009C496C" w:rsidRPr="00E81BE9">
        <w:rPr>
          <w:rFonts w:ascii="Times New Roman" w:hAnsi="Times New Roman" w:cs="Times New Roman"/>
          <w:b/>
          <w:sz w:val="24"/>
          <w:szCs w:val="24"/>
        </w:rPr>
        <w:t xml:space="preserve"> </w:t>
      </w:r>
      <w:r w:rsidR="009C496C" w:rsidRPr="00E81BE9">
        <w:rPr>
          <w:rStyle w:val="Strong"/>
          <w:rFonts w:ascii="Times New Roman" w:hAnsi="Times New Roman" w:cs="Times New Roman"/>
          <w:b w:val="0"/>
          <w:sz w:val="24"/>
          <w:szCs w:val="24"/>
        </w:rPr>
        <w:t>Goal 12 (Responsible Consumption and Production)</w:t>
      </w:r>
      <w:r w:rsidR="009C496C" w:rsidRPr="00E81BE9">
        <w:rPr>
          <w:rFonts w:ascii="Times New Roman" w:hAnsi="Times New Roman" w:cs="Times New Roman"/>
          <w:sz w:val="24"/>
          <w:szCs w:val="24"/>
        </w:rPr>
        <w:t xml:space="preserve"> — within public sector institutions.</w:t>
      </w:r>
    </w:p>
    <w:p w14:paraId="0328C781" w14:textId="77777777" w:rsidR="005F18A8" w:rsidRDefault="005F18A8" w:rsidP="005F18A8">
      <w:pPr>
        <w:pStyle w:val="NoSpacing"/>
        <w:jc w:val="both"/>
        <w:rPr>
          <w:rStyle w:val="Strong"/>
          <w:rFonts w:ascii="Times New Roman" w:hAnsi="Times New Roman" w:cs="Times New Roman"/>
          <w:b w:val="0"/>
          <w:bCs w:val="0"/>
          <w:sz w:val="24"/>
          <w:szCs w:val="24"/>
        </w:rPr>
      </w:pPr>
    </w:p>
    <w:p w14:paraId="4E7A4327" w14:textId="77777777" w:rsidR="009C496C" w:rsidRPr="005F18A8" w:rsidRDefault="005F18A8" w:rsidP="005F18A8">
      <w:pPr>
        <w:pStyle w:val="NoSpacing"/>
        <w:jc w:val="both"/>
        <w:rPr>
          <w:rFonts w:ascii="Times New Roman" w:hAnsi="Times New Roman" w:cs="Times New Roman"/>
          <w:sz w:val="24"/>
          <w:szCs w:val="24"/>
        </w:rPr>
      </w:pPr>
      <w:r w:rsidRPr="005F18A8">
        <w:rPr>
          <w:rStyle w:val="Strong"/>
          <w:rFonts w:ascii="Times New Roman" w:hAnsi="Times New Roman" w:cs="Times New Roman"/>
          <w:bCs w:val="0"/>
          <w:sz w:val="24"/>
          <w:szCs w:val="24"/>
        </w:rPr>
        <w:t>DISCUSSION OF FINDINGS</w:t>
      </w:r>
    </w:p>
    <w:p w14:paraId="436F1E37" w14:textId="77777777" w:rsidR="005F18A8" w:rsidRDefault="005F18A8" w:rsidP="005F18A8">
      <w:pPr>
        <w:pStyle w:val="NoSpacing"/>
        <w:jc w:val="both"/>
        <w:rPr>
          <w:rFonts w:ascii="Times New Roman" w:hAnsi="Times New Roman" w:cs="Times New Roman"/>
          <w:sz w:val="24"/>
          <w:szCs w:val="24"/>
        </w:rPr>
      </w:pPr>
    </w:p>
    <w:p w14:paraId="18E6F5CE" w14:textId="77777777" w:rsidR="009C496C" w:rsidRPr="005F18A8" w:rsidRDefault="009C496C" w:rsidP="005F18A8">
      <w:pPr>
        <w:pStyle w:val="NoSpacing"/>
        <w:jc w:val="both"/>
        <w:rPr>
          <w:rFonts w:ascii="Times New Roman" w:hAnsi="Times New Roman" w:cs="Times New Roman"/>
          <w:sz w:val="24"/>
          <w:szCs w:val="24"/>
        </w:rPr>
      </w:pPr>
      <w:r w:rsidRPr="005F18A8">
        <w:rPr>
          <w:rFonts w:ascii="Times New Roman" w:hAnsi="Times New Roman" w:cs="Times New Roman"/>
          <w:sz w:val="24"/>
          <w:szCs w:val="24"/>
        </w:rPr>
        <w:t>The purpose of this study was to examine the extent to which Green Human Resource Management (GHRM) practices contribute to environmental sustainability outcomes within public sector organisations across North Africa. The discussion below interprets the findings from the three major research questions and corresponding hypotheses in relation to empirical evidence and theoretical expectations.</w:t>
      </w:r>
    </w:p>
    <w:p w14:paraId="6F70A0CC" w14:textId="77777777" w:rsidR="00F76A89" w:rsidRDefault="00F76A89" w:rsidP="00F76A89">
      <w:pPr>
        <w:pStyle w:val="NoSpacing"/>
        <w:jc w:val="both"/>
        <w:rPr>
          <w:rStyle w:val="Strong"/>
          <w:rFonts w:ascii="Times New Roman" w:hAnsi="Times New Roman" w:cs="Times New Roman"/>
          <w:b w:val="0"/>
          <w:bCs w:val="0"/>
          <w:sz w:val="24"/>
          <w:szCs w:val="24"/>
        </w:rPr>
      </w:pPr>
    </w:p>
    <w:p w14:paraId="4ED59E75" w14:textId="77777777" w:rsidR="009C496C" w:rsidRPr="00F76A89" w:rsidRDefault="004D0C84" w:rsidP="00F76A89">
      <w:pPr>
        <w:pStyle w:val="NoSpacing"/>
        <w:jc w:val="both"/>
        <w:rPr>
          <w:rFonts w:ascii="Times New Roman" w:hAnsi="Times New Roman" w:cs="Times New Roman"/>
          <w:sz w:val="24"/>
          <w:szCs w:val="24"/>
        </w:rPr>
      </w:pPr>
      <w:r w:rsidRPr="00F76A89">
        <w:rPr>
          <w:rStyle w:val="Strong"/>
          <w:rFonts w:ascii="Times New Roman" w:hAnsi="Times New Roman" w:cs="Times New Roman"/>
          <w:b w:val="0"/>
          <w:bCs w:val="0"/>
          <w:sz w:val="24"/>
          <w:szCs w:val="24"/>
        </w:rPr>
        <w:t xml:space="preserve">In </w:t>
      </w:r>
      <w:r w:rsidR="00F76A89" w:rsidRPr="00F76A89">
        <w:rPr>
          <w:rStyle w:val="Strong"/>
          <w:rFonts w:ascii="Times New Roman" w:hAnsi="Times New Roman" w:cs="Times New Roman"/>
          <w:b w:val="0"/>
          <w:bCs w:val="0"/>
          <w:sz w:val="24"/>
          <w:szCs w:val="24"/>
        </w:rPr>
        <w:t>respect to the i</w:t>
      </w:r>
      <w:r w:rsidR="009C496C" w:rsidRPr="00F76A89">
        <w:rPr>
          <w:rStyle w:val="Strong"/>
          <w:rFonts w:ascii="Times New Roman" w:hAnsi="Times New Roman" w:cs="Times New Roman"/>
          <w:b w:val="0"/>
          <w:bCs w:val="0"/>
          <w:sz w:val="24"/>
          <w:szCs w:val="24"/>
        </w:rPr>
        <w:t>nfluence</w:t>
      </w:r>
      <w:r w:rsidR="00F76A89" w:rsidRPr="00F76A89">
        <w:rPr>
          <w:rStyle w:val="Strong"/>
          <w:rFonts w:ascii="Times New Roman" w:hAnsi="Times New Roman" w:cs="Times New Roman"/>
          <w:b w:val="0"/>
          <w:bCs w:val="0"/>
          <w:sz w:val="24"/>
          <w:szCs w:val="24"/>
        </w:rPr>
        <w:t xml:space="preserve"> of green recruitment and selection on environmental s</w:t>
      </w:r>
      <w:r w:rsidR="009C496C" w:rsidRPr="00F76A89">
        <w:rPr>
          <w:rStyle w:val="Strong"/>
          <w:rFonts w:ascii="Times New Roman" w:hAnsi="Times New Roman" w:cs="Times New Roman"/>
          <w:b w:val="0"/>
          <w:bCs w:val="0"/>
          <w:sz w:val="24"/>
          <w:szCs w:val="24"/>
        </w:rPr>
        <w:t>ustainability</w:t>
      </w:r>
      <w:r w:rsidR="00F76A89" w:rsidRPr="00F76A89">
        <w:rPr>
          <w:rStyle w:val="Strong"/>
          <w:rFonts w:ascii="Times New Roman" w:hAnsi="Times New Roman" w:cs="Times New Roman"/>
          <w:b w:val="0"/>
          <w:bCs w:val="0"/>
          <w:sz w:val="24"/>
          <w:szCs w:val="24"/>
        </w:rPr>
        <w:t>, the f</w:t>
      </w:r>
      <w:r w:rsidR="009C496C" w:rsidRPr="00F76A89">
        <w:rPr>
          <w:rFonts w:ascii="Times New Roman" w:hAnsi="Times New Roman" w:cs="Times New Roman"/>
          <w:sz w:val="24"/>
          <w:szCs w:val="24"/>
        </w:rPr>
        <w:t xml:space="preserve">indings from the analysis revealed that green recruitment and selection practices had a </w:t>
      </w:r>
      <w:r w:rsidR="009C496C" w:rsidRPr="00B7441C">
        <w:rPr>
          <w:rStyle w:val="Strong"/>
          <w:rFonts w:ascii="Times New Roman" w:hAnsi="Times New Roman" w:cs="Times New Roman"/>
          <w:b w:val="0"/>
          <w:sz w:val="24"/>
          <w:szCs w:val="24"/>
        </w:rPr>
        <w:t>moderate and statistically significant influence</w:t>
      </w:r>
      <w:r w:rsidR="009C496C" w:rsidRPr="00F76A89">
        <w:rPr>
          <w:rFonts w:ascii="Times New Roman" w:hAnsi="Times New Roman" w:cs="Times New Roman"/>
          <w:sz w:val="24"/>
          <w:szCs w:val="24"/>
        </w:rPr>
        <w:t xml:space="preserve"> on environmental sustainability outcomes in the North African civil service. Respondents agreed that hiring employees with environmental awareness and values supports the institutionalisation of eco-friendly workplace behaviours.</w:t>
      </w:r>
      <w:r w:rsidR="00F76A89" w:rsidRPr="00F76A89">
        <w:rPr>
          <w:rFonts w:ascii="Times New Roman" w:hAnsi="Times New Roman" w:cs="Times New Roman"/>
          <w:sz w:val="24"/>
          <w:szCs w:val="24"/>
        </w:rPr>
        <w:t xml:space="preserve"> </w:t>
      </w:r>
      <w:r w:rsidR="009C496C" w:rsidRPr="00F76A89">
        <w:rPr>
          <w:rFonts w:ascii="Times New Roman" w:hAnsi="Times New Roman" w:cs="Times New Roman"/>
          <w:sz w:val="24"/>
          <w:szCs w:val="24"/>
        </w:rPr>
        <w:t xml:space="preserve">This finding corroborates the view of </w:t>
      </w:r>
      <w:r w:rsidR="009C496C" w:rsidRPr="00F76A89">
        <w:rPr>
          <w:rStyle w:val="Emphasis"/>
          <w:rFonts w:ascii="Times New Roman" w:eastAsiaTheme="majorEastAsia" w:hAnsi="Times New Roman" w:cs="Times New Roman"/>
          <w:sz w:val="24"/>
          <w:szCs w:val="24"/>
        </w:rPr>
        <w:t>Ahmad (2015)</w:t>
      </w:r>
      <w:r w:rsidR="009C496C" w:rsidRPr="00F76A89">
        <w:rPr>
          <w:rFonts w:ascii="Times New Roman" w:hAnsi="Times New Roman" w:cs="Times New Roman"/>
          <w:sz w:val="24"/>
          <w:szCs w:val="24"/>
        </w:rPr>
        <w:t xml:space="preserve">, who emphasised that incorporating environmental criteria into hiring decisions can ensure that employees’ values align with an organisation’s sustainability goals. Similarly, </w:t>
      </w:r>
      <w:r w:rsidR="009C496C" w:rsidRPr="00F76A89">
        <w:rPr>
          <w:rStyle w:val="Emphasis"/>
          <w:rFonts w:ascii="Times New Roman" w:eastAsiaTheme="majorEastAsia" w:hAnsi="Times New Roman" w:cs="Times New Roman"/>
          <w:sz w:val="24"/>
          <w:szCs w:val="24"/>
        </w:rPr>
        <w:t>Renwick, Redman and Maguire (2013)</w:t>
      </w:r>
      <w:r w:rsidR="009C496C" w:rsidRPr="00F76A89">
        <w:rPr>
          <w:rFonts w:ascii="Times New Roman" w:hAnsi="Times New Roman" w:cs="Times New Roman"/>
          <w:sz w:val="24"/>
          <w:szCs w:val="24"/>
        </w:rPr>
        <w:t xml:space="preserve"> noted that green recruitment creates a workforce culture oriented towards sustainability by selecting applicants committed to environmental protection.</w:t>
      </w:r>
    </w:p>
    <w:p w14:paraId="742CBB27" w14:textId="77777777" w:rsidR="009C496C" w:rsidRPr="00F76A89" w:rsidRDefault="009C496C" w:rsidP="00F76A89">
      <w:pPr>
        <w:pStyle w:val="NormalWeb"/>
        <w:jc w:val="both"/>
      </w:pPr>
      <w:r w:rsidRPr="00F76A89">
        <w:t>In the context of the civil service, this result suggests that ministries and government agencies that consciously recruit personnel with environmental competence and ethical responsibility experience greater progress in implementing energy-efficient policies and eco-conscious administrative practices. However, the moderate mean score obtained in this study implies that many North African public institutions have yet to fully integrate environmental crite</w:t>
      </w:r>
      <w:r w:rsidR="00F76A89" w:rsidRPr="00F76A89">
        <w:t xml:space="preserve">ria into recruitment processes. </w:t>
      </w:r>
      <w:r w:rsidRPr="00F76A89">
        <w:t xml:space="preserve">This partial implementation aligns with </w:t>
      </w:r>
      <w:r w:rsidRPr="00F76A89">
        <w:rPr>
          <w:rStyle w:val="Emphasis"/>
          <w:rFonts w:eastAsiaTheme="majorEastAsia"/>
        </w:rPr>
        <w:t>Tang et al. (2018)</w:t>
      </w:r>
      <w:r w:rsidRPr="00F76A89">
        <w:t>, who observed that public institutions often face bureaucratic constraints and rigid hiring policies that limit the adoption of green criteria. Therefore, while the direction of influence is positive, the scope remains limited, requiring strategic policy reform to mainstream green recruitment across civil service frameworks.</w:t>
      </w:r>
    </w:p>
    <w:p w14:paraId="7314C066" w14:textId="77777777" w:rsidR="009C496C" w:rsidRPr="00B21346" w:rsidRDefault="00B21346" w:rsidP="00B21346">
      <w:pPr>
        <w:pStyle w:val="NoSpacing"/>
        <w:jc w:val="both"/>
        <w:rPr>
          <w:rFonts w:ascii="Times New Roman" w:hAnsi="Times New Roman" w:cs="Times New Roman"/>
          <w:sz w:val="24"/>
          <w:szCs w:val="24"/>
        </w:rPr>
      </w:pPr>
      <w:r w:rsidRPr="00B21346">
        <w:rPr>
          <w:rStyle w:val="Strong"/>
          <w:rFonts w:ascii="Times New Roman" w:hAnsi="Times New Roman" w:cs="Times New Roman"/>
          <w:b w:val="0"/>
          <w:bCs w:val="0"/>
          <w:sz w:val="24"/>
          <w:szCs w:val="24"/>
        </w:rPr>
        <w:t>Regarding the effect of green training and development on e</w:t>
      </w:r>
      <w:r w:rsidR="009C496C" w:rsidRPr="00B21346">
        <w:rPr>
          <w:rStyle w:val="Strong"/>
          <w:rFonts w:ascii="Times New Roman" w:hAnsi="Times New Roman" w:cs="Times New Roman"/>
          <w:b w:val="0"/>
          <w:bCs w:val="0"/>
          <w:sz w:val="24"/>
          <w:szCs w:val="24"/>
        </w:rPr>
        <w:t xml:space="preserve">nvironmental </w:t>
      </w:r>
      <w:r w:rsidRPr="00B21346">
        <w:rPr>
          <w:rStyle w:val="Strong"/>
          <w:rFonts w:ascii="Times New Roman" w:hAnsi="Times New Roman" w:cs="Times New Roman"/>
          <w:b w:val="0"/>
          <w:bCs w:val="0"/>
          <w:sz w:val="24"/>
          <w:szCs w:val="24"/>
        </w:rPr>
        <w:t>performance, t</w:t>
      </w:r>
      <w:r w:rsidR="009C496C" w:rsidRPr="00B21346">
        <w:rPr>
          <w:rFonts w:ascii="Times New Roman" w:hAnsi="Times New Roman" w:cs="Times New Roman"/>
          <w:sz w:val="24"/>
          <w:szCs w:val="24"/>
        </w:rPr>
        <w:t xml:space="preserve">he results also demonstrated a </w:t>
      </w:r>
      <w:r w:rsidR="009C496C" w:rsidRPr="00B21346">
        <w:rPr>
          <w:rStyle w:val="Strong"/>
          <w:rFonts w:ascii="Times New Roman" w:hAnsi="Times New Roman" w:cs="Times New Roman"/>
          <w:b w:val="0"/>
          <w:sz w:val="24"/>
          <w:szCs w:val="24"/>
        </w:rPr>
        <w:t>strong positive relationship</w:t>
      </w:r>
      <w:r w:rsidR="009C496C" w:rsidRPr="00B21346">
        <w:rPr>
          <w:rFonts w:ascii="Times New Roman" w:hAnsi="Times New Roman" w:cs="Times New Roman"/>
          <w:sz w:val="24"/>
          <w:szCs w:val="24"/>
        </w:rPr>
        <w:t xml:space="preserve"> between green training and employees’ environmental awareness and engagement. Organisations that provided environmental education, workshops, and sustainability seminars reported higher levels of eco-friendly practices such as energy conservation, digital filing, and waste management.</w:t>
      </w:r>
      <w:r w:rsidRPr="00B21346">
        <w:rPr>
          <w:rFonts w:ascii="Times New Roman" w:hAnsi="Times New Roman" w:cs="Times New Roman"/>
          <w:sz w:val="24"/>
          <w:szCs w:val="24"/>
        </w:rPr>
        <w:t xml:space="preserve"> </w:t>
      </w:r>
      <w:r w:rsidR="009C496C" w:rsidRPr="00B21346">
        <w:rPr>
          <w:rFonts w:ascii="Times New Roman" w:hAnsi="Times New Roman" w:cs="Times New Roman"/>
          <w:sz w:val="24"/>
          <w:szCs w:val="24"/>
        </w:rPr>
        <w:t xml:space="preserve">This finding supports the </w:t>
      </w:r>
      <w:r w:rsidR="009C496C" w:rsidRPr="00B21346">
        <w:rPr>
          <w:rStyle w:val="Emphasis"/>
          <w:rFonts w:ascii="Times New Roman" w:eastAsiaTheme="majorEastAsia" w:hAnsi="Times New Roman" w:cs="Times New Roman"/>
          <w:sz w:val="24"/>
          <w:szCs w:val="24"/>
        </w:rPr>
        <w:t>Ability–Motivation–Opportunity (AMO) theory</w:t>
      </w:r>
      <w:r w:rsidR="009C496C" w:rsidRPr="00B21346">
        <w:rPr>
          <w:rFonts w:ascii="Times New Roman" w:hAnsi="Times New Roman" w:cs="Times New Roman"/>
          <w:sz w:val="24"/>
          <w:szCs w:val="24"/>
        </w:rPr>
        <w:t>, which posits that employees’ abilities to act sustainably depend on the training opportunities provided by their organisations (</w:t>
      </w:r>
      <w:r w:rsidR="009C496C" w:rsidRPr="00B21346">
        <w:rPr>
          <w:rStyle w:val="Emphasis"/>
          <w:rFonts w:ascii="Times New Roman" w:eastAsiaTheme="majorEastAsia" w:hAnsi="Times New Roman" w:cs="Times New Roman"/>
          <w:sz w:val="24"/>
          <w:szCs w:val="24"/>
        </w:rPr>
        <w:t>Renwick et al., 2013</w:t>
      </w:r>
      <w:r w:rsidR="009C496C" w:rsidRPr="00B21346">
        <w:rPr>
          <w:rFonts w:ascii="Times New Roman" w:hAnsi="Times New Roman" w:cs="Times New Roman"/>
          <w:sz w:val="24"/>
          <w:szCs w:val="24"/>
        </w:rPr>
        <w:t>). When public servants are empowered with the necessary environmental knowledge, they are more likely to initiate and sustain green workplace innovations.</w:t>
      </w:r>
      <w:r>
        <w:rPr>
          <w:rFonts w:ascii="Times New Roman" w:hAnsi="Times New Roman" w:cs="Times New Roman"/>
          <w:sz w:val="24"/>
          <w:szCs w:val="24"/>
        </w:rPr>
        <w:t xml:space="preserve"> Additionally, </w:t>
      </w:r>
      <w:r w:rsidRPr="00B21346">
        <w:rPr>
          <w:rFonts w:ascii="Times New Roman" w:hAnsi="Times New Roman" w:cs="Times New Roman"/>
          <w:sz w:val="24"/>
          <w:szCs w:val="24"/>
        </w:rPr>
        <w:t>t</w:t>
      </w:r>
      <w:r w:rsidR="009C496C" w:rsidRPr="00B21346">
        <w:rPr>
          <w:rFonts w:ascii="Times New Roman" w:hAnsi="Times New Roman" w:cs="Times New Roman"/>
          <w:sz w:val="24"/>
          <w:szCs w:val="24"/>
        </w:rPr>
        <w:t xml:space="preserve">he findings are consistent with </w:t>
      </w:r>
      <w:r w:rsidR="009C496C" w:rsidRPr="00B21346">
        <w:rPr>
          <w:rStyle w:val="Emphasis"/>
          <w:rFonts w:ascii="Times New Roman" w:eastAsiaTheme="majorEastAsia" w:hAnsi="Times New Roman" w:cs="Times New Roman"/>
          <w:sz w:val="24"/>
          <w:szCs w:val="24"/>
        </w:rPr>
        <w:t>Jabbour (2011)</w:t>
      </w:r>
      <w:r w:rsidR="009C496C" w:rsidRPr="00B21346">
        <w:rPr>
          <w:rFonts w:ascii="Times New Roman" w:hAnsi="Times New Roman" w:cs="Times New Roman"/>
          <w:sz w:val="24"/>
          <w:szCs w:val="24"/>
        </w:rPr>
        <w:t xml:space="preserve">, who found that green training enhances employees’ environmental competence and contributes to organisational environmental performance. Similarly, </w:t>
      </w:r>
      <w:r w:rsidR="009C496C" w:rsidRPr="00B21346">
        <w:rPr>
          <w:rStyle w:val="Emphasis"/>
          <w:rFonts w:ascii="Times New Roman" w:eastAsiaTheme="majorEastAsia" w:hAnsi="Times New Roman" w:cs="Times New Roman"/>
          <w:sz w:val="24"/>
          <w:szCs w:val="24"/>
        </w:rPr>
        <w:t>Masri and Jaaron (2017)</w:t>
      </w:r>
      <w:r w:rsidR="009C496C" w:rsidRPr="00B21346">
        <w:rPr>
          <w:rFonts w:ascii="Times New Roman" w:hAnsi="Times New Roman" w:cs="Times New Roman"/>
          <w:sz w:val="24"/>
          <w:szCs w:val="24"/>
        </w:rPr>
        <w:t xml:space="preserve"> confirmed </w:t>
      </w:r>
      <w:r w:rsidR="009C496C" w:rsidRPr="00B21346">
        <w:rPr>
          <w:rFonts w:ascii="Times New Roman" w:hAnsi="Times New Roman" w:cs="Times New Roman"/>
          <w:sz w:val="24"/>
          <w:szCs w:val="24"/>
        </w:rPr>
        <w:lastRenderedPageBreak/>
        <w:t>that training programs focusing on sustainability are essential in driving green behaviours and promoting ecological consciousness among staff.</w:t>
      </w:r>
    </w:p>
    <w:p w14:paraId="7E26055B" w14:textId="77777777" w:rsidR="00B21346" w:rsidRDefault="00B21346" w:rsidP="00B21346">
      <w:pPr>
        <w:pStyle w:val="NoSpacing"/>
        <w:jc w:val="both"/>
        <w:rPr>
          <w:rFonts w:ascii="Times New Roman" w:hAnsi="Times New Roman" w:cs="Times New Roman"/>
          <w:sz w:val="24"/>
          <w:szCs w:val="24"/>
        </w:rPr>
      </w:pPr>
    </w:p>
    <w:p w14:paraId="13A88174" w14:textId="77777777" w:rsidR="00B7441C" w:rsidRDefault="009C496C" w:rsidP="00B7441C">
      <w:pPr>
        <w:pStyle w:val="NoSpacing"/>
        <w:jc w:val="both"/>
        <w:rPr>
          <w:rFonts w:ascii="Times New Roman" w:hAnsi="Times New Roman" w:cs="Times New Roman"/>
          <w:sz w:val="24"/>
          <w:szCs w:val="24"/>
        </w:rPr>
      </w:pPr>
      <w:r w:rsidRPr="00B21346">
        <w:rPr>
          <w:rFonts w:ascii="Times New Roman" w:hAnsi="Times New Roman" w:cs="Times New Roman"/>
          <w:sz w:val="24"/>
          <w:szCs w:val="24"/>
        </w:rPr>
        <w:t xml:space="preserve">In the North African public sector, the study revealed that ministries that invest in continuous environmental training demonstrate a higher commitment to the </w:t>
      </w:r>
      <w:r w:rsidRPr="00B21346">
        <w:rPr>
          <w:rStyle w:val="Strong"/>
          <w:rFonts w:ascii="Times New Roman" w:hAnsi="Times New Roman" w:cs="Times New Roman"/>
          <w:b w:val="0"/>
          <w:sz w:val="24"/>
          <w:szCs w:val="24"/>
        </w:rPr>
        <w:t>Sustainable Development Goals (SDGs)</w:t>
      </w:r>
      <w:r w:rsidRPr="00B21346">
        <w:rPr>
          <w:rFonts w:ascii="Times New Roman" w:hAnsi="Times New Roman" w:cs="Times New Roman"/>
          <w:b/>
          <w:sz w:val="24"/>
          <w:szCs w:val="24"/>
        </w:rPr>
        <w:t>—</w:t>
      </w:r>
      <w:r w:rsidRPr="00B21346">
        <w:rPr>
          <w:rFonts w:ascii="Times New Roman" w:hAnsi="Times New Roman" w:cs="Times New Roman"/>
          <w:sz w:val="24"/>
          <w:szCs w:val="24"/>
        </w:rPr>
        <w:t>particularly</w:t>
      </w:r>
      <w:r w:rsidRPr="00B21346">
        <w:rPr>
          <w:rFonts w:ascii="Times New Roman" w:hAnsi="Times New Roman" w:cs="Times New Roman"/>
          <w:b/>
          <w:sz w:val="24"/>
          <w:szCs w:val="24"/>
        </w:rPr>
        <w:t xml:space="preserve"> </w:t>
      </w:r>
      <w:r w:rsidRPr="00B21346">
        <w:rPr>
          <w:rStyle w:val="Strong"/>
          <w:rFonts w:ascii="Times New Roman" w:hAnsi="Times New Roman" w:cs="Times New Roman"/>
          <w:b w:val="0"/>
          <w:sz w:val="24"/>
          <w:szCs w:val="24"/>
        </w:rPr>
        <w:t>Goal 13 (Climate Action)</w:t>
      </w:r>
      <w:r w:rsidRPr="00B21346">
        <w:rPr>
          <w:rFonts w:ascii="Times New Roman" w:hAnsi="Times New Roman" w:cs="Times New Roman"/>
          <w:b/>
          <w:sz w:val="24"/>
          <w:szCs w:val="24"/>
        </w:rPr>
        <w:t xml:space="preserve"> </w:t>
      </w:r>
      <w:r w:rsidRPr="00B21346">
        <w:rPr>
          <w:rFonts w:ascii="Times New Roman" w:hAnsi="Times New Roman" w:cs="Times New Roman"/>
          <w:sz w:val="24"/>
          <w:szCs w:val="24"/>
        </w:rPr>
        <w:t>and</w:t>
      </w:r>
      <w:r w:rsidRPr="00B21346">
        <w:rPr>
          <w:rFonts w:ascii="Times New Roman" w:hAnsi="Times New Roman" w:cs="Times New Roman"/>
          <w:b/>
          <w:sz w:val="24"/>
          <w:szCs w:val="24"/>
        </w:rPr>
        <w:t xml:space="preserve"> </w:t>
      </w:r>
      <w:r w:rsidRPr="00B21346">
        <w:rPr>
          <w:rStyle w:val="Strong"/>
          <w:rFonts w:ascii="Times New Roman" w:hAnsi="Times New Roman" w:cs="Times New Roman"/>
          <w:b w:val="0"/>
          <w:sz w:val="24"/>
          <w:szCs w:val="24"/>
        </w:rPr>
        <w:t>Goal 12 (Responsible Consumption and Production)</w:t>
      </w:r>
      <w:r w:rsidRPr="00B21346">
        <w:rPr>
          <w:rFonts w:ascii="Times New Roman" w:hAnsi="Times New Roman" w:cs="Times New Roman"/>
          <w:b/>
          <w:sz w:val="24"/>
          <w:szCs w:val="24"/>
        </w:rPr>
        <w:t>.</w:t>
      </w:r>
      <w:r w:rsidRPr="00B21346">
        <w:rPr>
          <w:rFonts w:ascii="Times New Roman" w:hAnsi="Times New Roman" w:cs="Times New Roman"/>
          <w:sz w:val="24"/>
          <w:szCs w:val="24"/>
        </w:rPr>
        <w:t xml:space="preserve"> This reinforces the need for governments to institutionalise mandatory environmental training as part of human capital development in civil service systems.</w:t>
      </w:r>
      <w:r w:rsidR="00B7441C">
        <w:rPr>
          <w:rFonts w:ascii="Times New Roman" w:hAnsi="Times New Roman" w:cs="Times New Roman"/>
          <w:sz w:val="24"/>
          <w:szCs w:val="24"/>
        </w:rPr>
        <w:t xml:space="preserve"> </w:t>
      </w:r>
    </w:p>
    <w:p w14:paraId="427AE953" w14:textId="77777777" w:rsidR="00B7441C" w:rsidRDefault="00B7441C" w:rsidP="00B7441C">
      <w:pPr>
        <w:pStyle w:val="NoSpacing"/>
        <w:jc w:val="both"/>
        <w:rPr>
          <w:rFonts w:ascii="Times New Roman" w:hAnsi="Times New Roman" w:cs="Times New Roman"/>
          <w:sz w:val="24"/>
          <w:szCs w:val="24"/>
        </w:rPr>
      </w:pPr>
    </w:p>
    <w:p w14:paraId="0055F91C"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Comparatively, the study found slight variations across countries—Egypt and Morocco displayed higher GHRM implementation levels than Libya and Algeria, possibly due to stronger institutional frameworks and policy support. This finding is consistent with </w:t>
      </w:r>
      <w:r w:rsidRPr="00C56FAC">
        <w:rPr>
          <w:rStyle w:val="Emphasis"/>
          <w:rFonts w:ascii="Times New Roman" w:eastAsiaTheme="majorEastAsia" w:hAnsi="Times New Roman" w:cs="Times New Roman"/>
          <w:sz w:val="24"/>
          <w:szCs w:val="24"/>
        </w:rPr>
        <w:t>Ogunyemi and Aluko (2020)</w:t>
      </w:r>
      <w:r w:rsidRPr="00C56FAC">
        <w:rPr>
          <w:rFonts w:ascii="Times New Roman" w:hAnsi="Times New Roman" w:cs="Times New Roman"/>
          <w:sz w:val="24"/>
          <w:szCs w:val="24"/>
        </w:rPr>
        <w:t>, who emphasised the role of institutional readiness in facilitating green transitions in developing regions.</w:t>
      </w:r>
      <w:r w:rsidR="00C56FAC">
        <w:rPr>
          <w:rFonts w:ascii="Times New Roman" w:hAnsi="Times New Roman" w:cs="Times New Roman"/>
          <w:sz w:val="24"/>
          <w:szCs w:val="24"/>
        </w:rPr>
        <w:t xml:space="preserve"> </w:t>
      </w:r>
      <w:r w:rsidR="00C56FAC" w:rsidRPr="00C56FAC">
        <w:rPr>
          <w:rFonts w:ascii="Times New Roman" w:hAnsi="Times New Roman" w:cs="Times New Roman"/>
          <w:sz w:val="24"/>
          <w:szCs w:val="24"/>
        </w:rPr>
        <w:t>Overall, t</w:t>
      </w:r>
      <w:r w:rsidRPr="00C56FAC">
        <w:rPr>
          <w:rFonts w:ascii="Times New Roman" w:hAnsi="Times New Roman" w:cs="Times New Roman"/>
          <w:sz w:val="24"/>
          <w:szCs w:val="24"/>
        </w:rPr>
        <w:t xml:space="preserve">he evidence suggests that GHRM is a powerful strategic instrument for achieving environmental sustainability in the public sector. However, its full potential in North Africa is constrained by inadequate policy enforcement, limited green budgeting, and low employee engagement. Addressing these gaps would significantly strengthen public institutions’ environmental performance and align their operations with the African Union’s </w:t>
      </w:r>
      <w:r w:rsidRPr="00A56060">
        <w:rPr>
          <w:rStyle w:val="Strong"/>
          <w:rFonts w:ascii="Times New Roman" w:hAnsi="Times New Roman" w:cs="Times New Roman"/>
          <w:b w:val="0"/>
          <w:sz w:val="24"/>
          <w:szCs w:val="24"/>
        </w:rPr>
        <w:t>Agenda 2063</w:t>
      </w:r>
      <w:r w:rsidRPr="00C56FAC">
        <w:rPr>
          <w:rFonts w:ascii="Times New Roman" w:hAnsi="Times New Roman" w:cs="Times New Roman"/>
          <w:sz w:val="24"/>
          <w:szCs w:val="24"/>
        </w:rPr>
        <w:t xml:space="preserve"> on sustainable development and environmental stewardship.</w:t>
      </w:r>
    </w:p>
    <w:p w14:paraId="7D42667C" w14:textId="77777777" w:rsidR="009C496C" w:rsidRDefault="00C56FAC" w:rsidP="00C56FAC">
      <w:pPr>
        <w:pStyle w:val="NormalWeb"/>
        <w:jc w:val="both"/>
      </w:pPr>
      <w:r>
        <w:t>Furthermore, t</w:t>
      </w:r>
      <w:r w:rsidR="009C496C">
        <w:t xml:space="preserve">he study’s findings provide empirical validation for the </w:t>
      </w:r>
      <w:r w:rsidR="009C496C" w:rsidRPr="00A56060">
        <w:rPr>
          <w:rStyle w:val="Strong"/>
          <w:b w:val="0"/>
        </w:rPr>
        <w:t>Ability–Motivation–Opportunity (AMO) theory</w:t>
      </w:r>
      <w:r w:rsidR="009C496C" w:rsidRPr="00A56060">
        <w:rPr>
          <w:b/>
        </w:rPr>
        <w:t>,</w:t>
      </w:r>
      <w:r w:rsidR="009C496C">
        <w:t xml:space="preserve"> reinforcing its relevance in public administration. The theory explains that sustainability outcomes are maximised when employees possess the </w:t>
      </w:r>
      <w:r w:rsidR="009C496C" w:rsidRPr="00A56060">
        <w:rPr>
          <w:rStyle w:val="Strong"/>
          <w:b w:val="0"/>
        </w:rPr>
        <w:t>ability</w:t>
      </w:r>
      <w:r w:rsidR="009C496C">
        <w:t xml:space="preserve"> (skills and knowledge), </w:t>
      </w:r>
      <w:r w:rsidR="009C496C" w:rsidRPr="00A56060">
        <w:rPr>
          <w:rStyle w:val="Strong"/>
          <w:b w:val="0"/>
        </w:rPr>
        <w:t>motivation</w:t>
      </w:r>
      <w:r w:rsidR="009C496C">
        <w:t xml:space="preserve"> (incentives and rewards), and </w:t>
      </w:r>
      <w:r w:rsidR="009C496C" w:rsidRPr="00A56060">
        <w:rPr>
          <w:rStyle w:val="Strong"/>
          <w:b w:val="0"/>
        </w:rPr>
        <w:t>opportunity</w:t>
      </w:r>
      <w:r w:rsidR="009C496C">
        <w:t xml:space="preserve"> (supportive structures) to engage in pro-environmental behaviour.</w:t>
      </w:r>
      <w:r>
        <w:t xml:space="preserve"> </w:t>
      </w:r>
      <w:r w:rsidR="009C496C">
        <w:t>Practically, this implies that governments should integrate environmental competencies into HRM systems, institutionalise green training programs, and establish reward mechanisms for sustainable practices. Doing so would not only improve environmental outcomes but also foster a culture of accountability, innovation, and responsible governance within the civil service.</w:t>
      </w:r>
    </w:p>
    <w:p w14:paraId="77628F8B" w14:textId="77777777" w:rsidR="009C496C" w:rsidRDefault="00C56FAC" w:rsidP="00C56FAC">
      <w:pPr>
        <w:pStyle w:val="NormalWeb"/>
        <w:jc w:val="both"/>
      </w:pPr>
      <w:r>
        <w:t>In summary, t</w:t>
      </w:r>
      <w:r w:rsidR="009C496C">
        <w:t>he discussion underscores that GHRM practices—including recruitment, training, and performance management—are significant predictors of environmental sustainability in North African public sector organisations. The findings demonstrate that the successful implementation of green HR policies fosters ecological consciousness, operational efficiency, and alignment with global sustainability targets. Strengthening policy commitment and leadership support remains vital for deepening the integration of GHRM into the civil service architecture of North Africa.</w:t>
      </w:r>
    </w:p>
    <w:p w14:paraId="1B29B053" w14:textId="77777777" w:rsidR="009C496C" w:rsidRPr="00C56FAC" w:rsidRDefault="00C56FAC" w:rsidP="00C56FAC">
      <w:pPr>
        <w:pStyle w:val="NoSpacing"/>
        <w:jc w:val="both"/>
        <w:rPr>
          <w:rFonts w:ascii="Times New Roman" w:hAnsi="Times New Roman" w:cs="Times New Roman"/>
          <w:sz w:val="24"/>
          <w:szCs w:val="24"/>
        </w:rPr>
      </w:pPr>
      <w:r w:rsidRPr="00C56FAC">
        <w:rPr>
          <w:rStyle w:val="Strong"/>
          <w:rFonts w:ascii="Times New Roman" w:hAnsi="Times New Roman" w:cs="Times New Roman"/>
          <w:bCs w:val="0"/>
          <w:sz w:val="24"/>
          <w:szCs w:val="24"/>
        </w:rPr>
        <w:t>CONCLUSION</w:t>
      </w:r>
    </w:p>
    <w:p w14:paraId="295E1820" w14:textId="77777777" w:rsidR="00C56FAC" w:rsidRDefault="00C56FAC" w:rsidP="00C56FAC">
      <w:pPr>
        <w:pStyle w:val="NoSpacing"/>
        <w:jc w:val="both"/>
        <w:rPr>
          <w:rFonts w:ascii="Times New Roman" w:hAnsi="Times New Roman" w:cs="Times New Roman"/>
          <w:sz w:val="24"/>
          <w:szCs w:val="24"/>
        </w:rPr>
      </w:pPr>
    </w:p>
    <w:p w14:paraId="19D05167"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This study investigated the role of </w:t>
      </w:r>
      <w:r w:rsidRPr="00ED7EE5">
        <w:rPr>
          <w:rStyle w:val="Strong"/>
          <w:rFonts w:ascii="Times New Roman" w:hAnsi="Times New Roman" w:cs="Times New Roman"/>
          <w:b w:val="0"/>
          <w:sz w:val="24"/>
          <w:szCs w:val="24"/>
        </w:rPr>
        <w:t>Green Human Resource Management (GHRM</w:t>
      </w:r>
      <w:r w:rsidRPr="00C56FAC">
        <w:rPr>
          <w:rStyle w:val="Strong"/>
          <w:rFonts w:ascii="Times New Roman" w:hAnsi="Times New Roman" w:cs="Times New Roman"/>
          <w:sz w:val="24"/>
          <w:szCs w:val="24"/>
        </w:rPr>
        <w:t>)</w:t>
      </w:r>
      <w:r w:rsidRPr="00C56FAC">
        <w:rPr>
          <w:rFonts w:ascii="Times New Roman" w:hAnsi="Times New Roman" w:cs="Times New Roman"/>
          <w:sz w:val="24"/>
          <w:szCs w:val="24"/>
        </w:rPr>
        <w:t xml:space="preserve"> practices in enhancing </w:t>
      </w:r>
      <w:r w:rsidRPr="00ED7EE5">
        <w:rPr>
          <w:rStyle w:val="Strong"/>
          <w:rFonts w:ascii="Times New Roman" w:hAnsi="Times New Roman" w:cs="Times New Roman"/>
          <w:b w:val="0"/>
          <w:sz w:val="24"/>
          <w:szCs w:val="24"/>
        </w:rPr>
        <w:t>environmental sustainability</w:t>
      </w:r>
      <w:r w:rsidRPr="00C56FAC">
        <w:rPr>
          <w:rFonts w:ascii="Times New Roman" w:hAnsi="Times New Roman" w:cs="Times New Roman"/>
          <w:sz w:val="24"/>
          <w:szCs w:val="24"/>
        </w:rPr>
        <w:t xml:space="preserve"> within the </w:t>
      </w:r>
      <w:r w:rsidRPr="00ED7EE5">
        <w:rPr>
          <w:rStyle w:val="Strong"/>
          <w:rFonts w:ascii="Times New Roman" w:hAnsi="Times New Roman" w:cs="Times New Roman"/>
          <w:b w:val="0"/>
          <w:sz w:val="24"/>
          <w:szCs w:val="24"/>
        </w:rPr>
        <w:t>North African public sector</w:t>
      </w:r>
      <w:r w:rsidRPr="00C56FAC">
        <w:rPr>
          <w:rFonts w:ascii="Times New Roman" w:hAnsi="Times New Roman" w:cs="Times New Roman"/>
          <w:sz w:val="24"/>
          <w:szCs w:val="24"/>
        </w:rPr>
        <w:t xml:space="preserve">, covering Egypt, Morocco, Algeria, Tunisia, and Libya. Drawing on the </w:t>
      </w:r>
      <w:r w:rsidRPr="00ED7EE5">
        <w:rPr>
          <w:rStyle w:val="Strong"/>
          <w:rFonts w:ascii="Times New Roman" w:hAnsi="Times New Roman" w:cs="Times New Roman"/>
          <w:b w:val="0"/>
          <w:sz w:val="24"/>
          <w:szCs w:val="24"/>
        </w:rPr>
        <w:t>Ability–Motivation–Opportunity (AMO) theoretical framework</w:t>
      </w:r>
      <w:r w:rsidRPr="00ED7EE5">
        <w:rPr>
          <w:rFonts w:ascii="Times New Roman" w:hAnsi="Times New Roman" w:cs="Times New Roman"/>
          <w:b/>
          <w:sz w:val="24"/>
          <w:szCs w:val="24"/>
        </w:rPr>
        <w:t>,</w:t>
      </w:r>
      <w:r w:rsidRPr="00C56FAC">
        <w:rPr>
          <w:rFonts w:ascii="Times New Roman" w:hAnsi="Times New Roman" w:cs="Times New Roman"/>
          <w:sz w:val="24"/>
          <w:szCs w:val="24"/>
        </w:rPr>
        <w:t xml:space="preserve"> the study established that GHRM practices—comprising </w:t>
      </w:r>
      <w:r w:rsidRPr="00ED7EE5">
        <w:rPr>
          <w:rStyle w:val="Strong"/>
          <w:rFonts w:ascii="Times New Roman" w:hAnsi="Times New Roman" w:cs="Times New Roman"/>
          <w:b w:val="0"/>
          <w:sz w:val="24"/>
          <w:szCs w:val="24"/>
        </w:rPr>
        <w:t>green recruitment and selection, green training and development, and green performance management</w:t>
      </w:r>
      <w:r w:rsidRPr="00C56FAC">
        <w:rPr>
          <w:rFonts w:ascii="Times New Roman" w:hAnsi="Times New Roman" w:cs="Times New Roman"/>
          <w:sz w:val="24"/>
          <w:szCs w:val="24"/>
        </w:rPr>
        <w:t xml:space="preserve">—significantly influence employees’ </w:t>
      </w:r>
      <w:r w:rsidRPr="00ED7EE5">
        <w:rPr>
          <w:rStyle w:val="Strong"/>
          <w:rFonts w:ascii="Times New Roman" w:hAnsi="Times New Roman" w:cs="Times New Roman"/>
          <w:b w:val="0"/>
          <w:sz w:val="24"/>
          <w:szCs w:val="24"/>
        </w:rPr>
        <w:t>pro-environmental behaviour</w:t>
      </w:r>
      <w:r w:rsidRPr="00C56FAC">
        <w:rPr>
          <w:rFonts w:ascii="Times New Roman" w:hAnsi="Times New Roman" w:cs="Times New Roman"/>
          <w:sz w:val="24"/>
          <w:szCs w:val="24"/>
        </w:rPr>
        <w:t xml:space="preserve"> and institutional sustainability outcomes.</w:t>
      </w:r>
    </w:p>
    <w:p w14:paraId="67CFA4B9" w14:textId="77777777" w:rsidR="005D5602" w:rsidRDefault="005D5602" w:rsidP="00C56FAC">
      <w:pPr>
        <w:pStyle w:val="NoSpacing"/>
        <w:jc w:val="both"/>
        <w:rPr>
          <w:rFonts w:ascii="Times New Roman" w:hAnsi="Times New Roman" w:cs="Times New Roman"/>
          <w:sz w:val="24"/>
          <w:szCs w:val="24"/>
        </w:rPr>
      </w:pPr>
    </w:p>
    <w:p w14:paraId="23EF31EA"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lastRenderedPageBreak/>
        <w:t xml:space="preserve">Empirical analysis revealed a </w:t>
      </w:r>
      <w:r w:rsidRPr="00ED7EE5">
        <w:rPr>
          <w:rStyle w:val="Strong"/>
          <w:rFonts w:ascii="Times New Roman" w:hAnsi="Times New Roman" w:cs="Times New Roman"/>
          <w:b w:val="0"/>
          <w:sz w:val="24"/>
          <w:szCs w:val="24"/>
        </w:rPr>
        <w:t>moderate level of GHRM implementation</w:t>
      </w:r>
      <w:r w:rsidRPr="00C56FAC">
        <w:rPr>
          <w:rFonts w:ascii="Times New Roman" w:hAnsi="Times New Roman" w:cs="Times New Roman"/>
          <w:sz w:val="24"/>
          <w:szCs w:val="24"/>
        </w:rPr>
        <w:t xml:space="preserve"> across the region, with </w:t>
      </w:r>
      <w:r w:rsidRPr="00ED7EE5">
        <w:rPr>
          <w:rStyle w:val="Strong"/>
          <w:rFonts w:ascii="Times New Roman" w:hAnsi="Times New Roman" w:cs="Times New Roman"/>
          <w:b w:val="0"/>
          <w:sz w:val="24"/>
          <w:szCs w:val="24"/>
        </w:rPr>
        <w:t>green training and development</w:t>
      </w:r>
      <w:r w:rsidRPr="00C56FAC">
        <w:rPr>
          <w:rFonts w:ascii="Times New Roman" w:hAnsi="Times New Roman" w:cs="Times New Roman"/>
          <w:sz w:val="24"/>
          <w:szCs w:val="24"/>
        </w:rPr>
        <w:t xml:space="preserve"> being the most adopted practice, while </w:t>
      </w:r>
      <w:r w:rsidRPr="00A56060">
        <w:rPr>
          <w:rStyle w:val="Strong"/>
          <w:rFonts w:ascii="Times New Roman" w:hAnsi="Times New Roman" w:cs="Times New Roman"/>
          <w:b w:val="0"/>
          <w:sz w:val="24"/>
          <w:szCs w:val="24"/>
        </w:rPr>
        <w:t>green performance appraisal</w:t>
      </w:r>
      <w:r w:rsidRPr="00C56FAC">
        <w:rPr>
          <w:rFonts w:ascii="Times New Roman" w:hAnsi="Times New Roman" w:cs="Times New Roman"/>
          <w:sz w:val="24"/>
          <w:szCs w:val="24"/>
        </w:rPr>
        <w:t xml:space="preserve"> was least integrated into HR systems. Despite institutional constraints and bureaucratic inertia, the results demonstrated a </w:t>
      </w:r>
      <w:r w:rsidRPr="00A56060">
        <w:rPr>
          <w:rStyle w:val="Strong"/>
          <w:rFonts w:ascii="Times New Roman" w:hAnsi="Times New Roman" w:cs="Times New Roman"/>
          <w:b w:val="0"/>
          <w:sz w:val="24"/>
          <w:szCs w:val="24"/>
        </w:rPr>
        <w:t>positive and statistically significant relationship</w:t>
      </w:r>
      <w:r w:rsidRPr="00C56FAC">
        <w:rPr>
          <w:rFonts w:ascii="Times New Roman" w:hAnsi="Times New Roman" w:cs="Times New Roman"/>
          <w:sz w:val="24"/>
          <w:szCs w:val="24"/>
        </w:rPr>
        <w:t xml:space="preserve"> between GHRM and environmental sustainability (r = 0.53; R² = 0.39; p &lt; 0.001). These findings imply that public institutions that actively integrate environmental considerations into HR processes experience higher levels of ecological performance and employee engagement in sustainability practices.</w:t>
      </w:r>
    </w:p>
    <w:p w14:paraId="2A5A9648" w14:textId="77777777" w:rsidR="00ED7EE5" w:rsidRDefault="00ED7EE5" w:rsidP="00C56FAC">
      <w:pPr>
        <w:pStyle w:val="NoSpacing"/>
        <w:jc w:val="both"/>
        <w:rPr>
          <w:rFonts w:ascii="Times New Roman" w:hAnsi="Times New Roman" w:cs="Times New Roman"/>
          <w:sz w:val="24"/>
          <w:szCs w:val="24"/>
        </w:rPr>
      </w:pPr>
    </w:p>
    <w:p w14:paraId="70440B70" w14:textId="77777777" w:rsidR="009C496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Theoretically, the study validates the AMO framework by demonstrating that employees’ </w:t>
      </w:r>
      <w:r w:rsidRPr="00A56060">
        <w:rPr>
          <w:rStyle w:val="Strong"/>
          <w:rFonts w:ascii="Times New Roman" w:hAnsi="Times New Roman" w:cs="Times New Roman"/>
          <w:b w:val="0"/>
          <w:i/>
          <w:sz w:val="24"/>
          <w:szCs w:val="24"/>
        </w:rPr>
        <w:t>ability</w:t>
      </w:r>
      <w:r w:rsidRPr="00C56FAC">
        <w:rPr>
          <w:rFonts w:ascii="Times New Roman" w:hAnsi="Times New Roman" w:cs="Times New Roman"/>
          <w:sz w:val="24"/>
          <w:szCs w:val="24"/>
        </w:rPr>
        <w:t xml:space="preserve"> (through green training), </w:t>
      </w:r>
      <w:r w:rsidRPr="00A56060">
        <w:rPr>
          <w:rStyle w:val="Strong"/>
          <w:rFonts w:ascii="Times New Roman" w:hAnsi="Times New Roman" w:cs="Times New Roman"/>
          <w:b w:val="0"/>
          <w:i/>
          <w:sz w:val="24"/>
          <w:szCs w:val="24"/>
        </w:rPr>
        <w:t>motivation</w:t>
      </w:r>
      <w:r w:rsidRPr="00C56FAC">
        <w:rPr>
          <w:rFonts w:ascii="Times New Roman" w:hAnsi="Times New Roman" w:cs="Times New Roman"/>
          <w:sz w:val="24"/>
          <w:szCs w:val="24"/>
        </w:rPr>
        <w:t xml:space="preserve"> (through green incentives and recognition), and </w:t>
      </w:r>
      <w:r w:rsidRPr="00A56060">
        <w:rPr>
          <w:rStyle w:val="Strong"/>
          <w:rFonts w:ascii="Times New Roman" w:hAnsi="Times New Roman" w:cs="Times New Roman"/>
          <w:b w:val="0"/>
          <w:i/>
          <w:sz w:val="24"/>
          <w:szCs w:val="24"/>
        </w:rPr>
        <w:t>opportunity</w:t>
      </w:r>
      <w:r w:rsidRPr="00C56FAC">
        <w:rPr>
          <w:rFonts w:ascii="Times New Roman" w:hAnsi="Times New Roman" w:cs="Times New Roman"/>
          <w:sz w:val="24"/>
          <w:szCs w:val="24"/>
        </w:rPr>
        <w:t xml:space="preserve"> (through participatory sustainability initiatives) collectively drive eco-friendly behaviour and sustainable institutional performance. Practically, it underscores that embedding environmental consciousness within HR policies is a strategic pathway toward achieving national and regional sustainability objectives, including the </w:t>
      </w:r>
      <w:r w:rsidRPr="00A56060">
        <w:rPr>
          <w:rStyle w:val="Strong"/>
          <w:rFonts w:ascii="Times New Roman" w:hAnsi="Times New Roman" w:cs="Times New Roman"/>
          <w:b w:val="0"/>
          <w:sz w:val="24"/>
          <w:szCs w:val="24"/>
        </w:rPr>
        <w:t>United Nations Sustainable Development Goals (SDGs)</w:t>
      </w:r>
      <w:r w:rsidRPr="00C56FAC">
        <w:rPr>
          <w:rFonts w:ascii="Times New Roman" w:hAnsi="Times New Roman" w:cs="Times New Roman"/>
          <w:sz w:val="24"/>
          <w:szCs w:val="24"/>
        </w:rPr>
        <w:t xml:space="preserve"> and the </w:t>
      </w:r>
      <w:r w:rsidRPr="00A56060">
        <w:rPr>
          <w:rStyle w:val="Strong"/>
          <w:rFonts w:ascii="Times New Roman" w:hAnsi="Times New Roman" w:cs="Times New Roman"/>
          <w:b w:val="0"/>
          <w:sz w:val="24"/>
          <w:szCs w:val="24"/>
        </w:rPr>
        <w:t>African Union Agenda 2063</w:t>
      </w:r>
      <w:r w:rsidRPr="00A56060">
        <w:rPr>
          <w:rFonts w:ascii="Times New Roman" w:hAnsi="Times New Roman" w:cs="Times New Roman"/>
          <w:b/>
          <w:sz w:val="24"/>
          <w:szCs w:val="24"/>
        </w:rPr>
        <w:t>.</w:t>
      </w:r>
    </w:p>
    <w:p w14:paraId="7D77CC3B" w14:textId="77777777" w:rsidR="00D50708" w:rsidRDefault="00D50708" w:rsidP="00D50708">
      <w:pPr>
        <w:pStyle w:val="NormalWeb"/>
        <w:jc w:val="both"/>
      </w:pPr>
      <w:r>
        <w:t xml:space="preserve">Despite the contributions of this study to understanding the relationship between Green Human Resource Management (GHRM) practices and environmental sustainability in North African public sector organisations, several limitations should be acknowledged. First, the study focused primarily on selected public sector institutions within the North African region. While this provides valuable contextual insights, the findings may not be fully generalisable to all public sector organisations across Africa or other developing regions due to differences in institutional structures, environmental regulations, and socio-political contexts. Second, the study relied largely on </w:t>
      </w:r>
      <w:r w:rsidRPr="00D50708">
        <w:rPr>
          <w:rStyle w:val="Strong"/>
          <w:b w:val="0"/>
        </w:rPr>
        <w:t>self-reported data</w:t>
      </w:r>
      <w:r>
        <w:t xml:space="preserve"> obtained through questionnaires. Although this approach enabled the collection of data from a broad range of respondents, it may be subject to </w:t>
      </w:r>
      <w:r w:rsidRPr="00D50708">
        <w:rPr>
          <w:rStyle w:val="Strong"/>
          <w:b w:val="0"/>
        </w:rPr>
        <w:t>response bias</w:t>
      </w:r>
      <w:r>
        <w:t xml:space="preserve"> or social desirability bias, where respondents overstate environmentally responsible behaviours or the extent of GHRM implementation. Third, the study adopted a </w:t>
      </w:r>
      <w:r w:rsidRPr="00D50708">
        <w:rPr>
          <w:rStyle w:val="Strong"/>
          <w:b w:val="0"/>
        </w:rPr>
        <w:t>cross-sectional research design</w:t>
      </w:r>
      <w:r>
        <w:t xml:space="preserve">, which captures perceptions and practices at a single point in time. This limits the ability to draw causal conclusions about the long-term effects of GHRM practices on environmental sustainability outcomes. Additionally, the study did not extensively account for </w:t>
      </w:r>
      <w:r w:rsidRPr="00D50708">
        <w:rPr>
          <w:rStyle w:val="Strong"/>
          <w:b w:val="0"/>
        </w:rPr>
        <w:t>external environmental and institutional factors</w:t>
      </w:r>
      <w:r w:rsidRPr="00D50708">
        <w:rPr>
          <w:b/>
        </w:rPr>
        <w:t>,</w:t>
      </w:r>
      <w:r>
        <w:t xml:space="preserve"> such as government environmental policies, funding constraints, or technological infrastructure, which may also influence the effectiveness of GHRM practices in public sector organisations.</w:t>
      </w:r>
    </w:p>
    <w:p w14:paraId="77E30012" w14:textId="77777777" w:rsidR="00D50708" w:rsidRPr="00ED7EE5" w:rsidRDefault="00D50708" w:rsidP="00ED7EE5">
      <w:pPr>
        <w:pStyle w:val="NormalWeb"/>
        <w:jc w:val="both"/>
        <w:rPr>
          <w:rStyle w:val="Strong"/>
          <w:b w:val="0"/>
          <w:bCs w:val="0"/>
        </w:rPr>
      </w:pPr>
      <w:r>
        <w:t>In conclusion, GHRM serves as a vital lever for transforming the North African civil service into an environmentally responsible, performance-oriented, and innovation-driven system. By mainstreaming green HR practices, public organisations can reduce their ecological footprint, strengthen institutional resilience, and accelerate progress toward sustainable governance. A deliberate policy shift toward environmental human capital management will not only enhance administrative efficiency but also reaffirm North Africa’s commitment to global climate action and sustainable development.</w:t>
      </w:r>
    </w:p>
    <w:p w14:paraId="5A86B07E" w14:textId="77777777" w:rsidR="009C496C" w:rsidRPr="00C56FAC" w:rsidRDefault="00C56FAC" w:rsidP="00C56FAC">
      <w:pPr>
        <w:pStyle w:val="NoSpacing"/>
        <w:rPr>
          <w:rFonts w:ascii="Times New Roman" w:hAnsi="Times New Roman" w:cs="Times New Roman"/>
          <w:sz w:val="24"/>
          <w:szCs w:val="24"/>
        </w:rPr>
      </w:pPr>
      <w:r w:rsidRPr="00C56FAC">
        <w:rPr>
          <w:rStyle w:val="Strong"/>
          <w:rFonts w:ascii="Times New Roman" w:hAnsi="Times New Roman" w:cs="Times New Roman"/>
          <w:bCs w:val="0"/>
          <w:sz w:val="24"/>
          <w:szCs w:val="24"/>
        </w:rPr>
        <w:t>POLICY RECOMMENDATIONS</w:t>
      </w:r>
    </w:p>
    <w:p w14:paraId="7C2DB8A6" w14:textId="77777777" w:rsidR="009C496C" w:rsidRDefault="009C496C" w:rsidP="009C496C">
      <w:pPr>
        <w:pStyle w:val="NormalWeb"/>
      </w:pPr>
      <w:r>
        <w:t>Based on the findings, the following policy recommendations are proposed for governments, policymakers, and public sector leaders in North Africa:</w:t>
      </w:r>
    </w:p>
    <w:p w14:paraId="0111A135" w14:textId="77777777" w:rsidR="009C496C" w:rsidRDefault="009C496C" w:rsidP="00ED7EE5">
      <w:pPr>
        <w:pStyle w:val="NormalWeb"/>
        <w:numPr>
          <w:ilvl w:val="0"/>
          <w:numId w:val="22"/>
        </w:numPr>
        <w:jc w:val="both"/>
      </w:pPr>
      <w:r w:rsidRPr="00A56060">
        <w:rPr>
          <w:rStyle w:val="Strong"/>
          <w:b w:val="0"/>
          <w:i/>
        </w:rPr>
        <w:t>Institutionalise GHRM Policies in Civil Service Frameworks</w:t>
      </w:r>
      <w:r>
        <w:rPr>
          <w:rStyle w:val="Strong"/>
        </w:rPr>
        <w:t>:</w:t>
      </w:r>
      <w:r w:rsidR="00ED7EE5">
        <w:t xml:space="preserve"> </w:t>
      </w:r>
      <w:r>
        <w:t xml:space="preserve">Governments should integrate GHRM principles into national civil service laws, public administration </w:t>
      </w:r>
      <w:r>
        <w:lastRenderedPageBreak/>
        <w:t>charters, and HR policy manuals. This ensures consistency in the adoption of green recruitment, training, and performance management practices across ministries and agencies.</w:t>
      </w:r>
    </w:p>
    <w:p w14:paraId="1C622D1F" w14:textId="77777777" w:rsidR="00ED7EE5" w:rsidRDefault="009C496C" w:rsidP="00ED7EE5">
      <w:pPr>
        <w:pStyle w:val="NormalWeb"/>
        <w:numPr>
          <w:ilvl w:val="0"/>
          <w:numId w:val="22"/>
        </w:numPr>
        <w:jc w:val="both"/>
      </w:pPr>
      <w:r w:rsidRPr="00A56060">
        <w:rPr>
          <w:rStyle w:val="Strong"/>
          <w:b w:val="0"/>
          <w:i/>
        </w:rPr>
        <w:t>Embed Environmental Competencies in Recruitment and Selection:</w:t>
      </w:r>
      <w:r w:rsidR="00ED7EE5">
        <w:t xml:space="preserve"> </w:t>
      </w:r>
      <w:r>
        <w:t>Recruitment policies should include environmental knowledge, sustainability orientation, and ethical responsibility as key selection criteria. This will ensure that newly hired civil servants align with organisational green values and environmental goals.</w:t>
      </w:r>
    </w:p>
    <w:p w14:paraId="7D69C0F2" w14:textId="77777777" w:rsidR="009C496C" w:rsidRDefault="009C496C" w:rsidP="00ED7EE5">
      <w:pPr>
        <w:pStyle w:val="NormalWeb"/>
        <w:numPr>
          <w:ilvl w:val="0"/>
          <w:numId w:val="22"/>
        </w:numPr>
        <w:jc w:val="both"/>
      </w:pPr>
      <w:r w:rsidRPr="00A56060">
        <w:rPr>
          <w:rStyle w:val="Strong"/>
          <w:b w:val="0"/>
          <w:i/>
        </w:rPr>
        <w:t>Develop Mandatory Green Training and Capacity-Building Programmes:</w:t>
      </w:r>
      <w:r w:rsidR="00ED7EE5">
        <w:t xml:space="preserve"> </w:t>
      </w:r>
      <w:r>
        <w:t>Ministries should design continuous environmental education programmes for employees at all levels. This includes workshops on energy efficiency, waste reduction, paperless administration, and climate adaptation strategies.</w:t>
      </w:r>
    </w:p>
    <w:p w14:paraId="5D1C0294" w14:textId="77777777" w:rsidR="009C496C" w:rsidRDefault="009C496C" w:rsidP="00ED7EE5">
      <w:pPr>
        <w:pStyle w:val="NormalWeb"/>
        <w:numPr>
          <w:ilvl w:val="0"/>
          <w:numId w:val="22"/>
        </w:numPr>
        <w:jc w:val="both"/>
      </w:pPr>
      <w:r w:rsidRPr="00A56060">
        <w:rPr>
          <w:rStyle w:val="Strong"/>
          <w:b w:val="0"/>
          <w:i/>
        </w:rPr>
        <w:t>Integrate Environmental Indicators into Performance Management Systems:</w:t>
      </w:r>
      <w:r w:rsidR="00ED7EE5" w:rsidRPr="00A56060">
        <w:rPr>
          <w:b/>
          <w:i/>
        </w:rPr>
        <w:t xml:space="preserve"> </w:t>
      </w:r>
      <w:r>
        <w:t>Performance evaluation criteria should include sustainability metrics, such as reduction in resource consumption, compliance with green policies, and employee participation in environmental projects. This will motivate public servants to incorporate eco-friendly practices into daily work routines.</w:t>
      </w:r>
    </w:p>
    <w:p w14:paraId="169BD756" w14:textId="77777777" w:rsidR="009C496C" w:rsidRDefault="009C496C" w:rsidP="00ED7EE5">
      <w:pPr>
        <w:pStyle w:val="NormalWeb"/>
        <w:numPr>
          <w:ilvl w:val="0"/>
          <w:numId w:val="22"/>
        </w:numPr>
        <w:jc w:val="both"/>
      </w:pPr>
      <w:r w:rsidRPr="00A56060">
        <w:rPr>
          <w:rStyle w:val="Strong"/>
          <w:b w:val="0"/>
          <w:i/>
        </w:rPr>
        <w:t>Establish Green Innovation and Reward Systems:</w:t>
      </w:r>
      <w:r w:rsidR="00ED7EE5">
        <w:t xml:space="preserve"> </w:t>
      </w:r>
      <w:r>
        <w:t>Governments should implement recognition and incentive schemes for civil servants who demonstrate outstanding environmental leadership or introduce sustainability innovations within their departments.</w:t>
      </w:r>
    </w:p>
    <w:p w14:paraId="73A0C379" w14:textId="77777777" w:rsidR="009C496C" w:rsidRDefault="009C496C" w:rsidP="00ED7EE5">
      <w:pPr>
        <w:pStyle w:val="NormalWeb"/>
        <w:numPr>
          <w:ilvl w:val="0"/>
          <w:numId w:val="22"/>
        </w:numPr>
        <w:jc w:val="both"/>
      </w:pPr>
      <w:r w:rsidRPr="00A56060">
        <w:rPr>
          <w:rStyle w:val="Strong"/>
          <w:b w:val="0"/>
          <w:i/>
        </w:rPr>
        <w:t>Strengthen Institutional Support and Leadership Commitment:</w:t>
      </w:r>
      <w:r w:rsidR="00ED7EE5">
        <w:t xml:space="preserve"> </w:t>
      </w:r>
      <w:r>
        <w:t>The success of GHRM depends on leadership engagement. Public administrators and senior managers must champion sustainability initiatives, allocate budgets for environmental programmes, and lead by example in implementing green practices.</w:t>
      </w:r>
    </w:p>
    <w:p w14:paraId="7977F2DD" w14:textId="77777777" w:rsidR="009C496C" w:rsidRDefault="009C496C" w:rsidP="00ED7EE5">
      <w:pPr>
        <w:pStyle w:val="NormalWeb"/>
        <w:numPr>
          <w:ilvl w:val="0"/>
          <w:numId w:val="22"/>
        </w:numPr>
        <w:jc w:val="both"/>
      </w:pPr>
      <w:r w:rsidRPr="00A56060">
        <w:rPr>
          <w:rStyle w:val="Strong"/>
          <w:b w:val="0"/>
          <w:i/>
        </w:rPr>
        <w:t>Foster Regional Collaboration on Green Public Administration:</w:t>
      </w:r>
      <w:r w:rsidR="00ED7EE5" w:rsidRPr="00A56060">
        <w:rPr>
          <w:b/>
          <w:i/>
        </w:rPr>
        <w:t xml:space="preserve"> </w:t>
      </w:r>
      <w:r>
        <w:t>North African governments should collaborate under regional frameworks (e.g., African Union, UNEP Africa Office) to share best practices, develop regional standards, and co-design green public sector training curricula.</w:t>
      </w:r>
    </w:p>
    <w:p w14:paraId="09ACF682" w14:textId="77777777" w:rsidR="00526BB1" w:rsidRDefault="009C496C" w:rsidP="00526BB1">
      <w:pPr>
        <w:pStyle w:val="NormalWeb"/>
        <w:numPr>
          <w:ilvl w:val="0"/>
          <w:numId w:val="22"/>
        </w:numPr>
        <w:jc w:val="both"/>
      </w:pPr>
      <w:r w:rsidRPr="00A56060">
        <w:rPr>
          <w:rStyle w:val="Strong"/>
          <w:b w:val="0"/>
          <w:i/>
        </w:rPr>
        <w:t>Promote Monitoring, Evaluation, and Research on GHRM Implementation:</w:t>
      </w:r>
      <w:r w:rsidR="00ED7EE5">
        <w:t xml:space="preserve"> </w:t>
      </w:r>
      <w:r>
        <w:t>Establish national observatories or research units dedicated to monitoring environmental HR practices and measuring their long-term impacts on sustainability performance across public institutions.</w:t>
      </w:r>
    </w:p>
    <w:p w14:paraId="4B799432" w14:textId="77777777" w:rsidR="00D50708" w:rsidRPr="00D50708" w:rsidRDefault="00D50708" w:rsidP="00D50708">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D50708">
        <w:rPr>
          <w:rFonts w:ascii="Times New Roman" w:eastAsia="Times New Roman" w:hAnsi="Times New Roman" w:cs="Times New Roman"/>
          <w:b/>
          <w:bCs/>
          <w:sz w:val="24"/>
          <w:szCs w:val="24"/>
          <w:lang w:val="en-US"/>
        </w:rPr>
        <w:t>Suggestions for Further Research</w:t>
      </w:r>
    </w:p>
    <w:p w14:paraId="12371A22" w14:textId="77777777" w:rsidR="00D50708" w:rsidRPr="00D50708" w:rsidRDefault="00D50708" w:rsidP="00D50708">
      <w:pPr>
        <w:spacing w:before="100" w:beforeAutospacing="1" w:after="100" w:afterAutospacing="1" w:line="240" w:lineRule="auto"/>
        <w:jc w:val="both"/>
        <w:rPr>
          <w:rFonts w:ascii="Times New Roman" w:eastAsia="Times New Roman" w:hAnsi="Times New Roman" w:cs="Times New Roman"/>
          <w:sz w:val="24"/>
          <w:szCs w:val="24"/>
          <w:lang w:val="en-US"/>
        </w:rPr>
      </w:pPr>
      <w:r w:rsidRPr="00D50708">
        <w:rPr>
          <w:rFonts w:ascii="Times New Roman" w:eastAsia="Times New Roman" w:hAnsi="Times New Roman" w:cs="Times New Roman"/>
          <w:sz w:val="24"/>
          <w:szCs w:val="24"/>
          <w:lang w:val="en-US"/>
        </w:rPr>
        <w:t xml:space="preserve">In light of the identified limitations, several directions for future research are recommended. First, future studies could adopt a </w:t>
      </w:r>
      <w:r w:rsidRPr="0068059B">
        <w:rPr>
          <w:rFonts w:ascii="Times New Roman" w:eastAsia="Times New Roman" w:hAnsi="Times New Roman" w:cs="Times New Roman"/>
          <w:bCs/>
          <w:sz w:val="24"/>
          <w:szCs w:val="24"/>
          <w:lang w:val="en-US"/>
        </w:rPr>
        <w:t>comparative or multi-country approach</w:t>
      </w:r>
      <w:r w:rsidRPr="00D50708">
        <w:rPr>
          <w:rFonts w:ascii="Times New Roman" w:eastAsia="Times New Roman" w:hAnsi="Times New Roman" w:cs="Times New Roman"/>
          <w:sz w:val="24"/>
          <w:szCs w:val="24"/>
          <w:lang w:val="en-US"/>
        </w:rPr>
        <w:t xml:space="preserve"> to examine GHRM practices across different African regions or between public and private sector </w:t>
      </w:r>
      <w:proofErr w:type="spellStart"/>
      <w:r w:rsidRPr="00D50708">
        <w:rPr>
          <w:rFonts w:ascii="Times New Roman" w:eastAsia="Times New Roman" w:hAnsi="Times New Roman" w:cs="Times New Roman"/>
          <w:sz w:val="24"/>
          <w:szCs w:val="24"/>
          <w:lang w:val="en-US"/>
        </w:rPr>
        <w:t>organisations</w:t>
      </w:r>
      <w:proofErr w:type="spellEnd"/>
      <w:r w:rsidRPr="00D50708">
        <w:rPr>
          <w:rFonts w:ascii="Times New Roman" w:eastAsia="Times New Roman" w:hAnsi="Times New Roman" w:cs="Times New Roman"/>
          <w:sz w:val="24"/>
          <w:szCs w:val="24"/>
          <w:lang w:val="en-US"/>
        </w:rPr>
        <w:t xml:space="preserve">, thereby enhancing the </w:t>
      </w:r>
      <w:proofErr w:type="spellStart"/>
      <w:r w:rsidRPr="00D50708">
        <w:rPr>
          <w:rFonts w:ascii="Times New Roman" w:eastAsia="Times New Roman" w:hAnsi="Times New Roman" w:cs="Times New Roman"/>
          <w:sz w:val="24"/>
          <w:szCs w:val="24"/>
          <w:lang w:val="en-US"/>
        </w:rPr>
        <w:t>generalisability</w:t>
      </w:r>
      <w:proofErr w:type="spellEnd"/>
      <w:r w:rsidRPr="00D50708">
        <w:rPr>
          <w:rFonts w:ascii="Times New Roman" w:eastAsia="Times New Roman" w:hAnsi="Times New Roman" w:cs="Times New Roman"/>
          <w:sz w:val="24"/>
          <w:szCs w:val="24"/>
          <w:lang w:val="en-US"/>
        </w:rPr>
        <w:t xml:space="preserve"> of findings.</w:t>
      </w:r>
    </w:p>
    <w:p w14:paraId="66F24744" w14:textId="77777777" w:rsidR="00D50708" w:rsidRPr="00D50708" w:rsidRDefault="00D50708" w:rsidP="00D50708">
      <w:pPr>
        <w:spacing w:before="100" w:beforeAutospacing="1" w:after="100" w:afterAutospacing="1" w:line="240" w:lineRule="auto"/>
        <w:jc w:val="both"/>
        <w:rPr>
          <w:rFonts w:ascii="Times New Roman" w:eastAsia="Times New Roman" w:hAnsi="Times New Roman" w:cs="Times New Roman"/>
          <w:sz w:val="24"/>
          <w:szCs w:val="24"/>
          <w:lang w:val="en-US"/>
        </w:rPr>
      </w:pPr>
      <w:r w:rsidRPr="00D50708">
        <w:rPr>
          <w:rFonts w:ascii="Times New Roman" w:eastAsia="Times New Roman" w:hAnsi="Times New Roman" w:cs="Times New Roman"/>
          <w:sz w:val="24"/>
          <w:szCs w:val="24"/>
          <w:lang w:val="en-US"/>
        </w:rPr>
        <w:t xml:space="preserve">Second, researchers are encouraged to employ </w:t>
      </w:r>
      <w:r w:rsidRPr="0068059B">
        <w:rPr>
          <w:rFonts w:ascii="Times New Roman" w:eastAsia="Times New Roman" w:hAnsi="Times New Roman" w:cs="Times New Roman"/>
          <w:bCs/>
          <w:sz w:val="24"/>
          <w:szCs w:val="24"/>
          <w:lang w:val="en-US"/>
        </w:rPr>
        <w:t>mixed-method or qualitative approaches</w:t>
      </w:r>
      <w:r w:rsidRPr="00D50708">
        <w:rPr>
          <w:rFonts w:ascii="Times New Roman" w:eastAsia="Times New Roman" w:hAnsi="Times New Roman" w:cs="Times New Roman"/>
          <w:sz w:val="24"/>
          <w:szCs w:val="24"/>
          <w:lang w:val="en-US"/>
        </w:rPr>
        <w:t>, such as in-depth interviews or case studies, to gain deeper insights into how GHRM practices are implemented and experienced by employees and managers within public institutions.</w:t>
      </w:r>
    </w:p>
    <w:p w14:paraId="77A4EF64" w14:textId="77777777" w:rsidR="00D50708" w:rsidRPr="00D50708" w:rsidRDefault="00D50708" w:rsidP="00D50708">
      <w:pPr>
        <w:spacing w:before="100" w:beforeAutospacing="1" w:after="100" w:afterAutospacing="1" w:line="240" w:lineRule="auto"/>
        <w:jc w:val="both"/>
        <w:rPr>
          <w:rFonts w:ascii="Times New Roman" w:eastAsia="Times New Roman" w:hAnsi="Times New Roman" w:cs="Times New Roman"/>
          <w:sz w:val="24"/>
          <w:szCs w:val="24"/>
          <w:lang w:val="en-US"/>
        </w:rPr>
      </w:pPr>
      <w:r w:rsidRPr="00D50708">
        <w:rPr>
          <w:rFonts w:ascii="Times New Roman" w:eastAsia="Times New Roman" w:hAnsi="Times New Roman" w:cs="Times New Roman"/>
          <w:sz w:val="24"/>
          <w:szCs w:val="24"/>
          <w:lang w:val="en-US"/>
        </w:rPr>
        <w:t xml:space="preserve">Third, longitudinal studies are recommended to assess the </w:t>
      </w:r>
      <w:r w:rsidRPr="0068059B">
        <w:rPr>
          <w:rFonts w:ascii="Times New Roman" w:eastAsia="Times New Roman" w:hAnsi="Times New Roman" w:cs="Times New Roman"/>
          <w:bCs/>
          <w:sz w:val="24"/>
          <w:szCs w:val="24"/>
          <w:lang w:val="en-US"/>
        </w:rPr>
        <w:t>long-term impact</w:t>
      </w:r>
      <w:r w:rsidRPr="00D50708">
        <w:rPr>
          <w:rFonts w:ascii="Times New Roman" w:eastAsia="Times New Roman" w:hAnsi="Times New Roman" w:cs="Times New Roman"/>
          <w:sz w:val="24"/>
          <w:szCs w:val="24"/>
          <w:lang w:val="en-US"/>
        </w:rPr>
        <w:t xml:space="preserve"> of GHRM practices on environmental sustainability and </w:t>
      </w:r>
      <w:proofErr w:type="spellStart"/>
      <w:r w:rsidRPr="00D50708">
        <w:rPr>
          <w:rFonts w:ascii="Times New Roman" w:eastAsia="Times New Roman" w:hAnsi="Times New Roman" w:cs="Times New Roman"/>
          <w:sz w:val="24"/>
          <w:szCs w:val="24"/>
          <w:lang w:val="en-US"/>
        </w:rPr>
        <w:t>organisational</w:t>
      </w:r>
      <w:proofErr w:type="spellEnd"/>
      <w:r w:rsidRPr="00D50708">
        <w:rPr>
          <w:rFonts w:ascii="Times New Roman" w:eastAsia="Times New Roman" w:hAnsi="Times New Roman" w:cs="Times New Roman"/>
          <w:sz w:val="24"/>
          <w:szCs w:val="24"/>
          <w:lang w:val="en-US"/>
        </w:rPr>
        <w:t xml:space="preserve"> performance over time. This would allow researchers to capture changes in </w:t>
      </w:r>
      <w:proofErr w:type="spellStart"/>
      <w:r w:rsidRPr="00D50708">
        <w:rPr>
          <w:rFonts w:ascii="Times New Roman" w:eastAsia="Times New Roman" w:hAnsi="Times New Roman" w:cs="Times New Roman"/>
          <w:sz w:val="24"/>
          <w:szCs w:val="24"/>
          <w:lang w:val="en-US"/>
        </w:rPr>
        <w:t>behaviour</w:t>
      </w:r>
      <w:proofErr w:type="spellEnd"/>
      <w:r w:rsidRPr="00D50708">
        <w:rPr>
          <w:rFonts w:ascii="Times New Roman" w:eastAsia="Times New Roman" w:hAnsi="Times New Roman" w:cs="Times New Roman"/>
          <w:sz w:val="24"/>
          <w:szCs w:val="24"/>
          <w:lang w:val="en-US"/>
        </w:rPr>
        <w:t>, policy effectiveness, and institutional commitment.</w:t>
      </w:r>
    </w:p>
    <w:p w14:paraId="0D80BA8E" w14:textId="77777777" w:rsidR="00526BB1" w:rsidRPr="000B3FE3" w:rsidRDefault="00D50708" w:rsidP="000B3FE3">
      <w:pPr>
        <w:spacing w:before="100" w:beforeAutospacing="1" w:after="100" w:afterAutospacing="1" w:line="240" w:lineRule="auto"/>
        <w:jc w:val="both"/>
        <w:rPr>
          <w:rFonts w:ascii="Times New Roman" w:eastAsia="Times New Roman" w:hAnsi="Times New Roman" w:cs="Times New Roman"/>
          <w:sz w:val="24"/>
          <w:szCs w:val="24"/>
          <w:lang w:val="en-US"/>
        </w:rPr>
      </w:pPr>
      <w:r w:rsidRPr="00D50708">
        <w:rPr>
          <w:rFonts w:ascii="Times New Roman" w:eastAsia="Times New Roman" w:hAnsi="Times New Roman" w:cs="Times New Roman"/>
          <w:sz w:val="24"/>
          <w:szCs w:val="24"/>
          <w:lang w:val="en-US"/>
        </w:rPr>
        <w:lastRenderedPageBreak/>
        <w:t xml:space="preserve">Finally, future research could explore </w:t>
      </w:r>
      <w:r w:rsidRPr="0068059B">
        <w:rPr>
          <w:rFonts w:ascii="Times New Roman" w:eastAsia="Times New Roman" w:hAnsi="Times New Roman" w:cs="Times New Roman"/>
          <w:bCs/>
          <w:sz w:val="24"/>
          <w:szCs w:val="24"/>
          <w:lang w:val="en-US"/>
        </w:rPr>
        <w:t>mediating and moderating variables</w:t>
      </w:r>
      <w:r w:rsidRPr="00D50708">
        <w:rPr>
          <w:rFonts w:ascii="Times New Roman" w:eastAsia="Times New Roman" w:hAnsi="Times New Roman" w:cs="Times New Roman"/>
          <w:sz w:val="24"/>
          <w:szCs w:val="24"/>
          <w:lang w:val="en-US"/>
        </w:rPr>
        <w:t xml:space="preserve">, such as </w:t>
      </w:r>
      <w:proofErr w:type="spellStart"/>
      <w:r w:rsidRPr="00D50708">
        <w:rPr>
          <w:rFonts w:ascii="Times New Roman" w:eastAsia="Times New Roman" w:hAnsi="Times New Roman" w:cs="Times New Roman"/>
          <w:sz w:val="24"/>
          <w:szCs w:val="24"/>
          <w:lang w:val="en-US"/>
        </w:rPr>
        <w:t>organisational</w:t>
      </w:r>
      <w:proofErr w:type="spellEnd"/>
      <w:r w:rsidRPr="00D50708">
        <w:rPr>
          <w:rFonts w:ascii="Times New Roman" w:eastAsia="Times New Roman" w:hAnsi="Times New Roman" w:cs="Times New Roman"/>
          <w:sz w:val="24"/>
          <w:szCs w:val="24"/>
          <w:lang w:val="en-US"/>
        </w:rPr>
        <w:t xml:space="preserve"> culture, leadership commitment, employee environmental awareness, or regulatory pressure, to better understand the mechanisms through which GHRM practices influence environmental sustainability outcomes.</w:t>
      </w:r>
      <w:bookmarkStart w:id="0" w:name="_Hlk211509973"/>
      <w:bookmarkStart w:id="1" w:name="_Hlk204003461"/>
    </w:p>
    <w:p w14:paraId="1E818A5E" w14:textId="77777777" w:rsidR="00526BB1" w:rsidRPr="00046C34" w:rsidRDefault="00526BB1" w:rsidP="00526BB1">
      <w:pPr>
        <w:rPr>
          <w:rFonts w:ascii="Calibri" w:eastAsia="Calibri" w:hAnsi="Calibri" w:cs="Times New Roman"/>
          <w:kern w:val="2"/>
          <w:highlight w:val="yellow"/>
          <w:lang w:val="en-US"/>
        </w:rPr>
      </w:pPr>
      <w:bookmarkStart w:id="2" w:name="_Hlk211509776"/>
      <w:r w:rsidRPr="00046C34">
        <w:rPr>
          <w:rFonts w:ascii="Calibri" w:eastAsia="Calibri" w:hAnsi="Calibri" w:cs="Times New Roman"/>
          <w:kern w:val="2"/>
          <w:highlight w:val="yellow"/>
          <w:lang w:val="en-US"/>
        </w:rPr>
        <w:t>Disclaimer (Artificial intelligence)</w:t>
      </w:r>
    </w:p>
    <w:p w14:paraId="7BBA3A5E" w14:textId="77777777" w:rsidR="00526BB1" w:rsidRDefault="00526BB1" w:rsidP="00526BB1">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w:t>
      </w:r>
      <w:proofErr w:type="gramStart"/>
      <w:r w:rsidRPr="00046C34">
        <w:rPr>
          <w:rFonts w:ascii="Calibri" w:eastAsia="Calibri" w:hAnsi="Calibri" w:cs="Times New Roman"/>
          <w:kern w:val="2"/>
          <w:highlight w:val="yellow"/>
          <w:lang w:val="en-US"/>
        </w:rPr>
        <w:t>declare</w:t>
      </w:r>
      <w:proofErr w:type="gramEnd"/>
      <w:r w:rsidRPr="00046C34">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p w14:paraId="262DC07B" w14:textId="77777777" w:rsidR="009C496C" w:rsidRDefault="009C496C" w:rsidP="00ED7EE5">
      <w:pPr>
        <w:pStyle w:val="NormalWeb"/>
        <w:jc w:val="both"/>
      </w:pPr>
      <w:r w:rsidRPr="00ED7EE5">
        <w:rPr>
          <w:rStyle w:val="Strong"/>
        </w:rPr>
        <w:t xml:space="preserve">References </w:t>
      </w:r>
    </w:p>
    <w:p w14:paraId="443E030E"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Ahmad, S. (2015). Green human resource management: Policies and practices. </w:t>
      </w:r>
      <w:r w:rsidRPr="00F4353F">
        <w:rPr>
          <w:rStyle w:val="Emphasis"/>
          <w:rFonts w:ascii="Times New Roman" w:eastAsiaTheme="majorEastAsia" w:hAnsi="Times New Roman" w:cs="Times New Roman"/>
          <w:sz w:val="24"/>
          <w:szCs w:val="24"/>
        </w:rPr>
        <w:t>Cogent Business &amp; Management, 2</w:t>
      </w:r>
      <w:r w:rsidRPr="00F4353F">
        <w:rPr>
          <w:rFonts w:ascii="Times New Roman" w:hAnsi="Times New Roman" w:cs="Times New Roman"/>
          <w:sz w:val="24"/>
          <w:szCs w:val="24"/>
        </w:rPr>
        <w:t xml:space="preserve">(1), 1–13. </w:t>
      </w:r>
      <w:hyperlink r:id="rId8" w:tgtFrame="_new" w:history="1">
        <w:r w:rsidRPr="00F4353F">
          <w:rPr>
            <w:rStyle w:val="Hyperlink"/>
            <w:rFonts w:ascii="Times New Roman" w:hAnsi="Times New Roman" w:cs="Times New Roman"/>
            <w:sz w:val="24"/>
            <w:szCs w:val="24"/>
          </w:rPr>
          <w:t>https://doi.org/10.1080/23311975.2015.1030817</w:t>
        </w:r>
      </w:hyperlink>
    </w:p>
    <w:p w14:paraId="1A07F7CC" w14:textId="77777777" w:rsidR="00BD4219" w:rsidRPr="00F4353F" w:rsidRDefault="003C19D4" w:rsidP="00E21490">
      <w:pPr>
        <w:pStyle w:val="NoSpacing"/>
        <w:numPr>
          <w:ilvl w:val="0"/>
          <w:numId w:val="24"/>
        </w:numPr>
        <w:jc w:val="both"/>
        <w:rPr>
          <w:rFonts w:ascii="Times New Roman" w:hAnsi="Times New Roman" w:cs="Times New Roman"/>
          <w:sz w:val="24"/>
          <w:szCs w:val="24"/>
        </w:rPr>
      </w:pPr>
      <w:r w:rsidRPr="005D3FA2">
        <w:rPr>
          <w:rFonts w:ascii="Times New Roman" w:hAnsi="Times New Roman" w:cs="Times New Roman"/>
          <w:sz w:val="24"/>
          <w:szCs w:val="24"/>
        </w:rPr>
        <w:t xml:space="preserve">Ahmad, J., 2023. </w:t>
      </w:r>
      <w:proofErr w:type="spellStart"/>
      <w:r w:rsidRPr="005D3FA2">
        <w:rPr>
          <w:rStyle w:val="Emphasis"/>
          <w:rFonts w:ascii="Times New Roman" w:hAnsi="Times New Roman" w:cs="Times New Roman"/>
          <w:i w:val="0"/>
          <w:sz w:val="24"/>
          <w:szCs w:val="24"/>
        </w:rPr>
        <w:t>Modeling</w:t>
      </w:r>
      <w:proofErr w:type="spellEnd"/>
      <w:r w:rsidRPr="005D3FA2">
        <w:rPr>
          <w:rStyle w:val="Emphasis"/>
          <w:rFonts w:ascii="Times New Roman" w:hAnsi="Times New Roman" w:cs="Times New Roman"/>
          <w:i w:val="0"/>
          <w:sz w:val="24"/>
          <w:szCs w:val="24"/>
        </w:rPr>
        <w:t xml:space="preserve"> workplace pro-environmental </w:t>
      </w:r>
      <w:proofErr w:type="spellStart"/>
      <w:r w:rsidRPr="005D3FA2">
        <w:rPr>
          <w:rStyle w:val="Emphasis"/>
          <w:rFonts w:ascii="Times New Roman" w:hAnsi="Times New Roman" w:cs="Times New Roman"/>
          <w:i w:val="0"/>
          <w:sz w:val="24"/>
          <w:szCs w:val="24"/>
        </w:rPr>
        <w:t>behavior</w:t>
      </w:r>
      <w:proofErr w:type="spellEnd"/>
      <w:r w:rsidRPr="005D3FA2">
        <w:rPr>
          <w:rFonts w:ascii="Times New Roman" w:hAnsi="Times New Roman" w:cs="Times New Roman"/>
          <w:i/>
          <w:sz w:val="24"/>
          <w:szCs w:val="24"/>
        </w:rPr>
        <w:t>. Journal of Cleaner Production</w:t>
      </w:r>
      <w:r w:rsidRPr="005D3FA2">
        <w:rPr>
          <w:rFonts w:ascii="Times New Roman" w:hAnsi="Times New Roman" w:cs="Times New Roman"/>
          <w:sz w:val="24"/>
          <w:szCs w:val="24"/>
        </w:rPr>
        <w:t>, 388, pp.135</w:t>
      </w:r>
    </w:p>
    <w:p w14:paraId="3EB9FA11" w14:textId="77777777" w:rsidR="00ED7EE5" w:rsidRPr="00F4353F" w:rsidRDefault="00ED7EE5"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African Union Commission. (2015). </w:t>
      </w:r>
      <w:r w:rsidRPr="00F4353F">
        <w:rPr>
          <w:rStyle w:val="Emphasis"/>
          <w:rFonts w:ascii="Times New Roman" w:eastAsiaTheme="majorEastAsia" w:hAnsi="Times New Roman" w:cs="Times New Roman"/>
          <w:sz w:val="24"/>
          <w:szCs w:val="24"/>
        </w:rPr>
        <w:t>Agenda 2063: The Africa we want.</w:t>
      </w:r>
      <w:r w:rsidRPr="00F4353F">
        <w:rPr>
          <w:rFonts w:ascii="Times New Roman" w:hAnsi="Times New Roman" w:cs="Times New Roman"/>
          <w:sz w:val="24"/>
          <w:szCs w:val="24"/>
        </w:rPr>
        <w:t xml:space="preserve"> Addis Ababa, Ethiopia: African Union Commission.</w:t>
      </w:r>
    </w:p>
    <w:p w14:paraId="7FBB3769"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Appelbaum, E., Bailey, T., Berg, P. and Kalleberg, A.L. (2000) </w:t>
      </w:r>
      <w:r w:rsidRPr="00F4353F">
        <w:rPr>
          <w:rStyle w:val="Emphasis"/>
          <w:rFonts w:ascii="Times New Roman" w:hAnsi="Times New Roman" w:cs="Times New Roman"/>
          <w:sz w:val="24"/>
          <w:szCs w:val="24"/>
        </w:rPr>
        <w:t>Manufacturing Advantage: Why High-Performance Work Systems Pay Off.</w:t>
      </w:r>
      <w:r w:rsidRPr="00F4353F">
        <w:rPr>
          <w:rFonts w:ascii="Times New Roman" w:hAnsi="Times New Roman" w:cs="Times New Roman"/>
          <w:sz w:val="24"/>
          <w:szCs w:val="24"/>
        </w:rPr>
        <w:t xml:space="preserve"> Ithaca, NY: Cornell University Press.</w:t>
      </w:r>
    </w:p>
    <w:p w14:paraId="4C49C429"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Armstrong, M. (2014) </w:t>
      </w:r>
      <w:r w:rsidRPr="00F4353F">
        <w:rPr>
          <w:rStyle w:val="Emphasis"/>
          <w:rFonts w:ascii="Times New Roman" w:hAnsi="Times New Roman" w:cs="Times New Roman"/>
          <w:sz w:val="24"/>
          <w:szCs w:val="24"/>
        </w:rPr>
        <w:t>Armstrong’s Handbook of Human Resource Management Practice.</w:t>
      </w:r>
      <w:r w:rsidRPr="00F4353F">
        <w:rPr>
          <w:rFonts w:ascii="Times New Roman" w:hAnsi="Times New Roman" w:cs="Times New Roman"/>
          <w:sz w:val="24"/>
          <w:szCs w:val="24"/>
        </w:rPr>
        <w:t xml:space="preserve"> 13th ed. London: Kogan Page.</w:t>
      </w:r>
    </w:p>
    <w:p w14:paraId="44F72D0A" w14:textId="77777777" w:rsidR="00ED7EE5" w:rsidRPr="00F4353F" w:rsidRDefault="00ED7EE5" w:rsidP="00E21490">
      <w:pPr>
        <w:pStyle w:val="NoSpacing"/>
        <w:numPr>
          <w:ilvl w:val="0"/>
          <w:numId w:val="24"/>
        </w:numPr>
        <w:jc w:val="both"/>
        <w:rPr>
          <w:rFonts w:ascii="Times New Roman" w:hAnsi="Times New Roman" w:cs="Times New Roman"/>
          <w:sz w:val="24"/>
          <w:szCs w:val="24"/>
        </w:rPr>
      </w:pPr>
      <w:proofErr w:type="spellStart"/>
      <w:r w:rsidRPr="00F4353F">
        <w:rPr>
          <w:rFonts w:ascii="Times New Roman" w:hAnsi="Times New Roman" w:cs="Times New Roman"/>
          <w:sz w:val="24"/>
          <w:szCs w:val="24"/>
        </w:rPr>
        <w:t>Arulrajah</w:t>
      </w:r>
      <w:proofErr w:type="spellEnd"/>
      <w:r w:rsidRPr="00F4353F">
        <w:rPr>
          <w:rFonts w:ascii="Times New Roman" w:hAnsi="Times New Roman" w:cs="Times New Roman"/>
          <w:sz w:val="24"/>
          <w:szCs w:val="24"/>
        </w:rPr>
        <w:t xml:space="preserve">, A.A., </w:t>
      </w:r>
      <w:proofErr w:type="spellStart"/>
      <w:r w:rsidRPr="00F4353F">
        <w:rPr>
          <w:rFonts w:ascii="Times New Roman" w:hAnsi="Times New Roman" w:cs="Times New Roman"/>
          <w:sz w:val="24"/>
          <w:szCs w:val="24"/>
        </w:rPr>
        <w:t>Opatha</w:t>
      </w:r>
      <w:proofErr w:type="spellEnd"/>
      <w:r w:rsidRPr="00F4353F">
        <w:rPr>
          <w:rFonts w:ascii="Times New Roman" w:hAnsi="Times New Roman" w:cs="Times New Roman"/>
          <w:sz w:val="24"/>
          <w:szCs w:val="24"/>
        </w:rPr>
        <w:t xml:space="preserve">, H.H.D.N.P. and </w:t>
      </w:r>
      <w:proofErr w:type="spellStart"/>
      <w:r w:rsidRPr="00F4353F">
        <w:rPr>
          <w:rFonts w:ascii="Times New Roman" w:hAnsi="Times New Roman" w:cs="Times New Roman"/>
          <w:sz w:val="24"/>
          <w:szCs w:val="24"/>
        </w:rPr>
        <w:t>Nawaratne</w:t>
      </w:r>
      <w:proofErr w:type="spellEnd"/>
      <w:r w:rsidRPr="00F4353F">
        <w:rPr>
          <w:rFonts w:ascii="Times New Roman" w:hAnsi="Times New Roman" w:cs="Times New Roman"/>
          <w:sz w:val="24"/>
          <w:szCs w:val="24"/>
        </w:rPr>
        <w:t xml:space="preserve">, N.N.J., 2015. Green human resource management practices: A review. </w:t>
      </w:r>
      <w:r w:rsidRPr="00F4353F">
        <w:rPr>
          <w:rStyle w:val="Emphasis"/>
          <w:rFonts w:ascii="Times New Roman" w:hAnsi="Times New Roman" w:cs="Times New Roman"/>
          <w:sz w:val="24"/>
          <w:szCs w:val="24"/>
        </w:rPr>
        <w:t>Sri Lankan Journal of Human Resource Management</w:t>
      </w:r>
      <w:r w:rsidRPr="00F4353F">
        <w:rPr>
          <w:rFonts w:ascii="Times New Roman" w:hAnsi="Times New Roman" w:cs="Times New Roman"/>
          <w:sz w:val="24"/>
          <w:szCs w:val="24"/>
        </w:rPr>
        <w:t>, 5(1), pp.1–16.</w:t>
      </w:r>
    </w:p>
    <w:p w14:paraId="5987B1CC"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Bansal, P. and </w:t>
      </w:r>
      <w:proofErr w:type="spellStart"/>
      <w:r w:rsidRPr="00F4353F">
        <w:rPr>
          <w:rFonts w:ascii="Times New Roman" w:hAnsi="Times New Roman" w:cs="Times New Roman"/>
          <w:sz w:val="24"/>
          <w:szCs w:val="24"/>
        </w:rPr>
        <w:t>DesJardine</w:t>
      </w:r>
      <w:proofErr w:type="spellEnd"/>
      <w:r w:rsidRPr="00F4353F">
        <w:rPr>
          <w:rFonts w:ascii="Times New Roman" w:hAnsi="Times New Roman" w:cs="Times New Roman"/>
          <w:sz w:val="24"/>
          <w:szCs w:val="24"/>
        </w:rPr>
        <w:t xml:space="preserve">, M.R. (2014) ‘Business sustainability: It is about time’, </w:t>
      </w:r>
      <w:r w:rsidRPr="00F4353F">
        <w:rPr>
          <w:rStyle w:val="Emphasis"/>
          <w:rFonts w:ascii="Times New Roman" w:hAnsi="Times New Roman" w:cs="Times New Roman"/>
          <w:sz w:val="24"/>
          <w:szCs w:val="24"/>
        </w:rPr>
        <w:t>Strategic Organization</w:t>
      </w:r>
      <w:r w:rsidRPr="00F4353F">
        <w:rPr>
          <w:rFonts w:ascii="Times New Roman" w:hAnsi="Times New Roman" w:cs="Times New Roman"/>
          <w:sz w:val="24"/>
          <w:szCs w:val="24"/>
        </w:rPr>
        <w:t>, 12(1), pp. 70–78.</w:t>
      </w:r>
    </w:p>
    <w:p w14:paraId="45BCBECB"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Cherian, J., &amp; Jacob, J. (2012). A study of green HR practices and its effective implementation in the organization: A review. </w:t>
      </w:r>
      <w:r w:rsidRPr="00F4353F">
        <w:rPr>
          <w:rStyle w:val="Emphasis"/>
          <w:rFonts w:ascii="Times New Roman" w:eastAsiaTheme="majorEastAsia" w:hAnsi="Times New Roman" w:cs="Times New Roman"/>
          <w:sz w:val="24"/>
          <w:szCs w:val="24"/>
        </w:rPr>
        <w:t>International Journal of Business and Management, 7</w:t>
      </w:r>
      <w:r w:rsidRPr="00F4353F">
        <w:rPr>
          <w:rFonts w:ascii="Times New Roman" w:hAnsi="Times New Roman" w:cs="Times New Roman"/>
          <w:sz w:val="24"/>
          <w:szCs w:val="24"/>
        </w:rPr>
        <w:t xml:space="preserve">(21), 25–33. </w:t>
      </w:r>
      <w:hyperlink r:id="rId9" w:history="1">
        <w:r w:rsidR="00ED7EE5" w:rsidRPr="00F4353F">
          <w:rPr>
            <w:rStyle w:val="Hyperlink"/>
            <w:rFonts w:ascii="Times New Roman" w:hAnsi="Times New Roman" w:cs="Times New Roman"/>
            <w:sz w:val="24"/>
            <w:szCs w:val="24"/>
          </w:rPr>
          <w:t>https://doi.org/10.5539/ijbm.v7n21p25</w:t>
        </w:r>
      </w:hyperlink>
    </w:p>
    <w:p w14:paraId="74F049DC"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Chen, S. (2021) ‘Effect of Employees’ Perceived Green HRM on Their Workplace Green Behaviours’, </w:t>
      </w:r>
      <w:r w:rsidRPr="00F4353F">
        <w:rPr>
          <w:rStyle w:val="Emphasis"/>
          <w:rFonts w:ascii="Times New Roman" w:hAnsi="Times New Roman" w:cs="Times New Roman"/>
          <w:sz w:val="24"/>
          <w:szCs w:val="24"/>
        </w:rPr>
        <w:t>Journal</w:t>
      </w:r>
      <w:r w:rsidRPr="00F4353F">
        <w:rPr>
          <w:rFonts w:ascii="Times New Roman" w:hAnsi="Times New Roman" w:cs="Times New Roman"/>
          <w:sz w:val="24"/>
          <w:szCs w:val="24"/>
        </w:rPr>
        <w:t>, available at: PMC (2021).</w:t>
      </w:r>
    </w:p>
    <w:p w14:paraId="414E6E24"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Cochran, W.G. (1977) </w:t>
      </w:r>
      <w:r w:rsidRPr="00F4353F">
        <w:rPr>
          <w:rStyle w:val="Emphasis"/>
          <w:rFonts w:ascii="Times New Roman" w:hAnsi="Times New Roman" w:cs="Times New Roman"/>
          <w:sz w:val="24"/>
          <w:szCs w:val="24"/>
        </w:rPr>
        <w:t>Sampling Techniques.</w:t>
      </w:r>
      <w:r w:rsidRPr="00F4353F">
        <w:rPr>
          <w:rFonts w:ascii="Times New Roman" w:hAnsi="Times New Roman" w:cs="Times New Roman"/>
          <w:sz w:val="24"/>
          <w:szCs w:val="24"/>
        </w:rPr>
        <w:t xml:space="preserve"> 3rd </w:t>
      </w:r>
      <w:proofErr w:type="spellStart"/>
      <w:r w:rsidRPr="00F4353F">
        <w:rPr>
          <w:rFonts w:ascii="Times New Roman" w:hAnsi="Times New Roman" w:cs="Times New Roman"/>
          <w:sz w:val="24"/>
          <w:szCs w:val="24"/>
        </w:rPr>
        <w:t>edn</w:t>
      </w:r>
      <w:proofErr w:type="spellEnd"/>
      <w:r w:rsidRPr="00F4353F">
        <w:rPr>
          <w:rFonts w:ascii="Times New Roman" w:hAnsi="Times New Roman" w:cs="Times New Roman"/>
          <w:sz w:val="24"/>
          <w:szCs w:val="24"/>
        </w:rPr>
        <w:t>. New York: John Wiley &amp; Sons.</w:t>
      </w:r>
      <w:r w:rsidRPr="00F4353F">
        <w:rPr>
          <w:rFonts w:ascii="Times New Roman" w:hAnsi="Times New Roman" w:cs="Times New Roman"/>
          <w:sz w:val="24"/>
          <w:szCs w:val="24"/>
        </w:rPr>
        <w:br/>
        <w:t xml:space="preserve">Creswell, J.W. (2014) </w:t>
      </w:r>
      <w:r w:rsidRPr="00F4353F">
        <w:rPr>
          <w:rStyle w:val="Emphasis"/>
          <w:rFonts w:ascii="Times New Roman" w:hAnsi="Times New Roman" w:cs="Times New Roman"/>
          <w:sz w:val="24"/>
          <w:szCs w:val="24"/>
        </w:rPr>
        <w:t>Research Design: Qualitative, Quantitative, and Mixed Methods Approaches.</w:t>
      </w:r>
      <w:r w:rsidRPr="00F4353F">
        <w:rPr>
          <w:rFonts w:ascii="Times New Roman" w:hAnsi="Times New Roman" w:cs="Times New Roman"/>
          <w:sz w:val="24"/>
          <w:szCs w:val="24"/>
        </w:rPr>
        <w:t xml:space="preserve"> 4th </w:t>
      </w:r>
      <w:proofErr w:type="spellStart"/>
      <w:r w:rsidRPr="00F4353F">
        <w:rPr>
          <w:rFonts w:ascii="Times New Roman" w:hAnsi="Times New Roman" w:cs="Times New Roman"/>
          <w:sz w:val="24"/>
          <w:szCs w:val="24"/>
        </w:rPr>
        <w:t>edn</w:t>
      </w:r>
      <w:proofErr w:type="spellEnd"/>
      <w:r w:rsidRPr="00F4353F">
        <w:rPr>
          <w:rFonts w:ascii="Times New Roman" w:hAnsi="Times New Roman" w:cs="Times New Roman"/>
          <w:sz w:val="24"/>
          <w:szCs w:val="24"/>
        </w:rPr>
        <w:t>. Thousand Oaks, CA: Sage.</w:t>
      </w:r>
    </w:p>
    <w:p w14:paraId="78E4203C" w14:textId="77777777" w:rsidR="00ED7EE5" w:rsidRPr="00F4353F" w:rsidRDefault="00ED7EE5"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Daily, B.F., Bishop, J.W. and Govindarajulu, N., 2012. A conceptual model for organizational commitment to sustainability. </w:t>
      </w:r>
      <w:r w:rsidRPr="00F4353F">
        <w:rPr>
          <w:rStyle w:val="Emphasis"/>
          <w:rFonts w:ascii="Times New Roman" w:hAnsi="Times New Roman" w:cs="Times New Roman"/>
          <w:sz w:val="24"/>
          <w:szCs w:val="24"/>
        </w:rPr>
        <w:t>Business Strategy and the Environment</w:t>
      </w:r>
      <w:r w:rsidRPr="00F4353F">
        <w:rPr>
          <w:rFonts w:ascii="Times New Roman" w:hAnsi="Times New Roman" w:cs="Times New Roman"/>
          <w:sz w:val="24"/>
          <w:szCs w:val="24"/>
        </w:rPr>
        <w:t>, 18(8), pp.398–412</w:t>
      </w:r>
    </w:p>
    <w:p w14:paraId="62B590BC" w14:textId="77777777" w:rsidR="00ED7EE5" w:rsidRPr="00F4353F" w:rsidRDefault="00ED7EE5"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Elshaer, I.A. and </w:t>
      </w:r>
      <w:proofErr w:type="spellStart"/>
      <w:r w:rsidRPr="00F4353F">
        <w:rPr>
          <w:rFonts w:ascii="Times New Roman" w:hAnsi="Times New Roman" w:cs="Times New Roman"/>
          <w:sz w:val="24"/>
          <w:szCs w:val="24"/>
        </w:rPr>
        <w:t>Azazz</w:t>
      </w:r>
      <w:proofErr w:type="spellEnd"/>
      <w:r w:rsidRPr="00F4353F">
        <w:rPr>
          <w:rFonts w:ascii="Times New Roman" w:hAnsi="Times New Roman" w:cs="Times New Roman"/>
          <w:sz w:val="24"/>
          <w:szCs w:val="24"/>
        </w:rPr>
        <w:t xml:space="preserve">, A.M.S., 2021. Green human resource management and environmental performance in developing countries: The mediating role of green innovation. </w:t>
      </w:r>
      <w:r w:rsidR="003C19D4" w:rsidRPr="00230764">
        <w:rPr>
          <w:rStyle w:val="Emphasis"/>
          <w:rFonts w:ascii="Times New Roman" w:hAnsi="Times New Roman" w:cs="Times New Roman"/>
          <w:sz w:val="24"/>
          <w:szCs w:val="24"/>
          <w:highlight w:val="yellow"/>
        </w:rPr>
        <w:t>Journal of Cleaner Production</w:t>
      </w:r>
      <w:r w:rsidR="003C19D4" w:rsidRPr="00230764">
        <w:rPr>
          <w:rFonts w:ascii="Times New Roman" w:hAnsi="Times New Roman" w:cs="Times New Roman"/>
          <w:sz w:val="24"/>
          <w:szCs w:val="24"/>
          <w:highlight w:val="yellow"/>
        </w:rPr>
        <w:t>, 3</w:t>
      </w:r>
      <w:r w:rsidR="003C19D4">
        <w:rPr>
          <w:rFonts w:ascii="Times New Roman" w:hAnsi="Times New Roman" w:cs="Times New Roman"/>
          <w:sz w:val="24"/>
          <w:szCs w:val="24"/>
          <w:highlight w:val="yellow"/>
        </w:rPr>
        <w:t>(</w:t>
      </w:r>
      <w:r w:rsidR="003C19D4" w:rsidRPr="00230764">
        <w:rPr>
          <w:rFonts w:ascii="Times New Roman" w:hAnsi="Times New Roman" w:cs="Times New Roman"/>
          <w:sz w:val="24"/>
          <w:szCs w:val="24"/>
          <w:highlight w:val="yellow"/>
        </w:rPr>
        <w:t>10</w:t>
      </w:r>
      <w:r w:rsidR="003C19D4">
        <w:rPr>
          <w:rFonts w:ascii="Times New Roman" w:hAnsi="Times New Roman" w:cs="Times New Roman"/>
          <w:sz w:val="24"/>
          <w:szCs w:val="24"/>
          <w:highlight w:val="yellow"/>
        </w:rPr>
        <w:t>)</w:t>
      </w:r>
      <w:r w:rsidR="003C19D4" w:rsidRPr="00230764">
        <w:rPr>
          <w:rFonts w:ascii="Times New Roman" w:hAnsi="Times New Roman" w:cs="Times New Roman"/>
          <w:sz w:val="24"/>
          <w:szCs w:val="24"/>
          <w:highlight w:val="yellow"/>
        </w:rPr>
        <w:t xml:space="preserve">, </w:t>
      </w:r>
      <w:r w:rsidR="003C19D4">
        <w:rPr>
          <w:rFonts w:ascii="Times New Roman" w:hAnsi="Times New Roman" w:cs="Times New Roman"/>
          <w:sz w:val="24"/>
          <w:szCs w:val="24"/>
          <w:highlight w:val="yellow"/>
        </w:rPr>
        <w:t>pp. 27-</w:t>
      </w:r>
      <w:r w:rsidR="003C19D4" w:rsidRPr="00230764">
        <w:rPr>
          <w:rFonts w:ascii="Times New Roman" w:hAnsi="Times New Roman" w:cs="Times New Roman"/>
          <w:sz w:val="24"/>
          <w:szCs w:val="24"/>
          <w:highlight w:val="yellow"/>
        </w:rPr>
        <w:t>37</w:t>
      </w:r>
    </w:p>
    <w:p w14:paraId="6A7E6EB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Goodland, R. (1995) ‘The concept of environmental sustainability’, </w:t>
      </w:r>
      <w:r w:rsidRPr="00F4353F">
        <w:rPr>
          <w:rStyle w:val="Emphasis"/>
          <w:rFonts w:ascii="Times New Roman" w:hAnsi="Times New Roman" w:cs="Times New Roman"/>
          <w:sz w:val="24"/>
          <w:szCs w:val="24"/>
        </w:rPr>
        <w:t>Annual Review of Ecology and Systematics</w:t>
      </w:r>
      <w:r w:rsidRPr="00F4353F">
        <w:rPr>
          <w:rFonts w:ascii="Times New Roman" w:hAnsi="Times New Roman" w:cs="Times New Roman"/>
          <w:sz w:val="24"/>
          <w:szCs w:val="24"/>
        </w:rPr>
        <w:t>, 26, pp. 1–24.</w:t>
      </w:r>
    </w:p>
    <w:p w14:paraId="0F6A23F9"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Jabbour, C. J. C. (2011). How green are HRM practices, organizational culture, learning and teamwork? </w:t>
      </w:r>
      <w:r w:rsidRPr="00F4353F">
        <w:rPr>
          <w:rStyle w:val="Emphasis"/>
          <w:rFonts w:ascii="Times New Roman" w:eastAsiaTheme="majorEastAsia" w:hAnsi="Times New Roman" w:cs="Times New Roman"/>
          <w:sz w:val="24"/>
          <w:szCs w:val="24"/>
        </w:rPr>
        <w:t>Industrial and Commercial Training, 43</w:t>
      </w:r>
      <w:r w:rsidRPr="00F4353F">
        <w:rPr>
          <w:rFonts w:ascii="Times New Roman" w:hAnsi="Times New Roman" w:cs="Times New Roman"/>
          <w:sz w:val="24"/>
          <w:szCs w:val="24"/>
        </w:rPr>
        <w:t>(2), 98–105. https://doi.org/10.1108/00197851111108926</w:t>
      </w:r>
    </w:p>
    <w:p w14:paraId="75F2B17D"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lastRenderedPageBreak/>
        <w:t xml:space="preserve">Jabbour, C. J. C., &amp; Santos, F. C. A. (2008). The central role of human resource management in the search for sustainable organizations. </w:t>
      </w:r>
      <w:r w:rsidRPr="00F4353F">
        <w:rPr>
          <w:rStyle w:val="Emphasis"/>
          <w:rFonts w:ascii="Times New Roman" w:eastAsiaTheme="majorEastAsia" w:hAnsi="Times New Roman" w:cs="Times New Roman"/>
          <w:sz w:val="24"/>
          <w:szCs w:val="24"/>
        </w:rPr>
        <w:t>The International Journal of Human Resource Management, 19</w:t>
      </w:r>
      <w:r w:rsidRPr="00F4353F">
        <w:rPr>
          <w:rFonts w:ascii="Times New Roman" w:hAnsi="Times New Roman" w:cs="Times New Roman"/>
          <w:sz w:val="24"/>
          <w:szCs w:val="24"/>
        </w:rPr>
        <w:t>(12), 2133–2154. https://doi.org/10.1080/09585190802479389</w:t>
      </w:r>
    </w:p>
    <w:p w14:paraId="7A9004CA"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Jackson, S. E., Renwick, D. W. S., &amp; Jabbour, C. J. C. (2011). State-of-the-art and future directions for green human resource management: Introduction to the special issue. </w:t>
      </w:r>
      <w:proofErr w:type="spellStart"/>
      <w:r w:rsidRPr="00F4353F">
        <w:rPr>
          <w:rStyle w:val="Emphasis"/>
          <w:rFonts w:ascii="Times New Roman" w:eastAsiaTheme="majorEastAsia" w:hAnsi="Times New Roman" w:cs="Times New Roman"/>
          <w:sz w:val="24"/>
          <w:szCs w:val="24"/>
        </w:rPr>
        <w:t>Zeitschrift</w:t>
      </w:r>
      <w:proofErr w:type="spellEnd"/>
      <w:r w:rsidRPr="00F4353F">
        <w:rPr>
          <w:rStyle w:val="Emphasis"/>
          <w:rFonts w:ascii="Times New Roman" w:eastAsiaTheme="majorEastAsia" w:hAnsi="Times New Roman" w:cs="Times New Roman"/>
          <w:sz w:val="24"/>
          <w:szCs w:val="24"/>
        </w:rPr>
        <w:t xml:space="preserve"> für </w:t>
      </w:r>
      <w:proofErr w:type="spellStart"/>
      <w:r w:rsidRPr="00F4353F">
        <w:rPr>
          <w:rStyle w:val="Emphasis"/>
          <w:rFonts w:ascii="Times New Roman" w:eastAsiaTheme="majorEastAsia" w:hAnsi="Times New Roman" w:cs="Times New Roman"/>
          <w:sz w:val="24"/>
          <w:szCs w:val="24"/>
        </w:rPr>
        <w:t>Personalforschung</w:t>
      </w:r>
      <w:proofErr w:type="spellEnd"/>
      <w:r w:rsidRPr="00F4353F">
        <w:rPr>
          <w:rStyle w:val="Emphasis"/>
          <w:rFonts w:ascii="Times New Roman" w:eastAsiaTheme="majorEastAsia" w:hAnsi="Times New Roman" w:cs="Times New Roman"/>
          <w:sz w:val="24"/>
          <w:szCs w:val="24"/>
        </w:rPr>
        <w:t>, 25</w:t>
      </w:r>
      <w:r w:rsidRPr="00F4353F">
        <w:rPr>
          <w:rFonts w:ascii="Times New Roman" w:hAnsi="Times New Roman" w:cs="Times New Roman"/>
          <w:sz w:val="24"/>
          <w:szCs w:val="24"/>
        </w:rPr>
        <w:t xml:space="preserve">(2), 99–116. </w:t>
      </w:r>
      <w:hyperlink r:id="rId10" w:history="1">
        <w:r w:rsidR="00BD4219" w:rsidRPr="00F4353F">
          <w:rPr>
            <w:rStyle w:val="Hyperlink"/>
            <w:rFonts w:ascii="Times New Roman" w:hAnsi="Times New Roman" w:cs="Times New Roman"/>
            <w:sz w:val="24"/>
            <w:szCs w:val="24"/>
          </w:rPr>
          <w:t>https://doi.org/10.1177/239700221102500203</w:t>
        </w:r>
      </w:hyperlink>
    </w:p>
    <w:p w14:paraId="0214A74F"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Kim, Y.J., Kim, W.G., Choi, H.M. and </w:t>
      </w:r>
      <w:proofErr w:type="spellStart"/>
      <w:r w:rsidRPr="00F4353F">
        <w:rPr>
          <w:rFonts w:ascii="Times New Roman" w:hAnsi="Times New Roman" w:cs="Times New Roman"/>
          <w:sz w:val="24"/>
          <w:szCs w:val="24"/>
        </w:rPr>
        <w:t>Phetvaroon</w:t>
      </w:r>
      <w:proofErr w:type="spellEnd"/>
      <w:r w:rsidRPr="00F4353F">
        <w:rPr>
          <w:rFonts w:ascii="Times New Roman" w:hAnsi="Times New Roman" w:cs="Times New Roman"/>
          <w:sz w:val="24"/>
          <w:szCs w:val="24"/>
        </w:rPr>
        <w:t xml:space="preserve">, K. (2019) ‘The effect of green human resource management on hotel employees’ eco-friendly behaviour and environmental performance’, </w:t>
      </w:r>
      <w:r w:rsidRPr="00F4353F">
        <w:rPr>
          <w:rStyle w:val="Emphasis"/>
          <w:rFonts w:ascii="Times New Roman" w:hAnsi="Times New Roman" w:cs="Times New Roman"/>
          <w:sz w:val="24"/>
          <w:szCs w:val="24"/>
        </w:rPr>
        <w:t>International Journal of Hospitality Management</w:t>
      </w:r>
      <w:r w:rsidRPr="00F4353F">
        <w:rPr>
          <w:rFonts w:ascii="Times New Roman" w:hAnsi="Times New Roman" w:cs="Times New Roman"/>
          <w:sz w:val="24"/>
          <w:szCs w:val="24"/>
        </w:rPr>
        <w:t>, 76, pp. 83–93.</w:t>
      </w:r>
    </w:p>
    <w:p w14:paraId="6D6320CB" w14:textId="77777777" w:rsidR="00F4353F" w:rsidRPr="00F4353F" w:rsidRDefault="00F4353F"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Kline, R.B. (2016) </w:t>
      </w:r>
      <w:r w:rsidRPr="00F4353F">
        <w:rPr>
          <w:rStyle w:val="Emphasis"/>
          <w:rFonts w:ascii="Times New Roman" w:hAnsi="Times New Roman" w:cs="Times New Roman"/>
          <w:sz w:val="24"/>
          <w:szCs w:val="24"/>
        </w:rPr>
        <w:t xml:space="preserve">Principles and Practice of Structural Equation </w:t>
      </w:r>
      <w:proofErr w:type="spellStart"/>
      <w:r w:rsidRPr="00F4353F">
        <w:rPr>
          <w:rStyle w:val="Emphasis"/>
          <w:rFonts w:ascii="Times New Roman" w:hAnsi="Times New Roman" w:cs="Times New Roman"/>
          <w:sz w:val="24"/>
          <w:szCs w:val="24"/>
        </w:rPr>
        <w:t>Modeling</w:t>
      </w:r>
      <w:proofErr w:type="spellEnd"/>
      <w:r w:rsidRPr="00F4353F">
        <w:rPr>
          <w:rStyle w:val="Emphasis"/>
          <w:rFonts w:ascii="Times New Roman" w:hAnsi="Times New Roman" w:cs="Times New Roman"/>
          <w:sz w:val="24"/>
          <w:szCs w:val="24"/>
        </w:rPr>
        <w:t>.</w:t>
      </w:r>
      <w:r w:rsidRPr="00F4353F">
        <w:rPr>
          <w:rFonts w:ascii="Times New Roman" w:hAnsi="Times New Roman" w:cs="Times New Roman"/>
          <w:sz w:val="24"/>
          <w:szCs w:val="24"/>
        </w:rPr>
        <w:t xml:space="preserve"> 4th </w:t>
      </w:r>
      <w:proofErr w:type="spellStart"/>
      <w:r w:rsidRPr="00F4353F">
        <w:rPr>
          <w:rFonts w:ascii="Times New Roman" w:hAnsi="Times New Roman" w:cs="Times New Roman"/>
          <w:sz w:val="24"/>
          <w:szCs w:val="24"/>
        </w:rPr>
        <w:t>edn</w:t>
      </w:r>
      <w:proofErr w:type="spellEnd"/>
      <w:r w:rsidRPr="00F4353F">
        <w:rPr>
          <w:rFonts w:ascii="Times New Roman" w:hAnsi="Times New Roman" w:cs="Times New Roman"/>
          <w:sz w:val="24"/>
          <w:szCs w:val="24"/>
        </w:rPr>
        <w:t>. New York: Guilford Press.</w:t>
      </w:r>
    </w:p>
    <w:p w14:paraId="0EEDF434"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E21490">
        <w:rPr>
          <w:rFonts w:ascii="Times New Roman" w:hAnsi="Times New Roman" w:cs="Times New Roman"/>
          <w:sz w:val="24"/>
          <w:szCs w:val="24"/>
          <w:lang w:val="nl-BE"/>
        </w:rPr>
        <w:t xml:space="preserve">Masri, H. A., &amp; Jaaron, A. A. M. (2017). </w:t>
      </w:r>
      <w:r w:rsidRPr="00F4353F">
        <w:rPr>
          <w:rFonts w:ascii="Times New Roman" w:hAnsi="Times New Roman" w:cs="Times New Roman"/>
          <w:sz w:val="24"/>
          <w:szCs w:val="24"/>
        </w:rPr>
        <w:t xml:space="preserve">Assessing green human resources management practices in the Palestinian manufacturing context: An empirical study. </w:t>
      </w:r>
      <w:r w:rsidRPr="00F4353F">
        <w:rPr>
          <w:rStyle w:val="Emphasis"/>
          <w:rFonts w:ascii="Times New Roman" w:eastAsiaTheme="majorEastAsia" w:hAnsi="Times New Roman" w:cs="Times New Roman"/>
          <w:sz w:val="24"/>
          <w:szCs w:val="24"/>
        </w:rPr>
        <w:t>Journal of Cleaner Production, 143</w:t>
      </w:r>
      <w:r w:rsidRPr="00F4353F">
        <w:rPr>
          <w:rFonts w:ascii="Times New Roman" w:hAnsi="Times New Roman" w:cs="Times New Roman"/>
          <w:sz w:val="24"/>
          <w:szCs w:val="24"/>
        </w:rPr>
        <w:t xml:space="preserve">, 474–489. </w:t>
      </w:r>
      <w:hyperlink r:id="rId11" w:history="1">
        <w:r w:rsidR="00BD4219" w:rsidRPr="00F4353F">
          <w:rPr>
            <w:rStyle w:val="Hyperlink"/>
            <w:rFonts w:ascii="Times New Roman" w:hAnsi="Times New Roman" w:cs="Times New Roman"/>
            <w:sz w:val="24"/>
            <w:szCs w:val="24"/>
          </w:rPr>
          <w:t>https://doi.org/10.1016/j.jclepro.2016.12.087</w:t>
        </w:r>
      </w:hyperlink>
    </w:p>
    <w:p w14:paraId="59BE1B0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Masri, H.A. (2016) ‘Assessment of Green HRM Practices in the Middle East’, </w:t>
      </w:r>
      <w:r w:rsidRPr="00F4353F">
        <w:rPr>
          <w:rStyle w:val="Emphasis"/>
          <w:rFonts w:ascii="Times New Roman" w:hAnsi="Times New Roman" w:cs="Times New Roman"/>
          <w:sz w:val="24"/>
          <w:szCs w:val="24"/>
        </w:rPr>
        <w:t>Journal of Cleaner Production</w:t>
      </w:r>
      <w:r w:rsidRPr="00F4353F">
        <w:rPr>
          <w:rFonts w:ascii="Times New Roman" w:hAnsi="Times New Roman" w:cs="Times New Roman"/>
          <w:sz w:val="24"/>
          <w:szCs w:val="24"/>
        </w:rPr>
        <w:t>, 137, pp. 1521–1532.</w:t>
      </w:r>
    </w:p>
    <w:p w14:paraId="6D1F8E7E" w14:textId="77777777" w:rsidR="00F4353F" w:rsidRDefault="00F4353F"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Nunnally, J.C. and Bernstein, I.H. (1994) </w:t>
      </w:r>
      <w:r w:rsidRPr="00F4353F">
        <w:rPr>
          <w:rStyle w:val="Emphasis"/>
          <w:rFonts w:ascii="Times New Roman" w:hAnsi="Times New Roman" w:cs="Times New Roman"/>
          <w:sz w:val="24"/>
          <w:szCs w:val="24"/>
        </w:rPr>
        <w:t>Psychometric Theory.</w:t>
      </w:r>
      <w:r w:rsidRPr="00F4353F">
        <w:rPr>
          <w:rFonts w:ascii="Times New Roman" w:hAnsi="Times New Roman" w:cs="Times New Roman"/>
          <w:sz w:val="24"/>
          <w:szCs w:val="24"/>
        </w:rPr>
        <w:t xml:space="preserve"> 3rd </w:t>
      </w:r>
      <w:proofErr w:type="spellStart"/>
      <w:r w:rsidRPr="00F4353F">
        <w:rPr>
          <w:rFonts w:ascii="Times New Roman" w:hAnsi="Times New Roman" w:cs="Times New Roman"/>
          <w:sz w:val="24"/>
          <w:szCs w:val="24"/>
        </w:rPr>
        <w:t>edn</w:t>
      </w:r>
      <w:proofErr w:type="spellEnd"/>
      <w:r w:rsidRPr="00F4353F">
        <w:rPr>
          <w:rFonts w:ascii="Times New Roman" w:hAnsi="Times New Roman" w:cs="Times New Roman"/>
          <w:sz w:val="24"/>
          <w:szCs w:val="24"/>
        </w:rPr>
        <w:t>. New York: McGraw-Hill.</w:t>
      </w:r>
    </w:p>
    <w:p w14:paraId="6EAA6564" w14:textId="77777777" w:rsidR="004D3463" w:rsidRDefault="004D3463" w:rsidP="00E21490">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Nwambuko, Temple C</w:t>
      </w:r>
      <w:r w:rsidRPr="004D3463">
        <w:rPr>
          <w:rFonts w:ascii="Times New Roman" w:hAnsi="Times New Roman" w:cs="Times New Roman"/>
          <w:sz w:val="24"/>
          <w:szCs w:val="24"/>
        </w:rPr>
        <w:t xml:space="preserve">., Egbuchulam, Micheal U., and Amanze, Humphrey U. (2025). </w:t>
      </w:r>
      <w:r>
        <w:rPr>
          <w:rFonts w:ascii="Times New Roman" w:hAnsi="Times New Roman" w:cs="Times New Roman"/>
          <w:sz w:val="24"/>
          <w:szCs w:val="24"/>
        </w:rPr>
        <w:t>Climate change and environmental governance in Nigeria: A f</w:t>
      </w:r>
      <w:r w:rsidRPr="004D3463">
        <w:rPr>
          <w:rFonts w:ascii="Times New Roman" w:hAnsi="Times New Roman" w:cs="Times New Roman"/>
          <w:sz w:val="24"/>
          <w:szCs w:val="24"/>
        </w:rPr>
        <w:t xml:space="preserve">ocus on North Central Region. </w:t>
      </w:r>
      <w:r w:rsidRPr="004D3463">
        <w:rPr>
          <w:rFonts w:ascii="Times New Roman" w:hAnsi="Times New Roman" w:cs="Times New Roman"/>
          <w:i/>
          <w:sz w:val="24"/>
          <w:szCs w:val="24"/>
        </w:rPr>
        <w:t>Asian Research Journal of Arts &amp; Social Sciences</w:t>
      </w:r>
      <w:r>
        <w:rPr>
          <w:rFonts w:ascii="Times New Roman" w:hAnsi="Times New Roman" w:cs="Times New Roman"/>
          <w:sz w:val="24"/>
          <w:szCs w:val="24"/>
        </w:rPr>
        <w:t xml:space="preserve">. </w:t>
      </w:r>
      <w:r w:rsidRPr="004D3463">
        <w:rPr>
          <w:rFonts w:ascii="Times New Roman" w:hAnsi="Times New Roman" w:cs="Times New Roman"/>
          <w:sz w:val="24"/>
          <w:szCs w:val="24"/>
        </w:rPr>
        <w:t>Volume 23, Issue 10, Page 200-219.</w:t>
      </w:r>
    </w:p>
    <w:p w14:paraId="1A00A3A4" w14:textId="77777777" w:rsidR="004D3463" w:rsidRDefault="004D3463" w:rsidP="00E21490">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Nwambuko, Temple C. (2025). D</w:t>
      </w:r>
      <w:r w:rsidRPr="004D3463">
        <w:rPr>
          <w:rFonts w:ascii="Times New Roman" w:hAnsi="Times New Roman" w:cs="Times New Roman"/>
          <w:sz w:val="24"/>
          <w:szCs w:val="24"/>
        </w:rPr>
        <w:t>ynamics</w:t>
      </w:r>
      <w:r>
        <w:rPr>
          <w:rFonts w:ascii="Times New Roman" w:hAnsi="Times New Roman" w:cs="Times New Roman"/>
          <w:sz w:val="24"/>
          <w:szCs w:val="24"/>
        </w:rPr>
        <w:t xml:space="preserve"> </w:t>
      </w:r>
      <w:r w:rsidRPr="004D3463">
        <w:rPr>
          <w:rFonts w:ascii="Times New Roman" w:hAnsi="Times New Roman" w:cs="Times New Roman"/>
          <w:sz w:val="24"/>
          <w:szCs w:val="24"/>
        </w:rPr>
        <w:t>of</w:t>
      </w:r>
      <w:r>
        <w:rPr>
          <w:rFonts w:ascii="Times New Roman" w:hAnsi="Times New Roman" w:cs="Times New Roman"/>
          <w:sz w:val="24"/>
          <w:szCs w:val="24"/>
        </w:rPr>
        <w:t xml:space="preserve"> </w:t>
      </w:r>
      <w:r w:rsidRPr="004D3463">
        <w:rPr>
          <w:rFonts w:ascii="Times New Roman" w:hAnsi="Times New Roman" w:cs="Times New Roman"/>
          <w:sz w:val="24"/>
          <w:szCs w:val="24"/>
        </w:rPr>
        <w:t>employee</w:t>
      </w:r>
      <w:r>
        <w:rPr>
          <w:rFonts w:ascii="Times New Roman" w:hAnsi="Times New Roman" w:cs="Times New Roman"/>
          <w:sz w:val="24"/>
          <w:szCs w:val="24"/>
        </w:rPr>
        <w:t xml:space="preserve"> </w:t>
      </w:r>
      <w:r w:rsidRPr="004D3463">
        <w:rPr>
          <w:rFonts w:ascii="Times New Roman" w:hAnsi="Times New Roman" w:cs="Times New Roman"/>
          <w:sz w:val="24"/>
          <w:szCs w:val="24"/>
        </w:rPr>
        <w:t>job</w:t>
      </w:r>
      <w:r>
        <w:rPr>
          <w:rFonts w:ascii="Times New Roman" w:hAnsi="Times New Roman" w:cs="Times New Roman"/>
          <w:sz w:val="24"/>
          <w:szCs w:val="24"/>
        </w:rPr>
        <w:t xml:space="preserve"> </w:t>
      </w:r>
      <w:r w:rsidRPr="004D3463">
        <w:rPr>
          <w:rFonts w:ascii="Times New Roman" w:hAnsi="Times New Roman" w:cs="Times New Roman"/>
          <w:sz w:val="24"/>
          <w:szCs w:val="24"/>
        </w:rPr>
        <w:t>satisfaction</w:t>
      </w:r>
      <w:r>
        <w:rPr>
          <w:rFonts w:ascii="Times New Roman" w:hAnsi="Times New Roman" w:cs="Times New Roman"/>
          <w:sz w:val="24"/>
          <w:szCs w:val="24"/>
        </w:rPr>
        <w:t xml:space="preserve"> </w:t>
      </w:r>
      <w:r w:rsidRPr="004D3463">
        <w:rPr>
          <w:rFonts w:ascii="Times New Roman" w:hAnsi="Times New Roman" w:cs="Times New Roman"/>
          <w:sz w:val="24"/>
          <w:szCs w:val="24"/>
        </w:rPr>
        <w:t>and</w:t>
      </w:r>
      <w:r>
        <w:rPr>
          <w:rFonts w:ascii="Times New Roman" w:hAnsi="Times New Roman" w:cs="Times New Roman"/>
          <w:sz w:val="24"/>
          <w:szCs w:val="24"/>
        </w:rPr>
        <w:t xml:space="preserve"> </w:t>
      </w:r>
      <w:r w:rsidRPr="004D3463">
        <w:rPr>
          <w:rFonts w:ascii="Times New Roman" w:hAnsi="Times New Roman" w:cs="Times New Roman"/>
          <w:sz w:val="24"/>
          <w:szCs w:val="24"/>
        </w:rPr>
        <w:t>public</w:t>
      </w:r>
      <w:r>
        <w:rPr>
          <w:rFonts w:ascii="Times New Roman" w:hAnsi="Times New Roman" w:cs="Times New Roman"/>
          <w:sz w:val="24"/>
          <w:szCs w:val="24"/>
        </w:rPr>
        <w:t xml:space="preserve"> </w:t>
      </w:r>
      <w:proofErr w:type="gramStart"/>
      <w:r w:rsidRPr="004D3463">
        <w:rPr>
          <w:rFonts w:ascii="Times New Roman" w:hAnsi="Times New Roman" w:cs="Times New Roman"/>
          <w:sz w:val="24"/>
          <w:szCs w:val="24"/>
        </w:rPr>
        <w:t xml:space="preserve">sector </w:t>
      </w:r>
      <w:r>
        <w:rPr>
          <w:rFonts w:ascii="Times New Roman" w:hAnsi="Times New Roman" w:cs="Times New Roman"/>
          <w:sz w:val="24"/>
          <w:szCs w:val="24"/>
        </w:rPr>
        <w:t xml:space="preserve"> </w:t>
      </w:r>
      <w:r w:rsidRPr="004D3463">
        <w:rPr>
          <w:rFonts w:ascii="Times New Roman" w:hAnsi="Times New Roman" w:cs="Times New Roman"/>
          <w:sz w:val="24"/>
          <w:szCs w:val="24"/>
        </w:rPr>
        <w:t>performance</w:t>
      </w:r>
      <w:proofErr w:type="gramEnd"/>
      <w:r>
        <w:rPr>
          <w:rFonts w:ascii="Times New Roman" w:hAnsi="Times New Roman" w:cs="Times New Roman"/>
          <w:sz w:val="24"/>
          <w:szCs w:val="24"/>
        </w:rPr>
        <w:t xml:space="preserve"> </w:t>
      </w:r>
      <w:r w:rsidRPr="004D3463">
        <w:rPr>
          <w:rFonts w:ascii="Times New Roman" w:hAnsi="Times New Roman" w:cs="Times New Roman"/>
          <w:sz w:val="24"/>
          <w:szCs w:val="24"/>
        </w:rPr>
        <w:t>in</w:t>
      </w:r>
      <w:r>
        <w:rPr>
          <w:rFonts w:ascii="Times New Roman" w:hAnsi="Times New Roman" w:cs="Times New Roman"/>
          <w:sz w:val="24"/>
          <w:szCs w:val="24"/>
        </w:rPr>
        <w:t xml:space="preserve"> N</w:t>
      </w:r>
      <w:r w:rsidRPr="004D3463">
        <w:rPr>
          <w:rFonts w:ascii="Times New Roman" w:hAnsi="Times New Roman" w:cs="Times New Roman"/>
          <w:sz w:val="24"/>
          <w:szCs w:val="24"/>
        </w:rPr>
        <w:t>igeria:</w:t>
      </w:r>
      <w:r>
        <w:rPr>
          <w:rFonts w:ascii="Times New Roman" w:hAnsi="Times New Roman" w:cs="Times New Roman"/>
          <w:sz w:val="24"/>
          <w:szCs w:val="24"/>
        </w:rPr>
        <w:t xml:space="preserve"> T</w:t>
      </w:r>
      <w:r w:rsidRPr="004D3463">
        <w:rPr>
          <w:rFonts w:ascii="Times New Roman" w:hAnsi="Times New Roman" w:cs="Times New Roman"/>
          <w:sz w:val="24"/>
          <w:szCs w:val="24"/>
        </w:rPr>
        <w:t>he</w:t>
      </w:r>
      <w:r>
        <w:rPr>
          <w:rFonts w:ascii="Times New Roman" w:hAnsi="Times New Roman" w:cs="Times New Roman"/>
          <w:sz w:val="24"/>
          <w:szCs w:val="24"/>
        </w:rPr>
        <w:t xml:space="preserve"> </w:t>
      </w:r>
      <w:r w:rsidRPr="004D3463">
        <w:rPr>
          <w:rFonts w:ascii="Times New Roman" w:hAnsi="Times New Roman" w:cs="Times New Roman"/>
          <w:sz w:val="24"/>
          <w:szCs w:val="24"/>
        </w:rPr>
        <w:t>way</w:t>
      </w:r>
      <w:r>
        <w:rPr>
          <w:rFonts w:ascii="Times New Roman" w:hAnsi="Times New Roman" w:cs="Times New Roman"/>
          <w:sz w:val="24"/>
          <w:szCs w:val="24"/>
        </w:rPr>
        <w:t xml:space="preserve"> </w:t>
      </w:r>
      <w:r w:rsidRPr="004D3463">
        <w:rPr>
          <w:rFonts w:ascii="Times New Roman" w:hAnsi="Times New Roman" w:cs="Times New Roman"/>
          <w:sz w:val="24"/>
          <w:szCs w:val="24"/>
        </w:rPr>
        <w:t xml:space="preserve">forward. </w:t>
      </w:r>
      <w:r w:rsidRPr="004D3463">
        <w:rPr>
          <w:rFonts w:ascii="Times New Roman" w:hAnsi="Times New Roman" w:cs="Times New Roman"/>
          <w:i/>
          <w:sz w:val="24"/>
          <w:szCs w:val="24"/>
        </w:rPr>
        <w:t>Caritas International Journal of Public Administration and Business Management (CIJPABM).</w:t>
      </w:r>
      <w:r w:rsidRPr="004D3463">
        <w:rPr>
          <w:rFonts w:ascii="Times New Roman" w:hAnsi="Times New Roman" w:cs="Times New Roman"/>
          <w:sz w:val="24"/>
          <w:szCs w:val="24"/>
        </w:rPr>
        <w:t xml:space="preserve"> Volume 2, Issue 1, page 71-78.</w:t>
      </w:r>
    </w:p>
    <w:p w14:paraId="25929D3A" w14:textId="77777777" w:rsidR="0030799E" w:rsidRDefault="0030799E" w:rsidP="00E21490">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Nwambuko, Temple C., </w:t>
      </w:r>
      <w:r w:rsidRPr="00532CDC">
        <w:rPr>
          <w:rFonts w:ascii="Times New Roman" w:hAnsi="Times New Roman" w:cs="Times New Roman"/>
          <w:sz w:val="24"/>
          <w:szCs w:val="24"/>
        </w:rPr>
        <w:t xml:space="preserve">Ugwu, Ernest O., and </w:t>
      </w:r>
      <w:proofErr w:type="spellStart"/>
      <w:r w:rsidRPr="00532CDC">
        <w:rPr>
          <w:rFonts w:ascii="Times New Roman" w:hAnsi="Times New Roman" w:cs="Times New Roman"/>
          <w:sz w:val="24"/>
          <w:szCs w:val="24"/>
        </w:rPr>
        <w:t>Orusaibogha</w:t>
      </w:r>
      <w:proofErr w:type="spellEnd"/>
      <w:r w:rsidRPr="00532CDC">
        <w:rPr>
          <w:rFonts w:ascii="Times New Roman" w:hAnsi="Times New Roman" w:cs="Times New Roman"/>
          <w:sz w:val="24"/>
          <w:szCs w:val="24"/>
        </w:rPr>
        <w:t xml:space="preserve">, </w:t>
      </w:r>
      <w:proofErr w:type="spellStart"/>
      <w:r w:rsidRPr="00532CDC">
        <w:rPr>
          <w:rFonts w:ascii="Times New Roman" w:hAnsi="Times New Roman" w:cs="Times New Roman"/>
          <w:sz w:val="24"/>
          <w:szCs w:val="24"/>
        </w:rPr>
        <w:t>Ebikedoumene</w:t>
      </w:r>
      <w:proofErr w:type="spellEnd"/>
      <w:r w:rsidRPr="00532CDC">
        <w:rPr>
          <w:rFonts w:ascii="Times New Roman" w:hAnsi="Times New Roman" w:cs="Times New Roman"/>
          <w:sz w:val="24"/>
          <w:szCs w:val="24"/>
        </w:rPr>
        <w:t xml:space="preserve"> N. (2025).</w:t>
      </w:r>
      <w:r>
        <w:t xml:space="preserve"> </w:t>
      </w:r>
      <w:r>
        <w:rPr>
          <w:rFonts w:ascii="Times New Roman" w:hAnsi="Times New Roman" w:cs="Times New Roman"/>
          <w:sz w:val="24"/>
          <w:szCs w:val="24"/>
        </w:rPr>
        <w:t>I</w:t>
      </w:r>
      <w:r w:rsidRPr="0030799E">
        <w:rPr>
          <w:rFonts w:ascii="Times New Roman" w:hAnsi="Times New Roman" w:cs="Times New Roman"/>
          <w:sz w:val="24"/>
          <w:szCs w:val="24"/>
        </w:rPr>
        <w:t>mpact of remote work and hybrid work arrangements on employee productivity in se</w:t>
      </w:r>
      <w:r>
        <w:rPr>
          <w:rFonts w:ascii="Times New Roman" w:hAnsi="Times New Roman" w:cs="Times New Roman"/>
          <w:sz w:val="24"/>
          <w:szCs w:val="24"/>
        </w:rPr>
        <w:t xml:space="preserve">lected public organizations in Nigeria. </w:t>
      </w:r>
      <w:r w:rsidRPr="00532CDC">
        <w:rPr>
          <w:rFonts w:ascii="Times New Roman" w:hAnsi="Times New Roman" w:cs="Times New Roman"/>
          <w:i/>
          <w:sz w:val="24"/>
          <w:szCs w:val="24"/>
        </w:rPr>
        <w:t>International Journal for Innovative Research in Multidisciplinary Field.</w:t>
      </w:r>
      <w:r>
        <w:t xml:space="preserve"> </w:t>
      </w:r>
      <w:r w:rsidRPr="00532CDC">
        <w:rPr>
          <w:rFonts w:ascii="Times New Roman" w:hAnsi="Times New Roman" w:cs="Times New Roman"/>
          <w:sz w:val="24"/>
          <w:szCs w:val="24"/>
        </w:rPr>
        <w:t>Volume - 11, Issue – 10, page 6-17.</w:t>
      </w:r>
    </w:p>
    <w:p w14:paraId="04A67AF6" w14:textId="77777777" w:rsidR="00C37A0D" w:rsidRPr="00F4353F" w:rsidRDefault="004344EE" w:rsidP="00E21490">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Nwambuko, Temple C</w:t>
      </w:r>
      <w:r w:rsidRPr="004344EE">
        <w:rPr>
          <w:rFonts w:ascii="Times New Roman" w:hAnsi="Times New Roman" w:cs="Times New Roman"/>
          <w:sz w:val="24"/>
          <w:szCs w:val="24"/>
        </w:rPr>
        <w:t>., Chigozie, Joy N., Agu, Nnenna S.</w:t>
      </w:r>
      <w:r>
        <w:rPr>
          <w:rFonts w:ascii="Times New Roman" w:hAnsi="Times New Roman" w:cs="Times New Roman"/>
          <w:sz w:val="24"/>
          <w:szCs w:val="24"/>
        </w:rPr>
        <w:t xml:space="preserve"> (2025). Workplace i</w:t>
      </w:r>
      <w:r w:rsidRPr="004344EE">
        <w:rPr>
          <w:rFonts w:ascii="Times New Roman" w:hAnsi="Times New Roman" w:cs="Times New Roman"/>
          <w:sz w:val="24"/>
          <w:szCs w:val="24"/>
        </w:rPr>
        <w:t xml:space="preserve">ncivility as </w:t>
      </w:r>
      <w:r>
        <w:rPr>
          <w:rFonts w:ascii="Times New Roman" w:hAnsi="Times New Roman" w:cs="Times New Roman"/>
          <w:sz w:val="24"/>
          <w:szCs w:val="24"/>
        </w:rPr>
        <w:t>a pernicious effect on employee productivity in p</w:t>
      </w:r>
      <w:r w:rsidRPr="004344EE">
        <w:rPr>
          <w:rFonts w:ascii="Times New Roman" w:hAnsi="Times New Roman" w:cs="Times New Roman"/>
          <w:sz w:val="24"/>
          <w:szCs w:val="24"/>
        </w:rPr>
        <w:t>u</w:t>
      </w:r>
      <w:r>
        <w:rPr>
          <w:rFonts w:ascii="Times New Roman" w:hAnsi="Times New Roman" w:cs="Times New Roman"/>
          <w:sz w:val="24"/>
          <w:szCs w:val="24"/>
        </w:rPr>
        <w:t>blic sector organizations in Nigeria: A s</w:t>
      </w:r>
      <w:r w:rsidRPr="004344EE">
        <w:rPr>
          <w:rFonts w:ascii="Times New Roman" w:hAnsi="Times New Roman" w:cs="Times New Roman"/>
          <w:sz w:val="24"/>
          <w:szCs w:val="24"/>
        </w:rPr>
        <w:t xml:space="preserve">tudy of ESUT Teaching Hospital, Enugu. </w:t>
      </w:r>
      <w:r>
        <w:rPr>
          <w:rFonts w:ascii="Times New Roman" w:hAnsi="Times New Roman" w:cs="Times New Roman"/>
          <w:i/>
          <w:sz w:val="24"/>
          <w:szCs w:val="24"/>
        </w:rPr>
        <w:t>Nigerian Journal o</w:t>
      </w:r>
      <w:r w:rsidRPr="004344EE">
        <w:rPr>
          <w:rFonts w:ascii="Times New Roman" w:hAnsi="Times New Roman" w:cs="Times New Roman"/>
          <w:i/>
          <w:sz w:val="24"/>
          <w:szCs w:val="24"/>
        </w:rPr>
        <w:t>f Social Psychology</w:t>
      </w:r>
      <w:r w:rsidRPr="004344EE">
        <w:rPr>
          <w:rFonts w:ascii="Times New Roman" w:hAnsi="Times New Roman" w:cs="Times New Roman"/>
          <w:sz w:val="24"/>
          <w:szCs w:val="24"/>
        </w:rPr>
        <w:t>. Volume 8, Issue 2, page 416-434.</w:t>
      </w:r>
    </w:p>
    <w:p w14:paraId="01C7EE63"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OECD (2023) </w:t>
      </w:r>
      <w:r w:rsidRPr="00F4353F">
        <w:rPr>
          <w:rStyle w:val="Emphasis"/>
          <w:rFonts w:ascii="Times New Roman" w:hAnsi="Times New Roman" w:cs="Times New Roman"/>
          <w:sz w:val="24"/>
          <w:szCs w:val="24"/>
        </w:rPr>
        <w:t>Greening Public Sector Management: Policy Tools and Practices.</w:t>
      </w:r>
      <w:r w:rsidRPr="00F4353F">
        <w:rPr>
          <w:rFonts w:ascii="Times New Roman" w:hAnsi="Times New Roman" w:cs="Times New Roman"/>
          <w:sz w:val="24"/>
          <w:szCs w:val="24"/>
        </w:rPr>
        <w:t xml:space="preserve"> Paris: Organisation for Economic Co-operation and Development</w:t>
      </w:r>
    </w:p>
    <w:p w14:paraId="6E10F639"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Ogunyemi, O. O., &amp; Aluko, O. A. (2020). Institutional readiness for green HRM in developing economies: Challenges and opportunities. </w:t>
      </w:r>
      <w:r w:rsidRPr="00F4353F">
        <w:rPr>
          <w:rStyle w:val="Emphasis"/>
          <w:rFonts w:ascii="Times New Roman" w:eastAsiaTheme="majorEastAsia" w:hAnsi="Times New Roman" w:cs="Times New Roman"/>
          <w:sz w:val="24"/>
          <w:szCs w:val="24"/>
        </w:rPr>
        <w:t>African Journal of Management, 6</w:t>
      </w:r>
      <w:r w:rsidRPr="00F4353F">
        <w:rPr>
          <w:rFonts w:ascii="Times New Roman" w:hAnsi="Times New Roman" w:cs="Times New Roman"/>
          <w:sz w:val="24"/>
          <w:szCs w:val="24"/>
        </w:rPr>
        <w:t>(3), 210–225. https://doi.org/10.1080/23322373.2020.1797719</w:t>
      </w:r>
    </w:p>
    <w:p w14:paraId="1BC2D3A2"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Ojo, L., &amp; Mohammed, A. (2023). Adoption of green HRM practices in African public sector organisations: Challenges and prospects. </w:t>
      </w:r>
      <w:r w:rsidRPr="00F4353F">
        <w:rPr>
          <w:rStyle w:val="Emphasis"/>
          <w:rFonts w:ascii="Times New Roman" w:eastAsiaTheme="majorEastAsia" w:hAnsi="Times New Roman" w:cs="Times New Roman"/>
          <w:sz w:val="24"/>
          <w:szCs w:val="24"/>
        </w:rPr>
        <w:t>African Journal of Management Studies, 9</w:t>
      </w:r>
      <w:r w:rsidRPr="00F4353F">
        <w:rPr>
          <w:rFonts w:ascii="Times New Roman" w:hAnsi="Times New Roman" w:cs="Times New Roman"/>
          <w:sz w:val="24"/>
          <w:szCs w:val="24"/>
        </w:rPr>
        <w:t>(2), 45–59.</w:t>
      </w:r>
    </w:p>
    <w:p w14:paraId="1C3DC00D" w14:textId="77777777" w:rsidR="00331D8C" w:rsidRDefault="00BD4219" w:rsidP="00E21490">
      <w:pPr>
        <w:pStyle w:val="NoSpacing"/>
        <w:numPr>
          <w:ilvl w:val="0"/>
          <w:numId w:val="24"/>
        </w:numPr>
        <w:jc w:val="both"/>
        <w:rPr>
          <w:rFonts w:ascii="Times New Roman" w:hAnsi="Times New Roman" w:cs="Times New Roman"/>
          <w:sz w:val="24"/>
          <w:szCs w:val="24"/>
        </w:rPr>
      </w:pPr>
      <w:proofErr w:type="spellStart"/>
      <w:r w:rsidRPr="00F4353F">
        <w:rPr>
          <w:rFonts w:ascii="Times New Roman" w:hAnsi="Times New Roman" w:cs="Times New Roman"/>
          <w:sz w:val="24"/>
          <w:szCs w:val="24"/>
        </w:rPr>
        <w:t>Paillé</w:t>
      </w:r>
      <w:proofErr w:type="spellEnd"/>
      <w:r w:rsidRPr="00F4353F">
        <w:rPr>
          <w:rFonts w:ascii="Times New Roman" w:hAnsi="Times New Roman" w:cs="Times New Roman"/>
          <w:sz w:val="24"/>
          <w:szCs w:val="24"/>
        </w:rPr>
        <w:t xml:space="preserve">, P., Chen, Y., </w:t>
      </w:r>
      <w:proofErr w:type="spellStart"/>
      <w:r w:rsidRPr="00F4353F">
        <w:rPr>
          <w:rFonts w:ascii="Times New Roman" w:hAnsi="Times New Roman" w:cs="Times New Roman"/>
          <w:sz w:val="24"/>
          <w:szCs w:val="24"/>
        </w:rPr>
        <w:t>Boiral</w:t>
      </w:r>
      <w:proofErr w:type="spellEnd"/>
      <w:r w:rsidRPr="00F4353F">
        <w:rPr>
          <w:rFonts w:ascii="Times New Roman" w:hAnsi="Times New Roman" w:cs="Times New Roman"/>
          <w:sz w:val="24"/>
          <w:szCs w:val="24"/>
        </w:rPr>
        <w:t xml:space="preserve">, O. and Jin, J. (2014) ‘The impact of human resource management on environmental performance: An application of the AMO model’, </w:t>
      </w:r>
      <w:r w:rsidRPr="00F4353F">
        <w:rPr>
          <w:rStyle w:val="Emphasis"/>
          <w:rFonts w:ascii="Times New Roman" w:hAnsi="Times New Roman" w:cs="Times New Roman"/>
          <w:sz w:val="24"/>
          <w:szCs w:val="24"/>
        </w:rPr>
        <w:t>Industrial and Commercial Training</w:t>
      </w:r>
      <w:r w:rsidRPr="00F4353F">
        <w:rPr>
          <w:rFonts w:ascii="Times New Roman" w:hAnsi="Times New Roman" w:cs="Times New Roman"/>
          <w:sz w:val="24"/>
          <w:szCs w:val="24"/>
        </w:rPr>
        <w:t>, 46(7), pp. 419–425.</w:t>
      </w:r>
    </w:p>
    <w:p w14:paraId="20C4D300" w14:textId="08D0C6F4" w:rsidR="00331D8C" w:rsidRPr="00246DC0" w:rsidRDefault="00331D8C" w:rsidP="00246DC0">
      <w:pPr>
        <w:pStyle w:val="NoSpacing"/>
        <w:numPr>
          <w:ilvl w:val="0"/>
          <w:numId w:val="24"/>
        </w:numPr>
        <w:jc w:val="both"/>
        <w:rPr>
          <w:rFonts w:ascii="Times New Roman" w:hAnsi="Times New Roman" w:cs="Times New Roman"/>
          <w:sz w:val="24"/>
          <w:szCs w:val="24"/>
        </w:rPr>
      </w:pPr>
      <w:proofErr w:type="spellStart"/>
      <w:r w:rsidRPr="00331D8C">
        <w:rPr>
          <w:rFonts w:ascii="Times New Roman" w:hAnsi="Times New Roman" w:cs="Times New Roman"/>
          <w:sz w:val="24"/>
          <w:szCs w:val="24"/>
        </w:rPr>
        <w:lastRenderedPageBreak/>
        <w:t>Paillé</w:t>
      </w:r>
      <w:proofErr w:type="spellEnd"/>
      <w:r w:rsidRPr="00331D8C">
        <w:rPr>
          <w:rFonts w:ascii="Times New Roman" w:hAnsi="Times New Roman" w:cs="Times New Roman"/>
          <w:sz w:val="24"/>
          <w:szCs w:val="24"/>
        </w:rPr>
        <w:t xml:space="preserve">, P., </w:t>
      </w:r>
      <w:proofErr w:type="spellStart"/>
      <w:r w:rsidRPr="00331D8C">
        <w:rPr>
          <w:rFonts w:ascii="Times New Roman" w:hAnsi="Times New Roman" w:cs="Times New Roman"/>
          <w:sz w:val="24"/>
          <w:szCs w:val="24"/>
        </w:rPr>
        <w:t>Valéau</w:t>
      </w:r>
      <w:proofErr w:type="spellEnd"/>
      <w:r w:rsidRPr="00331D8C">
        <w:rPr>
          <w:rFonts w:ascii="Times New Roman" w:hAnsi="Times New Roman" w:cs="Times New Roman"/>
          <w:sz w:val="24"/>
          <w:szCs w:val="24"/>
        </w:rPr>
        <w:t xml:space="preserve">, P., &amp; Renwick, D. W. (2020). Leveraging green human resource practices to achieve environmental sustainability. </w:t>
      </w:r>
      <w:r w:rsidRPr="00331D8C">
        <w:rPr>
          <w:rFonts w:ascii="Times New Roman" w:hAnsi="Times New Roman" w:cs="Times New Roman"/>
          <w:i/>
          <w:sz w:val="24"/>
          <w:szCs w:val="24"/>
        </w:rPr>
        <w:t>Journal of cleaner production,</w:t>
      </w:r>
      <w:r w:rsidRPr="00331D8C">
        <w:rPr>
          <w:rFonts w:ascii="Times New Roman" w:hAnsi="Times New Roman" w:cs="Times New Roman"/>
          <w:sz w:val="24"/>
          <w:szCs w:val="24"/>
        </w:rPr>
        <w:t xml:space="preserve"> 260, 121137.</w:t>
      </w:r>
      <w:hyperlink r:id="rId12" w:history="1">
        <w:r w:rsidR="00246DC0" w:rsidRPr="00D27D2A">
          <w:rPr>
            <w:rStyle w:val="Hyperlink"/>
            <w:rFonts w:ascii="Times New Roman" w:hAnsi="Times New Roman" w:cs="Times New Roman"/>
            <w:sz w:val="24"/>
            <w:szCs w:val="24"/>
          </w:rPr>
          <w:t>https://www.sciencedirect.com/science/article/pii/S0959652620311847</w:t>
        </w:r>
      </w:hyperlink>
      <w:r w:rsidRPr="00246DC0">
        <w:rPr>
          <w:rFonts w:ascii="Times New Roman" w:hAnsi="Times New Roman" w:cs="Times New Roman"/>
          <w:sz w:val="24"/>
          <w:szCs w:val="24"/>
        </w:rPr>
        <w:t xml:space="preserve"> </w:t>
      </w:r>
    </w:p>
    <w:p w14:paraId="39DF7560" w14:textId="77777777" w:rsidR="00F4353F" w:rsidRPr="00F4353F" w:rsidRDefault="00F4353F"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Patton, M.Q. (2015) </w:t>
      </w:r>
      <w:r w:rsidRPr="00F4353F">
        <w:rPr>
          <w:rStyle w:val="Emphasis"/>
          <w:rFonts w:ascii="Times New Roman" w:hAnsi="Times New Roman" w:cs="Times New Roman"/>
          <w:sz w:val="24"/>
          <w:szCs w:val="24"/>
        </w:rPr>
        <w:t>Qualitative Research &amp; Evaluation Methods.</w:t>
      </w:r>
      <w:r w:rsidRPr="00F4353F">
        <w:rPr>
          <w:rFonts w:ascii="Times New Roman" w:hAnsi="Times New Roman" w:cs="Times New Roman"/>
          <w:sz w:val="24"/>
          <w:szCs w:val="24"/>
        </w:rPr>
        <w:t xml:space="preserve"> 4th </w:t>
      </w:r>
      <w:proofErr w:type="spellStart"/>
      <w:r w:rsidRPr="00F4353F">
        <w:rPr>
          <w:rFonts w:ascii="Times New Roman" w:hAnsi="Times New Roman" w:cs="Times New Roman"/>
          <w:sz w:val="24"/>
          <w:szCs w:val="24"/>
        </w:rPr>
        <w:t>edn</w:t>
      </w:r>
      <w:proofErr w:type="spellEnd"/>
      <w:r w:rsidRPr="00F4353F">
        <w:rPr>
          <w:rFonts w:ascii="Times New Roman" w:hAnsi="Times New Roman" w:cs="Times New Roman"/>
          <w:sz w:val="24"/>
          <w:szCs w:val="24"/>
        </w:rPr>
        <w:t>. Thousand Oaks, CA: Sage.</w:t>
      </w:r>
    </w:p>
    <w:p w14:paraId="4CA6BD90"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Peters, B.G. and Pierre, J. (2012) </w:t>
      </w:r>
      <w:r w:rsidRPr="00F4353F">
        <w:rPr>
          <w:rStyle w:val="Emphasis"/>
          <w:rFonts w:ascii="Times New Roman" w:hAnsi="Times New Roman" w:cs="Times New Roman"/>
          <w:sz w:val="24"/>
          <w:szCs w:val="24"/>
        </w:rPr>
        <w:t>The SAGE Handbook of Public Administration.</w:t>
      </w:r>
      <w:r w:rsidRPr="00F4353F">
        <w:rPr>
          <w:rFonts w:ascii="Times New Roman" w:hAnsi="Times New Roman" w:cs="Times New Roman"/>
          <w:sz w:val="24"/>
          <w:szCs w:val="24"/>
        </w:rPr>
        <w:t xml:space="preserve"> 2nd ed. London: SAGE Publications.</w:t>
      </w:r>
    </w:p>
    <w:p w14:paraId="33C32769"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Pham, N. T., Tučková, Z., &amp; Phan, Q. P. T. (2020). Greening human resource management and employee commitment towards the environment: An interaction model. </w:t>
      </w:r>
      <w:r w:rsidRPr="00F4353F">
        <w:rPr>
          <w:rStyle w:val="Emphasis"/>
          <w:rFonts w:ascii="Times New Roman" w:eastAsiaTheme="majorEastAsia" w:hAnsi="Times New Roman" w:cs="Times New Roman"/>
          <w:sz w:val="24"/>
          <w:szCs w:val="24"/>
        </w:rPr>
        <w:t>Journal of Environmental Management, 260</w:t>
      </w:r>
      <w:r w:rsidRPr="00F4353F">
        <w:rPr>
          <w:rFonts w:ascii="Times New Roman" w:hAnsi="Times New Roman" w:cs="Times New Roman"/>
          <w:sz w:val="24"/>
          <w:szCs w:val="24"/>
        </w:rPr>
        <w:t xml:space="preserve">, 110–125. </w:t>
      </w:r>
      <w:hyperlink r:id="rId13" w:history="1">
        <w:r w:rsidR="00BD4219" w:rsidRPr="00F4353F">
          <w:rPr>
            <w:rStyle w:val="Hyperlink"/>
            <w:rFonts w:ascii="Times New Roman" w:hAnsi="Times New Roman" w:cs="Times New Roman"/>
            <w:sz w:val="24"/>
            <w:szCs w:val="24"/>
          </w:rPr>
          <w:t>https://doi.org/10.1016/j.jenvman.2019.110140</w:t>
        </w:r>
      </w:hyperlink>
    </w:p>
    <w:p w14:paraId="60CBC8C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Qassim, A.A. (2024) </w:t>
      </w:r>
      <w:r w:rsidRPr="00F4353F">
        <w:rPr>
          <w:rStyle w:val="Emphasis"/>
          <w:rFonts w:ascii="Times New Roman" w:hAnsi="Times New Roman" w:cs="Times New Roman"/>
          <w:sz w:val="24"/>
          <w:szCs w:val="24"/>
        </w:rPr>
        <w:t>Exploring the Influence of GHRM on Pro-Environmental Behaviours in Egyptian Hospitals</w:t>
      </w:r>
      <w:r w:rsidRPr="00F4353F">
        <w:rPr>
          <w:rFonts w:ascii="Times New Roman" w:hAnsi="Times New Roman" w:cs="Times New Roman"/>
          <w:sz w:val="24"/>
          <w:szCs w:val="24"/>
        </w:rPr>
        <w:t xml:space="preserve"> (preprint).</w:t>
      </w:r>
    </w:p>
    <w:p w14:paraId="04E247C6"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Renwick, D. W. S., Redman, T., &amp; Maguire, S. (2013). Green human resource management: A review and research agenda. </w:t>
      </w:r>
      <w:r w:rsidRPr="00F4353F">
        <w:rPr>
          <w:rStyle w:val="Emphasis"/>
          <w:rFonts w:ascii="Times New Roman" w:eastAsiaTheme="majorEastAsia" w:hAnsi="Times New Roman" w:cs="Times New Roman"/>
          <w:sz w:val="24"/>
          <w:szCs w:val="24"/>
        </w:rPr>
        <w:t>International Journal of Management Reviews, 15</w:t>
      </w:r>
      <w:r w:rsidRPr="00F4353F">
        <w:rPr>
          <w:rFonts w:ascii="Times New Roman" w:hAnsi="Times New Roman" w:cs="Times New Roman"/>
          <w:sz w:val="24"/>
          <w:szCs w:val="24"/>
        </w:rPr>
        <w:t xml:space="preserve">(1), 1–14. </w:t>
      </w:r>
      <w:hyperlink r:id="rId14" w:history="1">
        <w:r w:rsidR="00BD4219" w:rsidRPr="00F4353F">
          <w:rPr>
            <w:rStyle w:val="Hyperlink"/>
            <w:rFonts w:ascii="Times New Roman" w:hAnsi="Times New Roman" w:cs="Times New Roman"/>
            <w:sz w:val="24"/>
            <w:szCs w:val="24"/>
          </w:rPr>
          <w:t>https://doi.org/10.1111/j.1468-2370.2011.00328.x</w:t>
        </w:r>
      </w:hyperlink>
    </w:p>
    <w:p w14:paraId="77E8235C" w14:textId="77777777" w:rsidR="00331D8C"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Renwick, D.W.S., Jabbour, C.J.C., Muller-Camen, M., Redman, T. and Wilkinson, A., 2016. Contemporary developments in Green (environmental) HRM scholarship. </w:t>
      </w:r>
      <w:r w:rsidRPr="00F4353F">
        <w:rPr>
          <w:rStyle w:val="Emphasis"/>
          <w:rFonts w:ascii="Times New Roman" w:hAnsi="Times New Roman" w:cs="Times New Roman"/>
          <w:sz w:val="24"/>
          <w:szCs w:val="24"/>
        </w:rPr>
        <w:t>The International Journal of Human Resource Management</w:t>
      </w:r>
      <w:r w:rsidRPr="00F4353F">
        <w:rPr>
          <w:rFonts w:ascii="Times New Roman" w:hAnsi="Times New Roman" w:cs="Times New Roman"/>
          <w:sz w:val="24"/>
          <w:szCs w:val="24"/>
        </w:rPr>
        <w:t>, 27(2), pp.114–128.</w:t>
      </w:r>
    </w:p>
    <w:p w14:paraId="1029BED0" w14:textId="2011DEF4" w:rsidR="00331D8C" w:rsidRPr="00E21490" w:rsidRDefault="00331D8C" w:rsidP="00E21490">
      <w:pPr>
        <w:pStyle w:val="NoSpacing"/>
        <w:numPr>
          <w:ilvl w:val="0"/>
          <w:numId w:val="24"/>
        </w:numPr>
        <w:jc w:val="both"/>
        <w:rPr>
          <w:rFonts w:ascii="Times New Roman" w:hAnsi="Times New Roman" w:cs="Times New Roman"/>
          <w:sz w:val="24"/>
          <w:szCs w:val="24"/>
        </w:rPr>
      </w:pPr>
      <w:r w:rsidRPr="00331D8C">
        <w:rPr>
          <w:rFonts w:ascii="Times New Roman" w:hAnsi="Times New Roman" w:cs="Times New Roman"/>
          <w:sz w:val="24"/>
          <w:szCs w:val="24"/>
        </w:rPr>
        <w:t xml:space="preserve">Sathasivam, K., Abu Bakar, R., &amp; Che Hashim, R. (2021). Embracing organisational environmental sustainability: Experiences in green human resource management. </w:t>
      </w:r>
      <w:r w:rsidRPr="00331D8C">
        <w:rPr>
          <w:rFonts w:ascii="Times New Roman" w:hAnsi="Times New Roman" w:cs="Times New Roman"/>
          <w:i/>
          <w:sz w:val="24"/>
          <w:szCs w:val="24"/>
        </w:rPr>
        <w:t>Business Strategy &amp; Development</w:t>
      </w:r>
      <w:r w:rsidRPr="00331D8C">
        <w:rPr>
          <w:rFonts w:ascii="Times New Roman" w:hAnsi="Times New Roman" w:cs="Times New Roman"/>
          <w:sz w:val="24"/>
          <w:szCs w:val="24"/>
        </w:rPr>
        <w:t>, 4(2), 123-135.</w:t>
      </w:r>
      <w:r w:rsidR="00E21490">
        <w:rPr>
          <w:rFonts w:ascii="Times New Roman" w:hAnsi="Times New Roman" w:cs="Times New Roman"/>
          <w:sz w:val="24"/>
          <w:szCs w:val="24"/>
        </w:rPr>
        <w:t xml:space="preserve"> </w:t>
      </w:r>
      <w:hyperlink r:id="rId15" w:history="1">
        <w:r w:rsidR="00E21490" w:rsidRPr="00D27D2A">
          <w:rPr>
            <w:rStyle w:val="Hyperlink"/>
            <w:rFonts w:ascii="Times New Roman" w:hAnsi="Times New Roman" w:cs="Times New Roman"/>
            <w:sz w:val="24"/>
            <w:szCs w:val="24"/>
          </w:rPr>
          <w:t>https://onlinelibrary.wiley.com/doi/abs/10.1002/bsd2.133</w:t>
        </w:r>
      </w:hyperlink>
      <w:r w:rsidRPr="00E21490">
        <w:rPr>
          <w:rFonts w:ascii="Times New Roman" w:hAnsi="Times New Roman" w:cs="Times New Roman"/>
          <w:sz w:val="24"/>
          <w:szCs w:val="24"/>
        </w:rPr>
        <w:t xml:space="preserve"> </w:t>
      </w:r>
    </w:p>
    <w:p w14:paraId="2C89DC93"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Tang, G., Chen, Y., Jiang, Y., </w:t>
      </w:r>
      <w:proofErr w:type="spellStart"/>
      <w:r w:rsidRPr="00F4353F">
        <w:rPr>
          <w:rFonts w:ascii="Times New Roman" w:hAnsi="Times New Roman" w:cs="Times New Roman"/>
          <w:sz w:val="24"/>
          <w:szCs w:val="24"/>
        </w:rPr>
        <w:t>Paillé</w:t>
      </w:r>
      <w:proofErr w:type="spellEnd"/>
      <w:r w:rsidRPr="00F4353F">
        <w:rPr>
          <w:rFonts w:ascii="Times New Roman" w:hAnsi="Times New Roman" w:cs="Times New Roman"/>
          <w:sz w:val="24"/>
          <w:szCs w:val="24"/>
        </w:rPr>
        <w:t xml:space="preserve">, P., &amp; Jia, J. (2018). Green human resource management practices: Scale development and validity. </w:t>
      </w:r>
      <w:r w:rsidRPr="00F4353F">
        <w:rPr>
          <w:rStyle w:val="Emphasis"/>
          <w:rFonts w:ascii="Times New Roman" w:eastAsiaTheme="majorEastAsia" w:hAnsi="Times New Roman" w:cs="Times New Roman"/>
          <w:sz w:val="24"/>
          <w:szCs w:val="24"/>
        </w:rPr>
        <w:t>Asia Pacific Journal of Human Resources, 56</w:t>
      </w:r>
      <w:r w:rsidRPr="00F4353F">
        <w:rPr>
          <w:rFonts w:ascii="Times New Roman" w:hAnsi="Times New Roman" w:cs="Times New Roman"/>
          <w:sz w:val="24"/>
          <w:szCs w:val="24"/>
        </w:rPr>
        <w:t>(1), 31–55. https://doi.org/10.1111/1744-7941.12147</w:t>
      </w:r>
    </w:p>
    <w:p w14:paraId="3FDFB0EB" w14:textId="77777777" w:rsidR="00BD4219"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United Nations. (2015). </w:t>
      </w:r>
      <w:r w:rsidRPr="00F4353F">
        <w:rPr>
          <w:rStyle w:val="Emphasis"/>
          <w:rFonts w:ascii="Times New Roman" w:eastAsiaTheme="majorEastAsia" w:hAnsi="Times New Roman" w:cs="Times New Roman"/>
          <w:sz w:val="24"/>
          <w:szCs w:val="24"/>
        </w:rPr>
        <w:t>Transforming our world: The 2030 agenda for sustainable development.</w:t>
      </w:r>
      <w:r w:rsidRPr="00F4353F">
        <w:rPr>
          <w:rFonts w:ascii="Times New Roman" w:hAnsi="Times New Roman" w:cs="Times New Roman"/>
          <w:sz w:val="24"/>
          <w:szCs w:val="24"/>
        </w:rPr>
        <w:t xml:space="preserve"> New York, NY: United Nations.</w:t>
      </w:r>
    </w:p>
    <w:p w14:paraId="0393061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WCED (World Commission on Environment and Development) (1987) </w:t>
      </w:r>
      <w:r w:rsidRPr="00F4353F">
        <w:rPr>
          <w:rStyle w:val="Emphasis"/>
          <w:rFonts w:ascii="Times New Roman" w:hAnsi="Times New Roman" w:cs="Times New Roman"/>
          <w:sz w:val="24"/>
          <w:szCs w:val="24"/>
        </w:rPr>
        <w:t>Our Common Future.</w:t>
      </w:r>
      <w:r w:rsidRPr="00F4353F">
        <w:rPr>
          <w:rFonts w:ascii="Times New Roman" w:hAnsi="Times New Roman" w:cs="Times New Roman"/>
          <w:sz w:val="24"/>
          <w:szCs w:val="24"/>
        </w:rPr>
        <w:t xml:space="preserve"> Oxford: Oxford University Press.</w:t>
      </w:r>
    </w:p>
    <w:p w14:paraId="3A5D1DE2"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World Bank (2024) </w:t>
      </w:r>
      <w:r w:rsidRPr="00F4353F">
        <w:rPr>
          <w:rStyle w:val="Emphasis"/>
          <w:rFonts w:ascii="Times New Roman" w:hAnsi="Times New Roman" w:cs="Times New Roman"/>
          <w:sz w:val="24"/>
          <w:szCs w:val="24"/>
        </w:rPr>
        <w:t>Governance and Green Transition in the MENA Region.</w:t>
      </w:r>
      <w:r w:rsidRPr="00F4353F">
        <w:rPr>
          <w:rFonts w:ascii="Times New Roman" w:hAnsi="Times New Roman" w:cs="Times New Roman"/>
          <w:sz w:val="24"/>
          <w:szCs w:val="24"/>
        </w:rPr>
        <w:t xml:space="preserve"> Washington, D.C.: World Bank Group.</w:t>
      </w:r>
    </w:p>
    <w:p w14:paraId="2150412B" w14:textId="77777777" w:rsidR="0092051F" w:rsidRPr="00882816" w:rsidRDefault="0092051F"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Younis, Z.S. (2025)</w:t>
      </w:r>
      <w:r>
        <w:rPr>
          <w:rFonts w:ascii="Times New Roman" w:hAnsi="Times New Roman" w:cs="Times New Roman"/>
          <w:sz w:val="24"/>
          <w:szCs w:val="24"/>
        </w:rPr>
        <w:t xml:space="preserve">. </w:t>
      </w:r>
      <w:r w:rsidRPr="00882816">
        <w:rPr>
          <w:rStyle w:val="Emphasis"/>
          <w:rFonts w:ascii="Times New Roman" w:hAnsi="Times New Roman" w:cs="Times New Roman"/>
          <w:i w:val="0"/>
          <w:sz w:val="24"/>
          <w:szCs w:val="24"/>
        </w:rPr>
        <w:t>The impact of green human resource management practices on employee performance</w:t>
      </w:r>
      <w:r w:rsidRPr="00882816">
        <w:rPr>
          <w:rFonts w:ascii="Times New Roman" w:hAnsi="Times New Roman" w:cs="Times New Roman"/>
          <w:i/>
          <w:sz w:val="24"/>
          <w:szCs w:val="24"/>
        </w:rPr>
        <w:t>. Journal of Management Studies (Egypt</w:t>
      </w:r>
      <w:r w:rsidRPr="00882816">
        <w:rPr>
          <w:rFonts w:ascii="Times New Roman" w:hAnsi="Times New Roman" w:cs="Times New Roman"/>
          <w:sz w:val="24"/>
          <w:szCs w:val="24"/>
        </w:rPr>
        <w:t>), 12(1), pp.45–60.</w:t>
      </w:r>
    </w:p>
    <w:p w14:paraId="1EE0CED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proofErr w:type="spellStart"/>
      <w:r w:rsidRPr="00F4353F">
        <w:rPr>
          <w:rFonts w:ascii="Times New Roman" w:hAnsi="Times New Roman" w:cs="Times New Roman"/>
          <w:sz w:val="24"/>
          <w:szCs w:val="24"/>
        </w:rPr>
        <w:t>Zoogah</w:t>
      </w:r>
      <w:proofErr w:type="spellEnd"/>
      <w:r w:rsidRPr="00F4353F">
        <w:rPr>
          <w:rFonts w:ascii="Times New Roman" w:hAnsi="Times New Roman" w:cs="Times New Roman"/>
          <w:sz w:val="24"/>
          <w:szCs w:val="24"/>
        </w:rPr>
        <w:t xml:space="preserve">, D.B. (2011) ‘The dynamics of Green HRM </w:t>
      </w:r>
      <w:proofErr w:type="spellStart"/>
      <w:r w:rsidRPr="00F4353F">
        <w:rPr>
          <w:rFonts w:ascii="Times New Roman" w:hAnsi="Times New Roman" w:cs="Times New Roman"/>
          <w:sz w:val="24"/>
          <w:szCs w:val="24"/>
        </w:rPr>
        <w:t>behaviors</w:t>
      </w:r>
      <w:proofErr w:type="spellEnd"/>
      <w:r w:rsidRPr="00F4353F">
        <w:rPr>
          <w:rFonts w:ascii="Times New Roman" w:hAnsi="Times New Roman" w:cs="Times New Roman"/>
          <w:sz w:val="24"/>
          <w:szCs w:val="24"/>
        </w:rPr>
        <w:t xml:space="preserve">: A cognitive social information processing approach’, </w:t>
      </w:r>
      <w:proofErr w:type="spellStart"/>
      <w:r w:rsidRPr="00F4353F">
        <w:rPr>
          <w:rStyle w:val="Emphasis"/>
          <w:rFonts w:ascii="Times New Roman" w:hAnsi="Times New Roman" w:cs="Times New Roman"/>
          <w:sz w:val="24"/>
          <w:szCs w:val="24"/>
        </w:rPr>
        <w:t>Zeitschrift</w:t>
      </w:r>
      <w:proofErr w:type="spellEnd"/>
      <w:r w:rsidRPr="00F4353F">
        <w:rPr>
          <w:rStyle w:val="Emphasis"/>
          <w:rFonts w:ascii="Times New Roman" w:hAnsi="Times New Roman" w:cs="Times New Roman"/>
          <w:sz w:val="24"/>
          <w:szCs w:val="24"/>
        </w:rPr>
        <w:t xml:space="preserve"> für </w:t>
      </w:r>
      <w:proofErr w:type="spellStart"/>
      <w:r w:rsidRPr="00F4353F">
        <w:rPr>
          <w:rStyle w:val="Emphasis"/>
          <w:rFonts w:ascii="Times New Roman" w:hAnsi="Times New Roman" w:cs="Times New Roman"/>
          <w:sz w:val="24"/>
          <w:szCs w:val="24"/>
        </w:rPr>
        <w:t>Personalforschung</w:t>
      </w:r>
      <w:proofErr w:type="spellEnd"/>
      <w:r w:rsidRPr="00F4353F">
        <w:rPr>
          <w:rFonts w:ascii="Times New Roman" w:hAnsi="Times New Roman" w:cs="Times New Roman"/>
          <w:sz w:val="24"/>
          <w:szCs w:val="24"/>
        </w:rPr>
        <w:t>, 25(2), pp. 117–139.</w:t>
      </w:r>
    </w:p>
    <w:p w14:paraId="316BB4C5" w14:textId="77777777" w:rsidR="00331D8C" w:rsidRDefault="00331D8C" w:rsidP="00331D8C">
      <w:pPr>
        <w:rPr>
          <w:sz w:val="20"/>
          <w:szCs w:val="20"/>
        </w:rPr>
      </w:pPr>
    </w:p>
    <w:p w14:paraId="0C02B8EB" w14:textId="77777777" w:rsidR="009C496C" w:rsidRPr="00E87239" w:rsidRDefault="009C496C" w:rsidP="00E87239">
      <w:pPr>
        <w:pStyle w:val="NoSpacing"/>
        <w:jc w:val="both"/>
        <w:rPr>
          <w:rFonts w:ascii="Times New Roman" w:hAnsi="Times New Roman" w:cs="Times New Roman"/>
          <w:sz w:val="24"/>
          <w:szCs w:val="24"/>
        </w:rPr>
      </w:pPr>
    </w:p>
    <w:sectPr w:rsidR="009C496C" w:rsidRPr="00E87239" w:rsidSect="003A282F">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F011" w14:textId="77777777" w:rsidR="00941BBF" w:rsidRDefault="00941BBF" w:rsidP="002A6D6F">
      <w:pPr>
        <w:spacing w:after="0" w:line="240" w:lineRule="auto"/>
      </w:pPr>
      <w:r>
        <w:separator/>
      </w:r>
    </w:p>
  </w:endnote>
  <w:endnote w:type="continuationSeparator" w:id="0">
    <w:p w14:paraId="7462411F" w14:textId="77777777" w:rsidR="00941BBF" w:rsidRDefault="00941BBF" w:rsidP="002A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297"/>
      <w:docPartObj>
        <w:docPartGallery w:val="Page Numbers (Bottom of Page)"/>
        <w:docPartUnique/>
      </w:docPartObj>
    </w:sdtPr>
    <w:sdtContent>
      <w:p w14:paraId="7063C25B" w14:textId="77777777" w:rsidR="00787B5F" w:rsidRDefault="00BB6FB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E24074F" w14:textId="77777777" w:rsidR="00787B5F" w:rsidRDefault="00787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C9DC" w14:textId="77777777" w:rsidR="00941BBF" w:rsidRDefault="00941BBF" w:rsidP="002A6D6F">
      <w:pPr>
        <w:spacing w:after="0" w:line="240" w:lineRule="auto"/>
      </w:pPr>
      <w:r>
        <w:separator/>
      </w:r>
    </w:p>
  </w:footnote>
  <w:footnote w:type="continuationSeparator" w:id="0">
    <w:p w14:paraId="76597ED3" w14:textId="77777777" w:rsidR="00941BBF" w:rsidRDefault="00941BBF" w:rsidP="002A6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E96E" w14:textId="77777777" w:rsidR="00787B5F" w:rsidRDefault="00000000">
    <w:pPr>
      <w:pStyle w:val="Header"/>
    </w:pPr>
    <w:r>
      <w:rPr>
        <w:noProof/>
      </w:rPr>
      <w:pict w14:anchorId="01095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7400" w14:textId="77777777" w:rsidR="00787B5F" w:rsidRDefault="00000000">
    <w:pPr>
      <w:pStyle w:val="Header"/>
    </w:pPr>
    <w:r>
      <w:rPr>
        <w:noProof/>
      </w:rPr>
      <w:pict w14:anchorId="5EFBE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8B42" w14:textId="77777777" w:rsidR="00787B5F" w:rsidRDefault="00000000">
    <w:pPr>
      <w:pStyle w:val="Header"/>
    </w:pPr>
    <w:r>
      <w:rPr>
        <w:noProof/>
      </w:rPr>
      <w:pict w14:anchorId="01A6D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05C"/>
    <w:multiLevelType w:val="multilevel"/>
    <w:tmpl w:val="6902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B7176"/>
    <w:multiLevelType w:val="multilevel"/>
    <w:tmpl w:val="05A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188F"/>
    <w:multiLevelType w:val="multilevel"/>
    <w:tmpl w:val="DAD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627F"/>
    <w:multiLevelType w:val="multilevel"/>
    <w:tmpl w:val="C772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61C7E"/>
    <w:multiLevelType w:val="hybridMultilevel"/>
    <w:tmpl w:val="7654087A"/>
    <w:lvl w:ilvl="0" w:tplc="7D5CC01C">
      <w:start w:val="6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E10D8"/>
    <w:multiLevelType w:val="multilevel"/>
    <w:tmpl w:val="A3FA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33EEF"/>
    <w:multiLevelType w:val="multilevel"/>
    <w:tmpl w:val="435E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D1C35"/>
    <w:multiLevelType w:val="multilevel"/>
    <w:tmpl w:val="94A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57488"/>
    <w:multiLevelType w:val="multilevel"/>
    <w:tmpl w:val="C28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E4373"/>
    <w:multiLevelType w:val="multilevel"/>
    <w:tmpl w:val="9F04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E3EDF"/>
    <w:multiLevelType w:val="multilevel"/>
    <w:tmpl w:val="715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892DC9"/>
    <w:multiLevelType w:val="hybridMultilevel"/>
    <w:tmpl w:val="864A3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75230"/>
    <w:multiLevelType w:val="multilevel"/>
    <w:tmpl w:val="892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B607D"/>
    <w:multiLevelType w:val="multilevel"/>
    <w:tmpl w:val="D40C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63E0E"/>
    <w:multiLevelType w:val="multilevel"/>
    <w:tmpl w:val="A1C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57963"/>
    <w:multiLevelType w:val="multilevel"/>
    <w:tmpl w:val="430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12DDA"/>
    <w:multiLevelType w:val="multilevel"/>
    <w:tmpl w:val="99BA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547B0"/>
    <w:multiLevelType w:val="multilevel"/>
    <w:tmpl w:val="EFB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C6A71"/>
    <w:multiLevelType w:val="multilevel"/>
    <w:tmpl w:val="74C8A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782350"/>
    <w:multiLevelType w:val="multilevel"/>
    <w:tmpl w:val="D704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702FB4"/>
    <w:multiLevelType w:val="multilevel"/>
    <w:tmpl w:val="B27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328BF"/>
    <w:multiLevelType w:val="multilevel"/>
    <w:tmpl w:val="A8FC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F0357B"/>
    <w:multiLevelType w:val="multilevel"/>
    <w:tmpl w:val="EEA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0A4E80"/>
    <w:multiLevelType w:val="multilevel"/>
    <w:tmpl w:val="B74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810010">
    <w:abstractNumId w:val="10"/>
  </w:num>
  <w:num w:numId="2" w16cid:durableId="504320910">
    <w:abstractNumId w:val="5"/>
  </w:num>
  <w:num w:numId="3" w16cid:durableId="1130395349">
    <w:abstractNumId w:val="6"/>
  </w:num>
  <w:num w:numId="4" w16cid:durableId="1957708654">
    <w:abstractNumId w:val="22"/>
  </w:num>
  <w:num w:numId="5" w16cid:durableId="1179656613">
    <w:abstractNumId w:val="3"/>
  </w:num>
  <w:num w:numId="6" w16cid:durableId="1379672331">
    <w:abstractNumId w:val="12"/>
  </w:num>
  <w:num w:numId="7" w16cid:durableId="1656954816">
    <w:abstractNumId w:val="17"/>
  </w:num>
  <w:num w:numId="8" w16cid:durableId="2069523877">
    <w:abstractNumId w:val="20"/>
  </w:num>
  <w:num w:numId="9" w16cid:durableId="255671406">
    <w:abstractNumId w:val="16"/>
  </w:num>
  <w:num w:numId="10" w16cid:durableId="175577705">
    <w:abstractNumId w:val="9"/>
  </w:num>
  <w:num w:numId="11" w16cid:durableId="1542474333">
    <w:abstractNumId w:val="23"/>
  </w:num>
  <w:num w:numId="12" w16cid:durableId="1470904217">
    <w:abstractNumId w:val="2"/>
  </w:num>
  <w:num w:numId="13" w16cid:durableId="181356087">
    <w:abstractNumId w:val="21"/>
  </w:num>
  <w:num w:numId="14" w16cid:durableId="957951902">
    <w:abstractNumId w:val="13"/>
  </w:num>
  <w:num w:numId="15" w16cid:durableId="1483960898">
    <w:abstractNumId w:val="8"/>
  </w:num>
  <w:num w:numId="16" w16cid:durableId="1440832378">
    <w:abstractNumId w:val="18"/>
  </w:num>
  <w:num w:numId="17" w16cid:durableId="1520119648">
    <w:abstractNumId w:val="14"/>
  </w:num>
  <w:num w:numId="18" w16cid:durableId="183449254">
    <w:abstractNumId w:val="0"/>
  </w:num>
  <w:num w:numId="19" w16cid:durableId="7215094">
    <w:abstractNumId w:val="7"/>
  </w:num>
  <w:num w:numId="20" w16cid:durableId="661855630">
    <w:abstractNumId w:val="15"/>
  </w:num>
  <w:num w:numId="21" w16cid:durableId="993218831">
    <w:abstractNumId w:val="19"/>
  </w:num>
  <w:num w:numId="22" w16cid:durableId="963732583">
    <w:abstractNumId w:val="1"/>
  </w:num>
  <w:num w:numId="23" w16cid:durableId="863597996">
    <w:abstractNumId w:val="4"/>
  </w:num>
  <w:num w:numId="24" w16cid:durableId="1464732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Q0NDc1tzQxsDQ0NDJW0lEKTi0uzszPAykwrAUAn7d+oCwAAAA="/>
  </w:docVars>
  <w:rsids>
    <w:rsidRoot w:val="003874E8"/>
    <w:rsid w:val="00003DC6"/>
    <w:rsid w:val="00006090"/>
    <w:rsid w:val="00013D5E"/>
    <w:rsid w:val="0003231D"/>
    <w:rsid w:val="00057B18"/>
    <w:rsid w:val="000B3FE3"/>
    <w:rsid w:val="000D75BD"/>
    <w:rsid w:val="0012420F"/>
    <w:rsid w:val="00136A65"/>
    <w:rsid w:val="00170488"/>
    <w:rsid w:val="00182B04"/>
    <w:rsid w:val="00186809"/>
    <w:rsid w:val="00196B93"/>
    <w:rsid w:val="001D0891"/>
    <w:rsid w:val="00220EED"/>
    <w:rsid w:val="002262E0"/>
    <w:rsid w:val="00246DC0"/>
    <w:rsid w:val="00273516"/>
    <w:rsid w:val="00283E30"/>
    <w:rsid w:val="002A6D6F"/>
    <w:rsid w:val="002D6CA4"/>
    <w:rsid w:val="003036E9"/>
    <w:rsid w:val="00305AD1"/>
    <w:rsid w:val="0030799E"/>
    <w:rsid w:val="003245C1"/>
    <w:rsid w:val="003319CE"/>
    <w:rsid w:val="00331D8C"/>
    <w:rsid w:val="00343D06"/>
    <w:rsid w:val="00367380"/>
    <w:rsid w:val="003761F1"/>
    <w:rsid w:val="003874E8"/>
    <w:rsid w:val="003A282F"/>
    <w:rsid w:val="003C19D4"/>
    <w:rsid w:val="003F3C4A"/>
    <w:rsid w:val="004344EE"/>
    <w:rsid w:val="0049460A"/>
    <w:rsid w:val="00495CD9"/>
    <w:rsid w:val="004B092A"/>
    <w:rsid w:val="004C3080"/>
    <w:rsid w:val="004D0C84"/>
    <w:rsid w:val="004D3463"/>
    <w:rsid w:val="004E3A4C"/>
    <w:rsid w:val="004F0272"/>
    <w:rsid w:val="004F51EF"/>
    <w:rsid w:val="00522996"/>
    <w:rsid w:val="00526BB1"/>
    <w:rsid w:val="00532CDC"/>
    <w:rsid w:val="005350A0"/>
    <w:rsid w:val="00585822"/>
    <w:rsid w:val="005A38A7"/>
    <w:rsid w:val="005C4DF6"/>
    <w:rsid w:val="005D5602"/>
    <w:rsid w:val="005D619F"/>
    <w:rsid w:val="005F18A8"/>
    <w:rsid w:val="0068059B"/>
    <w:rsid w:val="006B2929"/>
    <w:rsid w:val="006C2BD0"/>
    <w:rsid w:val="006D177B"/>
    <w:rsid w:val="006D42FA"/>
    <w:rsid w:val="006D51CF"/>
    <w:rsid w:val="00717043"/>
    <w:rsid w:val="00726848"/>
    <w:rsid w:val="00774E9A"/>
    <w:rsid w:val="00787B5F"/>
    <w:rsid w:val="00797108"/>
    <w:rsid w:val="007A1CCD"/>
    <w:rsid w:val="007C72E0"/>
    <w:rsid w:val="007F1596"/>
    <w:rsid w:val="0081146D"/>
    <w:rsid w:val="008278B4"/>
    <w:rsid w:val="00834D32"/>
    <w:rsid w:val="00855FB6"/>
    <w:rsid w:val="00861517"/>
    <w:rsid w:val="008655A5"/>
    <w:rsid w:val="008677F5"/>
    <w:rsid w:val="00882B56"/>
    <w:rsid w:val="00896DDD"/>
    <w:rsid w:val="008F69A5"/>
    <w:rsid w:val="00915BDE"/>
    <w:rsid w:val="0092051F"/>
    <w:rsid w:val="009305CF"/>
    <w:rsid w:val="00932B11"/>
    <w:rsid w:val="00934E39"/>
    <w:rsid w:val="00935BCB"/>
    <w:rsid w:val="00941BBF"/>
    <w:rsid w:val="009645FC"/>
    <w:rsid w:val="00966830"/>
    <w:rsid w:val="00967F57"/>
    <w:rsid w:val="0097510A"/>
    <w:rsid w:val="00985B0C"/>
    <w:rsid w:val="009C32E1"/>
    <w:rsid w:val="009C496C"/>
    <w:rsid w:val="009C6B85"/>
    <w:rsid w:val="009D2E32"/>
    <w:rsid w:val="009F0FBB"/>
    <w:rsid w:val="00A56060"/>
    <w:rsid w:val="00A947AD"/>
    <w:rsid w:val="00AB0008"/>
    <w:rsid w:val="00AF6D98"/>
    <w:rsid w:val="00B21346"/>
    <w:rsid w:val="00B22EF5"/>
    <w:rsid w:val="00B36F07"/>
    <w:rsid w:val="00B471E1"/>
    <w:rsid w:val="00B7441C"/>
    <w:rsid w:val="00B76794"/>
    <w:rsid w:val="00BB6FBE"/>
    <w:rsid w:val="00BD4219"/>
    <w:rsid w:val="00C064AB"/>
    <w:rsid w:val="00C15DA8"/>
    <w:rsid w:val="00C247E9"/>
    <w:rsid w:val="00C30AA4"/>
    <w:rsid w:val="00C37A0D"/>
    <w:rsid w:val="00C4761C"/>
    <w:rsid w:val="00C56FAC"/>
    <w:rsid w:val="00C640B4"/>
    <w:rsid w:val="00CA0B18"/>
    <w:rsid w:val="00CA6712"/>
    <w:rsid w:val="00CA769D"/>
    <w:rsid w:val="00CD040A"/>
    <w:rsid w:val="00CD79C8"/>
    <w:rsid w:val="00D05EC8"/>
    <w:rsid w:val="00D3356C"/>
    <w:rsid w:val="00D50708"/>
    <w:rsid w:val="00DA4CD8"/>
    <w:rsid w:val="00DC3C48"/>
    <w:rsid w:val="00DC44B6"/>
    <w:rsid w:val="00DE6635"/>
    <w:rsid w:val="00DF45D1"/>
    <w:rsid w:val="00E12929"/>
    <w:rsid w:val="00E17745"/>
    <w:rsid w:val="00E21490"/>
    <w:rsid w:val="00E474BE"/>
    <w:rsid w:val="00E81BE9"/>
    <w:rsid w:val="00E87239"/>
    <w:rsid w:val="00E9244B"/>
    <w:rsid w:val="00EA4A7B"/>
    <w:rsid w:val="00EC178E"/>
    <w:rsid w:val="00ED7EE5"/>
    <w:rsid w:val="00F373EC"/>
    <w:rsid w:val="00F4353F"/>
    <w:rsid w:val="00F71946"/>
    <w:rsid w:val="00F76A89"/>
    <w:rsid w:val="00F82E81"/>
    <w:rsid w:val="00F872EF"/>
    <w:rsid w:val="00F9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rules v:ext="edit">
        <o:r id="V:Rule1" type="connector" idref="#_x0000_s2082"/>
        <o:r id="V:Rule2" type="connector" idref="#_x0000_s2071"/>
        <o:r id="V:Rule3" type="connector" idref="#_x0000_s2081"/>
        <o:r id="V:Rule4" type="connector" idref="#_x0000_s2066"/>
        <o:r id="V:Rule5" type="connector" idref="#_x0000_s2070"/>
        <o:r id="V:Rule6" type="connector" idref="#_x0000_s2077"/>
        <o:r id="V:Rule7" type="connector" idref="#_x0000_s2065"/>
        <o:r id="V:Rule8" type="connector" idref="#_x0000_s2074"/>
        <o:r id="V:Rule9" type="connector" idref="#_x0000_s2078"/>
        <o:r id="V:Rule10" type="connector" idref="#_x0000_s2083"/>
        <o:r id="V:Rule11" type="connector" idref="#_x0000_s2076"/>
        <o:r id="V:Rule12" type="connector" idref="#_x0000_s2075"/>
        <o:r id="V:Rule13" type="connector" idref="#_x0000_s2069"/>
        <o:r id="V:Rule14" type="connector" idref="#_x0000_s2084"/>
        <o:r id="V:Rule15" type="connector" idref="#_x0000_s2079"/>
        <o:r id="V:Rule16" type="connector" idref="#_x0000_s2072"/>
      </o:rules>
    </o:shapelayout>
  </w:shapeDefaults>
  <w:decimalSymbol w:val="."/>
  <w:listSeparator w:val=","/>
  <w14:docId w14:val="41B2C828"/>
  <w15:docId w15:val="{5DF4EBF8-E2E2-40CB-A729-AE101A8F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2F"/>
  </w:style>
  <w:style w:type="paragraph" w:styleId="Heading1">
    <w:name w:val="heading 1"/>
    <w:basedOn w:val="Normal"/>
    <w:next w:val="Normal"/>
    <w:link w:val="Heading1Char"/>
    <w:uiPriority w:val="9"/>
    <w:qFormat/>
    <w:rsid w:val="00D33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7B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57B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B1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57B18"/>
    <w:rPr>
      <w:b/>
      <w:bCs/>
    </w:rPr>
  </w:style>
  <w:style w:type="paragraph" w:styleId="NormalWeb">
    <w:name w:val="Normal (Web)"/>
    <w:basedOn w:val="Normal"/>
    <w:uiPriority w:val="99"/>
    <w:unhideWhenUsed/>
    <w:rsid w:val="00057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57B18"/>
    <w:rPr>
      <w:rFonts w:asciiTheme="majorHAnsi" w:eastAsiaTheme="majorEastAsia" w:hAnsiTheme="majorHAnsi" w:cstheme="majorBidi"/>
      <w:color w:val="1F4D78" w:themeColor="accent1" w:themeShade="7F"/>
      <w:sz w:val="24"/>
      <w:szCs w:val="24"/>
    </w:rPr>
  </w:style>
  <w:style w:type="character" w:customStyle="1" w:styleId="ms-1">
    <w:name w:val="ms-1"/>
    <w:basedOn w:val="DefaultParagraphFont"/>
    <w:rsid w:val="00057B18"/>
  </w:style>
  <w:style w:type="character" w:customStyle="1" w:styleId="max-w-15ch">
    <w:name w:val="max-w-[15ch]"/>
    <w:basedOn w:val="DefaultParagraphFont"/>
    <w:rsid w:val="00057B18"/>
  </w:style>
  <w:style w:type="character" w:customStyle="1" w:styleId="-me-1">
    <w:name w:val="-me-1"/>
    <w:basedOn w:val="DefaultParagraphFont"/>
    <w:rsid w:val="00057B18"/>
  </w:style>
  <w:style w:type="character" w:styleId="Emphasis">
    <w:name w:val="Emphasis"/>
    <w:basedOn w:val="DefaultParagraphFont"/>
    <w:uiPriority w:val="20"/>
    <w:qFormat/>
    <w:rsid w:val="00057B18"/>
    <w:rPr>
      <w:i/>
      <w:iCs/>
    </w:rPr>
  </w:style>
  <w:style w:type="table" w:customStyle="1" w:styleId="TableGridLight1">
    <w:name w:val="Table Grid Light1"/>
    <w:basedOn w:val="TableNormal"/>
    <w:uiPriority w:val="40"/>
    <w:rsid w:val="00882B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DefaultParagraphFont"/>
    <w:rsid w:val="00882B56"/>
  </w:style>
  <w:style w:type="character" w:customStyle="1" w:styleId="mord">
    <w:name w:val="mord"/>
    <w:basedOn w:val="DefaultParagraphFont"/>
    <w:rsid w:val="00882B56"/>
  </w:style>
  <w:style w:type="character" w:customStyle="1" w:styleId="mspace">
    <w:name w:val="mspace"/>
    <w:basedOn w:val="DefaultParagraphFont"/>
    <w:rsid w:val="00882B56"/>
  </w:style>
  <w:style w:type="character" w:customStyle="1" w:styleId="mrel">
    <w:name w:val="mrel"/>
    <w:basedOn w:val="DefaultParagraphFont"/>
    <w:rsid w:val="00882B56"/>
  </w:style>
  <w:style w:type="character" w:customStyle="1" w:styleId="mbin">
    <w:name w:val="mbin"/>
    <w:basedOn w:val="DefaultParagraphFont"/>
    <w:rsid w:val="00882B56"/>
  </w:style>
  <w:style w:type="character" w:customStyle="1" w:styleId="mopen">
    <w:name w:val="mopen"/>
    <w:basedOn w:val="DefaultParagraphFont"/>
    <w:rsid w:val="00882B56"/>
  </w:style>
  <w:style w:type="character" w:customStyle="1" w:styleId="mclose">
    <w:name w:val="mclose"/>
    <w:basedOn w:val="DefaultParagraphFont"/>
    <w:rsid w:val="00882B56"/>
  </w:style>
  <w:style w:type="character" w:styleId="Hyperlink">
    <w:name w:val="Hyperlink"/>
    <w:basedOn w:val="DefaultParagraphFont"/>
    <w:uiPriority w:val="99"/>
    <w:unhideWhenUsed/>
    <w:rsid w:val="005C4DF6"/>
    <w:rPr>
      <w:color w:val="0000FF"/>
      <w:u w:val="single"/>
    </w:rPr>
  </w:style>
  <w:style w:type="paragraph" w:styleId="NoSpacing">
    <w:name w:val="No Spacing"/>
    <w:uiPriority w:val="1"/>
    <w:qFormat/>
    <w:rsid w:val="00C064AB"/>
    <w:pPr>
      <w:spacing w:after="0" w:line="240" w:lineRule="auto"/>
    </w:pPr>
  </w:style>
  <w:style w:type="table" w:styleId="TableGrid">
    <w:name w:val="Table Grid"/>
    <w:basedOn w:val="TableNormal"/>
    <w:uiPriority w:val="39"/>
    <w:rsid w:val="0003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356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74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1C"/>
    <w:rPr>
      <w:rFonts w:ascii="Tahoma" w:hAnsi="Tahoma" w:cs="Tahoma"/>
      <w:sz w:val="16"/>
      <w:szCs w:val="16"/>
    </w:rPr>
  </w:style>
  <w:style w:type="paragraph" w:styleId="Header">
    <w:name w:val="header"/>
    <w:basedOn w:val="Normal"/>
    <w:link w:val="HeaderChar"/>
    <w:uiPriority w:val="99"/>
    <w:unhideWhenUsed/>
    <w:rsid w:val="002A6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6F"/>
  </w:style>
  <w:style w:type="paragraph" w:styleId="Footer">
    <w:name w:val="footer"/>
    <w:basedOn w:val="Normal"/>
    <w:link w:val="FooterChar"/>
    <w:uiPriority w:val="99"/>
    <w:unhideWhenUsed/>
    <w:rsid w:val="002A6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6F"/>
  </w:style>
  <w:style w:type="character" w:customStyle="1" w:styleId="UnresolvedMention1">
    <w:name w:val="Unresolved Mention1"/>
    <w:basedOn w:val="DefaultParagraphFont"/>
    <w:uiPriority w:val="99"/>
    <w:semiHidden/>
    <w:unhideWhenUsed/>
    <w:rsid w:val="006B2929"/>
    <w:rPr>
      <w:color w:val="605E5C"/>
      <w:shd w:val="clear" w:color="auto" w:fill="E1DFDD"/>
    </w:rPr>
  </w:style>
  <w:style w:type="character" w:styleId="UnresolvedMention">
    <w:name w:val="Unresolved Mention"/>
    <w:basedOn w:val="DefaultParagraphFont"/>
    <w:uiPriority w:val="99"/>
    <w:semiHidden/>
    <w:unhideWhenUsed/>
    <w:rsid w:val="00E21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0959">
      <w:bodyDiv w:val="1"/>
      <w:marLeft w:val="0"/>
      <w:marRight w:val="0"/>
      <w:marTop w:val="0"/>
      <w:marBottom w:val="0"/>
      <w:divBdr>
        <w:top w:val="none" w:sz="0" w:space="0" w:color="auto"/>
        <w:left w:val="none" w:sz="0" w:space="0" w:color="auto"/>
        <w:bottom w:val="none" w:sz="0" w:space="0" w:color="auto"/>
        <w:right w:val="none" w:sz="0" w:space="0" w:color="auto"/>
      </w:divBdr>
    </w:div>
    <w:div w:id="33967999">
      <w:bodyDiv w:val="1"/>
      <w:marLeft w:val="0"/>
      <w:marRight w:val="0"/>
      <w:marTop w:val="0"/>
      <w:marBottom w:val="0"/>
      <w:divBdr>
        <w:top w:val="none" w:sz="0" w:space="0" w:color="auto"/>
        <w:left w:val="none" w:sz="0" w:space="0" w:color="auto"/>
        <w:bottom w:val="none" w:sz="0" w:space="0" w:color="auto"/>
        <w:right w:val="none" w:sz="0" w:space="0" w:color="auto"/>
      </w:divBdr>
    </w:div>
    <w:div w:id="58137434">
      <w:bodyDiv w:val="1"/>
      <w:marLeft w:val="0"/>
      <w:marRight w:val="0"/>
      <w:marTop w:val="0"/>
      <w:marBottom w:val="0"/>
      <w:divBdr>
        <w:top w:val="none" w:sz="0" w:space="0" w:color="auto"/>
        <w:left w:val="none" w:sz="0" w:space="0" w:color="auto"/>
        <w:bottom w:val="none" w:sz="0" w:space="0" w:color="auto"/>
        <w:right w:val="none" w:sz="0" w:space="0" w:color="auto"/>
      </w:divBdr>
    </w:div>
    <w:div w:id="129325993">
      <w:bodyDiv w:val="1"/>
      <w:marLeft w:val="0"/>
      <w:marRight w:val="0"/>
      <w:marTop w:val="0"/>
      <w:marBottom w:val="0"/>
      <w:divBdr>
        <w:top w:val="none" w:sz="0" w:space="0" w:color="auto"/>
        <w:left w:val="none" w:sz="0" w:space="0" w:color="auto"/>
        <w:bottom w:val="none" w:sz="0" w:space="0" w:color="auto"/>
        <w:right w:val="none" w:sz="0" w:space="0" w:color="auto"/>
      </w:divBdr>
    </w:div>
    <w:div w:id="179704365">
      <w:bodyDiv w:val="1"/>
      <w:marLeft w:val="0"/>
      <w:marRight w:val="0"/>
      <w:marTop w:val="0"/>
      <w:marBottom w:val="0"/>
      <w:divBdr>
        <w:top w:val="none" w:sz="0" w:space="0" w:color="auto"/>
        <w:left w:val="none" w:sz="0" w:space="0" w:color="auto"/>
        <w:bottom w:val="none" w:sz="0" w:space="0" w:color="auto"/>
        <w:right w:val="none" w:sz="0" w:space="0" w:color="auto"/>
      </w:divBdr>
    </w:div>
    <w:div w:id="202014199">
      <w:bodyDiv w:val="1"/>
      <w:marLeft w:val="0"/>
      <w:marRight w:val="0"/>
      <w:marTop w:val="0"/>
      <w:marBottom w:val="0"/>
      <w:divBdr>
        <w:top w:val="none" w:sz="0" w:space="0" w:color="auto"/>
        <w:left w:val="none" w:sz="0" w:space="0" w:color="auto"/>
        <w:bottom w:val="none" w:sz="0" w:space="0" w:color="auto"/>
        <w:right w:val="none" w:sz="0" w:space="0" w:color="auto"/>
      </w:divBdr>
    </w:div>
    <w:div w:id="239141887">
      <w:bodyDiv w:val="1"/>
      <w:marLeft w:val="0"/>
      <w:marRight w:val="0"/>
      <w:marTop w:val="0"/>
      <w:marBottom w:val="0"/>
      <w:divBdr>
        <w:top w:val="none" w:sz="0" w:space="0" w:color="auto"/>
        <w:left w:val="none" w:sz="0" w:space="0" w:color="auto"/>
        <w:bottom w:val="none" w:sz="0" w:space="0" w:color="auto"/>
        <w:right w:val="none" w:sz="0" w:space="0" w:color="auto"/>
      </w:divBdr>
    </w:div>
    <w:div w:id="276762005">
      <w:bodyDiv w:val="1"/>
      <w:marLeft w:val="0"/>
      <w:marRight w:val="0"/>
      <w:marTop w:val="0"/>
      <w:marBottom w:val="0"/>
      <w:divBdr>
        <w:top w:val="none" w:sz="0" w:space="0" w:color="auto"/>
        <w:left w:val="none" w:sz="0" w:space="0" w:color="auto"/>
        <w:bottom w:val="none" w:sz="0" w:space="0" w:color="auto"/>
        <w:right w:val="none" w:sz="0" w:space="0" w:color="auto"/>
      </w:divBdr>
      <w:divsChild>
        <w:div w:id="208078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965878">
      <w:bodyDiv w:val="1"/>
      <w:marLeft w:val="0"/>
      <w:marRight w:val="0"/>
      <w:marTop w:val="0"/>
      <w:marBottom w:val="0"/>
      <w:divBdr>
        <w:top w:val="none" w:sz="0" w:space="0" w:color="auto"/>
        <w:left w:val="none" w:sz="0" w:space="0" w:color="auto"/>
        <w:bottom w:val="none" w:sz="0" w:space="0" w:color="auto"/>
        <w:right w:val="none" w:sz="0" w:space="0" w:color="auto"/>
      </w:divBdr>
    </w:div>
    <w:div w:id="421679367">
      <w:bodyDiv w:val="1"/>
      <w:marLeft w:val="0"/>
      <w:marRight w:val="0"/>
      <w:marTop w:val="0"/>
      <w:marBottom w:val="0"/>
      <w:divBdr>
        <w:top w:val="none" w:sz="0" w:space="0" w:color="auto"/>
        <w:left w:val="none" w:sz="0" w:space="0" w:color="auto"/>
        <w:bottom w:val="none" w:sz="0" w:space="0" w:color="auto"/>
        <w:right w:val="none" w:sz="0" w:space="0" w:color="auto"/>
      </w:divBdr>
    </w:div>
    <w:div w:id="440227604">
      <w:bodyDiv w:val="1"/>
      <w:marLeft w:val="0"/>
      <w:marRight w:val="0"/>
      <w:marTop w:val="0"/>
      <w:marBottom w:val="0"/>
      <w:divBdr>
        <w:top w:val="none" w:sz="0" w:space="0" w:color="auto"/>
        <w:left w:val="none" w:sz="0" w:space="0" w:color="auto"/>
        <w:bottom w:val="none" w:sz="0" w:space="0" w:color="auto"/>
        <w:right w:val="none" w:sz="0" w:space="0" w:color="auto"/>
      </w:divBdr>
    </w:div>
    <w:div w:id="457340646">
      <w:bodyDiv w:val="1"/>
      <w:marLeft w:val="0"/>
      <w:marRight w:val="0"/>
      <w:marTop w:val="0"/>
      <w:marBottom w:val="0"/>
      <w:divBdr>
        <w:top w:val="none" w:sz="0" w:space="0" w:color="auto"/>
        <w:left w:val="none" w:sz="0" w:space="0" w:color="auto"/>
        <w:bottom w:val="none" w:sz="0" w:space="0" w:color="auto"/>
        <w:right w:val="none" w:sz="0" w:space="0" w:color="auto"/>
      </w:divBdr>
    </w:div>
    <w:div w:id="463548199">
      <w:bodyDiv w:val="1"/>
      <w:marLeft w:val="0"/>
      <w:marRight w:val="0"/>
      <w:marTop w:val="0"/>
      <w:marBottom w:val="0"/>
      <w:divBdr>
        <w:top w:val="none" w:sz="0" w:space="0" w:color="auto"/>
        <w:left w:val="none" w:sz="0" w:space="0" w:color="auto"/>
        <w:bottom w:val="none" w:sz="0" w:space="0" w:color="auto"/>
        <w:right w:val="none" w:sz="0" w:space="0" w:color="auto"/>
      </w:divBdr>
    </w:div>
    <w:div w:id="561865703">
      <w:bodyDiv w:val="1"/>
      <w:marLeft w:val="0"/>
      <w:marRight w:val="0"/>
      <w:marTop w:val="0"/>
      <w:marBottom w:val="0"/>
      <w:divBdr>
        <w:top w:val="none" w:sz="0" w:space="0" w:color="auto"/>
        <w:left w:val="none" w:sz="0" w:space="0" w:color="auto"/>
        <w:bottom w:val="none" w:sz="0" w:space="0" w:color="auto"/>
        <w:right w:val="none" w:sz="0" w:space="0" w:color="auto"/>
      </w:divBdr>
    </w:div>
    <w:div w:id="638614559">
      <w:bodyDiv w:val="1"/>
      <w:marLeft w:val="0"/>
      <w:marRight w:val="0"/>
      <w:marTop w:val="0"/>
      <w:marBottom w:val="0"/>
      <w:divBdr>
        <w:top w:val="none" w:sz="0" w:space="0" w:color="auto"/>
        <w:left w:val="none" w:sz="0" w:space="0" w:color="auto"/>
        <w:bottom w:val="none" w:sz="0" w:space="0" w:color="auto"/>
        <w:right w:val="none" w:sz="0" w:space="0" w:color="auto"/>
      </w:divBdr>
    </w:div>
    <w:div w:id="656955540">
      <w:bodyDiv w:val="1"/>
      <w:marLeft w:val="0"/>
      <w:marRight w:val="0"/>
      <w:marTop w:val="0"/>
      <w:marBottom w:val="0"/>
      <w:divBdr>
        <w:top w:val="none" w:sz="0" w:space="0" w:color="auto"/>
        <w:left w:val="none" w:sz="0" w:space="0" w:color="auto"/>
        <w:bottom w:val="none" w:sz="0" w:space="0" w:color="auto"/>
        <w:right w:val="none" w:sz="0" w:space="0" w:color="auto"/>
      </w:divBdr>
    </w:div>
    <w:div w:id="670761479">
      <w:bodyDiv w:val="1"/>
      <w:marLeft w:val="0"/>
      <w:marRight w:val="0"/>
      <w:marTop w:val="0"/>
      <w:marBottom w:val="0"/>
      <w:divBdr>
        <w:top w:val="none" w:sz="0" w:space="0" w:color="auto"/>
        <w:left w:val="none" w:sz="0" w:space="0" w:color="auto"/>
        <w:bottom w:val="none" w:sz="0" w:space="0" w:color="auto"/>
        <w:right w:val="none" w:sz="0" w:space="0" w:color="auto"/>
      </w:divBdr>
    </w:div>
    <w:div w:id="711459242">
      <w:bodyDiv w:val="1"/>
      <w:marLeft w:val="0"/>
      <w:marRight w:val="0"/>
      <w:marTop w:val="0"/>
      <w:marBottom w:val="0"/>
      <w:divBdr>
        <w:top w:val="none" w:sz="0" w:space="0" w:color="auto"/>
        <w:left w:val="none" w:sz="0" w:space="0" w:color="auto"/>
        <w:bottom w:val="none" w:sz="0" w:space="0" w:color="auto"/>
        <w:right w:val="none" w:sz="0" w:space="0" w:color="auto"/>
      </w:divBdr>
    </w:div>
    <w:div w:id="755516768">
      <w:bodyDiv w:val="1"/>
      <w:marLeft w:val="0"/>
      <w:marRight w:val="0"/>
      <w:marTop w:val="0"/>
      <w:marBottom w:val="0"/>
      <w:divBdr>
        <w:top w:val="none" w:sz="0" w:space="0" w:color="auto"/>
        <w:left w:val="none" w:sz="0" w:space="0" w:color="auto"/>
        <w:bottom w:val="none" w:sz="0" w:space="0" w:color="auto"/>
        <w:right w:val="none" w:sz="0" w:space="0" w:color="auto"/>
      </w:divBdr>
    </w:div>
    <w:div w:id="781919701">
      <w:bodyDiv w:val="1"/>
      <w:marLeft w:val="0"/>
      <w:marRight w:val="0"/>
      <w:marTop w:val="0"/>
      <w:marBottom w:val="0"/>
      <w:divBdr>
        <w:top w:val="none" w:sz="0" w:space="0" w:color="auto"/>
        <w:left w:val="none" w:sz="0" w:space="0" w:color="auto"/>
        <w:bottom w:val="none" w:sz="0" w:space="0" w:color="auto"/>
        <w:right w:val="none" w:sz="0" w:space="0" w:color="auto"/>
      </w:divBdr>
    </w:div>
    <w:div w:id="839858546">
      <w:bodyDiv w:val="1"/>
      <w:marLeft w:val="0"/>
      <w:marRight w:val="0"/>
      <w:marTop w:val="0"/>
      <w:marBottom w:val="0"/>
      <w:divBdr>
        <w:top w:val="none" w:sz="0" w:space="0" w:color="auto"/>
        <w:left w:val="none" w:sz="0" w:space="0" w:color="auto"/>
        <w:bottom w:val="none" w:sz="0" w:space="0" w:color="auto"/>
        <w:right w:val="none" w:sz="0" w:space="0" w:color="auto"/>
      </w:divBdr>
    </w:div>
    <w:div w:id="847332750">
      <w:bodyDiv w:val="1"/>
      <w:marLeft w:val="0"/>
      <w:marRight w:val="0"/>
      <w:marTop w:val="0"/>
      <w:marBottom w:val="0"/>
      <w:divBdr>
        <w:top w:val="none" w:sz="0" w:space="0" w:color="auto"/>
        <w:left w:val="none" w:sz="0" w:space="0" w:color="auto"/>
        <w:bottom w:val="none" w:sz="0" w:space="0" w:color="auto"/>
        <w:right w:val="none" w:sz="0" w:space="0" w:color="auto"/>
      </w:divBdr>
    </w:div>
    <w:div w:id="851191029">
      <w:bodyDiv w:val="1"/>
      <w:marLeft w:val="0"/>
      <w:marRight w:val="0"/>
      <w:marTop w:val="0"/>
      <w:marBottom w:val="0"/>
      <w:divBdr>
        <w:top w:val="none" w:sz="0" w:space="0" w:color="auto"/>
        <w:left w:val="none" w:sz="0" w:space="0" w:color="auto"/>
        <w:bottom w:val="none" w:sz="0" w:space="0" w:color="auto"/>
        <w:right w:val="none" w:sz="0" w:space="0" w:color="auto"/>
      </w:divBdr>
    </w:div>
    <w:div w:id="989211112">
      <w:bodyDiv w:val="1"/>
      <w:marLeft w:val="0"/>
      <w:marRight w:val="0"/>
      <w:marTop w:val="0"/>
      <w:marBottom w:val="0"/>
      <w:divBdr>
        <w:top w:val="none" w:sz="0" w:space="0" w:color="auto"/>
        <w:left w:val="none" w:sz="0" w:space="0" w:color="auto"/>
        <w:bottom w:val="none" w:sz="0" w:space="0" w:color="auto"/>
        <w:right w:val="none" w:sz="0" w:space="0" w:color="auto"/>
      </w:divBdr>
      <w:divsChild>
        <w:div w:id="181155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248514">
      <w:bodyDiv w:val="1"/>
      <w:marLeft w:val="0"/>
      <w:marRight w:val="0"/>
      <w:marTop w:val="0"/>
      <w:marBottom w:val="0"/>
      <w:divBdr>
        <w:top w:val="none" w:sz="0" w:space="0" w:color="auto"/>
        <w:left w:val="none" w:sz="0" w:space="0" w:color="auto"/>
        <w:bottom w:val="none" w:sz="0" w:space="0" w:color="auto"/>
        <w:right w:val="none" w:sz="0" w:space="0" w:color="auto"/>
      </w:divBdr>
    </w:div>
    <w:div w:id="1030180605">
      <w:bodyDiv w:val="1"/>
      <w:marLeft w:val="0"/>
      <w:marRight w:val="0"/>
      <w:marTop w:val="0"/>
      <w:marBottom w:val="0"/>
      <w:divBdr>
        <w:top w:val="none" w:sz="0" w:space="0" w:color="auto"/>
        <w:left w:val="none" w:sz="0" w:space="0" w:color="auto"/>
        <w:bottom w:val="none" w:sz="0" w:space="0" w:color="auto"/>
        <w:right w:val="none" w:sz="0" w:space="0" w:color="auto"/>
      </w:divBdr>
    </w:div>
    <w:div w:id="1082482208">
      <w:bodyDiv w:val="1"/>
      <w:marLeft w:val="0"/>
      <w:marRight w:val="0"/>
      <w:marTop w:val="0"/>
      <w:marBottom w:val="0"/>
      <w:divBdr>
        <w:top w:val="none" w:sz="0" w:space="0" w:color="auto"/>
        <w:left w:val="none" w:sz="0" w:space="0" w:color="auto"/>
        <w:bottom w:val="none" w:sz="0" w:space="0" w:color="auto"/>
        <w:right w:val="none" w:sz="0" w:space="0" w:color="auto"/>
      </w:divBdr>
    </w:div>
    <w:div w:id="1120731704">
      <w:bodyDiv w:val="1"/>
      <w:marLeft w:val="0"/>
      <w:marRight w:val="0"/>
      <w:marTop w:val="0"/>
      <w:marBottom w:val="0"/>
      <w:divBdr>
        <w:top w:val="none" w:sz="0" w:space="0" w:color="auto"/>
        <w:left w:val="none" w:sz="0" w:space="0" w:color="auto"/>
        <w:bottom w:val="none" w:sz="0" w:space="0" w:color="auto"/>
        <w:right w:val="none" w:sz="0" w:space="0" w:color="auto"/>
      </w:divBdr>
    </w:div>
    <w:div w:id="1160537447">
      <w:bodyDiv w:val="1"/>
      <w:marLeft w:val="0"/>
      <w:marRight w:val="0"/>
      <w:marTop w:val="0"/>
      <w:marBottom w:val="0"/>
      <w:divBdr>
        <w:top w:val="none" w:sz="0" w:space="0" w:color="auto"/>
        <w:left w:val="none" w:sz="0" w:space="0" w:color="auto"/>
        <w:bottom w:val="none" w:sz="0" w:space="0" w:color="auto"/>
        <w:right w:val="none" w:sz="0" w:space="0" w:color="auto"/>
      </w:divBdr>
    </w:div>
    <w:div w:id="1281187183">
      <w:bodyDiv w:val="1"/>
      <w:marLeft w:val="0"/>
      <w:marRight w:val="0"/>
      <w:marTop w:val="0"/>
      <w:marBottom w:val="0"/>
      <w:divBdr>
        <w:top w:val="none" w:sz="0" w:space="0" w:color="auto"/>
        <w:left w:val="none" w:sz="0" w:space="0" w:color="auto"/>
        <w:bottom w:val="none" w:sz="0" w:space="0" w:color="auto"/>
        <w:right w:val="none" w:sz="0" w:space="0" w:color="auto"/>
      </w:divBdr>
    </w:div>
    <w:div w:id="1305546888">
      <w:bodyDiv w:val="1"/>
      <w:marLeft w:val="0"/>
      <w:marRight w:val="0"/>
      <w:marTop w:val="0"/>
      <w:marBottom w:val="0"/>
      <w:divBdr>
        <w:top w:val="none" w:sz="0" w:space="0" w:color="auto"/>
        <w:left w:val="none" w:sz="0" w:space="0" w:color="auto"/>
        <w:bottom w:val="none" w:sz="0" w:space="0" w:color="auto"/>
        <w:right w:val="none" w:sz="0" w:space="0" w:color="auto"/>
      </w:divBdr>
    </w:div>
    <w:div w:id="1307051754">
      <w:bodyDiv w:val="1"/>
      <w:marLeft w:val="0"/>
      <w:marRight w:val="0"/>
      <w:marTop w:val="0"/>
      <w:marBottom w:val="0"/>
      <w:divBdr>
        <w:top w:val="none" w:sz="0" w:space="0" w:color="auto"/>
        <w:left w:val="none" w:sz="0" w:space="0" w:color="auto"/>
        <w:bottom w:val="none" w:sz="0" w:space="0" w:color="auto"/>
        <w:right w:val="none" w:sz="0" w:space="0" w:color="auto"/>
      </w:divBdr>
    </w:div>
    <w:div w:id="1337028560">
      <w:bodyDiv w:val="1"/>
      <w:marLeft w:val="0"/>
      <w:marRight w:val="0"/>
      <w:marTop w:val="0"/>
      <w:marBottom w:val="0"/>
      <w:divBdr>
        <w:top w:val="none" w:sz="0" w:space="0" w:color="auto"/>
        <w:left w:val="none" w:sz="0" w:space="0" w:color="auto"/>
        <w:bottom w:val="none" w:sz="0" w:space="0" w:color="auto"/>
        <w:right w:val="none" w:sz="0" w:space="0" w:color="auto"/>
      </w:divBdr>
    </w:div>
    <w:div w:id="1364019462">
      <w:bodyDiv w:val="1"/>
      <w:marLeft w:val="0"/>
      <w:marRight w:val="0"/>
      <w:marTop w:val="0"/>
      <w:marBottom w:val="0"/>
      <w:divBdr>
        <w:top w:val="none" w:sz="0" w:space="0" w:color="auto"/>
        <w:left w:val="none" w:sz="0" w:space="0" w:color="auto"/>
        <w:bottom w:val="none" w:sz="0" w:space="0" w:color="auto"/>
        <w:right w:val="none" w:sz="0" w:space="0" w:color="auto"/>
      </w:divBdr>
    </w:div>
    <w:div w:id="1407459460">
      <w:bodyDiv w:val="1"/>
      <w:marLeft w:val="0"/>
      <w:marRight w:val="0"/>
      <w:marTop w:val="0"/>
      <w:marBottom w:val="0"/>
      <w:divBdr>
        <w:top w:val="none" w:sz="0" w:space="0" w:color="auto"/>
        <w:left w:val="none" w:sz="0" w:space="0" w:color="auto"/>
        <w:bottom w:val="none" w:sz="0" w:space="0" w:color="auto"/>
        <w:right w:val="none" w:sz="0" w:space="0" w:color="auto"/>
      </w:divBdr>
    </w:div>
    <w:div w:id="1490899730">
      <w:bodyDiv w:val="1"/>
      <w:marLeft w:val="0"/>
      <w:marRight w:val="0"/>
      <w:marTop w:val="0"/>
      <w:marBottom w:val="0"/>
      <w:divBdr>
        <w:top w:val="none" w:sz="0" w:space="0" w:color="auto"/>
        <w:left w:val="none" w:sz="0" w:space="0" w:color="auto"/>
        <w:bottom w:val="none" w:sz="0" w:space="0" w:color="auto"/>
        <w:right w:val="none" w:sz="0" w:space="0" w:color="auto"/>
      </w:divBdr>
    </w:div>
    <w:div w:id="1510558097">
      <w:bodyDiv w:val="1"/>
      <w:marLeft w:val="0"/>
      <w:marRight w:val="0"/>
      <w:marTop w:val="0"/>
      <w:marBottom w:val="0"/>
      <w:divBdr>
        <w:top w:val="none" w:sz="0" w:space="0" w:color="auto"/>
        <w:left w:val="none" w:sz="0" w:space="0" w:color="auto"/>
        <w:bottom w:val="none" w:sz="0" w:space="0" w:color="auto"/>
        <w:right w:val="none" w:sz="0" w:space="0" w:color="auto"/>
      </w:divBdr>
    </w:div>
    <w:div w:id="1533033803">
      <w:bodyDiv w:val="1"/>
      <w:marLeft w:val="0"/>
      <w:marRight w:val="0"/>
      <w:marTop w:val="0"/>
      <w:marBottom w:val="0"/>
      <w:divBdr>
        <w:top w:val="none" w:sz="0" w:space="0" w:color="auto"/>
        <w:left w:val="none" w:sz="0" w:space="0" w:color="auto"/>
        <w:bottom w:val="none" w:sz="0" w:space="0" w:color="auto"/>
        <w:right w:val="none" w:sz="0" w:space="0" w:color="auto"/>
      </w:divBdr>
    </w:div>
    <w:div w:id="1571427059">
      <w:bodyDiv w:val="1"/>
      <w:marLeft w:val="0"/>
      <w:marRight w:val="0"/>
      <w:marTop w:val="0"/>
      <w:marBottom w:val="0"/>
      <w:divBdr>
        <w:top w:val="none" w:sz="0" w:space="0" w:color="auto"/>
        <w:left w:val="none" w:sz="0" w:space="0" w:color="auto"/>
        <w:bottom w:val="none" w:sz="0" w:space="0" w:color="auto"/>
        <w:right w:val="none" w:sz="0" w:space="0" w:color="auto"/>
      </w:divBdr>
    </w:div>
    <w:div w:id="1573736823">
      <w:bodyDiv w:val="1"/>
      <w:marLeft w:val="0"/>
      <w:marRight w:val="0"/>
      <w:marTop w:val="0"/>
      <w:marBottom w:val="0"/>
      <w:divBdr>
        <w:top w:val="none" w:sz="0" w:space="0" w:color="auto"/>
        <w:left w:val="none" w:sz="0" w:space="0" w:color="auto"/>
        <w:bottom w:val="none" w:sz="0" w:space="0" w:color="auto"/>
        <w:right w:val="none" w:sz="0" w:space="0" w:color="auto"/>
      </w:divBdr>
    </w:div>
    <w:div w:id="1658336598">
      <w:bodyDiv w:val="1"/>
      <w:marLeft w:val="0"/>
      <w:marRight w:val="0"/>
      <w:marTop w:val="0"/>
      <w:marBottom w:val="0"/>
      <w:divBdr>
        <w:top w:val="none" w:sz="0" w:space="0" w:color="auto"/>
        <w:left w:val="none" w:sz="0" w:space="0" w:color="auto"/>
        <w:bottom w:val="none" w:sz="0" w:space="0" w:color="auto"/>
        <w:right w:val="none" w:sz="0" w:space="0" w:color="auto"/>
      </w:divBdr>
    </w:div>
    <w:div w:id="1725568629">
      <w:bodyDiv w:val="1"/>
      <w:marLeft w:val="0"/>
      <w:marRight w:val="0"/>
      <w:marTop w:val="0"/>
      <w:marBottom w:val="0"/>
      <w:divBdr>
        <w:top w:val="none" w:sz="0" w:space="0" w:color="auto"/>
        <w:left w:val="none" w:sz="0" w:space="0" w:color="auto"/>
        <w:bottom w:val="none" w:sz="0" w:space="0" w:color="auto"/>
        <w:right w:val="none" w:sz="0" w:space="0" w:color="auto"/>
      </w:divBdr>
    </w:div>
    <w:div w:id="1759906105">
      <w:bodyDiv w:val="1"/>
      <w:marLeft w:val="0"/>
      <w:marRight w:val="0"/>
      <w:marTop w:val="0"/>
      <w:marBottom w:val="0"/>
      <w:divBdr>
        <w:top w:val="none" w:sz="0" w:space="0" w:color="auto"/>
        <w:left w:val="none" w:sz="0" w:space="0" w:color="auto"/>
        <w:bottom w:val="none" w:sz="0" w:space="0" w:color="auto"/>
        <w:right w:val="none" w:sz="0" w:space="0" w:color="auto"/>
      </w:divBdr>
    </w:div>
    <w:div w:id="1762873557">
      <w:bodyDiv w:val="1"/>
      <w:marLeft w:val="0"/>
      <w:marRight w:val="0"/>
      <w:marTop w:val="0"/>
      <w:marBottom w:val="0"/>
      <w:divBdr>
        <w:top w:val="none" w:sz="0" w:space="0" w:color="auto"/>
        <w:left w:val="none" w:sz="0" w:space="0" w:color="auto"/>
        <w:bottom w:val="none" w:sz="0" w:space="0" w:color="auto"/>
        <w:right w:val="none" w:sz="0" w:space="0" w:color="auto"/>
      </w:divBdr>
    </w:div>
    <w:div w:id="1838837808">
      <w:bodyDiv w:val="1"/>
      <w:marLeft w:val="0"/>
      <w:marRight w:val="0"/>
      <w:marTop w:val="0"/>
      <w:marBottom w:val="0"/>
      <w:divBdr>
        <w:top w:val="none" w:sz="0" w:space="0" w:color="auto"/>
        <w:left w:val="none" w:sz="0" w:space="0" w:color="auto"/>
        <w:bottom w:val="none" w:sz="0" w:space="0" w:color="auto"/>
        <w:right w:val="none" w:sz="0" w:space="0" w:color="auto"/>
      </w:divBdr>
    </w:div>
    <w:div w:id="1890873158">
      <w:bodyDiv w:val="1"/>
      <w:marLeft w:val="0"/>
      <w:marRight w:val="0"/>
      <w:marTop w:val="0"/>
      <w:marBottom w:val="0"/>
      <w:divBdr>
        <w:top w:val="none" w:sz="0" w:space="0" w:color="auto"/>
        <w:left w:val="none" w:sz="0" w:space="0" w:color="auto"/>
        <w:bottom w:val="none" w:sz="0" w:space="0" w:color="auto"/>
        <w:right w:val="none" w:sz="0" w:space="0" w:color="auto"/>
      </w:divBdr>
    </w:div>
    <w:div w:id="1892619784">
      <w:bodyDiv w:val="1"/>
      <w:marLeft w:val="0"/>
      <w:marRight w:val="0"/>
      <w:marTop w:val="0"/>
      <w:marBottom w:val="0"/>
      <w:divBdr>
        <w:top w:val="none" w:sz="0" w:space="0" w:color="auto"/>
        <w:left w:val="none" w:sz="0" w:space="0" w:color="auto"/>
        <w:bottom w:val="none" w:sz="0" w:space="0" w:color="auto"/>
        <w:right w:val="none" w:sz="0" w:space="0" w:color="auto"/>
      </w:divBdr>
    </w:div>
    <w:div w:id="1949045256">
      <w:bodyDiv w:val="1"/>
      <w:marLeft w:val="0"/>
      <w:marRight w:val="0"/>
      <w:marTop w:val="0"/>
      <w:marBottom w:val="0"/>
      <w:divBdr>
        <w:top w:val="none" w:sz="0" w:space="0" w:color="auto"/>
        <w:left w:val="none" w:sz="0" w:space="0" w:color="auto"/>
        <w:bottom w:val="none" w:sz="0" w:space="0" w:color="auto"/>
        <w:right w:val="none" w:sz="0" w:space="0" w:color="auto"/>
      </w:divBdr>
    </w:div>
    <w:div w:id="20047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975.2015.1030817" TargetMode="External"/><Relationship Id="rId13" Type="http://schemas.openxmlformats.org/officeDocument/2006/relationships/hyperlink" Target="https://doi.org/10.1016/j.jenvman.2019.1101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aj.org/article/6db2e1e8ad6c49b892b1c58f2a6f8e00?utm_source=chatgpt.com" TargetMode="External"/><Relationship Id="rId12" Type="http://schemas.openxmlformats.org/officeDocument/2006/relationships/hyperlink" Target="https://www.sciencedirect.com/science/article/pii/S095965262031184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lepro.2016.12.087" TargetMode="External"/><Relationship Id="rId5" Type="http://schemas.openxmlformats.org/officeDocument/2006/relationships/footnotes" Target="footnotes.xml"/><Relationship Id="rId15" Type="http://schemas.openxmlformats.org/officeDocument/2006/relationships/hyperlink" Target="https://onlinelibrary.wiley.com/doi/abs/10.1002/bsd2.133" TargetMode="External"/><Relationship Id="rId10" Type="http://schemas.openxmlformats.org/officeDocument/2006/relationships/hyperlink" Target="https://doi.org/10.1177/23970022110250020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5539/ijbm.v7n21p25" TargetMode="External"/><Relationship Id="rId14" Type="http://schemas.openxmlformats.org/officeDocument/2006/relationships/hyperlink" Target="https://doi.org/10.1111/j.1468-2370.2011.0032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22</Pages>
  <Words>10817</Words>
  <Characters>61657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Editor-90</cp:lastModifiedBy>
  <cp:revision>54</cp:revision>
  <dcterms:created xsi:type="dcterms:W3CDTF">2025-11-13T15:48:00Z</dcterms:created>
  <dcterms:modified xsi:type="dcterms:W3CDTF">2026-01-10T08:25:00Z</dcterms:modified>
</cp:coreProperties>
</file>