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387F8" w14:textId="30B39C98" w:rsidR="003607E2" w:rsidRDefault="001C35CA" w:rsidP="00055D83">
      <w:pPr>
        <w:spacing w:before="0" w:line="240" w:lineRule="auto"/>
        <w:jc w:val="center"/>
        <w:rPr>
          <w:rFonts w:cs="Times New Roman"/>
          <w:b/>
          <w:bCs/>
          <w:color w:val="000000" w:themeColor="text1"/>
          <w:sz w:val="36"/>
          <w:szCs w:val="36"/>
        </w:rPr>
      </w:pPr>
      <w:r w:rsidRPr="001C35CA">
        <w:rPr>
          <w:rFonts w:cs="Times New Roman"/>
          <w:b/>
          <w:bCs/>
          <w:color w:val="000000" w:themeColor="text1"/>
          <w:sz w:val="36"/>
          <w:szCs w:val="36"/>
        </w:rPr>
        <w:t>FIRM CHARACTERISTICS AND PROFITABILITY OF SAVINGS AND CREDIT COOPERATIVE SOCIETIES IN LAIKIPIA COUNTY, KENYA</w:t>
      </w:r>
    </w:p>
    <w:p w14:paraId="758B4124" w14:textId="77777777" w:rsidR="001C35CA" w:rsidRPr="007A56B8" w:rsidRDefault="001C35CA"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26A1F76F" w14:textId="77777777" w:rsidR="00DD21C0" w:rsidRPr="007A56B8" w:rsidRDefault="00DD21C0" w:rsidP="00055D83">
      <w:pPr>
        <w:spacing w:before="0" w:line="240" w:lineRule="auto"/>
        <w:jc w:val="center"/>
        <w:rPr>
          <w:rFonts w:cs="Times New Roman"/>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4AE32A81" w14:textId="14BC67EC" w:rsidR="001C35CA" w:rsidRPr="001C35CA" w:rsidRDefault="001C35CA" w:rsidP="001C35CA">
      <w:pPr>
        <w:spacing w:line="240" w:lineRule="auto"/>
        <w:rPr>
          <w:rFonts w:cs="Times New Roman"/>
          <w:color w:val="000000" w:themeColor="text1"/>
          <w:szCs w:val="24"/>
        </w:rPr>
      </w:pPr>
      <w:r w:rsidRPr="001C35CA">
        <w:rPr>
          <w:rFonts w:cs="Times New Roman"/>
          <w:color w:val="000000" w:themeColor="text1"/>
          <w:szCs w:val="24"/>
        </w:rPr>
        <w:t xml:space="preserve">The profitability of Savings and Credit Cooperative Societies (SACCOs) in Kenya has exhibited fluctuating trends despite their pivotal role in fostering financial inclusion and economic empowerment. </w:t>
      </w:r>
      <w:r w:rsidR="005228FC" w:rsidRPr="007E067A">
        <w:rPr>
          <w:rFonts w:cs="Times New Roman"/>
          <w:color w:val="000000" w:themeColor="text1"/>
          <w:szCs w:val="24"/>
          <w:highlight w:val="yellow"/>
        </w:rPr>
        <w:t>Across Africa, SACCOs have experienced remarkable expansion as vehicles for mobilizing savings and providing affordable credit to low and middle-income populations. More than seven percent of Africa’s population is affiliated with cooperative organizations.</w:t>
      </w:r>
      <w:r w:rsidR="005228FC">
        <w:rPr>
          <w:rFonts w:cs="Times New Roman"/>
          <w:color w:val="000000" w:themeColor="text1"/>
          <w:szCs w:val="24"/>
        </w:rPr>
        <w:t xml:space="preserve"> </w:t>
      </w:r>
      <w:r w:rsidRPr="001C35CA">
        <w:rPr>
          <w:rFonts w:cs="Times New Roman"/>
          <w:color w:val="000000" w:themeColor="text1"/>
          <w:szCs w:val="24"/>
        </w:rPr>
        <w:t>In Laikipia County, several SACCOs have experienced profit declines or closure, largely due to competition, financial limitations, and weak management practices. Although numerous studies have explored the relationship between firm characteristics and profitability across different sectors, limited empirical evidence exists regarding SACCOs in Kenya. This study aimed to examine the effect of firm characteristics</w:t>
      </w:r>
      <w:r w:rsidR="00E550A5">
        <w:rPr>
          <w:rFonts w:cs="Times New Roman"/>
          <w:color w:val="000000" w:themeColor="text1"/>
          <w:szCs w:val="24"/>
        </w:rPr>
        <w:t xml:space="preserve"> </w:t>
      </w:r>
      <w:r w:rsidRPr="001C35CA">
        <w:rPr>
          <w:rFonts w:cs="Times New Roman"/>
          <w:color w:val="000000" w:themeColor="text1"/>
          <w:szCs w:val="24"/>
        </w:rPr>
        <w:t>specifically firm age, liquidity, capital structure, and firm size</w:t>
      </w:r>
      <w:r w:rsidR="00E550A5">
        <w:rPr>
          <w:rFonts w:cs="Times New Roman"/>
          <w:color w:val="000000" w:themeColor="text1"/>
          <w:szCs w:val="24"/>
        </w:rPr>
        <w:t xml:space="preserve"> </w:t>
      </w:r>
      <w:r w:rsidRPr="001C35CA">
        <w:rPr>
          <w:rFonts w:cs="Times New Roman"/>
          <w:color w:val="000000" w:themeColor="text1"/>
          <w:szCs w:val="24"/>
        </w:rPr>
        <w:t>on the profitability of SACCOs in Laikipia County. Anchored on the pecking order, agency, and information signalling theories, the study employed a causal research design utilizing secondary panel data from SACCO financial reports covering 2018–2022. A stratified random sample of 43 SACCOs was drawn from the 150 registered under the County Government of Laikipia. Data analysis involved descriptive statistics and panel regression techniques, complemented by diagnostic tests for multicollinearity, heteroskedasticity, and random effects. The regression model explained 71.8% of the variation in profitability (R² = 0.718). Results revealed that firm size (p = 0.00</w:t>
      </w:r>
      <w:r w:rsidR="008438B8">
        <w:rPr>
          <w:rFonts w:cs="Times New Roman"/>
          <w:color w:val="000000" w:themeColor="text1"/>
          <w:szCs w:val="24"/>
        </w:rPr>
        <w:t>5</w:t>
      </w:r>
      <w:r w:rsidRPr="001C35CA">
        <w:rPr>
          <w:rFonts w:cs="Times New Roman"/>
          <w:color w:val="000000" w:themeColor="text1"/>
          <w:szCs w:val="24"/>
        </w:rPr>
        <w:t>), liquidity (p = 0.011), capital structure (p = 0.037), and firm age (p = 0.026) significantly influenced profitability. The study concludes that larger and older SACCOs leverage economies of scale and institutional experience, while sound liquidity management and balanced capital structures enhance performance. The study recommends policy reviews to incorporate firm age and size in SACCO evaluation, alongside strategic asset expansion and prudent liquidity management.</w:t>
      </w:r>
      <w:r w:rsidR="00647405">
        <w:rPr>
          <w:rFonts w:cs="Times New Roman"/>
          <w:color w:val="000000" w:themeColor="text1"/>
          <w:szCs w:val="24"/>
        </w:rPr>
        <w:t xml:space="preserve"> </w:t>
      </w:r>
      <w:r w:rsidR="00647405" w:rsidRPr="007E067A">
        <w:rPr>
          <w:highlight w:val="yellow"/>
        </w:rPr>
        <w:t>SACCO leaders and policymakers should promote capacity building and adopt technology-driven systems for financial planning and reporting. Regulatory bodies such as SASRA should revise policies to enhance profitability ratios, compliance, and risk management.</w:t>
      </w:r>
    </w:p>
    <w:p w14:paraId="07E26CA9" w14:textId="77777777" w:rsidR="001C35CA" w:rsidRPr="001C35CA" w:rsidRDefault="001C35CA" w:rsidP="001C35CA">
      <w:pPr>
        <w:spacing w:line="240" w:lineRule="auto"/>
        <w:rPr>
          <w:rFonts w:cs="Times New Roman"/>
          <w:color w:val="000000" w:themeColor="text1"/>
          <w:szCs w:val="24"/>
        </w:rPr>
      </w:pPr>
    </w:p>
    <w:p w14:paraId="39819B43" w14:textId="3DDDA760" w:rsidR="00500683" w:rsidRPr="007A56B8" w:rsidRDefault="001C35CA" w:rsidP="001C35CA">
      <w:pPr>
        <w:spacing w:line="240" w:lineRule="auto"/>
        <w:rPr>
          <w:rFonts w:cs="Times New Roman"/>
          <w:color w:val="000000" w:themeColor="text1"/>
          <w:szCs w:val="24"/>
        </w:rPr>
      </w:pPr>
      <w:r w:rsidRPr="001C35CA">
        <w:rPr>
          <w:rFonts w:cs="Times New Roman"/>
          <w:b/>
          <w:color w:val="000000" w:themeColor="text1"/>
          <w:szCs w:val="24"/>
        </w:rPr>
        <w:t>Keywords:</w:t>
      </w:r>
      <w:r>
        <w:rPr>
          <w:rFonts w:cs="Times New Roman"/>
          <w:color w:val="000000" w:themeColor="text1"/>
          <w:szCs w:val="24"/>
        </w:rPr>
        <w:t xml:space="preserve"> </w:t>
      </w:r>
      <w:r w:rsidRPr="001C35CA">
        <w:rPr>
          <w:rFonts w:cs="Times New Roman"/>
          <w:i/>
          <w:color w:val="000000" w:themeColor="text1"/>
          <w:szCs w:val="24"/>
        </w:rPr>
        <w:t>SACCOs, Profitability, Firm Characteristics, Liquidity, Capital Structure, Firm Size, Firm Age,</w:t>
      </w:r>
      <w:r w:rsidRPr="001C35CA">
        <w:rPr>
          <w:rFonts w:cs="Times New Roman"/>
          <w:color w:val="000000" w:themeColor="text1"/>
          <w:szCs w:val="24"/>
        </w:rPr>
        <w:t xml:space="preserve"> </w:t>
      </w:r>
    </w:p>
    <w:p w14:paraId="3C2E1B6D" w14:textId="77777777" w:rsidR="00500683" w:rsidRPr="007A56B8" w:rsidRDefault="00500683" w:rsidP="00500683">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78BD78B9" w14:textId="1AC6B8B2" w:rsidR="001C35CA" w:rsidRPr="007E067A" w:rsidRDefault="001C35CA" w:rsidP="007E067A">
      <w:pPr>
        <w:shd w:val="clear" w:color="auto" w:fill="FFFFFF"/>
        <w:spacing w:line="240" w:lineRule="auto"/>
        <w:rPr>
          <w:rFonts w:cs="Times New Roman"/>
          <w:color w:val="000000" w:themeColor="text1"/>
          <w:szCs w:val="24"/>
        </w:rPr>
      </w:pPr>
      <w:r w:rsidRPr="001C35CA">
        <w:rPr>
          <w:rFonts w:cs="Times New Roman"/>
          <w:color w:val="000000" w:themeColor="text1"/>
          <w:szCs w:val="24"/>
        </w:rPr>
        <w:t>Profitability is a central pillar of business performance and a vital measure of financial success. It reflects an organization’s ability to generate earnings relative to its resources, thereby determining its sustainability and long-term viability (Pacific Crest Group, 2023). As a critical financial objective, profitability assesses how efficiently a firm utilizes its assets and manages operations to achieve optimal returns. Within cooperative societies, profitability signifies the extent to which members’ contributions yield tangible benefits such as enhanced savings, affordable credit access, and financial security. It is not merely a measure of financial gain but an indicator of economic empowerment and organizational sustainability.</w:t>
      </w:r>
      <w:r w:rsidR="007E067A">
        <w:rPr>
          <w:rFonts w:cs="Times New Roman"/>
          <w:color w:val="000000" w:themeColor="text1"/>
          <w:szCs w:val="24"/>
        </w:rPr>
        <w:t xml:space="preserve"> </w:t>
      </w:r>
      <w:r w:rsidR="007E067A" w:rsidRPr="007E067A">
        <w:rPr>
          <w:rFonts w:cs="Times New Roman"/>
          <w:color w:val="000000" w:themeColor="text1"/>
          <w:szCs w:val="24"/>
          <w:highlight w:val="yellow"/>
        </w:rPr>
        <w:t xml:space="preserve">Deposit-Taking   Savings   and   Credit   Cooperative   Societies   have   faced   significant challenges that </w:t>
      </w:r>
      <w:bookmarkStart w:id="2" w:name="_GoBack"/>
      <w:bookmarkEnd w:id="2"/>
      <w:r w:rsidR="007E067A" w:rsidRPr="007E067A">
        <w:rPr>
          <w:rFonts w:cs="Times New Roman"/>
          <w:color w:val="000000" w:themeColor="text1"/>
          <w:szCs w:val="24"/>
          <w:highlight w:val="yellow"/>
        </w:rPr>
        <w:t>have adversely</w:t>
      </w:r>
      <w:r w:rsidR="007E067A" w:rsidRPr="007E067A">
        <w:rPr>
          <w:rFonts w:cs="Times New Roman"/>
          <w:color w:val="000000" w:themeColor="text1"/>
          <w:szCs w:val="24"/>
          <w:highlight w:val="yellow"/>
        </w:rPr>
        <w:t xml:space="preserve">  impacted  their  financial  performance.  While  existing  </w:t>
      </w:r>
      <w:r w:rsidR="007E067A" w:rsidRPr="007E067A">
        <w:rPr>
          <w:rFonts w:cs="Times New Roman"/>
          <w:color w:val="000000" w:themeColor="text1"/>
          <w:szCs w:val="24"/>
          <w:highlight w:val="yellow"/>
        </w:rPr>
        <w:lastRenderedPageBreak/>
        <w:t>literature  has linked  financial  performance  to  financial  characteristics,  there  remain  conceptual  and  contextual gaps  in  empirical  research (</w:t>
      </w:r>
      <w:r w:rsidR="007E067A" w:rsidRPr="007E067A">
        <w:rPr>
          <w:rFonts w:ascii="Arial" w:hAnsi="Arial" w:cs="Arial"/>
          <w:sz w:val="20"/>
          <w:szCs w:val="20"/>
          <w:highlight w:val="yellow"/>
          <w:shd w:val="clear" w:color="auto" w:fill="FFFFFF"/>
        </w:rPr>
        <w:t>Tarus and Simiyu. 2024; Mukwiye &amp; Kengere, 2025</w:t>
      </w:r>
      <w:r w:rsidR="007E067A">
        <w:rPr>
          <w:rFonts w:cs="Times New Roman"/>
          <w:color w:val="000000" w:themeColor="text1"/>
          <w:szCs w:val="24"/>
          <w:highlight w:val="yellow"/>
        </w:rPr>
        <w:t>)</w:t>
      </w:r>
      <w:r w:rsidR="007E067A" w:rsidRPr="007E067A">
        <w:rPr>
          <w:rFonts w:cs="Times New Roman"/>
          <w:color w:val="000000" w:themeColor="text1"/>
          <w:szCs w:val="24"/>
          <w:highlight w:val="yellow"/>
        </w:rPr>
        <w:t>.</w:t>
      </w:r>
    </w:p>
    <w:p w14:paraId="3809F9BA" w14:textId="598BC2F0"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Globally, cooperative organizations, including Savings and Credit Cooperative Societies (SACCOs), have played a transformative role in promoting financial inclusion and social development. The cooperative movement, which originated in 19th-century Europe, emerged from efforts by working-class groups to create mutual financial support mechanisms. Currently, cooperatives serve over one billion members worldwide and employ approximately 250 million people (International Labour Organization, 2024). Their contribution to global economic and social welfare underscores the importance of profitability as a cornerstone for sustainability, competitiveness, and continued service delivery.</w:t>
      </w:r>
      <w:r w:rsidR="00647405">
        <w:rPr>
          <w:rFonts w:cs="Times New Roman"/>
          <w:color w:val="000000" w:themeColor="text1"/>
          <w:szCs w:val="24"/>
        </w:rPr>
        <w:t xml:space="preserve"> </w:t>
      </w:r>
      <w:r w:rsidR="00647405" w:rsidRPr="007E067A">
        <w:rPr>
          <w:highlight w:val="yellow"/>
        </w:rPr>
        <w:t>Kenya’s SACCO sector stands as the largest in the African and seventh global contexts respectively. Kenya’s SACCO movement comprises of 20 percent savings of the country. This therefore implies that SACCOs remain important to the social development and economy of Kenya. DT SACCOs in Kenya are registered and licensed for purposes of providing variety of services and products to customers and as well as members. They therefore carry out vital functions of promoting access to saving and credit and thrift culture in the economy of Kenya. In Kenya, a number of SACCOs have gone through rapid transformation over the years which have brought their existence to the common man</w:t>
      </w:r>
      <w:r w:rsidR="00647405">
        <w:rPr>
          <w:highlight w:val="yellow"/>
        </w:rPr>
        <w:t xml:space="preserve"> (</w:t>
      </w:r>
      <w:r w:rsidR="00647405" w:rsidRPr="00CB3B75">
        <w:rPr>
          <w:rFonts w:ascii="Arial" w:hAnsi="Arial" w:cs="Arial"/>
          <w:color w:val="222222"/>
          <w:sz w:val="20"/>
          <w:szCs w:val="20"/>
          <w:highlight w:val="yellow"/>
          <w:shd w:val="clear" w:color="auto" w:fill="FFFFFF"/>
        </w:rPr>
        <w:t>Menicucci</w:t>
      </w:r>
      <w:r w:rsidR="00647405">
        <w:rPr>
          <w:rFonts w:ascii="Arial" w:hAnsi="Arial" w:cs="Arial"/>
          <w:color w:val="222222"/>
          <w:sz w:val="20"/>
          <w:szCs w:val="20"/>
          <w:highlight w:val="yellow"/>
          <w:shd w:val="clear" w:color="auto" w:fill="FFFFFF"/>
        </w:rPr>
        <w:t>, 2018</w:t>
      </w:r>
      <w:r w:rsidR="00647405">
        <w:rPr>
          <w:highlight w:val="yellow"/>
        </w:rPr>
        <w:t>)</w:t>
      </w:r>
      <w:r w:rsidR="00647405" w:rsidRPr="007E067A">
        <w:rPr>
          <w:highlight w:val="yellow"/>
        </w:rPr>
        <w:t>.</w:t>
      </w:r>
    </w:p>
    <w:p w14:paraId="1521D872"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Across Africa, SACCOs have experienced remarkable expansion as vehicles for mobilizing savings and providing affordable credit to low and middle-income populations. More than seven percent of Africa’s population is affiliated with cooperative organizations (The Alliance Africa, 2018). In Uganda, for example, SACCOs have significantly improved financial access for teachers and informal sector workers (Nnyanja, 2017). The World Council of Credit Unions notes that over 20 African nations collectively host at least 11,849 SACCOs (Ahurira, 2018), reflecting their growing significance in poverty reduction, entrepreneurship, and community-based economic development.</w:t>
      </w:r>
    </w:p>
    <w:p w14:paraId="732ACA3A"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In Kenya, the cooperative movement traces its roots to 1908 in Lumbwa (present-day Kipkelion), where early cooperatives were formed by white settlers (Atola &amp; Oduor, 2017). The enactment of the Cooperative Societies Act of 1966, and its subsequent amendments, provided a legal framework for cooperative operations and strengthened governance structures (Mwatu &amp; Abdul, 2018). Today, Kenya’s cooperative sector is among the most dynamic globally, comprising more than 26,000 registered cooperatives with a membership exceeding 14 million individuals and an asset base estimated at KSh 1.3 trillion (KUSSCO, 2023). SACCOs play a central role in realizing Kenya Vision 2030, which envisions a prosperous and globally competitive nation. By promoting savings mobilization and financial intermediation, SACCOs transform deposits into productive investments that foster economic growth and poverty reduction (Republic of Kenya, 2022).</w:t>
      </w:r>
    </w:p>
    <w:p w14:paraId="15EBC602" w14:textId="5337BE23"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Profitability among SACCOs is shaped by various firm-specific characteristics, including firm size, liquidity, capital structure, and firm age. These factors influence an organization’s financial stability, operational efficiency, and sustainability. Larger SACCOs, for instance, enjoy economies of scale that enhance profitability, while adequate liquidity ensures their ability to meet short-term obligations and sustain lending operations. Decisions regarding capital structure</w:t>
      </w:r>
      <w:r w:rsidR="00E550A5">
        <w:rPr>
          <w:rFonts w:cs="Times New Roman"/>
          <w:color w:val="000000" w:themeColor="text1"/>
          <w:szCs w:val="24"/>
        </w:rPr>
        <w:t xml:space="preserve"> </w:t>
      </w:r>
      <w:r w:rsidRPr="001C35CA">
        <w:rPr>
          <w:rFonts w:cs="Times New Roman"/>
          <w:color w:val="000000" w:themeColor="text1"/>
          <w:szCs w:val="24"/>
        </w:rPr>
        <w:t>the balance between debt and equity</w:t>
      </w:r>
      <w:r w:rsidR="00E550A5">
        <w:rPr>
          <w:rFonts w:cs="Times New Roman"/>
          <w:color w:val="000000" w:themeColor="text1"/>
          <w:szCs w:val="24"/>
        </w:rPr>
        <w:t xml:space="preserve"> </w:t>
      </w:r>
      <w:r w:rsidRPr="001C35CA">
        <w:rPr>
          <w:rFonts w:cs="Times New Roman"/>
          <w:color w:val="000000" w:themeColor="text1"/>
          <w:szCs w:val="24"/>
        </w:rPr>
        <w:t>affect earnings, risk exposure, and financial flexibility. Meanwhile, firm age reflects accumulated experience, institutional maturity, and managerial competence, which often translate to operational stability and trust among members (Kinyua, 2022; Kanda et al., 2019; Kartiningsih &amp; Daryanto, 2020; Kwaltommai et al., 2019).</w:t>
      </w:r>
    </w:p>
    <w:p w14:paraId="5FDD5E42" w14:textId="5ECD1A3C"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According to Kinyua (2022), firm characteristics are the core determinants of organizational success. This study focuses on four major attributes</w:t>
      </w:r>
      <w:r w:rsidR="00E550A5">
        <w:rPr>
          <w:rFonts w:cs="Times New Roman"/>
          <w:color w:val="000000" w:themeColor="text1"/>
          <w:szCs w:val="24"/>
        </w:rPr>
        <w:t xml:space="preserve"> </w:t>
      </w:r>
      <w:r w:rsidRPr="001C35CA">
        <w:rPr>
          <w:rFonts w:cs="Times New Roman"/>
          <w:color w:val="000000" w:themeColor="text1"/>
          <w:szCs w:val="24"/>
        </w:rPr>
        <w:t>firm size, liquidity, capital structure, and firm age</w:t>
      </w:r>
      <w:r w:rsidR="00E550A5">
        <w:rPr>
          <w:rFonts w:cs="Times New Roman"/>
          <w:color w:val="000000" w:themeColor="text1"/>
          <w:szCs w:val="24"/>
        </w:rPr>
        <w:t xml:space="preserve"> </w:t>
      </w:r>
      <w:r w:rsidRPr="001C35CA">
        <w:rPr>
          <w:rFonts w:cs="Times New Roman"/>
          <w:color w:val="000000" w:themeColor="text1"/>
          <w:szCs w:val="24"/>
        </w:rPr>
        <w:t>based on their established influence on financial performance. Empirical evidence indicates that firm size and firm age positively affect profitability (Kwaltommai et al., 2019), liquidity enhances operational efficiency (Kartiningsih &amp; Daryanto, 2020), and capital structure decisions shape competitiveness and earnings potential (Kanda et al., 2019). Understanding how these characteristics interact to influence SACCO profitability is vital for improving financial performance and competitiveness, particularly in Laikipia County, Kenya.</w:t>
      </w:r>
    </w:p>
    <w:p w14:paraId="4580B375" w14:textId="704EBAF9"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lastRenderedPageBreak/>
        <w:t>Firm characteristics are internal and external factors that determine a firm’s operational and financial performance. Poor management of liquidity, leverage, and asset structure can erode a firm’s competitive advantage (Ochola, 2018). These characteristics may be financial</w:t>
      </w:r>
      <w:r w:rsidR="00E550A5">
        <w:rPr>
          <w:rFonts w:cs="Times New Roman"/>
          <w:color w:val="000000" w:themeColor="text1"/>
          <w:szCs w:val="24"/>
        </w:rPr>
        <w:t xml:space="preserve"> </w:t>
      </w:r>
      <w:r w:rsidRPr="001C35CA">
        <w:rPr>
          <w:rFonts w:cs="Times New Roman"/>
          <w:color w:val="000000" w:themeColor="text1"/>
          <w:szCs w:val="24"/>
        </w:rPr>
        <w:t>such as firm size, leverage, or liquidity</w:t>
      </w:r>
      <w:r w:rsidR="00E550A5">
        <w:rPr>
          <w:rFonts w:cs="Times New Roman"/>
          <w:color w:val="000000" w:themeColor="text1"/>
          <w:szCs w:val="24"/>
        </w:rPr>
        <w:t xml:space="preserve"> </w:t>
      </w:r>
      <w:r w:rsidRPr="001C35CA">
        <w:rPr>
          <w:rFonts w:cs="Times New Roman"/>
          <w:color w:val="000000" w:themeColor="text1"/>
          <w:szCs w:val="24"/>
        </w:rPr>
        <w:t>or non-financial, including age and ownership structure (Seran, 2022). According to Smith et al. (2020), they can be categorized into structural (firm age, size, and ownership), market-related (industry type and environmental uncertainty), and capital-related variables (liquidity and capital intensity).</w:t>
      </w:r>
    </w:p>
    <w:p w14:paraId="3147CA94" w14:textId="6183C3AA"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Internal firm characteristics, which include firm age, firm size, liquidity, and capital structure, are controllable by management and can be evaluated through financial statements. Conversely, external factors such as government regulations and competition affect all firms within a given environment (Charles et al., 2018).</w:t>
      </w:r>
      <w:r>
        <w:rPr>
          <w:rFonts w:cs="Times New Roman"/>
          <w:color w:val="000000" w:themeColor="text1"/>
          <w:szCs w:val="24"/>
        </w:rPr>
        <w:t xml:space="preserve"> </w:t>
      </w:r>
      <w:r w:rsidRPr="001C35CA">
        <w:rPr>
          <w:rFonts w:cs="Times New Roman"/>
          <w:color w:val="000000" w:themeColor="text1"/>
          <w:szCs w:val="24"/>
        </w:rPr>
        <w:t>Liquidity refers to a firm’s capacity to meet short-term financial obligations. Burksaitiene and Draugele (2018) argue that higher equity financing reduces liquidity risk, whereas excessive debt financing increases it. A liquid SACCO can promptly meet financial commitments, maintain stability, and support member confidence.</w:t>
      </w:r>
    </w:p>
    <w:p w14:paraId="0F114BE2" w14:textId="58E21779"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Firm size</w:t>
      </w:r>
      <w:r w:rsidR="00E550A5">
        <w:rPr>
          <w:rFonts w:cs="Times New Roman"/>
          <w:color w:val="000000" w:themeColor="text1"/>
          <w:szCs w:val="24"/>
        </w:rPr>
        <w:t xml:space="preserve"> </w:t>
      </w:r>
      <w:r w:rsidRPr="001C35CA">
        <w:rPr>
          <w:rFonts w:cs="Times New Roman"/>
          <w:color w:val="000000" w:themeColor="text1"/>
          <w:szCs w:val="24"/>
        </w:rPr>
        <w:t>measured by total assets, sales, or membership base</w:t>
      </w:r>
      <w:r w:rsidR="00E550A5">
        <w:rPr>
          <w:rFonts w:cs="Times New Roman"/>
          <w:color w:val="000000" w:themeColor="text1"/>
          <w:szCs w:val="24"/>
        </w:rPr>
        <w:t xml:space="preserve"> </w:t>
      </w:r>
      <w:r w:rsidRPr="001C35CA">
        <w:rPr>
          <w:rFonts w:cs="Times New Roman"/>
          <w:color w:val="000000" w:themeColor="text1"/>
          <w:szCs w:val="24"/>
        </w:rPr>
        <w:t>has a significant influence on leverage and profitability (Jahidur, 2021). Larger SACCOs often enjoy cost advantages through economies of scale (Hashmi et al., 2020). However, small and medium-sized SACCOs face liquidity risks due to lower cash reserves and higher exposure to loan defaults (Kirimi et al., 2017).</w:t>
      </w:r>
    </w:p>
    <w:p w14:paraId="7FC63108" w14:textId="0A1FB342"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Capital structure denotes the combination of debt and equity used to finance operations (Seaman et al., 2018). An optimal capital structure minimizes the cost of capital while maximizing returns. Poorly structured leverage, however, can reduce profitability due to interest expenses and debt repayment obligations (Odondi, 2022).</w:t>
      </w:r>
      <w:r>
        <w:rPr>
          <w:rFonts w:cs="Times New Roman"/>
          <w:color w:val="000000" w:themeColor="text1"/>
          <w:szCs w:val="24"/>
        </w:rPr>
        <w:t xml:space="preserve"> </w:t>
      </w:r>
      <w:r w:rsidRPr="001C35CA">
        <w:rPr>
          <w:rFonts w:cs="Times New Roman"/>
          <w:color w:val="000000" w:themeColor="text1"/>
          <w:szCs w:val="24"/>
        </w:rPr>
        <w:t>Firm age also plays a vital role in performance outcomes. Older SACCOs typically possess stronger institutional frameworks, larger asset bases, and higher member trust, contributing positively to profitability (Ariyani et al., 2019). In contrast, younger SACCOs may struggle with limited capital, inexperienced management, and lower brand credibility (Jahidur, 2021).</w:t>
      </w:r>
    </w:p>
    <w:p w14:paraId="5170557F"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Profitability is the ultimate indicator of business success and sustainability. It represents the firm’s ability to generate adequate returns relative to investments and assets employed (Kanda et al., 2019). It is also a signal of operational efficiency, managerial competence, and financial health (Charles et al., 2018). Profitability determines a firm’s capacity to grow, attract investors, and withstand economic shocks.</w:t>
      </w:r>
    </w:p>
    <w:p w14:paraId="7A8894DA" w14:textId="12D6DEEE"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Analytical measures of profitability fall into two categories: margin ratios and return ratios. Margin ratios</w:t>
      </w:r>
      <w:r w:rsidR="00E550A5">
        <w:rPr>
          <w:rFonts w:cs="Times New Roman"/>
          <w:color w:val="000000" w:themeColor="text1"/>
          <w:szCs w:val="24"/>
        </w:rPr>
        <w:t xml:space="preserve"> </w:t>
      </w:r>
      <w:r w:rsidRPr="001C35CA">
        <w:rPr>
          <w:rFonts w:cs="Times New Roman"/>
          <w:color w:val="000000" w:themeColor="text1"/>
          <w:szCs w:val="24"/>
        </w:rPr>
        <w:t>such as gross profit margin, net profit margin, and operating margin</w:t>
      </w:r>
      <w:r w:rsidR="00E550A5">
        <w:rPr>
          <w:rFonts w:cs="Times New Roman"/>
          <w:color w:val="000000" w:themeColor="text1"/>
          <w:szCs w:val="24"/>
        </w:rPr>
        <w:t xml:space="preserve"> </w:t>
      </w:r>
      <w:r w:rsidRPr="001C35CA">
        <w:rPr>
          <w:rFonts w:cs="Times New Roman"/>
          <w:color w:val="000000" w:themeColor="text1"/>
          <w:szCs w:val="24"/>
        </w:rPr>
        <w:t>indicate a firm’s efficiency in converting sales into profits. Return ratios</w:t>
      </w:r>
      <w:r w:rsidR="00E550A5">
        <w:rPr>
          <w:rFonts w:cs="Times New Roman"/>
          <w:color w:val="000000" w:themeColor="text1"/>
          <w:szCs w:val="24"/>
        </w:rPr>
        <w:t xml:space="preserve"> </w:t>
      </w:r>
      <w:r w:rsidRPr="001C35CA">
        <w:rPr>
          <w:rFonts w:cs="Times New Roman"/>
          <w:color w:val="000000" w:themeColor="text1"/>
          <w:szCs w:val="24"/>
        </w:rPr>
        <w:t>such as Return on Assets (ROA), Return on Equity (ROE), and Return on Capital Employed (ROCE)</w:t>
      </w:r>
      <w:r w:rsidR="00E550A5">
        <w:rPr>
          <w:rFonts w:cs="Times New Roman"/>
          <w:color w:val="000000" w:themeColor="text1"/>
          <w:szCs w:val="24"/>
        </w:rPr>
        <w:t xml:space="preserve"> </w:t>
      </w:r>
      <w:r w:rsidRPr="001C35CA">
        <w:rPr>
          <w:rFonts w:cs="Times New Roman"/>
          <w:color w:val="000000" w:themeColor="text1"/>
          <w:szCs w:val="24"/>
        </w:rPr>
        <w:t>evaluate the firm’s capacity to generate returns for its owners (Dorian et al., 2019).</w:t>
      </w:r>
    </w:p>
    <w:p w14:paraId="39F9DDC4"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While SACCOs are not purely profit-driven, the surplus generated when revenues exceed expenses is a measure of their financial strength and sustainability. Most empirical studies adopt ROE as a proxy for profitability (Boshnak et al., 2021; Gichuru et al., 2019). Accordingly, this study employs ROE as the profitability indicator, while firm size, liquidity, capital structure, and firm age serve as explanatory variables.</w:t>
      </w:r>
    </w:p>
    <w:p w14:paraId="61963E33"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The Kenyan SACCO sector is classified into Deposit-Taking (DT) and Non-Deposit-Taking (Non-DT) SACCOs. Non-DT SACCOs are further grouped into regulated and non-regulated categories, supervised by either the SACCO Societies Regulatory Authority (SASRA) or the Office of the Commissioner for Cooperative Development (SASRA, 2023).</w:t>
      </w:r>
    </w:p>
    <w:p w14:paraId="408A58F9" w14:textId="3AFF3F45" w:rsidR="00416E73" w:rsidRPr="007A56B8"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According to the Kenya National Bureau of Statistics (2022), Laikipia County hosts 112 registered SACCOs</w:t>
      </w:r>
      <w:r w:rsidR="00E550A5">
        <w:rPr>
          <w:rFonts w:cs="Times New Roman"/>
          <w:color w:val="000000" w:themeColor="text1"/>
          <w:szCs w:val="24"/>
        </w:rPr>
        <w:t xml:space="preserve"> </w:t>
      </w:r>
      <w:r w:rsidRPr="001C35CA">
        <w:rPr>
          <w:rFonts w:cs="Times New Roman"/>
          <w:color w:val="000000" w:themeColor="text1"/>
          <w:szCs w:val="24"/>
        </w:rPr>
        <w:t>approximately 77.8% of the county’s total cooperatives. Their combined assets amount to KSh 3.72 billion, with loans totaling KSh 3.015 billion. However, about 25% of these SACCOs became inactive between 2017 and 2021, signaling potential sustainability challenges.</w:t>
      </w:r>
      <w:r>
        <w:rPr>
          <w:rFonts w:cs="Times New Roman"/>
          <w:color w:val="000000" w:themeColor="text1"/>
          <w:szCs w:val="24"/>
        </w:rPr>
        <w:t xml:space="preserve"> </w:t>
      </w:r>
      <w:r w:rsidRPr="001C35CA">
        <w:rPr>
          <w:rFonts w:cs="Times New Roman"/>
          <w:color w:val="000000" w:themeColor="text1"/>
          <w:szCs w:val="24"/>
        </w:rPr>
        <w:t xml:space="preserve">SACCOs in Laikipia are crucial in mobilizing savings, offering </w:t>
      </w:r>
      <w:r w:rsidRPr="001C35CA">
        <w:rPr>
          <w:rFonts w:cs="Times New Roman"/>
          <w:color w:val="000000" w:themeColor="text1"/>
          <w:szCs w:val="24"/>
        </w:rPr>
        <w:lastRenderedPageBreak/>
        <w:t>affordable loans, and promoting socio-economic development (Otieno, 2019). Growth in the sector is attributed to enhanced cooperative education, poverty reduction campaigns, and government support programs such as revolving funds provided by both county and national governments (Laikipia County Cooperative Office Records, 2023). These initiatives underscore the government’s recognition of cooperatives as key instruments for achieving Kenya’s socio-economic objectives (Odondi, 2022)</w:t>
      </w:r>
      <w:r w:rsidR="00185BCB" w:rsidRPr="007A56B8">
        <w:rPr>
          <w:rFonts w:cs="Times New Roman"/>
          <w:color w:val="000000" w:themeColor="text1"/>
          <w:szCs w:val="24"/>
        </w:rPr>
        <w:t>.</w:t>
      </w:r>
    </w:p>
    <w:p w14:paraId="48C38FDC" w14:textId="4C473802" w:rsidR="00055D83" w:rsidRPr="007A56B8" w:rsidRDefault="00055D83" w:rsidP="00CE4C91">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1.1 Research Problem</w:t>
      </w:r>
    </w:p>
    <w:p w14:paraId="27FDC211" w14:textId="5D44B69D" w:rsidR="00BD15A0" w:rsidRPr="007A56B8" w:rsidRDefault="00AE69E8" w:rsidP="004F5A5D">
      <w:pPr>
        <w:spacing w:after="240" w:line="240" w:lineRule="auto"/>
        <w:rPr>
          <w:rFonts w:cs="Times New Roman"/>
          <w:b/>
          <w:szCs w:val="24"/>
        </w:rPr>
      </w:pPr>
      <w:r w:rsidRPr="00AE69E8">
        <w:rPr>
          <w:rFonts w:cs="Times New Roman"/>
          <w:color w:val="000000" w:themeColor="text1"/>
          <w:szCs w:val="24"/>
        </w:rPr>
        <w:t>Savings and Credit Cooperative Societies (SACCOs) are vital for financial inclusion, savings mobilization, and affordable credit provision, contributing significantly to Kenya’s socio-economic growth. However, in Laikipia County, their financial performance has been inconsistent, raising concerns over profitability and sustainability. Despite their importance, SACCOs face increasing competition from commercial banks, weak governance, poor investment choices, and inadequate risk management. Reports indicate irregular turnover and fluctuating profitability, with Return on Equity showing persistent instability. Empirical evidence suggests that firm characteristics</w:t>
      </w:r>
      <w:r w:rsidR="00E550A5">
        <w:rPr>
          <w:rFonts w:cs="Times New Roman"/>
          <w:color w:val="000000" w:themeColor="text1"/>
          <w:szCs w:val="24"/>
        </w:rPr>
        <w:t xml:space="preserve"> </w:t>
      </w:r>
      <w:r w:rsidRPr="00AE69E8">
        <w:rPr>
          <w:rFonts w:cs="Times New Roman"/>
          <w:color w:val="000000" w:themeColor="text1"/>
          <w:szCs w:val="24"/>
        </w:rPr>
        <w:t>such as size, liquidity, capital structure, and age</w:t>
      </w:r>
      <w:r w:rsidR="00E550A5">
        <w:rPr>
          <w:rFonts w:cs="Times New Roman"/>
          <w:color w:val="000000" w:themeColor="text1"/>
          <w:szCs w:val="24"/>
        </w:rPr>
        <w:t xml:space="preserve"> </w:t>
      </w:r>
      <w:r w:rsidRPr="00AE69E8">
        <w:rPr>
          <w:rFonts w:cs="Times New Roman"/>
          <w:color w:val="000000" w:themeColor="text1"/>
          <w:szCs w:val="24"/>
        </w:rPr>
        <w:t>affect profitability, but findings remain context-specific and inconclusive. Prior research in Kenya has largely focused on listed firms or deposit-taking SACCOs, leaving a notable gap regarding non-deposit-taking SACCOs at the county level. This study therefore seeks to examine how firm-specific factors influence the profitability of SACCOs in Laikipia County, addressing this empirical gap and informing strategies for enhanced performance and sustainability</w:t>
      </w:r>
      <w:r w:rsidR="00772A04" w:rsidRPr="007A56B8">
        <w:rPr>
          <w:rFonts w:cs="Times New Roman"/>
          <w:color w:val="000000" w:themeColor="text1"/>
          <w:szCs w:val="24"/>
        </w:rPr>
        <w:t>.</w:t>
      </w:r>
      <w:r w:rsidR="00BD15A0" w:rsidRPr="007A56B8">
        <w:rPr>
          <w:rFonts w:cs="Times New Roman"/>
          <w:b/>
          <w:szCs w:val="24"/>
        </w:rPr>
        <w:t xml:space="preserve"> </w:t>
      </w:r>
    </w:p>
    <w:p w14:paraId="7860FC20" w14:textId="564AFDA6" w:rsidR="00055D83" w:rsidRPr="007A56B8" w:rsidRDefault="00055D83" w:rsidP="00E5141C">
      <w:pPr>
        <w:spacing w:line="240" w:lineRule="auto"/>
        <w:rPr>
          <w:rFonts w:cs="Times New Roman"/>
          <w:b/>
          <w:bCs/>
          <w:color w:val="000000" w:themeColor="text1"/>
          <w:sz w:val="28"/>
          <w:szCs w:val="28"/>
        </w:rPr>
      </w:pPr>
      <w:r w:rsidRPr="007A56B8">
        <w:rPr>
          <w:rFonts w:cs="Times New Roman"/>
          <w:b/>
          <w:bCs/>
          <w:color w:val="000000" w:themeColor="text1"/>
          <w:sz w:val="28"/>
          <w:szCs w:val="28"/>
        </w:rPr>
        <w:t>1.2 Research Objective</w:t>
      </w:r>
    </w:p>
    <w:p w14:paraId="3A006523" w14:textId="0C77D5A3"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8B0097" w:rsidRPr="008B0097">
        <w:rPr>
          <w:rFonts w:cs="Times New Roman"/>
          <w:color w:val="000000" w:themeColor="text1"/>
          <w:szCs w:val="24"/>
        </w:rPr>
        <w:t>investigate the effect of firm characteristics on profitability of Savings and Credit Cooperatives Organizations in Laikipia County in Laikipia County,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15DB04A8"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determine the effect of firm size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in Laikipia County, Kenya.</w:t>
      </w:r>
    </w:p>
    <w:p w14:paraId="0E4E66CB"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establish the effect of liquidity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Kenya.</w:t>
      </w:r>
    </w:p>
    <w:p w14:paraId="70CA3157"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w:t>
      </w:r>
      <w:r>
        <w:rPr>
          <w:rFonts w:ascii="Times New Roman" w:hAnsi="Times New Roman"/>
          <w:sz w:val="24"/>
        </w:rPr>
        <w:t>examine</w:t>
      </w:r>
      <w:r w:rsidRPr="00987DF0">
        <w:rPr>
          <w:rFonts w:ascii="Times New Roman" w:hAnsi="Times New Roman"/>
          <w:sz w:val="24"/>
        </w:rPr>
        <w:t xml:space="preserve"> the effect of capital structure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Kenya.</w:t>
      </w:r>
    </w:p>
    <w:p w14:paraId="17D3CE45"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establish the effect of firm age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Kenya.</w:t>
      </w:r>
    </w:p>
    <w:p w14:paraId="7B599301" w14:textId="77777777" w:rsidR="008B0097" w:rsidRPr="008B0097" w:rsidRDefault="00055D83" w:rsidP="008B0097">
      <w:pPr>
        <w:rPr>
          <w:b/>
          <w:sz w:val="28"/>
        </w:rPr>
      </w:pPr>
      <w:r w:rsidRPr="008B0097">
        <w:rPr>
          <w:b/>
          <w:sz w:val="28"/>
        </w:rPr>
        <w:t xml:space="preserve">1.3 </w:t>
      </w:r>
      <w:r w:rsidR="008B0097" w:rsidRPr="008B0097">
        <w:rPr>
          <w:b/>
          <w:sz w:val="28"/>
        </w:rPr>
        <w:t>Research Hypotheses</w:t>
      </w:r>
    </w:p>
    <w:p w14:paraId="36697A9C" w14:textId="77777777" w:rsidR="008B0097" w:rsidRPr="00987DF0" w:rsidRDefault="008B0097" w:rsidP="008B0097">
      <w:pPr>
        <w:pStyle w:val="ListParagraph"/>
        <w:spacing w:before="0" w:after="0" w:line="240" w:lineRule="auto"/>
        <w:ind w:left="0"/>
        <w:rPr>
          <w:rFonts w:ascii="Times New Roman" w:eastAsia="Times New Roman" w:hAnsi="Times New Roman"/>
          <w:color w:val="000000" w:themeColor="text1"/>
          <w:spacing w:val="5"/>
          <w:kern w:val="28"/>
          <w:sz w:val="24"/>
          <w:szCs w:val="24"/>
        </w:rPr>
      </w:pPr>
      <w:r w:rsidRPr="00987DF0">
        <w:rPr>
          <w:rFonts w:ascii="Times New Roman" w:eastAsia="Times New Roman" w:hAnsi="Times New Roman"/>
          <w:color w:val="000000" w:themeColor="text1"/>
          <w:spacing w:val="5"/>
          <w:kern w:val="28"/>
          <w:sz w:val="24"/>
          <w:szCs w:val="24"/>
        </w:rPr>
        <w:t>The study seeks to test the following null hypotheses:</w:t>
      </w:r>
    </w:p>
    <w:p w14:paraId="07918638" w14:textId="77777777" w:rsidR="008B0097" w:rsidRPr="00987DF0" w:rsidRDefault="008B0097" w:rsidP="008B0097">
      <w:pPr>
        <w:spacing w:before="0" w:line="240" w:lineRule="auto"/>
        <w:ind w:left="720" w:hanging="720"/>
        <w:rPr>
          <w:rFonts w:eastAsia="Times New Roman"/>
          <w:color w:val="000000" w:themeColor="text1"/>
          <w:spacing w:val="5"/>
          <w:kern w:val="28"/>
          <w:szCs w:val="24"/>
        </w:rPr>
      </w:pPr>
      <w:r w:rsidRPr="00987DF0">
        <w:rPr>
          <w:color w:val="000000" w:themeColor="text1"/>
          <w:szCs w:val="24"/>
        </w:rPr>
        <w:t>H0</w:t>
      </w:r>
      <w:r w:rsidRPr="00987DF0">
        <w:rPr>
          <w:color w:val="000000" w:themeColor="text1"/>
          <w:szCs w:val="24"/>
          <w:vertAlign w:val="subscript"/>
        </w:rPr>
        <w:t>1</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vertAlign w:val="subscript"/>
        </w:rPr>
        <w:tab/>
      </w:r>
      <w:r w:rsidRPr="00987DF0">
        <w:rPr>
          <w:color w:val="000000" w:themeColor="text1"/>
          <w:szCs w:val="24"/>
        </w:rPr>
        <w:t xml:space="preserve">Firm size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74D6DA1F" w14:textId="77777777" w:rsidR="008B0097" w:rsidRPr="00987DF0" w:rsidRDefault="008B0097" w:rsidP="008B0097">
      <w:pPr>
        <w:spacing w:before="0" w:line="240" w:lineRule="auto"/>
        <w:ind w:left="720" w:hanging="720"/>
        <w:rPr>
          <w:rFonts w:eastAsia="Times New Roman"/>
          <w:color w:val="000000" w:themeColor="text1"/>
          <w:spacing w:val="5"/>
          <w:kern w:val="28"/>
          <w:szCs w:val="24"/>
        </w:rPr>
      </w:pPr>
      <w:r w:rsidRPr="00987DF0">
        <w:rPr>
          <w:color w:val="000000" w:themeColor="text1"/>
          <w:szCs w:val="24"/>
        </w:rPr>
        <w:t>H0</w:t>
      </w:r>
      <w:r w:rsidRPr="00987DF0">
        <w:rPr>
          <w:color w:val="000000" w:themeColor="text1"/>
          <w:szCs w:val="24"/>
          <w:vertAlign w:val="subscript"/>
        </w:rPr>
        <w:t>2</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vertAlign w:val="subscript"/>
        </w:rPr>
        <w:tab/>
      </w:r>
      <w:r w:rsidRPr="00987DF0">
        <w:rPr>
          <w:color w:val="000000" w:themeColor="text1"/>
          <w:szCs w:val="24"/>
        </w:rPr>
        <w:t xml:space="preserve">Liquidity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717AD7E9" w14:textId="77777777" w:rsidR="008B0097" w:rsidRPr="00987DF0" w:rsidRDefault="008B0097" w:rsidP="008B0097">
      <w:pPr>
        <w:spacing w:before="0" w:line="240" w:lineRule="auto"/>
        <w:ind w:left="720" w:hanging="720"/>
        <w:rPr>
          <w:color w:val="000000" w:themeColor="text1"/>
          <w:szCs w:val="24"/>
        </w:rPr>
      </w:pPr>
      <w:r w:rsidRPr="00987DF0">
        <w:rPr>
          <w:color w:val="000000" w:themeColor="text1"/>
          <w:szCs w:val="24"/>
        </w:rPr>
        <w:t>H0</w:t>
      </w:r>
      <w:r w:rsidRPr="00987DF0">
        <w:rPr>
          <w:color w:val="000000" w:themeColor="text1"/>
          <w:szCs w:val="24"/>
          <w:vertAlign w:val="subscript"/>
        </w:rPr>
        <w:t>3</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rPr>
        <w:tab/>
        <w:t xml:space="preserve">Capital structure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10BA0134" w14:textId="77777777" w:rsidR="008B0097" w:rsidRPr="00987DF0" w:rsidRDefault="008B0097" w:rsidP="008B0097">
      <w:pPr>
        <w:spacing w:before="0" w:line="240" w:lineRule="auto"/>
        <w:ind w:left="720" w:hanging="720"/>
        <w:rPr>
          <w:rFonts w:eastAsia="Times New Roman"/>
          <w:color w:val="000000" w:themeColor="text1"/>
          <w:spacing w:val="5"/>
          <w:kern w:val="28"/>
          <w:szCs w:val="24"/>
        </w:rPr>
      </w:pPr>
      <w:r w:rsidRPr="00987DF0">
        <w:rPr>
          <w:color w:val="000000" w:themeColor="text1"/>
          <w:szCs w:val="24"/>
        </w:rPr>
        <w:t>H0</w:t>
      </w:r>
      <w:r w:rsidRPr="00987DF0">
        <w:rPr>
          <w:color w:val="000000" w:themeColor="text1"/>
          <w:szCs w:val="24"/>
          <w:vertAlign w:val="subscript"/>
        </w:rPr>
        <w:t>4</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rPr>
        <w:tab/>
        <w:t xml:space="preserve">Firm age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35FF4706" w14:textId="76ECC35D" w:rsidR="00055D83" w:rsidRPr="007A56B8" w:rsidRDefault="00055D83" w:rsidP="00185FFD">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1.4 Justification of the Study</w:t>
      </w:r>
    </w:p>
    <w:p w14:paraId="2F66289A" w14:textId="1E53AFC0" w:rsidR="003E0D69" w:rsidRPr="007A56B8" w:rsidRDefault="008B0097" w:rsidP="007A7BFC">
      <w:pPr>
        <w:autoSpaceDE w:val="0"/>
        <w:autoSpaceDN w:val="0"/>
        <w:adjustRightInd w:val="0"/>
        <w:spacing w:before="0" w:after="240" w:line="240" w:lineRule="auto"/>
        <w:rPr>
          <w:color w:val="000000" w:themeColor="text1"/>
          <w:szCs w:val="24"/>
        </w:rPr>
      </w:pPr>
      <w:r w:rsidRPr="008B0097">
        <w:rPr>
          <w:color w:val="000000" w:themeColor="text1"/>
          <w:szCs w:val="24"/>
        </w:rPr>
        <w:t xml:space="preserve">Firm characteristics and their influence on profitability are central in financial literature, yet limited evidence exists for SACCOs in Laikipia County. This study addresses that gap by examining firm size, liquidity, capital structure, </w:t>
      </w:r>
      <w:r w:rsidRPr="008B0097">
        <w:rPr>
          <w:color w:val="000000" w:themeColor="text1"/>
          <w:szCs w:val="24"/>
        </w:rPr>
        <w:lastRenderedPageBreak/>
        <w:t>and firm age to reveal how internal attributes affect profitability in Kenyan cooperative financial institutions. Theoretically, it enriches finance literature by validating the Resource-Based View (RBV) and Pecking Order Theory within the SACCO context, demonstrating how internal resources and financing decisions drive performance. Practically, the findings will guide SACCO managers in optimizing liquidity, capital structure, and growth strategies for improved profitability. Policy makers such as SASRA and the Ministry of Cooperatives can apply the insights to enhance regulatory and capacity frameworks. Additionally, investors and scholars will gain valuable reference material for future financial performance research.</w:t>
      </w: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18375864" w14:textId="56C40F05" w:rsidR="008B0097" w:rsidRPr="008B0097" w:rsidRDefault="008B0097" w:rsidP="008B0097">
      <w:pPr>
        <w:spacing w:before="0" w:after="160" w:line="259" w:lineRule="auto"/>
        <w:rPr>
          <w:rFonts w:cs="Times New Roman"/>
          <w:b/>
          <w:bCs/>
          <w:i/>
          <w:color w:val="000000" w:themeColor="text1"/>
          <w:kern w:val="2"/>
          <w:szCs w:val="24"/>
          <w:lang w:val="en-GB"/>
        </w:rPr>
      </w:pPr>
      <w:r w:rsidRPr="008B0097">
        <w:rPr>
          <w:rFonts w:cs="Times New Roman"/>
          <w:b/>
          <w:bCs/>
          <w:i/>
          <w:color w:val="000000" w:themeColor="text1"/>
          <w:kern w:val="2"/>
          <w:szCs w:val="24"/>
          <w:lang w:val="en-GB"/>
        </w:rPr>
        <w:t>Theoretical Literature</w:t>
      </w:r>
    </w:p>
    <w:p w14:paraId="6C0AB066"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The Pecking Order Theory was first proposed by Donaldson (1961) and later refined by Myers and Majluf (1984). The theory rests on the notion of information asymmetry between a firm's internal management (insiders) and external investors (outsiders). Managers possess superior knowledge about the firm’s value, risk, and future prospects compared to outside financiers. This informational imbalance influences financing choices, forming a hierarchy of preferences. Firms first rely on internal financing such as retained earnings; if insufficient, they resort to debt, and finally equity as a last option. This order reflects management’s effort to minimize the adverse effects of external scrutiny and costs associated with issuing new equity.</w:t>
      </w:r>
    </w:p>
    <w:p w14:paraId="711E2001"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2BBEB662"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According to Mwatu and Abdul (2018), companies prefer issuing debt over equity because debt issuance signals confidence in profitability, while issuing new shares often conveys uncertainty and can depress share value. Similarly, Gweyi and Karanja (2014) found that cooperative and financial institutions, such as SACCOs, tend to prioritize internal financing to preserve profitability. By using retained earnings or surplus liquidity, they reduce dependence on costly external capital. The theory therefore implies that firms that rely heavily on internal resources are financially more stable and face lower risk compared to those dependent on external equity financing. In essence, the Pecking Order Theory underscores the strategic role of financing decisions in enhancing profitability and preserving shareholder confidence.</w:t>
      </w:r>
    </w:p>
    <w:p w14:paraId="372F5AA7"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Agency Theory, advanced by Jensen and Meckling (1976), conceptualizes the firm as a nexus of contracts among resource holders. It highlights the conflicts that emerge due to the separation of ownership (principals) and control (agents). In this relationship, managers act on behalf of shareholders but may pursue personal interests, such as job security or prestige, instead of maximizing shareholders’ returns (Atrill, 2020). Such misalignment of objectives introduces agency problems, which negatively impact firm value and equity performance.</w:t>
      </w:r>
    </w:p>
    <w:p w14:paraId="2EB588B1"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0549C7D8"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The theory is particularly relevant to the study of SACCOs, where ownership and control are often divided between members (owners) and management or directors. This structure makes SACCOs vulnerable to agency conflicts when managers make decisions for personal gain rather than in the members’ best interests. During financial distress, conflicts may intensify as management and shareholders prioritize different investment or dividend policies, affecting the firm’s equity and debt valuation. Alikouzay (2023) asserts that dividend payments can mitigate agency problems by reducing excess free cash flow under managerial discretion, thereby aligning management’s interests with shareholders’ wealth maximization.</w:t>
      </w:r>
    </w:p>
    <w:p w14:paraId="7A845F44"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43479D94" w14:textId="1FC4C8B8"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Agency Theory also brings attention to agency costs</w:t>
      </w:r>
      <w:r w:rsidR="00E550A5">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expenses incurred to monitor and control managerial behavior (Kinyua, 2022). To reduce these costs, some scholars advocate dividend payments as a disciplining mechanism, since regular payouts expose management to greater scrutiny from investors and capital markets (Muchira &amp; Mwangi, 2019). However, excessive dividends may increase financial risk due to heightened borrowing. Buluma et al. (2017) emphasize that maintaining transparency, aligning managerial incentives with ownership goals, and separating ownership from control are essential for minimizing agency problems and safeguarding shareholder wealth. The theory, therefore, provides a strong foundation for understanding corporate governance and ethical management practices within SACCOs.</w:t>
      </w:r>
    </w:p>
    <w:p w14:paraId="6452236B" w14:textId="1EE140FE"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lastRenderedPageBreak/>
        <w:t>The Information Signalling Theory, proposed by Stephen Ross (1977), posits that managers can use financial policies</w:t>
      </w:r>
      <w:r w:rsidR="00E550A5">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especially dividend announcements</w:t>
      </w:r>
      <w:r w:rsidR="00E550A5">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to communicate private information about firm performance to investors. Because information in the market is not symmetrically distributed, managers possess insider knowledge that investors do not, leading to information asymmetry. Consequently, dividend changes serve as credible signals of future profitability (Godfrey, 2018).</w:t>
      </w:r>
    </w:p>
    <w:p w14:paraId="3E25B7FB"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5A6FFE12" w14:textId="12E32A51"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In the context of SACCOs in Laikipia County, dividend declarations are particularly significant because investors interpret them as indicators of financial health and growth prospects. A rise in dividends signals confidence and robust profitability, whereas a cut signals financial distress (Adan &amp; Omagwa, 2018). The theory resonates with the “bird-in-hand” proposition by Gordon and Litner, which argues that investors prefer certain and immediate dividend income over uncertain future capital gains (Chen, 2018). Hence, consistent or increasing dividends enhance investor trust, while reductions can erode confidence and limit future capital inflows.</w:t>
      </w:r>
      <w:r>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The relevance of this theory to SACCOs lies in its explanation of how dividend policy functions as a communication tool. The decision to distribute or retain earnings not only affects profitability but also influences members’ perceptions, investment behavior, and loyalty. By sending clear and positive financial signals, SACCOs can strengthen investor confidence, attract new members, and maintain steady growth.</w:t>
      </w:r>
    </w:p>
    <w:p w14:paraId="1572E75C"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0331D859"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Allen and Santomero (1998) introduced the Modern Theory of Financial Intermediation after re-evaluating earlier frameworks focused on transaction costs and asymmetric information. Traditional theories justified financial institutions on the basis that they reduced transaction costs and informational inefficiencies. However, technological advancements, financial innovation, and deregulation have significantly reduced these challenges, shifting the emphasis to risk management, participation costs, and value creation (Wensveen &amp; Bert, 2024).</w:t>
      </w:r>
    </w:p>
    <w:p w14:paraId="2A458615"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48358C80"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Financial intermediaries now play a critical role in connecting savers and borrowers, managing risk, and enhancing market efficiency. Mwangi (2019) describes them as institutions that safeguard assets, provide liquidity, and channel funds to productive ventures. SACCOs, as key financial intermediaries, mobilize member savings, extend credit, and facilitate capital transfer within communities. Through intermediation, they help maintain cash flow in local economies and contribute to financial inclusion (Lelenguiya &amp; Ambrose, 2022).</w:t>
      </w:r>
    </w:p>
    <w:p w14:paraId="495BF62C"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6C213BBC" w14:textId="67FFD07F" w:rsidR="00B449E1" w:rsidRPr="007A56B8" w:rsidRDefault="008B0097" w:rsidP="008B0097">
      <w:pPr>
        <w:spacing w:before="0" w:after="160" w:line="259" w:lineRule="auto"/>
        <w:rPr>
          <w:rFonts w:cs="Times New Roman"/>
          <w:bCs/>
          <w:color w:val="000000" w:themeColor="text1"/>
          <w:szCs w:val="24"/>
        </w:rPr>
      </w:pPr>
      <w:r w:rsidRPr="008B0097">
        <w:rPr>
          <w:rFonts w:cs="Times New Roman"/>
          <w:bCs/>
          <w:color w:val="000000" w:themeColor="text1"/>
          <w:kern w:val="2"/>
          <w:szCs w:val="24"/>
          <w:lang w:val="en-GB"/>
        </w:rPr>
        <w:t>This theory is highly relevant to the current study because it underscores the economic and social role of SACCOs as vital intermediaries that influence regional development. Their efficiency in mobilizing resources, managing risk, and ensuring liquidity directly affects profitability and sustainability. Conversely, weak intermediation may lead to reduced lending capacity and financial instability. Therefore, the Modern Theory of Financial Intermediation provides a robust theoretical lens for understanding how SACCO characteristics and practices influence their financial performance and contribution to economic growth</w:t>
      </w:r>
      <w:r w:rsidR="00147E4C" w:rsidRPr="007A56B8">
        <w:rPr>
          <w:rFonts w:cs="Times New Roman"/>
          <w:bCs/>
          <w:color w:val="000000" w:themeColor="text1"/>
          <w:kern w:val="2"/>
          <w:szCs w:val="24"/>
          <w:lang w:val="en-GB"/>
        </w:rPr>
        <w:t>.</w:t>
      </w:r>
    </w:p>
    <w:p w14:paraId="0236764D" w14:textId="19E3A4FA" w:rsidR="0025635B" w:rsidRPr="007A56B8" w:rsidRDefault="00E0554F" w:rsidP="0025635B">
      <w:pPr>
        <w:spacing w:before="0" w:after="160" w:line="259" w:lineRule="auto"/>
        <w:rPr>
          <w:rFonts w:cs="Times New Roman"/>
          <w:b/>
          <w:bCs/>
          <w:color w:val="000000" w:themeColor="text1"/>
          <w:sz w:val="28"/>
          <w:szCs w:val="28"/>
        </w:rPr>
      </w:pPr>
      <w:r w:rsidRPr="007A56B8">
        <w:rPr>
          <w:rFonts w:cs="Times New Roman"/>
          <w:b/>
          <w:bCs/>
          <w:color w:val="000000" w:themeColor="text1"/>
          <w:sz w:val="28"/>
          <w:szCs w:val="28"/>
        </w:rPr>
        <w:t xml:space="preserve">2.1 </w:t>
      </w:r>
      <w:r w:rsidR="00CB6E82" w:rsidRPr="007A56B8">
        <w:rPr>
          <w:rFonts w:cs="Times New Roman"/>
          <w:b/>
          <w:bCs/>
          <w:color w:val="000000" w:themeColor="text1"/>
          <w:sz w:val="28"/>
          <w:szCs w:val="28"/>
        </w:rPr>
        <w:t>Empirical Review</w:t>
      </w:r>
    </w:p>
    <w:p w14:paraId="2BC4C036" w14:textId="489CF6E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Empirical literature provides evidence from prior studies examining the relationship between firm characteristics and profitability across multiple sectors, including financial institutions and SACCOs. This review synthesizes findings on four determinants</w:t>
      </w:r>
      <w:r w:rsidR="00E550A5">
        <w:rPr>
          <w:rFonts w:cs="Times New Roman"/>
          <w:color w:val="000000" w:themeColor="text1"/>
          <w:szCs w:val="24"/>
        </w:rPr>
        <w:t xml:space="preserve"> </w:t>
      </w:r>
      <w:r w:rsidRPr="00E75DCB">
        <w:rPr>
          <w:rFonts w:cs="Times New Roman"/>
          <w:color w:val="000000" w:themeColor="text1"/>
          <w:szCs w:val="24"/>
        </w:rPr>
        <w:t>firm size, liquidity, capital structure, and firm age</w:t>
      </w:r>
      <w:r w:rsidR="00E550A5">
        <w:rPr>
          <w:rFonts w:cs="Times New Roman"/>
          <w:color w:val="000000" w:themeColor="text1"/>
          <w:szCs w:val="24"/>
        </w:rPr>
        <w:t xml:space="preserve"> </w:t>
      </w:r>
      <w:r w:rsidRPr="00E75DCB">
        <w:rPr>
          <w:rFonts w:cs="Times New Roman"/>
          <w:color w:val="000000" w:themeColor="text1"/>
          <w:szCs w:val="24"/>
        </w:rPr>
        <w:t>and highlights methodological and contextual gaps the present study addresses.</w:t>
      </w:r>
    </w:p>
    <w:p w14:paraId="360E9536" w14:textId="77777777" w:rsidR="00E75DCB" w:rsidRPr="00E75DCB" w:rsidRDefault="00E75DCB" w:rsidP="00E75DCB">
      <w:pPr>
        <w:spacing w:before="0" w:after="160" w:line="259" w:lineRule="auto"/>
        <w:rPr>
          <w:rFonts w:cs="Times New Roman"/>
          <w:color w:val="000000" w:themeColor="text1"/>
          <w:szCs w:val="24"/>
        </w:rPr>
      </w:pPr>
    </w:p>
    <w:p w14:paraId="687EF7EE" w14:textId="7777777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Firm size is frequently associated with profitability through economies of scale and market power. Jahidur (2021), using fixed-effects models on 50 Chinese listed firms (2008–2018), reported a positive and significant relationship between firm size and profitability, while firm age negatively affected returns. Menicucci and Paolucci (2017) similarly observed that larger Italian hotel firms (n=2,366; 2008–2016) exhibited higher profitability, attributed to operational efficiencies and stronger market influence. Locally, Karuga (2017) found firm size positively related to return on assets among DT-SACCOs, though the study omitted non-deposit-taking SACCOs and did not control for firm age, limiting generalizability.</w:t>
      </w:r>
    </w:p>
    <w:p w14:paraId="69FA51F4" w14:textId="77777777" w:rsidR="00E75DCB" w:rsidRPr="00E75DCB" w:rsidRDefault="00E75DCB" w:rsidP="00E75DCB">
      <w:pPr>
        <w:spacing w:before="0" w:after="160" w:line="259" w:lineRule="auto"/>
        <w:rPr>
          <w:rFonts w:cs="Times New Roman"/>
          <w:color w:val="000000" w:themeColor="text1"/>
          <w:szCs w:val="24"/>
        </w:rPr>
      </w:pPr>
    </w:p>
    <w:p w14:paraId="4326FE71" w14:textId="3D6AD4DA"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Liquidity’s impact on profitability yields mixed results. Ochingo and Muturi (2018), analyzing 164 licensed SACCOs, reported a strong positive association between liquidity, operational efficiency, and profitability, suggesting that adequate liquid buffers facilitate member service delivery and returns. Conversely, Mwangi (2020) found no significant liquidity effect among DT-SACCOs in Nairobi, arguing that excess liquidity may cause resource underutilization. These contradictions point to contextual differences</w:t>
      </w:r>
      <w:r w:rsidR="00E550A5">
        <w:rPr>
          <w:rFonts w:cs="Times New Roman"/>
          <w:color w:val="000000" w:themeColor="text1"/>
          <w:szCs w:val="24"/>
        </w:rPr>
        <w:t xml:space="preserve"> </w:t>
      </w:r>
      <w:r w:rsidRPr="00E75DCB">
        <w:rPr>
          <w:rFonts w:cs="Times New Roman"/>
          <w:color w:val="000000" w:themeColor="text1"/>
          <w:szCs w:val="24"/>
        </w:rPr>
        <w:t>urban versus rural settings and varied liquidity management practices</w:t>
      </w:r>
      <w:r w:rsidR="00E550A5">
        <w:rPr>
          <w:rFonts w:cs="Times New Roman"/>
          <w:color w:val="000000" w:themeColor="text1"/>
          <w:szCs w:val="24"/>
        </w:rPr>
        <w:t xml:space="preserve"> </w:t>
      </w:r>
      <w:r w:rsidRPr="00E75DCB">
        <w:rPr>
          <w:rFonts w:cs="Times New Roman"/>
          <w:color w:val="000000" w:themeColor="text1"/>
          <w:szCs w:val="24"/>
        </w:rPr>
        <w:t>that warrant further investigation.</w:t>
      </w:r>
    </w:p>
    <w:p w14:paraId="49FC181B" w14:textId="77777777" w:rsidR="00E75DCB" w:rsidRPr="00E75DCB" w:rsidRDefault="00E75DCB" w:rsidP="00E75DCB">
      <w:pPr>
        <w:spacing w:before="0" w:after="160" w:line="259" w:lineRule="auto"/>
        <w:rPr>
          <w:rFonts w:cs="Times New Roman"/>
          <w:color w:val="000000" w:themeColor="text1"/>
          <w:szCs w:val="24"/>
        </w:rPr>
      </w:pPr>
    </w:p>
    <w:p w14:paraId="6735A297" w14:textId="7777777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Capital structure studies are similarly inconsistent. Lilian (2016), studying 67 firms on the Nairobi Securities Exchange (2011–2015), reported an insignificant relationship between leverage and profitability. Within the cooperative sector, Ochingo and Muturi (2018) identified a positive effect of capital sufficiency, whereas Mwangi (2020) observed no significant influence of capital adequacy on DT-SACCO profitability. Heterogeneity in regulatory frameworks, ownership structures, and measurement approaches likely explains divergent findings and underscores the need for sector-specific analyses.</w:t>
      </w:r>
    </w:p>
    <w:p w14:paraId="0FAB7272" w14:textId="77777777" w:rsidR="00E75DCB" w:rsidRPr="00E75DCB" w:rsidRDefault="00E75DCB" w:rsidP="00E75DCB">
      <w:pPr>
        <w:spacing w:before="0" w:after="160" w:line="259" w:lineRule="auto"/>
        <w:rPr>
          <w:rFonts w:cs="Times New Roman"/>
          <w:color w:val="000000" w:themeColor="text1"/>
          <w:szCs w:val="24"/>
        </w:rPr>
      </w:pPr>
    </w:p>
    <w:p w14:paraId="3F522EFE" w14:textId="7777777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Firm age has produced mixed evidence as well. Jahidur (2021) argued older firms may face structural rigidity that reduces profitability, while Karuga (2017) observed a positive but statistically insignificant age effect among DT-SACCOs. Many studies rely on limited time spans and narrow profitability metrics, constraining robust inference.</w:t>
      </w:r>
    </w:p>
    <w:p w14:paraId="4EE1AD39" w14:textId="77777777" w:rsidR="00E75DCB" w:rsidRPr="00E75DCB" w:rsidRDefault="00E75DCB" w:rsidP="00E75DCB">
      <w:pPr>
        <w:spacing w:before="0" w:after="160" w:line="259" w:lineRule="auto"/>
        <w:rPr>
          <w:rFonts w:cs="Times New Roman"/>
          <w:color w:val="000000" w:themeColor="text1"/>
          <w:szCs w:val="24"/>
        </w:rPr>
      </w:pPr>
    </w:p>
    <w:p w14:paraId="1211445F" w14:textId="79FD004F" w:rsidR="00CB6E82" w:rsidRPr="007A56B8"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Overall, empirical evidence suggests firm size, liquidity, capital structure, and age can affect profitability, but the direction and magnitude vary by sector and context. Predominantly foreign studies were conducted in developed economies with different institutional settings, while local research often centers on DT-SACCOs or urban contexts, overlooking rural SACCOs. The present study therefore examines the combined effects of these firm characteristics on SACCO profitability in Laikipia County, Kenya, and to inform regulatory practice.</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5B0EF1DB"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This study adopted an appropriate research design to provide accurate answers to the research questions and guide the collection, measurement, and analysis of data relating to the study variables. The research design served as the structural framework linking the research objectives to the data collection and analysis processes. It established the relationship between the independent and dependent variables and provided a systematic plan for addressing the research problem and testing the study hypotheses. As Creswell (2014) explains, a research design functions as a blueprint that ensures the data collected are valid, reliable, and relevant for deriving meaningful conclusions. In this </w:t>
      </w:r>
      <w:r w:rsidRPr="00D7785F">
        <w:rPr>
          <w:rFonts w:cs="Times New Roman"/>
          <w:color w:val="000000" w:themeColor="text1"/>
          <w:szCs w:val="24"/>
        </w:rPr>
        <w:lastRenderedPageBreak/>
        <w:t>study, the design facilitated the investigation of the effect of firm characteristics on the profitability of Savings and Credit Cooperative Societies (SACCOs) in Laikipia County, Kenya.</w:t>
      </w:r>
    </w:p>
    <w:p w14:paraId="17F41046"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A descriptive research design was employed since it allows researchers to observe and describe phenomena as they exist naturally without manipulation of variables (Githogori et al., 2018). The design was appropriate for identifying and characterizing the true nature of the study variables, thus enabling the collection of quantitative data across predetermined indicators within a specific timeframe. It provided an empirical basis for examining the relationship between the dependent variable (profitability) and independent variables (firm characteristics), which included firm size, liquidity, capital structure, and firm age.</w:t>
      </w:r>
    </w:p>
    <w:p w14:paraId="12B30AA9"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The target population represents the entire group of elements, individuals, or organizations that share similar characteristics from which a researcher can draw conclusions (Murkomen, Njeje, &amp; Cherono, 2017). It is the specific subset of the broader population to which the study findings are generalized (Wawire, 2021). The target population for this study comprised 150 SACCOs licensed by the Laikipia County Government as of 2023 (Laikipia Cooperatives Report, 2023).</w:t>
      </w:r>
    </w:p>
    <w:p w14:paraId="7D91EBCA"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Sampling involves selecting a subset of the population to infer characteristics of the entire group (Lelenguiya &amp; Ambrose, 2022). The study employed stratified random sampling to ensure proportional representation of SACCOs from all wards in Laikipia County. Using Atsango’s (2018) formula, the sample size was calculated as:</w:t>
      </w:r>
    </w:p>
    <w:p w14:paraId="062ED629" w14:textId="77777777" w:rsidR="001A1E1C" w:rsidRDefault="00D7785F" w:rsidP="00D7785F">
      <w:pPr>
        <w:spacing w:after="160" w:line="259" w:lineRule="auto"/>
        <w:rPr>
          <w:rFonts w:ascii="Cambria Math" w:hAnsi="Cambria Math" w:cs="Cambria Math"/>
          <w:color w:val="000000" w:themeColor="text1"/>
          <w:szCs w:val="24"/>
        </w:rPr>
      </w:pPr>
      <w:r w:rsidRPr="00D7785F">
        <w:rPr>
          <w:rFonts w:ascii="Cambria Math" w:hAnsi="Cambria Math" w:cs="Cambria Math"/>
          <w:color w:val="000000" w:themeColor="text1"/>
          <w:szCs w:val="24"/>
        </w:rPr>
        <w:t>𝑛</w:t>
      </w:r>
      <w:r w:rsidRPr="00D7785F">
        <w:rPr>
          <w:rFonts w:cs="Times New Roman"/>
          <w:color w:val="000000" w:themeColor="text1"/>
          <w:szCs w:val="24"/>
        </w:rPr>
        <w:t>=</w:t>
      </w:r>
      <w:r w:rsidRPr="00D7785F">
        <w:rPr>
          <w:rFonts w:ascii="Cambria Math" w:hAnsi="Cambria Math" w:cs="Cambria Math"/>
          <w:color w:val="000000" w:themeColor="text1"/>
          <w:szCs w:val="24"/>
        </w:rPr>
        <w:t>𝑧</w:t>
      </w:r>
      <w:r w:rsidRPr="00D7785F">
        <w:rPr>
          <w:rFonts w:cs="Times New Roman"/>
          <w:color w:val="000000" w:themeColor="text1"/>
          <w:szCs w:val="24"/>
        </w:rPr>
        <w:t>2</w:t>
      </w:r>
      <w:r w:rsidRPr="00D7785F">
        <w:rPr>
          <w:rFonts w:ascii="Cambria Math" w:hAnsi="Cambria Math" w:cs="Cambria Math"/>
          <w:color w:val="000000" w:themeColor="text1"/>
          <w:szCs w:val="24"/>
        </w:rPr>
        <w:t>𝑝𝑞𝑁𝑒</w:t>
      </w:r>
      <w:r w:rsidRPr="00D7785F">
        <w:rPr>
          <w:rFonts w:cs="Times New Roman"/>
          <w:color w:val="000000" w:themeColor="text1"/>
          <w:szCs w:val="24"/>
        </w:rPr>
        <w:t>2(</w:t>
      </w:r>
      <w:r w:rsidRPr="00D7785F">
        <w:rPr>
          <w:rFonts w:ascii="Cambria Math" w:hAnsi="Cambria Math" w:cs="Cambria Math"/>
          <w:color w:val="000000" w:themeColor="text1"/>
          <w:szCs w:val="24"/>
        </w:rPr>
        <w:t>𝑁</w:t>
      </w:r>
      <w:r w:rsidRPr="00D7785F">
        <w:rPr>
          <w:rFonts w:cs="Times New Roman"/>
          <w:color w:val="000000" w:themeColor="text1"/>
          <w:szCs w:val="24"/>
        </w:rPr>
        <w:t>−1)+</w:t>
      </w:r>
      <w:r w:rsidR="001A1E1C" w:rsidRPr="00D7785F">
        <w:rPr>
          <w:rFonts w:ascii="Cambria Math" w:hAnsi="Cambria Math" w:cs="Cambria Math"/>
          <w:color w:val="000000" w:themeColor="text1"/>
          <w:szCs w:val="24"/>
        </w:rPr>
        <w:t xml:space="preserve"> </w:t>
      </w:r>
      <w:r w:rsidRPr="00D7785F">
        <w:rPr>
          <w:rFonts w:ascii="Cambria Math" w:hAnsi="Cambria Math" w:cs="Cambria Math"/>
          <w:color w:val="000000" w:themeColor="text1"/>
          <w:szCs w:val="24"/>
        </w:rPr>
        <w:t>𝑧</w:t>
      </w:r>
      <w:r w:rsidRPr="00D7785F">
        <w:rPr>
          <w:rFonts w:cs="Times New Roman"/>
          <w:color w:val="000000" w:themeColor="text1"/>
          <w:szCs w:val="24"/>
        </w:rPr>
        <w:t>2</w:t>
      </w:r>
      <w:r w:rsidRPr="00D7785F">
        <w:rPr>
          <w:rFonts w:ascii="Cambria Math" w:hAnsi="Cambria Math" w:cs="Cambria Math"/>
          <w:color w:val="000000" w:themeColor="text1"/>
          <w:szCs w:val="24"/>
        </w:rPr>
        <w:t>𝑝𝑞</w:t>
      </w:r>
    </w:p>
    <w:p w14:paraId="4227A409" w14:textId="1EB9EDC9"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n=e2(N−1)+z2pqz2pqN</w:t>
      </w:r>
    </w:p>
    <w:p w14:paraId="05CCB428"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Where </w:t>
      </w:r>
    </w:p>
    <w:p w14:paraId="1863BBDA" w14:textId="17D60273"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𝑁</w:t>
      </w:r>
      <w:r w:rsidRPr="00D7785F">
        <w:rPr>
          <w:rFonts w:cs="Times New Roman"/>
          <w:color w:val="000000" w:themeColor="text1"/>
          <w:szCs w:val="24"/>
        </w:rPr>
        <w:t>=150</w:t>
      </w:r>
    </w:p>
    <w:p w14:paraId="60B04129" w14:textId="65628258"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𝑒</w:t>
      </w:r>
      <w:r w:rsidRPr="00D7785F">
        <w:rPr>
          <w:rFonts w:cs="Times New Roman"/>
          <w:color w:val="000000" w:themeColor="text1"/>
          <w:szCs w:val="24"/>
        </w:rPr>
        <w:t>=0.1</w:t>
      </w:r>
    </w:p>
    <w:p w14:paraId="036C7F62" w14:textId="79D90E7D"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𝑝</w:t>
      </w:r>
      <w:r w:rsidRPr="00D7785F">
        <w:rPr>
          <w:rFonts w:cs="Times New Roman"/>
          <w:color w:val="000000" w:themeColor="text1"/>
          <w:szCs w:val="24"/>
        </w:rPr>
        <w:t>=0.8</w:t>
      </w:r>
    </w:p>
    <w:p w14:paraId="5384D74F" w14:textId="220C32CF"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𝑞</w:t>
      </w:r>
      <w:r w:rsidRPr="00D7785F">
        <w:rPr>
          <w:rFonts w:cs="Times New Roman"/>
          <w:color w:val="000000" w:themeColor="text1"/>
          <w:szCs w:val="24"/>
        </w:rPr>
        <w:t>=1−</w:t>
      </w:r>
      <w:r w:rsidRPr="00D7785F">
        <w:rPr>
          <w:rFonts w:ascii="Cambria Math" w:hAnsi="Cambria Math" w:cs="Cambria Math"/>
          <w:color w:val="000000" w:themeColor="text1"/>
          <w:szCs w:val="24"/>
        </w:rPr>
        <w:t>𝑝</w:t>
      </w:r>
    </w:p>
    <w:p w14:paraId="580C088A" w14:textId="5CE351FC"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𝑧</w:t>
      </w:r>
      <w:r w:rsidRPr="00D7785F">
        <w:rPr>
          <w:rFonts w:cs="Times New Roman"/>
          <w:color w:val="000000" w:themeColor="text1"/>
          <w:szCs w:val="24"/>
        </w:rPr>
        <w:t>=1.96</w:t>
      </w:r>
    </w:p>
    <w:p w14:paraId="60B07644"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z=1.96. The computation yielded a sample size of 43 SACCOs, representing approximately 29% of the target population.</w:t>
      </w:r>
    </w:p>
    <w:p w14:paraId="0DD672DA"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The study utilized secondary data, which was extracted from audited financial statements and reports maintained by the Laikipia County Cooperative Office and other credible repositories such as the SACCO Societies Regulatory Authority (SASRA). A structured secondary data collection sheet was used to ensure consistency and objectivity in data extraction.</w:t>
      </w:r>
    </w:p>
    <w:p w14:paraId="76F3B1C2"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To ensure validity and authenticity, the researcher verified that all financial statements bore the official seal of the Commissioner for Cooperatives. Data accuracy was further enhanced by cross-checking computations in Microsoft Excel and consulting the research supervisor for expert validation. Recommendations from the supervisor were integrated into the final data collection sheet to improve reliability.</w:t>
      </w:r>
    </w:p>
    <w:p w14:paraId="59E5FC0C"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lastRenderedPageBreak/>
        <w:t>Prior to data collection, the researcher obtained authorization from the university’s Graduate School and secured a research permit from the National Commission for Science, Technology, and Innovation (NACOSTI). Formal notification was sent to the County Cooperative Officer to request permission to access SACCO financial records. Data were then collected systematically from county archives, SACCO offices, and online repositories. These procedures ensured that the study adhered to institutional, ethical, and regulatory standards.</w:t>
      </w:r>
    </w:p>
    <w:p w14:paraId="4AAA7170"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Quantitative data analysis was conducted since the study variables were numerical. The collected data were cleaned, validated, and coded before analysis. Descriptive statistics, including means, standard deviations, frequencies, and percentages, were used to summarize the data (Wafula, 2020). Inferential statistics, including Pearson correlation and multiple linear regression analysis, were used to determine the nature and significance of relationships between firm characteristics and profitability. The regression model adopted was:</w:t>
      </w:r>
    </w:p>
    <w:p w14:paraId="549B86C5" w14:textId="64D604AF"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𝑌</w:t>
      </w:r>
      <w:r w:rsidRPr="00D7785F">
        <w:rPr>
          <w:rFonts w:cs="Times New Roman"/>
          <w:color w:val="000000" w:themeColor="text1"/>
          <w:szCs w:val="24"/>
        </w:rPr>
        <w:t>=</w:t>
      </w:r>
      <w:r w:rsidRPr="00D7785F">
        <w:rPr>
          <w:rFonts w:ascii="Cambria Math" w:hAnsi="Cambria Math" w:cs="Cambria Math"/>
          <w:color w:val="000000" w:themeColor="text1"/>
          <w:szCs w:val="24"/>
        </w:rPr>
        <w:t>𝛽</w:t>
      </w:r>
      <w:r w:rsidRPr="00D7785F">
        <w:rPr>
          <w:rFonts w:cs="Times New Roman"/>
          <w:color w:val="000000" w:themeColor="text1"/>
          <w:szCs w:val="24"/>
        </w:rPr>
        <w:t>0+</w:t>
      </w:r>
      <w:r w:rsidRPr="00D7785F">
        <w:rPr>
          <w:rFonts w:ascii="Cambria Math" w:hAnsi="Cambria Math" w:cs="Cambria Math"/>
          <w:color w:val="000000" w:themeColor="text1"/>
          <w:szCs w:val="24"/>
        </w:rPr>
        <w:t>𝛽</w:t>
      </w:r>
      <w:r w:rsidRPr="00D7785F">
        <w:rPr>
          <w:rFonts w:cs="Times New Roman"/>
          <w:color w:val="000000" w:themeColor="text1"/>
          <w:szCs w:val="24"/>
        </w:rPr>
        <w:t>1</w:t>
      </w:r>
      <w:r w:rsidRPr="00D7785F">
        <w:rPr>
          <w:rFonts w:ascii="Cambria Math" w:hAnsi="Cambria Math" w:cs="Cambria Math"/>
          <w:color w:val="000000" w:themeColor="text1"/>
          <w:szCs w:val="24"/>
        </w:rPr>
        <w:t>𝑋</w:t>
      </w:r>
      <w:r w:rsidRPr="00D7785F">
        <w:rPr>
          <w:rFonts w:cs="Times New Roman"/>
          <w:color w:val="000000" w:themeColor="text1"/>
          <w:szCs w:val="24"/>
        </w:rPr>
        <w:t>1+</w:t>
      </w:r>
      <w:r w:rsidRPr="00D7785F">
        <w:rPr>
          <w:rFonts w:ascii="Cambria Math" w:hAnsi="Cambria Math" w:cs="Cambria Math"/>
          <w:color w:val="000000" w:themeColor="text1"/>
          <w:szCs w:val="24"/>
        </w:rPr>
        <w:t>𝛽</w:t>
      </w:r>
      <w:r w:rsidRPr="00D7785F">
        <w:rPr>
          <w:rFonts w:cs="Times New Roman"/>
          <w:color w:val="000000" w:themeColor="text1"/>
          <w:szCs w:val="24"/>
        </w:rPr>
        <w:t>2</w:t>
      </w:r>
      <w:r w:rsidRPr="00D7785F">
        <w:rPr>
          <w:rFonts w:ascii="Cambria Math" w:hAnsi="Cambria Math" w:cs="Cambria Math"/>
          <w:color w:val="000000" w:themeColor="text1"/>
          <w:szCs w:val="24"/>
        </w:rPr>
        <w:t>𝑋</w:t>
      </w:r>
      <w:r w:rsidRPr="00D7785F">
        <w:rPr>
          <w:rFonts w:cs="Times New Roman"/>
          <w:color w:val="000000" w:themeColor="text1"/>
          <w:szCs w:val="24"/>
        </w:rPr>
        <w:t>2+</w:t>
      </w:r>
      <w:r w:rsidRPr="00D7785F">
        <w:rPr>
          <w:rFonts w:ascii="Cambria Math" w:hAnsi="Cambria Math" w:cs="Cambria Math"/>
          <w:color w:val="000000" w:themeColor="text1"/>
          <w:szCs w:val="24"/>
        </w:rPr>
        <w:t>𝛽</w:t>
      </w:r>
      <w:r w:rsidRPr="00D7785F">
        <w:rPr>
          <w:rFonts w:cs="Times New Roman"/>
          <w:color w:val="000000" w:themeColor="text1"/>
          <w:szCs w:val="24"/>
        </w:rPr>
        <w:t>3</w:t>
      </w:r>
      <w:r w:rsidRPr="00D7785F">
        <w:rPr>
          <w:rFonts w:ascii="Cambria Math" w:hAnsi="Cambria Math" w:cs="Cambria Math"/>
          <w:color w:val="000000" w:themeColor="text1"/>
          <w:szCs w:val="24"/>
        </w:rPr>
        <w:t>𝑋</w:t>
      </w:r>
      <w:r w:rsidRPr="00D7785F">
        <w:rPr>
          <w:rFonts w:cs="Times New Roman"/>
          <w:color w:val="000000" w:themeColor="text1"/>
          <w:szCs w:val="24"/>
        </w:rPr>
        <w:t>3+</w:t>
      </w:r>
      <w:r w:rsidRPr="00D7785F">
        <w:rPr>
          <w:rFonts w:ascii="Cambria Math" w:hAnsi="Cambria Math" w:cs="Cambria Math"/>
          <w:color w:val="000000" w:themeColor="text1"/>
          <w:szCs w:val="24"/>
        </w:rPr>
        <w:t>𝛽</w:t>
      </w:r>
      <w:r w:rsidRPr="00D7785F">
        <w:rPr>
          <w:rFonts w:cs="Times New Roman"/>
          <w:color w:val="000000" w:themeColor="text1"/>
          <w:szCs w:val="24"/>
        </w:rPr>
        <w:t>4</w:t>
      </w:r>
      <w:r w:rsidRPr="00D7785F">
        <w:rPr>
          <w:rFonts w:ascii="Cambria Math" w:hAnsi="Cambria Math" w:cs="Cambria Math"/>
          <w:color w:val="000000" w:themeColor="text1"/>
          <w:szCs w:val="24"/>
        </w:rPr>
        <w:t>𝑋</w:t>
      </w:r>
      <w:r w:rsidRPr="00D7785F">
        <w:rPr>
          <w:rFonts w:cs="Times New Roman"/>
          <w:color w:val="000000" w:themeColor="text1"/>
          <w:szCs w:val="24"/>
        </w:rPr>
        <w:t>4+</w:t>
      </w:r>
      <w:r w:rsidRPr="00D7785F">
        <w:rPr>
          <w:rFonts w:ascii="Cambria Math" w:hAnsi="Cambria Math" w:cs="Cambria Math"/>
          <w:color w:val="000000" w:themeColor="text1"/>
          <w:szCs w:val="24"/>
        </w:rPr>
        <w:t>𝜀</w:t>
      </w:r>
    </w:p>
    <w:p w14:paraId="33407F65"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Where </w:t>
      </w:r>
    </w:p>
    <w:p w14:paraId="386AF275"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Y represents firm profitability, </w:t>
      </w:r>
    </w:p>
    <w:p w14:paraId="689E2EF2" w14:textId="327BDC45"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𝑋</w:t>
      </w:r>
      <w:r w:rsidRPr="00D7785F">
        <w:rPr>
          <w:rFonts w:cs="Times New Roman"/>
          <w:color w:val="000000" w:themeColor="text1"/>
          <w:szCs w:val="24"/>
        </w:rPr>
        <w:t>1</w:t>
      </w:r>
    </w:p>
    <w:p w14:paraId="068E0CBC" w14:textId="54BF1238"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𝑋</w:t>
      </w:r>
      <w:r w:rsidRPr="00D7785F">
        <w:rPr>
          <w:rFonts w:cs="Times New Roman"/>
          <w:color w:val="000000" w:themeColor="text1"/>
          <w:szCs w:val="24"/>
        </w:rPr>
        <w:t>4</w:t>
      </w:r>
    </w:p>
    <w:p w14:paraId="1C9EBBA3" w14:textId="1DC25400"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denote firm characteristics, and ε is the error term. Analysis of Variance (ANOVA) was used to test the overall model significance, and results were presented using tables and charts.</w:t>
      </w:r>
    </w:p>
    <w:p w14:paraId="5FBB947D" w14:textId="64904D33"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Prior to regression analysis, diagnostic tests were conducted to ensure model reliability. Multicollinearity was assessed using the Variance Inflation Factor (VIF), with values below 10 indicating no multicollinearity issues. Heteroskedasticity was tested using the Breusch–Pagan and White tests, and any detected heteroskedasticity was corrected using robust standard errors. The Hausman test was applied to determine the appropriate model</w:t>
      </w:r>
      <w:r w:rsidR="00E550A5">
        <w:rPr>
          <w:rFonts w:cs="Times New Roman"/>
          <w:color w:val="000000" w:themeColor="text1"/>
          <w:szCs w:val="24"/>
        </w:rPr>
        <w:t xml:space="preserve"> </w:t>
      </w:r>
      <w:r w:rsidRPr="00D7785F">
        <w:rPr>
          <w:rFonts w:cs="Times New Roman"/>
          <w:color w:val="000000" w:themeColor="text1"/>
          <w:szCs w:val="24"/>
        </w:rPr>
        <w:t>fixed or random effects</w:t>
      </w:r>
      <w:r w:rsidR="00E550A5">
        <w:rPr>
          <w:rFonts w:cs="Times New Roman"/>
          <w:color w:val="000000" w:themeColor="text1"/>
          <w:szCs w:val="24"/>
        </w:rPr>
        <w:t xml:space="preserve"> </w:t>
      </w:r>
      <w:r w:rsidRPr="00D7785F">
        <w:rPr>
          <w:rFonts w:cs="Times New Roman"/>
          <w:color w:val="000000" w:themeColor="text1"/>
          <w:szCs w:val="24"/>
        </w:rPr>
        <w:t>for panel data analysis.</w:t>
      </w:r>
    </w:p>
    <w:p w14:paraId="68ECED9B" w14:textId="2FEA3101" w:rsidR="009B3203" w:rsidRPr="007A56B8"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The study strictly adhered to ethical research standards, including integrity, confidentiality, and informed consent. Authorization letters from the university and NACOSTI were presented to relevant offices, and all data were handled responsibly. Intellectual property rights were observed, all sources duly acknowledged, and plagiarism avoided through proper citation and referencing</w:t>
      </w:r>
      <w:r w:rsidR="00FE6B26" w:rsidRPr="007A56B8">
        <w:rPr>
          <w:rFonts w:cs="Times New Roman"/>
          <w:color w:val="000000" w:themeColor="text1"/>
          <w:szCs w:val="24"/>
        </w:rPr>
        <w:t>.</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1B94B9A" w:rsidR="00055D83" w:rsidRPr="007A56B8" w:rsidRDefault="002B2D3C" w:rsidP="002B2D3C">
      <w:pPr>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RESULTS AND DISCUSSION</w:t>
      </w:r>
    </w:p>
    <w:p w14:paraId="43040D14" w14:textId="387C66EF" w:rsidR="008B4F87" w:rsidRDefault="008B4F87" w:rsidP="00615B2D">
      <w:pPr>
        <w:spacing w:before="0" w:line="240" w:lineRule="auto"/>
        <w:rPr>
          <w:b/>
          <w:bCs/>
          <w:color w:val="000000" w:themeColor="text1"/>
          <w:sz w:val="28"/>
          <w:szCs w:val="24"/>
        </w:rPr>
      </w:pPr>
      <w:r w:rsidRPr="008B4F87">
        <w:rPr>
          <w:b/>
          <w:bCs/>
          <w:color w:val="000000" w:themeColor="text1"/>
          <w:sz w:val="28"/>
          <w:szCs w:val="24"/>
        </w:rPr>
        <w:t xml:space="preserve">Descriptive Statistics </w:t>
      </w:r>
    </w:p>
    <w:p w14:paraId="386F99B2" w14:textId="27C6EC4B" w:rsidR="008B4F87" w:rsidRPr="008B4F87" w:rsidRDefault="008B4F87" w:rsidP="008B4F87">
      <w:pPr>
        <w:spacing w:before="0" w:line="240" w:lineRule="auto"/>
        <w:rPr>
          <w:bCs/>
          <w:color w:val="000000" w:themeColor="text1"/>
          <w:szCs w:val="24"/>
        </w:rPr>
      </w:pPr>
      <w:r>
        <w:rPr>
          <w:bCs/>
          <w:color w:val="000000" w:themeColor="text1"/>
          <w:szCs w:val="24"/>
        </w:rPr>
        <w:t xml:space="preserve">Table </w:t>
      </w:r>
      <w:r w:rsidRPr="008B4F87">
        <w:rPr>
          <w:bCs/>
          <w:color w:val="000000" w:themeColor="text1"/>
          <w:szCs w:val="24"/>
        </w:rPr>
        <w:t>1 presents the descriptive statistics of firm characteristics and profitability of Savings and Credit Cooperative Societies (SACCOs) in Laikipia County. The variables analyzed include firm size, liquidity, capital structure, firm age, and profitability, all of which are essential indicators of financial performance.</w:t>
      </w:r>
    </w:p>
    <w:p w14:paraId="2C680BFF" w14:textId="77777777" w:rsidR="008B4F87" w:rsidRPr="008B4F87" w:rsidRDefault="008B4F87" w:rsidP="008B4F87">
      <w:pPr>
        <w:spacing w:before="0" w:line="240" w:lineRule="auto"/>
        <w:rPr>
          <w:bCs/>
          <w:color w:val="000000" w:themeColor="text1"/>
          <w:szCs w:val="24"/>
        </w:rPr>
      </w:pPr>
    </w:p>
    <w:p w14:paraId="2EA0F04F"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The number of shareholders, representing firm size, ranged from 15 to 6,209, with a mean of 762.64 and a standard deviation of 1,276.78. This wide dispersion indicates substantial variation in SACCO membership sizes across the county. Larger SACCOs are likely to benefit from economies of scale, greater capital mobilization, and enhanced lending capacity, factors that can positively influence profitability. However, excessive membership without corresponding management efficiency could result in coordination challenges and reduced performance.</w:t>
      </w:r>
    </w:p>
    <w:p w14:paraId="6F2FC2CA" w14:textId="77777777" w:rsidR="008B4F87" w:rsidRPr="008B4F87" w:rsidRDefault="008B4F87" w:rsidP="008B4F87">
      <w:pPr>
        <w:spacing w:before="0" w:line="240" w:lineRule="auto"/>
        <w:rPr>
          <w:bCs/>
          <w:color w:val="000000" w:themeColor="text1"/>
          <w:szCs w:val="24"/>
        </w:rPr>
      </w:pPr>
    </w:p>
    <w:p w14:paraId="1650B326" w14:textId="4CCFE0E6" w:rsidR="008B4F87" w:rsidRPr="008B4F87" w:rsidRDefault="008B4F87" w:rsidP="008B4F87">
      <w:pPr>
        <w:spacing w:before="0" w:line="240" w:lineRule="auto"/>
        <w:rPr>
          <w:bCs/>
          <w:color w:val="000000" w:themeColor="text1"/>
          <w:szCs w:val="24"/>
        </w:rPr>
      </w:pPr>
      <w:r w:rsidRPr="008B4F87">
        <w:rPr>
          <w:bCs/>
          <w:color w:val="000000" w:themeColor="text1"/>
          <w:szCs w:val="24"/>
        </w:rPr>
        <w:t>Firm liquidity, measured by the ratio of liquid assets to total deposits, had a mean of 4.091, with values ranging between 0.0028 and 1.4335 and a standard deviation of 0.241. This moderate variability implies that while some SACCOs maintain robust liquidity buffers, others operate with minimal liquid reserves, potentially exposing them to short-term solvency risks. Additionally, long-term liabilities</w:t>
      </w:r>
      <w:r w:rsidR="00E550A5">
        <w:rPr>
          <w:bCs/>
          <w:color w:val="000000" w:themeColor="text1"/>
          <w:szCs w:val="24"/>
        </w:rPr>
        <w:t xml:space="preserve"> </w:t>
      </w:r>
      <w:r w:rsidRPr="008B4F87">
        <w:rPr>
          <w:bCs/>
          <w:color w:val="000000" w:themeColor="text1"/>
          <w:szCs w:val="24"/>
        </w:rPr>
        <w:t>another liquidity indicator</w:t>
      </w:r>
      <w:r w:rsidR="00E550A5">
        <w:rPr>
          <w:bCs/>
          <w:color w:val="000000" w:themeColor="text1"/>
          <w:szCs w:val="24"/>
        </w:rPr>
        <w:t xml:space="preserve"> </w:t>
      </w:r>
      <w:r w:rsidRPr="008B4F87">
        <w:rPr>
          <w:bCs/>
          <w:color w:val="000000" w:themeColor="text1"/>
          <w:szCs w:val="24"/>
        </w:rPr>
        <w:t>ranged from KES 107,143 to KES 119,986,187, with a mean of 4.122 and a standard deviation of 0.362. This variation suggests differing financial obligations among SACCOs, influencing their capacity to meet debt obligations and finance future growth.</w:t>
      </w:r>
    </w:p>
    <w:p w14:paraId="30F584B5" w14:textId="77777777" w:rsidR="008B4F87" w:rsidRPr="008B4F87" w:rsidRDefault="008B4F87" w:rsidP="008B4F87">
      <w:pPr>
        <w:spacing w:before="0" w:line="240" w:lineRule="auto"/>
        <w:rPr>
          <w:bCs/>
          <w:color w:val="000000" w:themeColor="text1"/>
          <w:szCs w:val="24"/>
        </w:rPr>
      </w:pPr>
    </w:p>
    <w:p w14:paraId="55F0EDAB"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Capital structure, measured as the ratio of core capital to total assets, recorded a mean of 0.087 with a minimum of -0.34 and a maximum of 0.24. The negative minimum value indicates that some SACCOs may have experienced financial distress or high leverage during the study period. A low average ratio implies that many SACCOs adopt conservative capital structures, which, while enhancing stability, may restrict opportunities for expansion. These results underscore the importance of maintaining an optimal capital mix to balance financial safety and profitability.</w:t>
      </w:r>
    </w:p>
    <w:p w14:paraId="16DA91C4" w14:textId="77777777" w:rsidR="008B4F87" w:rsidRPr="008B4F87" w:rsidRDefault="008B4F87" w:rsidP="008B4F87">
      <w:pPr>
        <w:spacing w:before="0" w:line="240" w:lineRule="auto"/>
        <w:rPr>
          <w:bCs/>
          <w:color w:val="000000" w:themeColor="text1"/>
          <w:szCs w:val="24"/>
        </w:rPr>
      </w:pPr>
    </w:p>
    <w:p w14:paraId="5A16BB1B"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Firm age ranged between one and 36.44 years, with an average of 15.44 years and a standard deviation of 9.39. The variation reveals that while some SACCOs are newly established, others have accumulated significant operational experience. Older SACCOs are likely to enjoy enhanced institutional knowledge, stronger governance systems, and established member trust, which can lead to superior performance. Conversely, younger SACCOs may face challenges such as limited resources and weaker structures, constraining profitability growth.</w:t>
      </w:r>
    </w:p>
    <w:p w14:paraId="3514EFC6" w14:textId="77777777" w:rsidR="008B4F87" w:rsidRPr="008B4F87" w:rsidRDefault="008B4F87" w:rsidP="008B4F87">
      <w:pPr>
        <w:spacing w:before="0" w:line="240" w:lineRule="auto"/>
        <w:rPr>
          <w:bCs/>
          <w:color w:val="000000" w:themeColor="text1"/>
          <w:szCs w:val="24"/>
        </w:rPr>
      </w:pPr>
    </w:p>
    <w:p w14:paraId="7F3F4728"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Profitability, assessed through the return on equity (net income divided by shareholder equity), had a mean of 2.16 and a standard deviation of 4.27, with values ranging from 0.00 to 35.31. This wide dispersion demonstrates that while a few SACCOs generate substantial profits, many struggle to achieve satisfactory returns. The relatively low average profitability may indicate inefficiencies, high operating costs, or limited diversification of income sources.</w:t>
      </w:r>
    </w:p>
    <w:p w14:paraId="3999CDA1" w14:textId="77777777" w:rsidR="008B4F87" w:rsidRPr="008B4F87" w:rsidRDefault="008B4F87" w:rsidP="008B4F87">
      <w:pPr>
        <w:spacing w:before="0" w:line="240" w:lineRule="auto"/>
        <w:rPr>
          <w:bCs/>
          <w:color w:val="000000" w:themeColor="text1"/>
          <w:szCs w:val="24"/>
        </w:rPr>
      </w:pPr>
    </w:p>
    <w:p w14:paraId="1785B9B7" w14:textId="5C727C51" w:rsidR="008B4F87" w:rsidRPr="008B4F87" w:rsidRDefault="008B4F87" w:rsidP="008B4F87">
      <w:pPr>
        <w:spacing w:before="0" w:line="240" w:lineRule="auto"/>
        <w:rPr>
          <w:bCs/>
          <w:color w:val="000000" w:themeColor="text1"/>
          <w:szCs w:val="24"/>
        </w:rPr>
      </w:pPr>
      <w:r w:rsidRPr="008B4F87">
        <w:rPr>
          <w:bCs/>
          <w:color w:val="000000" w:themeColor="text1"/>
          <w:szCs w:val="24"/>
        </w:rPr>
        <w:t>Overall, the descriptive statistics highlight significant heterogeneity among SACCOs in Laikipia County in terms of size, liquidity, capital structure, age, and profitability. These variations suggest that SACCO performance is influenced by both internal management capabilities and firm-specific characteristics. Understanding these disparities is vital for developing tailored strategies to enhance operational efficiency, strengthen financial sustainability, and improve profitability within the cooperative sector</w:t>
      </w:r>
    </w:p>
    <w:p w14:paraId="674E0AF6" w14:textId="77777777" w:rsidR="008B4F87" w:rsidRDefault="008B4F87" w:rsidP="00615B2D">
      <w:pPr>
        <w:spacing w:before="0" w:line="240" w:lineRule="auto"/>
        <w:rPr>
          <w:b/>
          <w:bCs/>
          <w:color w:val="000000" w:themeColor="text1"/>
          <w:sz w:val="28"/>
          <w:szCs w:val="24"/>
        </w:rPr>
      </w:pPr>
    </w:p>
    <w:p w14:paraId="30691E76" w14:textId="16448B08" w:rsidR="008B4F87" w:rsidRPr="008B4F87" w:rsidRDefault="008B4F87" w:rsidP="008B4F87">
      <w:pPr>
        <w:spacing w:before="0" w:line="240" w:lineRule="auto"/>
        <w:rPr>
          <w:b/>
          <w:bCs/>
          <w:i/>
          <w:color w:val="000000" w:themeColor="text1"/>
          <w:szCs w:val="24"/>
        </w:rPr>
      </w:pPr>
      <w:r w:rsidRPr="008B4F87">
        <w:rPr>
          <w:b/>
          <w:bCs/>
          <w:i/>
          <w:color w:val="000000" w:themeColor="text1"/>
          <w:szCs w:val="24"/>
        </w:rPr>
        <w:t>Table 1</w:t>
      </w:r>
      <w:r w:rsidRPr="008B4F87">
        <w:rPr>
          <w:b/>
          <w:i/>
        </w:rPr>
        <w:t xml:space="preserve"> Descriptive Statistics of Firm Characteristics and Profitability</w:t>
      </w:r>
    </w:p>
    <w:p w14:paraId="764DB0E0" w14:textId="77777777" w:rsidR="008B4F87" w:rsidRDefault="008B4F87" w:rsidP="00615B2D">
      <w:pPr>
        <w:spacing w:before="0" w:line="240" w:lineRule="auto"/>
        <w:rPr>
          <w:b/>
          <w:bCs/>
          <w:color w:val="000000" w:themeColor="text1"/>
          <w:sz w:val="28"/>
          <w:szCs w:val="24"/>
        </w:rPr>
      </w:pPr>
    </w:p>
    <w:tbl>
      <w:tblPr>
        <w:tblStyle w:val="TableGrid"/>
        <w:tblW w:w="0" w:type="auto"/>
        <w:tblLook w:val="04A0" w:firstRow="1" w:lastRow="0" w:firstColumn="1" w:lastColumn="0" w:noHBand="0" w:noVBand="1"/>
      </w:tblPr>
      <w:tblGrid>
        <w:gridCol w:w="4957"/>
        <w:gridCol w:w="1449"/>
        <w:gridCol w:w="1716"/>
        <w:gridCol w:w="1189"/>
        <w:gridCol w:w="1378"/>
      </w:tblGrid>
      <w:tr w:rsidR="008B4F87" w:rsidRPr="00DD0419" w14:paraId="50BD4236" w14:textId="77777777" w:rsidTr="008B4F87">
        <w:tc>
          <w:tcPr>
            <w:tcW w:w="4957" w:type="dxa"/>
            <w:vAlign w:val="center"/>
          </w:tcPr>
          <w:p w14:paraId="6AE50C92" w14:textId="77777777" w:rsidR="008B4F87" w:rsidRPr="00517EFB" w:rsidRDefault="008B4F87" w:rsidP="008B4F87">
            <w:pPr>
              <w:spacing w:before="0" w:line="240" w:lineRule="auto"/>
              <w:rPr>
                <w:b/>
              </w:rPr>
            </w:pPr>
            <w:r w:rsidRPr="00517EFB">
              <w:rPr>
                <w:b/>
              </w:rPr>
              <w:t>Variable</w:t>
            </w:r>
          </w:p>
        </w:tc>
        <w:tc>
          <w:tcPr>
            <w:tcW w:w="1449" w:type="dxa"/>
            <w:vAlign w:val="center"/>
          </w:tcPr>
          <w:p w14:paraId="7020239D" w14:textId="77777777" w:rsidR="008B4F87" w:rsidRPr="00517EFB" w:rsidRDefault="008B4F87" w:rsidP="008B4F87">
            <w:pPr>
              <w:spacing w:before="0" w:line="240" w:lineRule="auto"/>
              <w:rPr>
                <w:b/>
              </w:rPr>
            </w:pPr>
            <w:r w:rsidRPr="00517EFB">
              <w:rPr>
                <w:b/>
              </w:rPr>
              <w:t>Minimum</w:t>
            </w:r>
          </w:p>
        </w:tc>
        <w:tc>
          <w:tcPr>
            <w:tcW w:w="1716" w:type="dxa"/>
            <w:vAlign w:val="center"/>
          </w:tcPr>
          <w:p w14:paraId="1C033181" w14:textId="77777777" w:rsidR="008B4F87" w:rsidRPr="00517EFB" w:rsidRDefault="008B4F87" w:rsidP="008B4F87">
            <w:pPr>
              <w:spacing w:before="0" w:line="240" w:lineRule="auto"/>
              <w:rPr>
                <w:b/>
              </w:rPr>
            </w:pPr>
            <w:r w:rsidRPr="00517EFB">
              <w:rPr>
                <w:b/>
              </w:rPr>
              <w:t>Maximum</w:t>
            </w:r>
          </w:p>
        </w:tc>
        <w:tc>
          <w:tcPr>
            <w:tcW w:w="1189" w:type="dxa"/>
            <w:vAlign w:val="center"/>
          </w:tcPr>
          <w:p w14:paraId="418ED1E4" w14:textId="77777777" w:rsidR="008B4F87" w:rsidRPr="00517EFB" w:rsidRDefault="008B4F87" w:rsidP="008B4F87">
            <w:pPr>
              <w:spacing w:before="0" w:line="240" w:lineRule="auto"/>
              <w:rPr>
                <w:b/>
              </w:rPr>
            </w:pPr>
            <w:r w:rsidRPr="00517EFB">
              <w:rPr>
                <w:b/>
              </w:rPr>
              <w:t>Mean</w:t>
            </w:r>
          </w:p>
        </w:tc>
        <w:tc>
          <w:tcPr>
            <w:tcW w:w="1378" w:type="dxa"/>
            <w:vAlign w:val="center"/>
          </w:tcPr>
          <w:p w14:paraId="1F17023B" w14:textId="77777777" w:rsidR="008B4F87" w:rsidRPr="00517EFB" w:rsidRDefault="008B4F87" w:rsidP="008B4F87">
            <w:pPr>
              <w:spacing w:before="0" w:line="240" w:lineRule="auto"/>
              <w:rPr>
                <w:b/>
              </w:rPr>
            </w:pPr>
            <w:r w:rsidRPr="00517EFB">
              <w:rPr>
                <w:b/>
              </w:rPr>
              <w:t>Standard Deviation</w:t>
            </w:r>
          </w:p>
        </w:tc>
      </w:tr>
      <w:tr w:rsidR="008B4F87" w:rsidRPr="00DD0419" w14:paraId="006E0D71" w14:textId="77777777" w:rsidTr="008B4F87">
        <w:tc>
          <w:tcPr>
            <w:tcW w:w="4957" w:type="dxa"/>
            <w:vAlign w:val="center"/>
          </w:tcPr>
          <w:p w14:paraId="07A1F4FA" w14:textId="77777777" w:rsidR="008B4F87" w:rsidRPr="00517EFB" w:rsidRDefault="008B4F87" w:rsidP="008B4F87">
            <w:pPr>
              <w:spacing w:before="0" w:line="240" w:lineRule="auto"/>
              <w:rPr>
                <w:b/>
              </w:rPr>
            </w:pPr>
            <w:r w:rsidRPr="00517EFB">
              <w:rPr>
                <w:b/>
              </w:rPr>
              <w:t>Firm Size (Number of Shareholders)</w:t>
            </w:r>
          </w:p>
        </w:tc>
        <w:tc>
          <w:tcPr>
            <w:tcW w:w="1449" w:type="dxa"/>
            <w:vAlign w:val="center"/>
          </w:tcPr>
          <w:p w14:paraId="6B3FC8C0" w14:textId="77777777" w:rsidR="008B4F87" w:rsidRPr="00517EFB" w:rsidRDefault="008B4F87" w:rsidP="008B4F87">
            <w:pPr>
              <w:spacing w:before="0" w:line="240" w:lineRule="auto"/>
            </w:pPr>
            <w:r w:rsidRPr="00517EFB">
              <w:t>15.00</w:t>
            </w:r>
          </w:p>
        </w:tc>
        <w:tc>
          <w:tcPr>
            <w:tcW w:w="1716" w:type="dxa"/>
            <w:vAlign w:val="center"/>
          </w:tcPr>
          <w:p w14:paraId="090554DB" w14:textId="77777777" w:rsidR="008B4F87" w:rsidRPr="00517EFB" w:rsidRDefault="008B4F87" w:rsidP="008B4F87">
            <w:pPr>
              <w:spacing w:before="0" w:line="240" w:lineRule="auto"/>
            </w:pPr>
            <w:r w:rsidRPr="00517EFB">
              <w:t>6209.00</w:t>
            </w:r>
          </w:p>
        </w:tc>
        <w:tc>
          <w:tcPr>
            <w:tcW w:w="1189" w:type="dxa"/>
            <w:vAlign w:val="center"/>
          </w:tcPr>
          <w:p w14:paraId="2C9506A3" w14:textId="77777777" w:rsidR="008B4F87" w:rsidRPr="00517EFB" w:rsidRDefault="008B4F87" w:rsidP="008B4F87">
            <w:pPr>
              <w:spacing w:before="0" w:line="240" w:lineRule="auto"/>
            </w:pPr>
            <w:r w:rsidRPr="00517EFB">
              <w:t>762.64</w:t>
            </w:r>
          </w:p>
        </w:tc>
        <w:tc>
          <w:tcPr>
            <w:tcW w:w="1378" w:type="dxa"/>
            <w:vAlign w:val="center"/>
          </w:tcPr>
          <w:p w14:paraId="6C2C7414" w14:textId="77777777" w:rsidR="008B4F87" w:rsidRPr="00517EFB" w:rsidRDefault="008B4F87" w:rsidP="008B4F87">
            <w:pPr>
              <w:spacing w:before="0" w:line="240" w:lineRule="auto"/>
            </w:pPr>
            <w:r w:rsidRPr="00517EFB">
              <w:t>1276.78</w:t>
            </w:r>
          </w:p>
        </w:tc>
      </w:tr>
      <w:tr w:rsidR="008B4F87" w:rsidRPr="00DD0419" w14:paraId="5D4D3535" w14:textId="77777777" w:rsidTr="008B4F87">
        <w:tc>
          <w:tcPr>
            <w:tcW w:w="4957" w:type="dxa"/>
            <w:vMerge w:val="restart"/>
            <w:vAlign w:val="center"/>
          </w:tcPr>
          <w:p w14:paraId="19066A5D" w14:textId="77777777" w:rsidR="008B4F87" w:rsidRPr="00517EFB" w:rsidRDefault="008B4F87" w:rsidP="008B4F87">
            <w:pPr>
              <w:spacing w:before="0" w:line="240" w:lineRule="auto"/>
              <w:rPr>
                <w:b/>
              </w:rPr>
            </w:pPr>
            <w:r>
              <w:rPr>
                <w:b/>
              </w:rPr>
              <w:t xml:space="preserve">Firm </w:t>
            </w:r>
            <w:r w:rsidRPr="00517EFB">
              <w:rPr>
                <w:b/>
              </w:rPr>
              <w:t>Liquidity (Liquid Assets/Total Deposits)</w:t>
            </w:r>
          </w:p>
          <w:p w14:paraId="262B421D" w14:textId="77777777" w:rsidR="008B4F87" w:rsidRPr="00517EFB" w:rsidRDefault="008B4F87" w:rsidP="008B4F87">
            <w:pPr>
              <w:spacing w:before="0" w:line="240" w:lineRule="auto"/>
              <w:rPr>
                <w:b/>
              </w:rPr>
            </w:pPr>
            <w:r>
              <w:rPr>
                <w:b/>
              </w:rPr>
              <w:lastRenderedPageBreak/>
              <w:t xml:space="preserve">Firm </w:t>
            </w:r>
            <w:r w:rsidRPr="00517EFB">
              <w:rPr>
                <w:b/>
              </w:rPr>
              <w:t>Liquidity (Long-term Liabilities)</w:t>
            </w:r>
          </w:p>
        </w:tc>
        <w:tc>
          <w:tcPr>
            <w:tcW w:w="1449" w:type="dxa"/>
            <w:vAlign w:val="center"/>
          </w:tcPr>
          <w:p w14:paraId="649406B9" w14:textId="77777777" w:rsidR="008B4F87" w:rsidRPr="00517EFB" w:rsidRDefault="008B4F87" w:rsidP="008B4F87">
            <w:pPr>
              <w:spacing w:before="0" w:line="240" w:lineRule="auto"/>
            </w:pPr>
            <w:r w:rsidRPr="00517EFB">
              <w:lastRenderedPageBreak/>
              <w:t>0.0028</w:t>
            </w:r>
          </w:p>
        </w:tc>
        <w:tc>
          <w:tcPr>
            <w:tcW w:w="1716" w:type="dxa"/>
            <w:vAlign w:val="center"/>
          </w:tcPr>
          <w:p w14:paraId="1DD2C189" w14:textId="77777777" w:rsidR="008B4F87" w:rsidRPr="00517EFB" w:rsidRDefault="008B4F87" w:rsidP="008B4F87">
            <w:pPr>
              <w:spacing w:before="0" w:line="240" w:lineRule="auto"/>
            </w:pPr>
            <w:r w:rsidRPr="00517EFB">
              <w:t>1.4335</w:t>
            </w:r>
          </w:p>
        </w:tc>
        <w:tc>
          <w:tcPr>
            <w:tcW w:w="1189" w:type="dxa"/>
            <w:vAlign w:val="center"/>
          </w:tcPr>
          <w:p w14:paraId="39576A27" w14:textId="77777777" w:rsidR="008B4F87" w:rsidRPr="00517EFB" w:rsidRDefault="008B4F87" w:rsidP="008B4F87">
            <w:pPr>
              <w:spacing w:before="0" w:line="240" w:lineRule="auto"/>
            </w:pPr>
            <w:r w:rsidRPr="00517EFB">
              <w:t>4.091</w:t>
            </w:r>
          </w:p>
        </w:tc>
        <w:tc>
          <w:tcPr>
            <w:tcW w:w="1378" w:type="dxa"/>
            <w:vAlign w:val="center"/>
          </w:tcPr>
          <w:p w14:paraId="69903BA6" w14:textId="77777777" w:rsidR="008B4F87" w:rsidRPr="00517EFB" w:rsidRDefault="008B4F87" w:rsidP="008B4F87">
            <w:pPr>
              <w:spacing w:before="0" w:line="240" w:lineRule="auto"/>
            </w:pPr>
            <w:r w:rsidRPr="00517EFB">
              <w:t>0.241</w:t>
            </w:r>
          </w:p>
        </w:tc>
      </w:tr>
      <w:tr w:rsidR="008B4F87" w:rsidRPr="00DD0419" w14:paraId="44A89622" w14:textId="77777777" w:rsidTr="008B4F87">
        <w:tc>
          <w:tcPr>
            <w:tcW w:w="4957" w:type="dxa"/>
            <w:vMerge/>
            <w:vAlign w:val="center"/>
          </w:tcPr>
          <w:p w14:paraId="75FF0D4A" w14:textId="77777777" w:rsidR="008B4F87" w:rsidRPr="00517EFB" w:rsidRDefault="008B4F87" w:rsidP="008B4F87">
            <w:pPr>
              <w:spacing w:before="0" w:line="240" w:lineRule="auto"/>
              <w:rPr>
                <w:b/>
              </w:rPr>
            </w:pPr>
          </w:p>
        </w:tc>
        <w:tc>
          <w:tcPr>
            <w:tcW w:w="1449" w:type="dxa"/>
            <w:vAlign w:val="center"/>
          </w:tcPr>
          <w:p w14:paraId="54ADC452" w14:textId="77777777" w:rsidR="008B4F87" w:rsidRPr="00517EFB" w:rsidRDefault="008B4F87" w:rsidP="008B4F87">
            <w:pPr>
              <w:spacing w:before="0" w:line="240" w:lineRule="auto"/>
            </w:pPr>
            <w:r w:rsidRPr="00517EFB">
              <w:t>107,143.00</w:t>
            </w:r>
          </w:p>
        </w:tc>
        <w:tc>
          <w:tcPr>
            <w:tcW w:w="1716" w:type="dxa"/>
            <w:vAlign w:val="center"/>
          </w:tcPr>
          <w:p w14:paraId="2951621F" w14:textId="77777777" w:rsidR="008B4F87" w:rsidRPr="00517EFB" w:rsidRDefault="008B4F87" w:rsidP="008B4F87">
            <w:pPr>
              <w:spacing w:before="0" w:line="240" w:lineRule="auto"/>
            </w:pPr>
            <w:r w:rsidRPr="00517EFB">
              <w:t>119,986,187.00</w:t>
            </w:r>
          </w:p>
        </w:tc>
        <w:tc>
          <w:tcPr>
            <w:tcW w:w="1189" w:type="dxa"/>
            <w:vAlign w:val="center"/>
          </w:tcPr>
          <w:p w14:paraId="322DFB0E" w14:textId="77777777" w:rsidR="008B4F87" w:rsidRPr="00517EFB" w:rsidRDefault="008B4F87" w:rsidP="008B4F87">
            <w:pPr>
              <w:spacing w:before="0" w:line="240" w:lineRule="auto"/>
            </w:pPr>
            <w:r w:rsidRPr="00517EFB">
              <w:t>4.122</w:t>
            </w:r>
          </w:p>
        </w:tc>
        <w:tc>
          <w:tcPr>
            <w:tcW w:w="1378" w:type="dxa"/>
            <w:vAlign w:val="center"/>
          </w:tcPr>
          <w:p w14:paraId="29051FFB" w14:textId="77777777" w:rsidR="008B4F87" w:rsidRPr="00517EFB" w:rsidRDefault="008B4F87" w:rsidP="008B4F87">
            <w:pPr>
              <w:spacing w:before="0" w:line="240" w:lineRule="auto"/>
            </w:pPr>
            <w:r w:rsidRPr="00517EFB">
              <w:t>0.362</w:t>
            </w:r>
          </w:p>
        </w:tc>
      </w:tr>
      <w:tr w:rsidR="008B4F87" w:rsidRPr="00DD0419" w14:paraId="18BC88ED" w14:textId="77777777" w:rsidTr="008B4F87">
        <w:tc>
          <w:tcPr>
            <w:tcW w:w="4957" w:type="dxa"/>
            <w:vAlign w:val="center"/>
          </w:tcPr>
          <w:p w14:paraId="129467CD" w14:textId="77777777" w:rsidR="008B4F87" w:rsidRPr="00517EFB" w:rsidRDefault="008B4F87" w:rsidP="008B4F87">
            <w:pPr>
              <w:spacing w:before="0" w:line="240" w:lineRule="auto"/>
              <w:rPr>
                <w:b/>
              </w:rPr>
            </w:pPr>
            <w:r w:rsidRPr="00517EFB">
              <w:rPr>
                <w:b/>
              </w:rPr>
              <w:lastRenderedPageBreak/>
              <w:t>Capital Structure (Core Capital/Total Assets)</w:t>
            </w:r>
          </w:p>
        </w:tc>
        <w:tc>
          <w:tcPr>
            <w:tcW w:w="1449" w:type="dxa"/>
            <w:vAlign w:val="center"/>
          </w:tcPr>
          <w:p w14:paraId="625EE7F5" w14:textId="77777777" w:rsidR="008B4F87" w:rsidRPr="00517EFB" w:rsidRDefault="008B4F87" w:rsidP="008B4F87">
            <w:pPr>
              <w:spacing w:before="0" w:line="240" w:lineRule="auto"/>
            </w:pPr>
            <w:r w:rsidRPr="00517EFB">
              <w:t>-0.34</w:t>
            </w:r>
          </w:p>
        </w:tc>
        <w:tc>
          <w:tcPr>
            <w:tcW w:w="1716" w:type="dxa"/>
            <w:vAlign w:val="center"/>
          </w:tcPr>
          <w:p w14:paraId="6DF57C97" w14:textId="77777777" w:rsidR="008B4F87" w:rsidRPr="00517EFB" w:rsidRDefault="008B4F87" w:rsidP="008B4F87">
            <w:pPr>
              <w:spacing w:before="0" w:line="240" w:lineRule="auto"/>
            </w:pPr>
            <w:r w:rsidRPr="00517EFB">
              <w:t>0.24</w:t>
            </w:r>
          </w:p>
        </w:tc>
        <w:tc>
          <w:tcPr>
            <w:tcW w:w="1189" w:type="dxa"/>
            <w:vAlign w:val="center"/>
          </w:tcPr>
          <w:p w14:paraId="7DB99DD8" w14:textId="77777777" w:rsidR="008B4F87" w:rsidRPr="00517EFB" w:rsidRDefault="008B4F87" w:rsidP="008B4F87">
            <w:pPr>
              <w:spacing w:before="0" w:line="240" w:lineRule="auto"/>
            </w:pPr>
            <w:r w:rsidRPr="00517EFB">
              <w:t>0.087</w:t>
            </w:r>
          </w:p>
        </w:tc>
        <w:tc>
          <w:tcPr>
            <w:tcW w:w="1378" w:type="dxa"/>
            <w:vAlign w:val="center"/>
          </w:tcPr>
          <w:p w14:paraId="54E96460" w14:textId="77777777" w:rsidR="008B4F87" w:rsidRPr="00517EFB" w:rsidRDefault="008B4F87" w:rsidP="008B4F87">
            <w:pPr>
              <w:spacing w:before="0" w:line="240" w:lineRule="auto"/>
            </w:pPr>
            <w:r w:rsidRPr="00517EFB">
              <w:t>0.0908</w:t>
            </w:r>
          </w:p>
        </w:tc>
      </w:tr>
      <w:tr w:rsidR="008B4F87" w:rsidRPr="00DD0419" w14:paraId="4E76CA0D" w14:textId="77777777" w:rsidTr="008B4F87">
        <w:tc>
          <w:tcPr>
            <w:tcW w:w="4957" w:type="dxa"/>
            <w:vAlign w:val="center"/>
          </w:tcPr>
          <w:p w14:paraId="13DD9B9B" w14:textId="77777777" w:rsidR="008B4F87" w:rsidRPr="00517EFB" w:rsidRDefault="008B4F87" w:rsidP="008B4F87">
            <w:pPr>
              <w:spacing w:before="0" w:line="240" w:lineRule="auto"/>
              <w:rPr>
                <w:b/>
              </w:rPr>
            </w:pPr>
            <w:r w:rsidRPr="00517EFB">
              <w:rPr>
                <w:b/>
              </w:rPr>
              <w:t>Firm Age (Years)</w:t>
            </w:r>
          </w:p>
        </w:tc>
        <w:tc>
          <w:tcPr>
            <w:tcW w:w="1449" w:type="dxa"/>
            <w:vAlign w:val="center"/>
          </w:tcPr>
          <w:p w14:paraId="37A742EE" w14:textId="77777777" w:rsidR="008B4F87" w:rsidRPr="00517EFB" w:rsidRDefault="008B4F87" w:rsidP="008B4F87">
            <w:pPr>
              <w:spacing w:before="0" w:line="240" w:lineRule="auto"/>
            </w:pPr>
            <w:r w:rsidRPr="00517EFB">
              <w:t>1.00</w:t>
            </w:r>
          </w:p>
        </w:tc>
        <w:tc>
          <w:tcPr>
            <w:tcW w:w="1716" w:type="dxa"/>
            <w:vAlign w:val="center"/>
          </w:tcPr>
          <w:p w14:paraId="26BF7217" w14:textId="77777777" w:rsidR="008B4F87" w:rsidRPr="00517EFB" w:rsidRDefault="008B4F87" w:rsidP="008B4F87">
            <w:pPr>
              <w:spacing w:before="0" w:line="240" w:lineRule="auto"/>
            </w:pPr>
            <w:r w:rsidRPr="00517EFB">
              <w:t>36.44</w:t>
            </w:r>
          </w:p>
        </w:tc>
        <w:tc>
          <w:tcPr>
            <w:tcW w:w="1189" w:type="dxa"/>
            <w:vAlign w:val="center"/>
          </w:tcPr>
          <w:p w14:paraId="198896BA" w14:textId="77777777" w:rsidR="008B4F87" w:rsidRPr="00517EFB" w:rsidRDefault="008B4F87" w:rsidP="008B4F87">
            <w:pPr>
              <w:spacing w:before="0" w:line="240" w:lineRule="auto"/>
            </w:pPr>
            <w:r w:rsidRPr="00517EFB">
              <w:t>15.44</w:t>
            </w:r>
          </w:p>
        </w:tc>
        <w:tc>
          <w:tcPr>
            <w:tcW w:w="1378" w:type="dxa"/>
            <w:vAlign w:val="center"/>
          </w:tcPr>
          <w:p w14:paraId="280B2428" w14:textId="77777777" w:rsidR="008B4F87" w:rsidRPr="00517EFB" w:rsidRDefault="008B4F87" w:rsidP="008B4F87">
            <w:pPr>
              <w:spacing w:before="0" w:line="240" w:lineRule="auto"/>
            </w:pPr>
            <w:r w:rsidRPr="00517EFB">
              <w:t>9.39</w:t>
            </w:r>
          </w:p>
        </w:tc>
      </w:tr>
      <w:tr w:rsidR="008B4F87" w:rsidRPr="00DD0419" w14:paraId="43B886C8" w14:textId="77777777" w:rsidTr="008B4F87">
        <w:tc>
          <w:tcPr>
            <w:tcW w:w="4957" w:type="dxa"/>
            <w:vAlign w:val="center"/>
          </w:tcPr>
          <w:p w14:paraId="3E32456A" w14:textId="77777777" w:rsidR="008B4F87" w:rsidRPr="00517EFB" w:rsidRDefault="008B4F87" w:rsidP="008B4F87">
            <w:pPr>
              <w:spacing w:before="0" w:line="240" w:lineRule="auto"/>
              <w:rPr>
                <w:b/>
              </w:rPr>
            </w:pPr>
            <w:r w:rsidRPr="00517EFB">
              <w:rPr>
                <w:b/>
              </w:rPr>
              <w:t>Profitability (Net Income/Shareholder Equity)</w:t>
            </w:r>
          </w:p>
        </w:tc>
        <w:tc>
          <w:tcPr>
            <w:tcW w:w="1449" w:type="dxa"/>
            <w:vAlign w:val="center"/>
          </w:tcPr>
          <w:p w14:paraId="299DD48B" w14:textId="77777777" w:rsidR="008B4F87" w:rsidRPr="00517EFB" w:rsidRDefault="008B4F87" w:rsidP="008B4F87">
            <w:pPr>
              <w:spacing w:before="0" w:line="240" w:lineRule="auto"/>
            </w:pPr>
            <w:r w:rsidRPr="00517EFB">
              <w:t>0.00</w:t>
            </w:r>
          </w:p>
        </w:tc>
        <w:tc>
          <w:tcPr>
            <w:tcW w:w="1716" w:type="dxa"/>
            <w:vAlign w:val="center"/>
          </w:tcPr>
          <w:p w14:paraId="26EF9497" w14:textId="77777777" w:rsidR="008B4F87" w:rsidRPr="00517EFB" w:rsidRDefault="008B4F87" w:rsidP="008B4F87">
            <w:pPr>
              <w:spacing w:before="0" w:line="240" w:lineRule="auto"/>
            </w:pPr>
            <w:r w:rsidRPr="00517EFB">
              <w:t>35.31</w:t>
            </w:r>
          </w:p>
        </w:tc>
        <w:tc>
          <w:tcPr>
            <w:tcW w:w="1189" w:type="dxa"/>
            <w:vAlign w:val="center"/>
          </w:tcPr>
          <w:p w14:paraId="50243241" w14:textId="77777777" w:rsidR="008B4F87" w:rsidRPr="00517EFB" w:rsidRDefault="008B4F87" w:rsidP="008B4F87">
            <w:pPr>
              <w:spacing w:before="0" w:line="240" w:lineRule="auto"/>
            </w:pPr>
            <w:r w:rsidRPr="00517EFB">
              <w:t>2.16</w:t>
            </w:r>
          </w:p>
        </w:tc>
        <w:tc>
          <w:tcPr>
            <w:tcW w:w="1378" w:type="dxa"/>
            <w:vAlign w:val="center"/>
          </w:tcPr>
          <w:p w14:paraId="17A8D9CF" w14:textId="77777777" w:rsidR="008B4F87" w:rsidRPr="00517EFB" w:rsidRDefault="008B4F87" w:rsidP="008B4F87">
            <w:pPr>
              <w:spacing w:before="0" w:line="240" w:lineRule="auto"/>
            </w:pPr>
            <w:r w:rsidRPr="00517EFB">
              <w:t>4.27</w:t>
            </w:r>
          </w:p>
        </w:tc>
      </w:tr>
    </w:tbl>
    <w:p w14:paraId="134C9A9C" w14:textId="77777777" w:rsidR="00F933EE" w:rsidRPr="007A56B8" w:rsidRDefault="00F933EE" w:rsidP="00615B2D">
      <w:pPr>
        <w:spacing w:before="0" w:line="240" w:lineRule="auto"/>
        <w:rPr>
          <w:b/>
          <w:sz w:val="28"/>
        </w:rPr>
      </w:pPr>
    </w:p>
    <w:p w14:paraId="0E878FEE" w14:textId="77777777" w:rsidR="00BF3C23" w:rsidRPr="00BF3C23" w:rsidRDefault="00BF3C23" w:rsidP="00BF3C23">
      <w:pPr>
        <w:spacing w:before="100" w:beforeAutospacing="1" w:after="100" w:afterAutospacing="1" w:line="240" w:lineRule="auto"/>
        <w:jc w:val="left"/>
        <w:rPr>
          <w:rFonts w:eastAsia="Times New Roman" w:cs="Times New Roman"/>
          <w:color w:val="auto"/>
          <w:sz w:val="28"/>
          <w:szCs w:val="24"/>
          <w14:ligatures w14:val="none"/>
        </w:rPr>
      </w:pPr>
      <w:r w:rsidRPr="00BF3C23">
        <w:rPr>
          <w:rFonts w:eastAsia="Times New Roman" w:cs="Times New Roman"/>
          <w:b/>
          <w:bCs/>
          <w:color w:val="auto"/>
          <w:sz w:val="28"/>
          <w:szCs w:val="24"/>
          <w14:ligatures w14:val="none"/>
        </w:rPr>
        <w:t>Diagnostic Tests</w:t>
      </w:r>
    </w:p>
    <w:p w14:paraId="01A944A7" w14:textId="7E44BAF0" w:rsidR="00BF3C23" w:rsidRPr="00BF3C23" w:rsidRDefault="00BF3C23" w:rsidP="00BF3C23">
      <w:pPr>
        <w:spacing w:before="100" w:beforeAutospacing="1" w:after="100" w:afterAutospacing="1" w:line="240" w:lineRule="auto"/>
        <w:rPr>
          <w:rFonts w:eastAsia="Times New Roman" w:cs="Times New Roman"/>
          <w:color w:val="auto"/>
          <w:szCs w:val="24"/>
          <w14:ligatures w14:val="none"/>
        </w:rPr>
      </w:pPr>
      <w:r w:rsidRPr="00BF3C23">
        <w:rPr>
          <w:rFonts w:eastAsia="Times New Roman" w:cs="Times New Roman"/>
          <w:color w:val="auto"/>
          <w:szCs w:val="24"/>
          <w14:ligatures w14:val="none"/>
        </w:rPr>
        <w:t>Diagnostic tests are crucial in panel data regression analysis to ensure the accuracy, reliability, and validity of results when examining the relationship between firm characteristics and the profitability of SACCOs in Laikipia County, Kenya. These tests help detect statistical issues such as multicollinearity, heteroscedasticity, and other violations of regression assumptions that could distort findings. Prior to conducting inferential analysis, diagnostic tests were carried out on panel data from 2018 to 2022 to confirm the suitability of the regression model. Specifically, multicollinearity tests were conducted to assess interdependence among explanatory variables</w:t>
      </w:r>
      <w:r w:rsidR="00E550A5">
        <w:rPr>
          <w:rFonts w:eastAsia="Times New Roman" w:cs="Times New Roman"/>
          <w:color w:val="auto"/>
          <w:szCs w:val="24"/>
          <w14:ligatures w14:val="none"/>
        </w:rPr>
        <w:t xml:space="preserve"> </w:t>
      </w:r>
      <w:r w:rsidRPr="00BF3C23">
        <w:rPr>
          <w:rFonts w:eastAsia="Times New Roman" w:cs="Times New Roman"/>
          <w:color w:val="auto"/>
          <w:szCs w:val="24"/>
          <w14:ligatures w14:val="none"/>
        </w:rPr>
        <w:t>firm size, liquidity, capital structure, and firm age</w:t>
      </w:r>
      <w:r w:rsidR="00E550A5">
        <w:rPr>
          <w:rFonts w:eastAsia="Times New Roman" w:cs="Times New Roman"/>
          <w:color w:val="auto"/>
          <w:szCs w:val="24"/>
          <w14:ligatures w14:val="none"/>
        </w:rPr>
        <w:t xml:space="preserve"> </w:t>
      </w:r>
      <w:r w:rsidRPr="00BF3C23">
        <w:rPr>
          <w:rFonts w:eastAsia="Times New Roman" w:cs="Times New Roman"/>
          <w:color w:val="auto"/>
          <w:szCs w:val="24"/>
          <w14:ligatures w14:val="none"/>
        </w:rPr>
        <w:t>while heteroscedasticity tests were used to check the uniformity of error variances across SACCOs. These steps ensured the model’s robustness and reliability.</w:t>
      </w:r>
    </w:p>
    <w:p w14:paraId="55BB6E11" w14:textId="77777777" w:rsidR="00BF3C23" w:rsidRPr="00BF3C23" w:rsidRDefault="00BF3C23" w:rsidP="00BF3C23">
      <w:pPr>
        <w:spacing w:before="100" w:beforeAutospacing="1" w:after="100" w:afterAutospacing="1" w:line="240" w:lineRule="auto"/>
        <w:rPr>
          <w:rFonts w:eastAsia="Times New Roman" w:cs="Times New Roman"/>
          <w:i/>
          <w:color w:val="auto"/>
          <w:szCs w:val="24"/>
          <w14:ligatures w14:val="none"/>
        </w:rPr>
      </w:pPr>
      <w:r w:rsidRPr="00BF3C23">
        <w:rPr>
          <w:rFonts w:eastAsia="Times New Roman" w:cs="Times New Roman"/>
          <w:b/>
          <w:bCs/>
          <w:i/>
          <w:color w:val="auto"/>
          <w:szCs w:val="24"/>
          <w14:ligatures w14:val="none"/>
        </w:rPr>
        <w:t>Multicollinearity Test Results</w:t>
      </w:r>
    </w:p>
    <w:p w14:paraId="127A733F" w14:textId="4D02B952" w:rsidR="00BF3C23" w:rsidRPr="00BF3C23" w:rsidRDefault="00BF3C23" w:rsidP="00BF3C23">
      <w:pPr>
        <w:spacing w:before="100" w:beforeAutospacing="1" w:after="100" w:afterAutospacing="1" w:line="240" w:lineRule="auto"/>
        <w:rPr>
          <w:rFonts w:eastAsia="Times New Roman" w:cs="Times New Roman"/>
          <w:color w:val="auto"/>
          <w:szCs w:val="24"/>
          <w14:ligatures w14:val="none"/>
        </w:rPr>
      </w:pPr>
      <w:r w:rsidRPr="00BF3C23">
        <w:rPr>
          <w:rFonts w:eastAsia="Times New Roman" w:cs="Times New Roman"/>
          <w:color w:val="auto"/>
          <w:szCs w:val="24"/>
          <w14:ligatures w14:val="none"/>
        </w:rPr>
        <w:t>Assessing multicollinearity was essential since high correlations among predictor variables can inflate standard errors, weaken statistical significance, and distort coefficient estimates. The Variance Inflation Factor (VIF) and tolerance values were computed to detect multicollinearity. A VIF exceeding 10 or a tolerance below 0.1 typically indicates a problem. As shown in Table 2, all VIF values ranged from 2.47 to 6.05, with corresponding tolerance values between 0.165 and 0.404, all within acceptable limits. The mean VIF of 4.195 further confirmed the absence of serious multicollinearity. Thus, the independent variables were not highly correlated, ensuring the reliability of the regression results in analyzing the effect of firm characteristics on SACCO profitability.</w:t>
      </w:r>
    </w:p>
    <w:p w14:paraId="73F2D1E8" w14:textId="77777777" w:rsidR="00BF3C23" w:rsidRPr="00BF3C23" w:rsidRDefault="00BF3C23" w:rsidP="00BF3C23">
      <w:pPr>
        <w:rPr>
          <w:b/>
          <w:i/>
        </w:rPr>
      </w:pPr>
      <w:r w:rsidRPr="00BF3C23">
        <w:rPr>
          <w:b/>
          <w:i/>
        </w:rPr>
        <w:t xml:space="preserve">Table 2 </w:t>
      </w:r>
      <w:bookmarkStart w:id="3" w:name="_Toc174988296"/>
      <w:bookmarkStart w:id="4" w:name="_Toc174989868"/>
      <w:bookmarkStart w:id="5" w:name="_Toc174990176"/>
      <w:r w:rsidRPr="00BF3C23">
        <w:rPr>
          <w:b/>
          <w:i/>
        </w:rPr>
        <w:t>Multicollinearity Test Results</w:t>
      </w:r>
      <w:bookmarkEnd w:id="3"/>
      <w:bookmarkEnd w:id="4"/>
      <w:bookmarkEnd w:id="5"/>
    </w:p>
    <w:tbl>
      <w:tblPr>
        <w:tblW w:w="4856" w:type="pct"/>
        <w:tblInd w:w="108" w:type="dxa"/>
        <w:tblLayout w:type="fixed"/>
        <w:tblLook w:val="04A0" w:firstRow="1" w:lastRow="0" w:firstColumn="1" w:lastColumn="0" w:noHBand="0" w:noVBand="1"/>
      </w:tblPr>
      <w:tblGrid>
        <w:gridCol w:w="3568"/>
        <w:gridCol w:w="3572"/>
        <w:gridCol w:w="3572"/>
      </w:tblGrid>
      <w:tr w:rsidR="00BF3C23" w:rsidRPr="00987DF0" w14:paraId="0F165E4A" w14:textId="77777777" w:rsidTr="007B7A84">
        <w:trPr>
          <w:trHeight w:val="80"/>
        </w:trPr>
        <w:tc>
          <w:tcPr>
            <w:tcW w:w="1665" w:type="pct"/>
            <w:tcBorders>
              <w:top w:val="single" w:sz="4" w:space="0" w:color="auto"/>
              <w:bottom w:val="single" w:sz="4" w:space="0" w:color="auto"/>
            </w:tcBorders>
            <w:noWrap/>
            <w:vAlign w:val="bottom"/>
            <w:hideMark/>
          </w:tcPr>
          <w:p w14:paraId="456B9815" w14:textId="77777777" w:rsidR="00BF3C23" w:rsidRPr="00987DF0" w:rsidRDefault="00BF3C23" w:rsidP="00BF3C23">
            <w:pPr>
              <w:spacing w:before="0" w:line="240" w:lineRule="auto"/>
              <w:ind w:left="-83" w:firstLine="83"/>
              <w:rPr>
                <w:b/>
                <w:color w:val="000000" w:themeColor="text1"/>
                <w:szCs w:val="24"/>
              </w:rPr>
            </w:pPr>
            <w:r w:rsidRPr="00987DF0">
              <w:rPr>
                <w:b/>
                <w:color w:val="000000" w:themeColor="text1"/>
                <w:szCs w:val="24"/>
              </w:rPr>
              <w:t xml:space="preserve">Variable </w:t>
            </w:r>
          </w:p>
        </w:tc>
        <w:tc>
          <w:tcPr>
            <w:tcW w:w="1667" w:type="pct"/>
            <w:tcBorders>
              <w:top w:val="single" w:sz="4" w:space="0" w:color="auto"/>
              <w:bottom w:val="single" w:sz="4" w:space="0" w:color="auto"/>
            </w:tcBorders>
            <w:noWrap/>
            <w:vAlign w:val="bottom"/>
            <w:hideMark/>
          </w:tcPr>
          <w:p w14:paraId="4BB63F8F"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VIF</w:t>
            </w:r>
          </w:p>
        </w:tc>
        <w:tc>
          <w:tcPr>
            <w:tcW w:w="1667" w:type="pct"/>
            <w:tcBorders>
              <w:top w:val="single" w:sz="4" w:space="0" w:color="auto"/>
              <w:bottom w:val="single" w:sz="4" w:space="0" w:color="auto"/>
            </w:tcBorders>
            <w:noWrap/>
            <w:vAlign w:val="bottom"/>
            <w:hideMark/>
          </w:tcPr>
          <w:p w14:paraId="29B13A4D"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Tolerance Value (1/VIF)</w:t>
            </w:r>
          </w:p>
        </w:tc>
      </w:tr>
      <w:tr w:rsidR="00BF3C23" w:rsidRPr="00987DF0" w14:paraId="7BC903CB" w14:textId="77777777" w:rsidTr="007B7A84">
        <w:trPr>
          <w:trHeight w:val="90"/>
        </w:trPr>
        <w:tc>
          <w:tcPr>
            <w:tcW w:w="1665" w:type="pct"/>
            <w:tcBorders>
              <w:top w:val="single" w:sz="4" w:space="0" w:color="auto"/>
            </w:tcBorders>
            <w:noWrap/>
            <w:vAlign w:val="bottom"/>
            <w:hideMark/>
          </w:tcPr>
          <w:p w14:paraId="682BE6D7"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Firm size</w:t>
            </w:r>
          </w:p>
        </w:tc>
        <w:tc>
          <w:tcPr>
            <w:tcW w:w="1667" w:type="pct"/>
            <w:tcBorders>
              <w:top w:val="single" w:sz="4" w:space="0" w:color="auto"/>
            </w:tcBorders>
            <w:noWrap/>
            <w:vAlign w:val="bottom"/>
            <w:hideMark/>
          </w:tcPr>
          <w:p w14:paraId="7743BB84" w14:textId="77777777" w:rsidR="00BF3C23" w:rsidRPr="00987DF0" w:rsidRDefault="00BF3C23" w:rsidP="00BF3C23">
            <w:pPr>
              <w:spacing w:before="0" w:line="240" w:lineRule="auto"/>
              <w:rPr>
                <w:color w:val="000000" w:themeColor="text1"/>
                <w:szCs w:val="24"/>
              </w:rPr>
            </w:pPr>
            <w:r w:rsidRPr="00987DF0">
              <w:rPr>
                <w:color w:val="000000" w:themeColor="text1"/>
                <w:szCs w:val="24"/>
              </w:rPr>
              <w:t>6.05</w:t>
            </w:r>
          </w:p>
        </w:tc>
        <w:tc>
          <w:tcPr>
            <w:tcW w:w="1667" w:type="pct"/>
            <w:tcBorders>
              <w:top w:val="single" w:sz="4" w:space="0" w:color="auto"/>
            </w:tcBorders>
            <w:noWrap/>
            <w:vAlign w:val="bottom"/>
            <w:hideMark/>
          </w:tcPr>
          <w:p w14:paraId="7C7DA8FE" w14:textId="77777777" w:rsidR="00BF3C23" w:rsidRPr="00987DF0" w:rsidRDefault="00BF3C23" w:rsidP="00BF3C23">
            <w:pPr>
              <w:spacing w:before="0" w:line="240" w:lineRule="auto"/>
              <w:rPr>
                <w:color w:val="000000" w:themeColor="text1"/>
                <w:szCs w:val="24"/>
              </w:rPr>
            </w:pPr>
            <w:r w:rsidRPr="00987DF0">
              <w:rPr>
                <w:color w:val="000000" w:themeColor="text1"/>
                <w:szCs w:val="24"/>
              </w:rPr>
              <w:t>0.165</w:t>
            </w:r>
          </w:p>
        </w:tc>
      </w:tr>
      <w:tr w:rsidR="00BF3C23" w:rsidRPr="00987DF0" w14:paraId="20C4E88D" w14:textId="77777777" w:rsidTr="007B7A84">
        <w:trPr>
          <w:trHeight w:val="90"/>
        </w:trPr>
        <w:tc>
          <w:tcPr>
            <w:tcW w:w="1665" w:type="pct"/>
            <w:noWrap/>
            <w:vAlign w:val="bottom"/>
            <w:hideMark/>
          </w:tcPr>
          <w:p w14:paraId="69A375C2"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Liquidity</w:t>
            </w:r>
          </w:p>
        </w:tc>
        <w:tc>
          <w:tcPr>
            <w:tcW w:w="1667" w:type="pct"/>
            <w:noWrap/>
            <w:vAlign w:val="bottom"/>
            <w:hideMark/>
          </w:tcPr>
          <w:p w14:paraId="3EE98CC9" w14:textId="77777777" w:rsidR="00BF3C23" w:rsidRPr="00987DF0" w:rsidRDefault="00BF3C23" w:rsidP="00BF3C23">
            <w:pPr>
              <w:spacing w:before="0" w:line="240" w:lineRule="auto"/>
              <w:rPr>
                <w:color w:val="000000" w:themeColor="text1"/>
                <w:szCs w:val="24"/>
              </w:rPr>
            </w:pPr>
            <w:r w:rsidRPr="00987DF0">
              <w:rPr>
                <w:color w:val="000000" w:themeColor="text1"/>
                <w:szCs w:val="24"/>
              </w:rPr>
              <w:t>5.53</w:t>
            </w:r>
          </w:p>
        </w:tc>
        <w:tc>
          <w:tcPr>
            <w:tcW w:w="1667" w:type="pct"/>
            <w:noWrap/>
            <w:vAlign w:val="bottom"/>
            <w:hideMark/>
          </w:tcPr>
          <w:p w14:paraId="20CAD7C8" w14:textId="77777777" w:rsidR="00BF3C23" w:rsidRPr="00987DF0" w:rsidRDefault="00BF3C23" w:rsidP="00BF3C23">
            <w:pPr>
              <w:spacing w:before="0" w:line="240" w:lineRule="auto"/>
              <w:rPr>
                <w:color w:val="000000" w:themeColor="text1"/>
                <w:szCs w:val="24"/>
              </w:rPr>
            </w:pPr>
            <w:r w:rsidRPr="00987DF0">
              <w:rPr>
                <w:color w:val="000000" w:themeColor="text1"/>
                <w:szCs w:val="24"/>
              </w:rPr>
              <w:t>0.181</w:t>
            </w:r>
          </w:p>
        </w:tc>
      </w:tr>
      <w:tr w:rsidR="00BF3C23" w:rsidRPr="00987DF0" w14:paraId="3E90C607" w14:textId="77777777" w:rsidTr="007B7A84">
        <w:trPr>
          <w:trHeight w:val="90"/>
        </w:trPr>
        <w:tc>
          <w:tcPr>
            <w:tcW w:w="1665" w:type="pct"/>
            <w:noWrap/>
            <w:vAlign w:val="bottom"/>
            <w:hideMark/>
          </w:tcPr>
          <w:p w14:paraId="3D1A3B58"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Capital structure</w:t>
            </w:r>
          </w:p>
        </w:tc>
        <w:tc>
          <w:tcPr>
            <w:tcW w:w="1667" w:type="pct"/>
            <w:noWrap/>
            <w:vAlign w:val="bottom"/>
            <w:hideMark/>
          </w:tcPr>
          <w:p w14:paraId="32637BCE" w14:textId="77777777" w:rsidR="00BF3C23" w:rsidRPr="00987DF0" w:rsidRDefault="00BF3C23" w:rsidP="00BF3C23">
            <w:pPr>
              <w:spacing w:before="0" w:line="240" w:lineRule="auto"/>
              <w:rPr>
                <w:color w:val="000000" w:themeColor="text1"/>
                <w:szCs w:val="24"/>
              </w:rPr>
            </w:pPr>
            <w:r w:rsidRPr="00987DF0">
              <w:rPr>
                <w:color w:val="000000" w:themeColor="text1"/>
                <w:szCs w:val="24"/>
              </w:rPr>
              <w:t>2.73</w:t>
            </w:r>
          </w:p>
        </w:tc>
        <w:tc>
          <w:tcPr>
            <w:tcW w:w="1667" w:type="pct"/>
            <w:noWrap/>
            <w:vAlign w:val="bottom"/>
            <w:hideMark/>
          </w:tcPr>
          <w:p w14:paraId="2D9169B3" w14:textId="77777777" w:rsidR="00BF3C23" w:rsidRPr="00987DF0" w:rsidRDefault="00BF3C23" w:rsidP="00BF3C23">
            <w:pPr>
              <w:spacing w:before="0" w:line="240" w:lineRule="auto"/>
              <w:rPr>
                <w:color w:val="000000" w:themeColor="text1"/>
                <w:szCs w:val="24"/>
              </w:rPr>
            </w:pPr>
            <w:r w:rsidRPr="00987DF0">
              <w:rPr>
                <w:color w:val="000000" w:themeColor="text1"/>
                <w:szCs w:val="24"/>
              </w:rPr>
              <w:t>0.367</w:t>
            </w:r>
          </w:p>
        </w:tc>
      </w:tr>
      <w:tr w:rsidR="00BF3C23" w:rsidRPr="00987DF0" w14:paraId="5C7B0AA3" w14:textId="77777777" w:rsidTr="007B7A84">
        <w:trPr>
          <w:trHeight w:val="90"/>
        </w:trPr>
        <w:tc>
          <w:tcPr>
            <w:tcW w:w="1665" w:type="pct"/>
            <w:noWrap/>
            <w:vAlign w:val="bottom"/>
            <w:hideMark/>
          </w:tcPr>
          <w:p w14:paraId="5309D7C1"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Firm age</w:t>
            </w:r>
          </w:p>
        </w:tc>
        <w:tc>
          <w:tcPr>
            <w:tcW w:w="1667" w:type="pct"/>
            <w:noWrap/>
            <w:vAlign w:val="bottom"/>
            <w:hideMark/>
          </w:tcPr>
          <w:p w14:paraId="3BA6DF74" w14:textId="77777777" w:rsidR="00BF3C23" w:rsidRPr="00987DF0" w:rsidRDefault="00BF3C23" w:rsidP="00BF3C23">
            <w:pPr>
              <w:spacing w:before="0" w:line="240" w:lineRule="auto"/>
              <w:rPr>
                <w:color w:val="000000" w:themeColor="text1"/>
                <w:szCs w:val="24"/>
              </w:rPr>
            </w:pPr>
            <w:r w:rsidRPr="00987DF0">
              <w:rPr>
                <w:color w:val="000000" w:themeColor="text1"/>
                <w:szCs w:val="24"/>
              </w:rPr>
              <w:t>2.47</w:t>
            </w:r>
          </w:p>
        </w:tc>
        <w:tc>
          <w:tcPr>
            <w:tcW w:w="1667" w:type="pct"/>
            <w:noWrap/>
            <w:vAlign w:val="bottom"/>
            <w:hideMark/>
          </w:tcPr>
          <w:p w14:paraId="0BD744E7" w14:textId="77777777" w:rsidR="00BF3C23" w:rsidRPr="00987DF0" w:rsidRDefault="00BF3C23" w:rsidP="00BF3C23">
            <w:pPr>
              <w:spacing w:before="0" w:line="240" w:lineRule="auto"/>
              <w:rPr>
                <w:color w:val="000000" w:themeColor="text1"/>
                <w:szCs w:val="24"/>
              </w:rPr>
            </w:pPr>
            <w:r w:rsidRPr="00987DF0">
              <w:rPr>
                <w:color w:val="000000" w:themeColor="text1"/>
                <w:szCs w:val="24"/>
              </w:rPr>
              <w:t>0.404</w:t>
            </w:r>
          </w:p>
        </w:tc>
      </w:tr>
      <w:tr w:rsidR="00BF3C23" w:rsidRPr="00987DF0" w14:paraId="470D1CEE" w14:textId="77777777" w:rsidTr="007B7A84">
        <w:trPr>
          <w:trHeight w:val="197"/>
        </w:trPr>
        <w:tc>
          <w:tcPr>
            <w:tcW w:w="1665" w:type="pct"/>
            <w:tcBorders>
              <w:top w:val="single" w:sz="4" w:space="0" w:color="auto"/>
              <w:bottom w:val="single" w:sz="4" w:space="0" w:color="auto"/>
            </w:tcBorders>
            <w:noWrap/>
            <w:vAlign w:val="bottom"/>
            <w:hideMark/>
          </w:tcPr>
          <w:p w14:paraId="7753FC4F"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Mean VIF</w:t>
            </w:r>
          </w:p>
        </w:tc>
        <w:tc>
          <w:tcPr>
            <w:tcW w:w="1667" w:type="pct"/>
            <w:tcBorders>
              <w:top w:val="single" w:sz="4" w:space="0" w:color="auto"/>
              <w:bottom w:val="single" w:sz="4" w:space="0" w:color="auto"/>
            </w:tcBorders>
            <w:noWrap/>
            <w:vAlign w:val="bottom"/>
            <w:hideMark/>
          </w:tcPr>
          <w:p w14:paraId="6C034E85"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4.195</w:t>
            </w:r>
          </w:p>
        </w:tc>
        <w:tc>
          <w:tcPr>
            <w:tcW w:w="1667" w:type="pct"/>
            <w:tcBorders>
              <w:top w:val="single" w:sz="4" w:space="0" w:color="auto"/>
              <w:bottom w:val="single" w:sz="4" w:space="0" w:color="auto"/>
            </w:tcBorders>
            <w:noWrap/>
            <w:vAlign w:val="bottom"/>
            <w:hideMark/>
          </w:tcPr>
          <w:p w14:paraId="55E82CD7" w14:textId="77777777" w:rsidR="00BF3C23" w:rsidRPr="00987DF0" w:rsidRDefault="00BF3C23" w:rsidP="00BF3C23">
            <w:pPr>
              <w:spacing w:before="0" w:line="240" w:lineRule="auto"/>
              <w:rPr>
                <w:b/>
                <w:color w:val="000000" w:themeColor="text1"/>
                <w:szCs w:val="24"/>
              </w:rPr>
            </w:pPr>
          </w:p>
        </w:tc>
      </w:tr>
    </w:tbl>
    <w:p w14:paraId="5D1BB4B8" w14:textId="77777777" w:rsidR="00BF3C23" w:rsidRDefault="00BF3C23" w:rsidP="00BF3C23">
      <w:pPr>
        <w:spacing w:before="0" w:line="240" w:lineRule="auto"/>
        <w:rPr>
          <w:b/>
          <w:bCs/>
          <w:szCs w:val="24"/>
        </w:rPr>
      </w:pPr>
      <w:r w:rsidRPr="00883038">
        <w:rPr>
          <w:b/>
          <w:bCs/>
          <w:szCs w:val="24"/>
        </w:rPr>
        <w:t>Source: Research Data (2024)</w:t>
      </w:r>
    </w:p>
    <w:p w14:paraId="3590709F" w14:textId="77777777" w:rsidR="00BF3C23" w:rsidRDefault="00BF3C23" w:rsidP="00055D83">
      <w:pPr>
        <w:shd w:val="clear" w:color="auto" w:fill="FFFFFF"/>
        <w:spacing w:line="240" w:lineRule="auto"/>
        <w:rPr>
          <w:b/>
          <w:i/>
        </w:rPr>
      </w:pPr>
    </w:p>
    <w:p w14:paraId="18E38AB7" w14:textId="05414F6B" w:rsidR="00BF3C23" w:rsidRPr="00BF3C23" w:rsidRDefault="00BF3C23" w:rsidP="00055D83">
      <w:pPr>
        <w:shd w:val="clear" w:color="auto" w:fill="FFFFFF"/>
        <w:spacing w:line="240" w:lineRule="auto"/>
        <w:rPr>
          <w:rFonts w:eastAsia="Times New Roman" w:cs="Times New Roman"/>
          <w:b/>
          <w:bCs/>
          <w:i/>
          <w:color w:val="000000" w:themeColor="text1"/>
          <w:sz w:val="28"/>
          <w:szCs w:val="28"/>
        </w:rPr>
      </w:pPr>
      <w:r w:rsidRPr="00BF3C23">
        <w:rPr>
          <w:b/>
          <w:i/>
        </w:rPr>
        <w:t>Heteroscedasticity Test</w:t>
      </w:r>
      <w:bookmarkStart w:id="6" w:name="_Toc142066674"/>
      <w:r w:rsidRPr="00BF3C23">
        <w:rPr>
          <w:b/>
          <w:i/>
        </w:rPr>
        <w:t xml:space="preserve"> Results</w:t>
      </w:r>
      <w:bookmarkEnd w:id="6"/>
    </w:p>
    <w:p w14:paraId="1BD487A5" w14:textId="3507A3F8" w:rsidR="00BF3C23" w:rsidRDefault="00BF3C23" w:rsidP="00055D8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The Breusch-Pagan/Cook-Weisberg test was conducted to examine heteroscedasticity in the regression model assessing the effect of firm characteristics on the profitability of SACCOs in Laikipia County, Kenya. The test evaluates whether the variance of residuals remains constant across variables such as firm size, liquidity, capital structure, a</w:t>
      </w:r>
      <w:r>
        <w:rPr>
          <w:rFonts w:eastAsia="Times New Roman" w:cs="Times New Roman"/>
          <w:bCs/>
          <w:color w:val="000000" w:themeColor="text1"/>
          <w:szCs w:val="28"/>
        </w:rPr>
        <w:t xml:space="preserve">nd firm age. Results in Table </w:t>
      </w:r>
      <w:r w:rsidRPr="00BF3C23">
        <w:rPr>
          <w:rFonts w:eastAsia="Times New Roman" w:cs="Times New Roman"/>
          <w:bCs/>
          <w:color w:val="000000" w:themeColor="text1"/>
          <w:szCs w:val="28"/>
        </w:rPr>
        <w:t>3 show a Chi-square value of 0.18 with a p-value of 0.671. Since the p-value exceeds 0.05, the null hypothesis of constant variance is not rejected, indicating no presence of heteroscedasticity. Therefore, the regression model satisfies the assumption of homoscedasticity, ensuring reliable coefficient estimates.</w:t>
      </w:r>
    </w:p>
    <w:p w14:paraId="076434EC" w14:textId="77777777" w:rsidR="00BF3C23" w:rsidRPr="00BF3C23" w:rsidRDefault="00BF3C23" w:rsidP="00BF3C23">
      <w:pPr>
        <w:spacing w:before="0" w:line="240" w:lineRule="auto"/>
        <w:rPr>
          <w:b/>
          <w:i/>
        </w:rPr>
      </w:pPr>
      <w:r w:rsidRPr="00BF3C23">
        <w:rPr>
          <w:b/>
          <w:i/>
        </w:rPr>
        <w:t xml:space="preserve">Table 3: </w:t>
      </w:r>
      <w:bookmarkStart w:id="7" w:name="_Toc174988299"/>
      <w:bookmarkStart w:id="8" w:name="_Toc174989871"/>
      <w:bookmarkStart w:id="9" w:name="_Toc174990179"/>
      <w:r w:rsidRPr="00BF3C23">
        <w:rPr>
          <w:b/>
          <w:i/>
        </w:rPr>
        <w:t>Heteroscedasticity Test Results</w:t>
      </w:r>
      <w:bookmarkEnd w:id="7"/>
      <w:bookmarkEnd w:id="8"/>
      <w:bookmarkEnd w:id="9"/>
    </w:p>
    <w:tbl>
      <w:tblPr>
        <w:tblW w:w="4878" w:type="pct"/>
        <w:tblInd w:w="108" w:type="dxa"/>
        <w:tblBorders>
          <w:top w:val="single" w:sz="4" w:space="0" w:color="auto"/>
          <w:bottom w:val="single" w:sz="4" w:space="0" w:color="auto"/>
        </w:tblBorders>
        <w:tblLayout w:type="fixed"/>
        <w:tblLook w:val="04A0" w:firstRow="1" w:lastRow="0" w:firstColumn="1" w:lastColumn="0" w:noHBand="0" w:noVBand="1"/>
      </w:tblPr>
      <w:tblGrid>
        <w:gridCol w:w="4308"/>
        <w:gridCol w:w="3377"/>
        <w:gridCol w:w="2770"/>
        <w:gridCol w:w="306"/>
      </w:tblGrid>
      <w:tr w:rsidR="00BF3C23" w:rsidRPr="00987DF0" w14:paraId="526B44E9" w14:textId="77777777" w:rsidTr="007B7A84">
        <w:trPr>
          <w:trHeight w:val="80"/>
        </w:trPr>
        <w:tc>
          <w:tcPr>
            <w:tcW w:w="5000" w:type="pct"/>
            <w:gridSpan w:val="4"/>
            <w:noWrap/>
            <w:vAlign w:val="bottom"/>
            <w:hideMark/>
          </w:tcPr>
          <w:p w14:paraId="2A4EEF4B" w14:textId="77777777" w:rsidR="00BF3C23" w:rsidRPr="00987DF0" w:rsidRDefault="00BF3C23" w:rsidP="00BF3C23">
            <w:pPr>
              <w:keepNext/>
              <w:keepLines/>
              <w:spacing w:before="0" w:line="240" w:lineRule="auto"/>
              <w:outlineLvl w:val="3"/>
              <w:rPr>
                <w:rFonts w:eastAsia="Times New Roman"/>
                <w:b/>
                <w:bCs/>
                <w:iCs/>
                <w:color w:val="000000" w:themeColor="text1"/>
                <w:szCs w:val="24"/>
              </w:rPr>
            </w:pPr>
            <w:bookmarkStart w:id="10" w:name="_Toc166145075"/>
            <w:bookmarkStart w:id="11" w:name="_Toc166157228"/>
            <w:bookmarkStart w:id="12" w:name="_Toc174988300"/>
            <w:r w:rsidRPr="00987DF0">
              <w:rPr>
                <w:rFonts w:eastAsia="Times New Roman"/>
                <w:b/>
                <w:iCs/>
                <w:color w:val="000000" w:themeColor="text1"/>
                <w:szCs w:val="24"/>
              </w:rPr>
              <w:lastRenderedPageBreak/>
              <w:t>Breusch-Pagan / Cook-Weisberg test for heteroscedasticity</w:t>
            </w:r>
            <w:bookmarkEnd w:id="10"/>
            <w:bookmarkEnd w:id="11"/>
            <w:bookmarkEnd w:id="12"/>
          </w:p>
          <w:p w14:paraId="313ED482" w14:textId="77777777" w:rsidR="00BF3C23" w:rsidRPr="00987DF0" w:rsidRDefault="00BF3C23" w:rsidP="00BF3C23">
            <w:pPr>
              <w:spacing w:before="0" w:line="240" w:lineRule="auto"/>
              <w:rPr>
                <w:b/>
                <w:color w:val="000000" w:themeColor="text1"/>
                <w:szCs w:val="24"/>
              </w:rPr>
            </w:pPr>
            <w:r w:rsidRPr="00987DF0">
              <w:rPr>
                <w:rFonts w:eastAsia="Times New Roman"/>
                <w:b/>
                <w:iCs/>
                <w:color w:val="000000" w:themeColor="text1"/>
                <w:szCs w:val="24"/>
              </w:rPr>
              <w:t>H</w:t>
            </w:r>
            <w:r w:rsidRPr="00987DF0">
              <w:rPr>
                <w:rFonts w:eastAsia="Times New Roman"/>
                <w:b/>
                <w:iCs/>
                <w:color w:val="000000" w:themeColor="text1"/>
                <w:szCs w:val="24"/>
                <w:vertAlign w:val="subscript"/>
              </w:rPr>
              <w:t>O</w:t>
            </w:r>
            <w:r w:rsidRPr="00987DF0">
              <w:rPr>
                <w:rFonts w:eastAsia="Times New Roman"/>
                <w:b/>
                <w:iCs/>
                <w:color w:val="000000" w:themeColor="text1"/>
                <w:szCs w:val="24"/>
              </w:rPr>
              <w:t>: Constant Variance</w:t>
            </w:r>
          </w:p>
        </w:tc>
      </w:tr>
      <w:tr w:rsidR="00BF3C23" w:rsidRPr="00987DF0" w14:paraId="473F97E9" w14:textId="77777777" w:rsidTr="007B7A84">
        <w:trPr>
          <w:trHeight w:val="80"/>
        </w:trPr>
        <w:tc>
          <w:tcPr>
            <w:tcW w:w="2002" w:type="pct"/>
            <w:tcBorders>
              <w:top w:val="single" w:sz="4" w:space="0" w:color="auto"/>
              <w:bottom w:val="single" w:sz="4" w:space="0" w:color="auto"/>
            </w:tcBorders>
            <w:noWrap/>
            <w:vAlign w:val="bottom"/>
            <w:hideMark/>
          </w:tcPr>
          <w:p w14:paraId="783F75A2"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Model</w:t>
            </w:r>
          </w:p>
        </w:tc>
        <w:tc>
          <w:tcPr>
            <w:tcW w:w="1569" w:type="pct"/>
            <w:tcBorders>
              <w:top w:val="single" w:sz="4" w:space="0" w:color="auto"/>
              <w:bottom w:val="single" w:sz="4" w:space="0" w:color="auto"/>
            </w:tcBorders>
            <w:noWrap/>
            <w:vAlign w:val="bottom"/>
            <w:hideMark/>
          </w:tcPr>
          <w:p w14:paraId="3590C3A2" w14:textId="77777777" w:rsidR="00BF3C23" w:rsidRPr="00987DF0" w:rsidRDefault="00BF3C23" w:rsidP="00BF3C23">
            <w:pPr>
              <w:spacing w:before="0" w:line="240" w:lineRule="auto"/>
              <w:rPr>
                <w:b/>
                <w:color w:val="000000" w:themeColor="text1"/>
                <w:szCs w:val="24"/>
              </w:rPr>
            </w:pPr>
            <w:r w:rsidRPr="00987DF0">
              <w:rPr>
                <w:rFonts w:eastAsia="Times New Roman"/>
                <w:b/>
                <w:bCs/>
                <w:iCs/>
                <w:color w:val="000000" w:themeColor="text1"/>
                <w:szCs w:val="24"/>
              </w:rPr>
              <w:t>Chi2 (1)</w:t>
            </w:r>
          </w:p>
        </w:tc>
        <w:tc>
          <w:tcPr>
            <w:tcW w:w="1287" w:type="pct"/>
            <w:tcBorders>
              <w:top w:val="single" w:sz="4" w:space="0" w:color="auto"/>
              <w:bottom w:val="single" w:sz="4" w:space="0" w:color="auto"/>
            </w:tcBorders>
            <w:noWrap/>
            <w:vAlign w:val="bottom"/>
            <w:hideMark/>
          </w:tcPr>
          <w:p w14:paraId="0DADFA64" w14:textId="77777777" w:rsidR="00BF3C23" w:rsidRPr="00987DF0" w:rsidRDefault="00BF3C23" w:rsidP="00BF3C23">
            <w:pPr>
              <w:spacing w:before="0" w:line="240" w:lineRule="auto"/>
              <w:rPr>
                <w:b/>
                <w:color w:val="000000" w:themeColor="text1"/>
                <w:szCs w:val="24"/>
              </w:rPr>
            </w:pPr>
            <w:r w:rsidRPr="00987DF0">
              <w:rPr>
                <w:rFonts w:eastAsia="Times New Roman"/>
                <w:b/>
                <w:bCs/>
                <w:iCs/>
                <w:color w:val="000000" w:themeColor="text1"/>
                <w:szCs w:val="24"/>
              </w:rPr>
              <w:t>Prob &gt; chi2</w:t>
            </w:r>
          </w:p>
        </w:tc>
        <w:tc>
          <w:tcPr>
            <w:tcW w:w="142" w:type="pct"/>
          </w:tcPr>
          <w:p w14:paraId="666B8E51" w14:textId="77777777" w:rsidR="00BF3C23" w:rsidRPr="00987DF0" w:rsidRDefault="00BF3C23" w:rsidP="00BF3C23">
            <w:pPr>
              <w:spacing w:before="0" w:line="240" w:lineRule="auto"/>
              <w:rPr>
                <w:b/>
                <w:color w:val="000000" w:themeColor="text1"/>
                <w:szCs w:val="24"/>
              </w:rPr>
            </w:pPr>
          </w:p>
        </w:tc>
      </w:tr>
      <w:tr w:rsidR="00BF3C23" w:rsidRPr="00987DF0" w14:paraId="569FD90C" w14:textId="77777777" w:rsidTr="007B7A84">
        <w:trPr>
          <w:trHeight w:val="90"/>
        </w:trPr>
        <w:tc>
          <w:tcPr>
            <w:tcW w:w="2002" w:type="pct"/>
            <w:tcBorders>
              <w:top w:val="single" w:sz="4" w:space="0" w:color="auto"/>
            </w:tcBorders>
            <w:noWrap/>
            <w:vAlign w:val="bottom"/>
            <w:hideMark/>
          </w:tcPr>
          <w:p w14:paraId="6DB3A15B"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FP</w:t>
            </w:r>
          </w:p>
        </w:tc>
        <w:tc>
          <w:tcPr>
            <w:tcW w:w="1569" w:type="pct"/>
            <w:tcBorders>
              <w:top w:val="single" w:sz="4" w:space="0" w:color="auto"/>
            </w:tcBorders>
            <w:noWrap/>
            <w:vAlign w:val="bottom"/>
            <w:hideMark/>
          </w:tcPr>
          <w:p w14:paraId="1F42067D" w14:textId="77777777" w:rsidR="00BF3C23" w:rsidRPr="00987DF0" w:rsidRDefault="00BF3C23" w:rsidP="00BF3C23">
            <w:pPr>
              <w:spacing w:before="0" w:line="240" w:lineRule="auto"/>
              <w:rPr>
                <w:color w:val="000000" w:themeColor="text1"/>
                <w:szCs w:val="24"/>
              </w:rPr>
            </w:pPr>
            <w:r w:rsidRPr="00987DF0">
              <w:rPr>
                <w:color w:val="000000" w:themeColor="text1"/>
                <w:szCs w:val="24"/>
              </w:rPr>
              <w:t>0.18</w:t>
            </w:r>
          </w:p>
        </w:tc>
        <w:tc>
          <w:tcPr>
            <w:tcW w:w="1287" w:type="pct"/>
            <w:tcBorders>
              <w:top w:val="single" w:sz="4" w:space="0" w:color="auto"/>
            </w:tcBorders>
            <w:noWrap/>
            <w:vAlign w:val="bottom"/>
            <w:hideMark/>
          </w:tcPr>
          <w:p w14:paraId="42FFA893" w14:textId="77777777" w:rsidR="00BF3C23" w:rsidRPr="00987DF0" w:rsidRDefault="00BF3C23" w:rsidP="00BF3C23">
            <w:pPr>
              <w:spacing w:before="0" w:line="240" w:lineRule="auto"/>
              <w:rPr>
                <w:color w:val="000000" w:themeColor="text1"/>
                <w:szCs w:val="24"/>
              </w:rPr>
            </w:pPr>
            <w:r w:rsidRPr="00987DF0">
              <w:rPr>
                <w:color w:val="000000" w:themeColor="text1"/>
                <w:szCs w:val="24"/>
              </w:rPr>
              <w:t>0.671</w:t>
            </w:r>
          </w:p>
        </w:tc>
        <w:tc>
          <w:tcPr>
            <w:tcW w:w="142" w:type="pct"/>
          </w:tcPr>
          <w:p w14:paraId="64F2EDF6" w14:textId="77777777" w:rsidR="00BF3C23" w:rsidRPr="00987DF0" w:rsidRDefault="00BF3C23" w:rsidP="00BF3C23">
            <w:pPr>
              <w:spacing w:before="0" w:line="240" w:lineRule="auto"/>
              <w:rPr>
                <w:color w:val="000000" w:themeColor="text1"/>
                <w:szCs w:val="24"/>
              </w:rPr>
            </w:pPr>
          </w:p>
        </w:tc>
      </w:tr>
    </w:tbl>
    <w:p w14:paraId="0B05F697" w14:textId="77777777" w:rsidR="00BF3C23" w:rsidRPr="00E529CC" w:rsidRDefault="00BF3C23" w:rsidP="00BF3C23">
      <w:pPr>
        <w:spacing w:before="0" w:line="240" w:lineRule="auto"/>
        <w:rPr>
          <w:b/>
          <w:bCs/>
          <w:szCs w:val="24"/>
        </w:rPr>
      </w:pPr>
      <w:r w:rsidRPr="00E529CC">
        <w:rPr>
          <w:b/>
          <w:bCs/>
          <w:szCs w:val="24"/>
        </w:rPr>
        <w:t>Source: Research Data (2025)</w:t>
      </w:r>
    </w:p>
    <w:p w14:paraId="012A30C0" w14:textId="77777777" w:rsidR="00BF3C23" w:rsidRPr="00BF3C23" w:rsidRDefault="00BF3C23" w:rsidP="00055D83">
      <w:pPr>
        <w:shd w:val="clear" w:color="auto" w:fill="FFFFFF"/>
        <w:spacing w:line="240" w:lineRule="auto"/>
        <w:rPr>
          <w:rFonts w:eastAsia="Times New Roman" w:cs="Times New Roman"/>
          <w:bCs/>
          <w:color w:val="000000" w:themeColor="text1"/>
          <w:szCs w:val="28"/>
        </w:rPr>
      </w:pPr>
    </w:p>
    <w:p w14:paraId="526A6C99" w14:textId="7F6C3CEA" w:rsidR="00BF3C23" w:rsidRPr="00BF3C23" w:rsidRDefault="00BF3C23" w:rsidP="00BF3C23">
      <w:pPr>
        <w:shd w:val="clear" w:color="auto" w:fill="FFFFFF"/>
        <w:spacing w:line="240" w:lineRule="auto"/>
        <w:rPr>
          <w:rFonts w:eastAsia="Times New Roman" w:cs="Times New Roman"/>
          <w:b/>
          <w:bCs/>
          <w:i/>
          <w:color w:val="000000" w:themeColor="text1"/>
          <w:szCs w:val="28"/>
        </w:rPr>
      </w:pPr>
      <w:r w:rsidRPr="00BF3C23">
        <w:rPr>
          <w:rFonts w:eastAsia="Times New Roman" w:cs="Times New Roman"/>
          <w:b/>
          <w:bCs/>
          <w:i/>
          <w:color w:val="000000" w:themeColor="text1"/>
          <w:szCs w:val="28"/>
        </w:rPr>
        <w:t xml:space="preserve">Random Effects Test Results </w:t>
      </w:r>
    </w:p>
    <w:p w14:paraId="6917731E" w14:textId="5AFD19AE" w:rsid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To determine the suitable panel estimation technique for assessing the effect of firm characteristics on SACCO profitability in Laikipia County, the Breusch and Pagan Lagrangian Multiplier (LM) test for random effects was conducted. The test evaluates whether variations across SACCOs are significant, thereby justifying the use of a random effects model over pooled OLS. The null hypothesis assumes no variance across SACCOs, while the alternative suggests significant random effects. Results (Chi² = 7.45, p = 0.0064) indicate that p &lt; 0.05, leading to the rejection of the null hypothesis. Consequently, the random effects model was deemed appropriate, as it accounts for individual SACCO differences and incorporates time-invariant variables such as firm age, ensuring efficient and unbiased estimation</w:t>
      </w:r>
      <w:r>
        <w:rPr>
          <w:rFonts w:eastAsia="Times New Roman" w:cs="Times New Roman"/>
          <w:bCs/>
          <w:color w:val="000000" w:themeColor="text1"/>
          <w:szCs w:val="28"/>
        </w:rPr>
        <w:t>.</w:t>
      </w:r>
    </w:p>
    <w:p w14:paraId="53AE21B6" w14:textId="77777777" w:rsidR="00BF3C23" w:rsidRPr="00BF3C23" w:rsidRDefault="00BF3C23" w:rsidP="00BF3C23">
      <w:pPr>
        <w:spacing w:before="0" w:line="240" w:lineRule="auto"/>
        <w:rPr>
          <w:b/>
          <w:i/>
        </w:rPr>
      </w:pPr>
      <w:r w:rsidRPr="00BF3C23">
        <w:rPr>
          <w:b/>
          <w:i/>
        </w:rPr>
        <w:t>Table 4: Breusch-Pagan Lagrangian Multiplier Test for Random Effects</w:t>
      </w:r>
    </w:p>
    <w:tbl>
      <w:tblPr>
        <w:tblStyle w:val="TableGrid"/>
        <w:tblW w:w="0" w:type="auto"/>
        <w:tblLook w:val="04A0" w:firstRow="1" w:lastRow="0" w:firstColumn="1" w:lastColumn="0" w:noHBand="0" w:noVBand="1"/>
      </w:tblPr>
      <w:tblGrid>
        <w:gridCol w:w="3116"/>
        <w:gridCol w:w="3117"/>
        <w:gridCol w:w="3117"/>
      </w:tblGrid>
      <w:tr w:rsidR="00BF3C23" w:rsidRPr="005C5CB3" w14:paraId="09558B28" w14:textId="77777777" w:rsidTr="007B7A84">
        <w:tc>
          <w:tcPr>
            <w:tcW w:w="3116" w:type="dxa"/>
            <w:vAlign w:val="center"/>
          </w:tcPr>
          <w:p w14:paraId="5A50371B" w14:textId="77777777" w:rsidR="00BF3C23" w:rsidRPr="005C5CB3" w:rsidRDefault="00BF3C23" w:rsidP="00BF3C23">
            <w:pPr>
              <w:spacing w:before="0" w:line="240" w:lineRule="auto"/>
              <w:rPr>
                <w:b/>
                <w:szCs w:val="24"/>
              </w:rPr>
            </w:pPr>
            <w:r w:rsidRPr="005C5CB3">
              <w:rPr>
                <w:b/>
                <w:szCs w:val="24"/>
              </w:rPr>
              <w:t>Model</w:t>
            </w:r>
          </w:p>
        </w:tc>
        <w:tc>
          <w:tcPr>
            <w:tcW w:w="3117" w:type="dxa"/>
            <w:vAlign w:val="center"/>
          </w:tcPr>
          <w:p w14:paraId="525EE78A" w14:textId="77777777" w:rsidR="00BF3C23" w:rsidRPr="005C5CB3" w:rsidRDefault="00BF3C23" w:rsidP="00BF3C23">
            <w:pPr>
              <w:spacing w:before="0" w:line="240" w:lineRule="auto"/>
              <w:rPr>
                <w:b/>
                <w:szCs w:val="24"/>
              </w:rPr>
            </w:pPr>
            <w:r w:rsidRPr="005C5CB3">
              <w:rPr>
                <w:b/>
                <w:szCs w:val="24"/>
              </w:rPr>
              <w:t>Chi2 (1)</w:t>
            </w:r>
          </w:p>
        </w:tc>
        <w:tc>
          <w:tcPr>
            <w:tcW w:w="3117" w:type="dxa"/>
            <w:vAlign w:val="center"/>
          </w:tcPr>
          <w:p w14:paraId="1DE58615" w14:textId="77777777" w:rsidR="00BF3C23" w:rsidRPr="005C5CB3" w:rsidRDefault="00BF3C23" w:rsidP="00BF3C23">
            <w:pPr>
              <w:spacing w:before="0" w:line="240" w:lineRule="auto"/>
              <w:rPr>
                <w:b/>
                <w:szCs w:val="24"/>
              </w:rPr>
            </w:pPr>
            <w:r w:rsidRPr="005C5CB3">
              <w:rPr>
                <w:b/>
                <w:szCs w:val="24"/>
              </w:rPr>
              <w:t>Prob &gt; Chi2</w:t>
            </w:r>
          </w:p>
        </w:tc>
      </w:tr>
      <w:tr w:rsidR="00BF3C23" w:rsidRPr="005C5CB3" w14:paraId="0750E6AC" w14:textId="77777777" w:rsidTr="007B7A84">
        <w:tc>
          <w:tcPr>
            <w:tcW w:w="3116" w:type="dxa"/>
            <w:vAlign w:val="center"/>
          </w:tcPr>
          <w:p w14:paraId="31C8217F" w14:textId="77777777" w:rsidR="00BF3C23" w:rsidRPr="005C5CB3" w:rsidRDefault="00BF3C23" w:rsidP="00BF3C23">
            <w:pPr>
              <w:spacing w:before="0" w:line="240" w:lineRule="auto"/>
              <w:rPr>
                <w:b/>
                <w:szCs w:val="24"/>
              </w:rPr>
            </w:pPr>
            <w:r w:rsidRPr="005C5CB3">
              <w:rPr>
                <w:b/>
                <w:szCs w:val="24"/>
              </w:rPr>
              <w:t>FP</w:t>
            </w:r>
          </w:p>
        </w:tc>
        <w:tc>
          <w:tcPr>
            <w:tcW w:w="3117" w:type="dxa"/>
            <w:vAlign w:val="center"/>
          </w:tcPr>
          <w:p w14:paraId="65B9E62B" w14:textId="77777777" w:rsidR="00BF3C23" w:rsidRPr="005C5CB3" w:rsidRDefault="00BF3C23" w:rsidP="00BF3C23">
            <w:pPr>
              <w:spacing w:before="0" w:line="240" w:lineRule="auto"/>
              <w:rPr>
                <w:szCs w:val="24"/>
              </w:rPr>
            </w:pPr>
            <w:r w:rsidRPr="005C5CB3">
              <w:rPr>
                <w:szCs w:val="24"/>
              </w:rPr>
              <w:t>7.45</w:t>
            </w:r>
          </w:p>
        </w:tc>
        <w:tc>
          <w:tcPr>
            <w:tcW w:w="3117" w:type="dxa"/>
            <w:vAlign w:val="center"/>
          </w:tcPr>
          <w:p w14:paraId="27BFE214" w14:textId="77777777" w:rsidR="00BF3C23" w:rsidRPr="005C5CB3" w:rsidRDefault="00BF3C23" w:rsidP="00BF3C23">
            <w:pPr>
              <w:spacing w:before="0" w:line="240" w:lineRule="auto"/>
              <w:rPr>
                <w:szCs w:val="24"/>
              </w:rPr>
            </w:pPr>
            <w:r w:rsidRPr="005C5CB3">
              <w:rPr>
                <w:szCs w:val="24"/>
              </w:rPr>
              <w:t>0.0064</w:t>
            </w:r>
          </w:p>
        </w:tc>
      </w:tr>
    </w:tbl>
    <w:p w14:paraId="45ADF9F3" w14:textId="77777777" w:rsidR="00BF3C23" w:rsidRPr="00A22EFA" w:rsidRDefault="00BF3C23" w:rsidP="00BF3C23">
      <w:pPr>
        <w:spacing w:before="0" w:line="240" w:lineRule="auto"/>
        <w:rPr>
          <w:b/>
          <w:bCs/>
          <w:szCs w:val="24"/>
        </w:rPr>
      </w:pPr>
      <w:r w:rsidRPr="00A22EFA">
        <w:rPr>
          <w:b/>
          <w:bCs/>
          <w:szCs w:val="24"/>
        </w:rPr>
        <w:t>Source: Research Data (2025)</w:t>
      </w:r>
    </w:p>
    <w:p w14:paraId="3ACF0413" w14:textId="2A9B9A8F" w:rsidR="00BF3C23" w:rsidRDefault="00BF3C23" w:rsidP="00BF3C23">
      <w:pPr>
        <w:shd w:val="clear" w:color="auto" w:fill="FFFFFF"/>
        <w:spacing w:line="240" w:lineRule="auto"/>
        <w:rPr>
          <w:rFonts w:eastAsia="Times New Roman" w:cs="Times New Roman"/>
          <w:bCs/>
          <w:color w:val="000000" w:themeColor="text1"/>
          <w:szCs w:val="28"/>
        </w:rPr>
      </w:pPr>
    </w:p>
    <w:p w14:paraId="31E33FFB" w14:textId="77777777" w:rsidR="00BF3C23" w:rsidRPr="00BF3C23" w:rsidRDefault="00BF3C23" w:rsidP="00BF3C23">
      <w:pPr>
        <w:rPr>
          <w:b/>
          <w:sz w:val="28"/>
        </w:rPr>
      </w:pPr>
      <w:r w:rsidRPr="00BF3C23">
        <w:rPr>
          <w:b/>
          <w:sz w:val="28"/>
        </w:rPr>
        <w:t>Model Summary</w:t>
      </w:r>
      <w:bookmarkStart w:id="13" w:name="_Toc163571079"/>
      <w:bookmarkStart w:id="14" w:name="_Toc198503859"/>
    </w:p>
    <w:p w14:paraId="761A41AB" w14:textId="7DAD7DD3" w:rsidR="00BF3C23" w:rsidRPr="00BF3C23" w:rsidRDefault="00BF3C23" w:rsidP="00BF3C23">
      <w:pPr>
        <w:rPr>
          <w:b/>
          <w:i/>
        </w:rPr>
      </w:pPr>
      <w:r w:rsidRPr="00BF3C23">
        <w:rPr>
          <w:b/>
          <w:i/>
        </w:rPr>
        <w:t>Table 5: Model Summary</w:t>
      </w:r>
      <w:bookmarkEnd w:id="13"/>
      <w:bookmarkEnd w:id="14"/>
    </w:p>
    <w:tbl>
      <w:tblPr>
        <w:tblW w:w="932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96"/>
        <w:gridCol w:w="1134"/>
        <w:gridCol w:w="1717"/>
        <w:gridCol w:w="1969"/>
        <w:gridCol w:w="3705"/>
      </w:tblGrid>
      <w:tr w:rsidR="00BF3C23" w:rsidRPr="00987DF0" w14:paraId="4C71529E" w14:textId="77777777" w:rsidTr="00BF3C23">
        <w:trPr>
          <w:cantSplit/>
          <w:trHeight w:val="792"/>
          <w:tblHeader/>
        </w:trPr>
        <w:tc>
          <w:tcPr>
            <w:tcW w:w="796"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85633E1"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Model</w:t>
            </w:r>
          </w:p>
          <w:p w14:paraId="4E113B32"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618BBB1"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R</w:t>
            </w:r>
          </w:p>
          <w:p w14:paraId="7DE5368F"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1717"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5D6B142B"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R Square</w:t>
            </w:r>
          </w:p>
          <w:p w14:paraId="6FF19826"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196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266E48A"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Adjusted R Square</w:t>
            </w:r>
          </w:p>
          <w:p w14:paraId="605A49FD"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370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2D5502C"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Std. Error of the Estimate</w:t>
            </w:r>
          </w:p>
        </w:tc>
      </w:tr>
      <w:tr w:rsidR="00BF3C23" w:rsidRPr="00987DF0" w14:paraId="00D48AD4" w14:textId="77777777" w:rsidTr="00BF3C23">
        <w:trPr>
          <w:cantSplit/>
          <w:trHeight w:val="458"/>
          <w:tblHeader/>
        </w:trPr>
        <w:tc>
          <w:tcPr>
            <w:tcW w:w="796" w:type="dxa"/>
            <w:vMerge/>
            <w:tcBorders>
              <w:top w:val="single" w:sz="4" w:space="0" w:color="auto"/>
              <w:left w:val="single" w:sz="4" w:space="0" w:color="auto"/>
              <w:bottom w:val="single" w:sz="4" w:space="0" w:color="auto"/>
              <w:right w:val="single" w:sz="4" w:space="0" w:color="auto"/>
            </w:tcBorders>
            <w:hideMark/>
          </w:tcPr>
          <w:p w14:paraId="327B5ECE" w14:textId="77777777" w:rsidR="00BF3C23" w:rsidRPr="00987DF0" w:rsidRDefault="00BF3C23" w:rsidP="00BF3C23">
            <w:pPr>
              <w:spacing w:before="0" w:line="240" w:lineRule="auto"/>
              <w:rPr>
                <w:b/>
                <w:color w:val="000000" w:themeColor="text1"/>
                <w:szCs w:val="24"/>
              </w:rPr>
            </w:pPr>
          </w:p>
        </w:tc>
        <w:tc>
          <w:tcPr>
            <w:tcW w:w="1134" w:type="dxa"/>
            <w:vMerge/>
            <w:tcBorders>
              <w:top w:val="single" w:sz="4" w:space="0" w:color="auto"/>
              <w:left w:val="single" w:sz="4" w:space="0" w:color="auto"/>
              <w:bottom w:val="single" w:sz="4" w:space="0" w:color="auto"/>
              <w:right w:val="single" w:sz="4" w:space="0" w:color="auto"/>
            </w:tcBorders>
            <w:hideMark/>
          </w:tcPr>
          <w:p w14:paraId="41F0C26D" w14:textId="77777777" w:rsidR="00BF3C23" w:rsidRPr="00987DF0" w:rsidRDefault="00BF3C23" w:rsidP="00BF3C23">
            <w:pPr>
              <w:spacing w:before="0" w:line="240" w:lineRule="auto"/>
              <w:rPr>
                <w:b/>
                <w:color w:val="000000" w:themeColor="text1"/>
                <w:szCs w:val="24"/>
              </w:rPr>
            </w:pPr>
          </w:p>
        </w:tc>
        <w:tc>
          <w:tcPr>
            <w:tcW w:w="1717" w:type="dxa"/>
            <w:vMerge/>
            <w:tcBorders>
              <w:top w:val="single" w:sz="4" w:space="0" w:color="auto"/>
              <w:left w:val="single" w:sz="4" w:space="0" w:color="auto"/>
              <w:bottom w:val="single" w:sz="4" w:space="0" w:color="auto"/>
              <w:right w:val="single" w:sz="4" w:space="0" w:color="auto"/>
            </w:tcBorders>
            <w:hideMark/>
          </w:tcPr>
          <w:p w14:paraId="4C5FB546" w14:textId="77777777" w:rsidR="00BF3C23" w:rsidRPr="00987DF0" w:rsidRDefault="00BF3C23" w:rsidP="00BF3C23">
            <w:pPr>
              <w:spacing w:before="0" w:line="240" w:lineRule="auto"/>
              <w:rPr>
                <w:b/>
                <w:color w:val="000000" w:themeColor="text1"/>
                <w:szCs w:val="24"/>
              </w:rPr>
            </w:pPr>
          </w:p>
        </w:tc>
        <w:tc>
          <w:tcPr>
            <w:tcW w:w="1969" w:type="dxa"/>
            <w:vMerge/>
            <w:tcBorders>
              <w:top w:val="single" w:sz="4" w:space="0" w:color="auto"/>
              <w:left w:val="single" w:sz="4" w:space="0" w:color="auto"/>
              <w:bottom w:val="single" w:sz="4" w:space="0" w:color="auto"/>
              <w:right w:val="single" w:sz="4" w:space="0" w:color="auto"/>
            </w:tcBorders>
            <w:hideMark/>
          </w:tcPr>
          <w:p w14:paraId="0EBA2AEE" w14:textId="77777777" w:rsidR="00BF3C23" w:rsidRPr="00987DF0" w:rsidRDefault="00BF3C23" w:rsidP="00BF3C23">
            <w:pPr>
              <w:spacing w:before="0" w:line="240" w:lineRule="auto"/>
              <w:rPr>
                <w:b/>
                <w:color w:val="000000" w:themeColor="text1"/>
                <w:szCs w:val="24"/>
              </w:rPr>
            </w:pPr>
          </w:p>
        </w:tc>
        <w:tc>
          <w:tcPr>
            <w:tcW w:w="3705" w:type="dxa"/>
            <w:vMerge/>
            <w:tcBorders>
              <w:top w:val="single" w:sz="4" w:space="0" w:color="auto"/>
              <w:left w:val="single" w:sz="4" w:space="0" w:color="auto"/>
              <w:bottom w:val="single" w:sz="4" w:space="0" w:color="auto"/>
              <w:right w:val="single" w:sz="4" w:space="0" w:color="auto"/>
            </w:tcBorders>
            <w:hideMark/>
          </w:tcPr>
          <w:p w14:paraId="170DA08A" w14:textId="77777777" w:rsidR="00BF3C23" w:rsidRPr="00987DF0" w:rsidRDefault="00BF3C23" w:rsidP="00BF3C23">
            <w:pPr>
              <w:spacing w:before="0" w:line="240" w:lineRule="auto"/>
              <w:rPr>
                <w:b/>
                <w:color w:val="000000" w:themeColor="text1"/>
                <w:szCs w:val="24"/>
              </w:rPr>
            </w:pPr>
          </w:p>
        </w:tc>
      </w:tr>
      <w:tr w:rsidR="00BF3C23" w:rsidRPr="00987DF0" w14:paraId="2ECF02B5" w14:textId="77777777" w:rsidTr="00BF3C23">
        <w:trPr>
          <w:cantSplit/>
          <w:trHeight w:val="294"/>
          <w:tblHeader/>
        </w:trPr>
        <w:tc>
          <w:tcPr>
            <w:tcW w:w="79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4DE9F6F"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B975CEA"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.857</w:t>
            </w:r>
          </w:p>
        </w:tc>
        <w:tc>
          <w:tcPr>
            <w:tcW w:w="171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8D43821"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.734</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207A0988"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.718</w:t>
            </w:r>
          </w:p>
        </w:tc>
        <w:tc>
          <w:tcPr>
            <w:tcW w:w="37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4CC5B16"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0.056</w:t>
            </w:r>
          </w:p>
        </w:tc>
      </w:tr>
    </w:tbl>
    <w:p w14:paraId="56A79792" w14:textId="77777777" w:rsidR="00BF3C23" w:rsidRPr="001247BC" w:rsidRDefault="00BF3C23" w:rsidP="00BF3C23">
      <w:pPr>
        <w:rPr>
          <w:b/>
          <w:bCs/>
          <w:szCs w:val="24"/>
        </w:rPr>
      </w:pPr>
      <w:r w:rsidRPr="001247BC">
        <w:rPr>
          <w:b/>
          <w:bCs/>
          <w:szCs w:val="24"/>
        </w:rPr>
        <w:t>Source: Survey Data (2025)</w:t>
      </w:r>
    </w:p>
    <w:p w14:paraId="766E9041" w14:textId="77777777" w:rsidR="00BF3C23" w:rsidRDefault="00BF3C23" w:rsidP="00BF3C23">
      <w:pPr>
        <w:rPr>
          <w:szCs w:val="24"/>
        </w:rPr>
      </w:pPr>
      <w:r w:rsidRPr="001247BC">
        <w:rPr>
          <w:szCs w:val="24"/>
        </w:rPr>
        <w:t xml:space="preserve">The results indicate that the adjusted R square value was 0.718, implying that firm characteristics specifically firm size, liquidity, capital structure, and firm age collectively explained 71.8% of the variations in the profitability of SACCOs in Laikipia County. This suggests that other factors not included in the study account for the remaining 28.2% of the variation in profitability. </w:t>
      </w:r>
    </w:p>
    <w:p w14:paraId="13226004" w14:textId="77777777" w:rsidR="00BF3C23" w:rsidRDefault="00BF3C23" w:rsidP="00BF3C23">
      <w:pPr>
        <w:rPr>
          <w:b/>
          <w:sz w:val="28"/>
        </w:rPr>
      </w:pPr>
      <w:bookmarkStart w:id="15" w:name="_Toc211330899"/>
    </w:p>
    <w:p w14:paraId="0AA1141D" w14:textId="624B98F0" w:rsidR="00BF3C23" w:rsidRDefault="00BF3C23" w:rsidP="00BF3C23">
      <w:pPr>
        <w:rPr>
          <w:b/>
          <w:sz w:val="28"/>
        </w:rPr>
      </w:pPr>
      <w:r w:rsidRPr="00BF3C23">
        <w:rPr>
          <w:b/>
          <w:sz w:val="28"/>
        </w:rPr>
        <w:lastRenderedPageBreak/>
        <w:t>Analysis of Variance (ANOVA)</w:t>
      </w:r>
      <w:bookmarkStart w:id="16" w:name="_Toc163571080"/>
      <w:bookmarkStart w:id="17" w:name="_Toc198503860"/>
      <w:bookmarkEnd w:id="15"/>
    </w:p>
    <w:p w14:paraId="43BCC8AE" w14:textId="77777777" w:rsidR="00BF3C23" w:rsidRPr="00BF3C23" w:rsidRDefault="00BF3C23" w:rsidP="00BF3C23">
      <w:pPr>
        <w:rPr>
          <w:b/>
          <w:i/>
        </w:rPr>
      </w:pPr>
      <w:r w:rsidRPr="00BF3C23">
        <w:rPr>
          <w:b/>
          <w:i/>
        </w:rPr>
        <w:t>Table 6: Analysis of Variance (ANOVA)</w:t>
      </w:r>
    </w:p>
    <w:tbl>
      <w:tblPr>
        <w:tblW w:w="823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65"/>
        <w:gridCol w:w="1207"/>
        <w:gridCol w:w="1732"/>
        <w:gridCol w:w="820"/>
        <w:gridCol w:w="1559"/>
        <w:gridCol w:w="850"/>
        <w:gridCol w:w="1201"/>
      </w:tblGrid>
      <w:tr w:rsidR="00BF3C23" w:rsidRPr="00987DF0" w14:paraId="6A234C3E" w14:textId="77777777" w:rsidTr="007B7A84">
        <w:trPr>
          <w:cantSplit/>
          <w:trHeight w:val="308"/>
          <w:tblHeader/>
        </w:trPr>
        <w:tc>
          <w:tcPr>
            <w:tcW w:w="2072"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608D51CF"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Model</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88851A9"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Sum of Squares</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10B1839C"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df</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0512A887"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Mean Square</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7D80701"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F</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75918189"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Sig.</w:t>
            </w:r>
          </w:p>
        </w:tc>
      </w:tr>
      <w:tr w:rsidR="00BF3C23" w:rsidRPr="00987DF0" w14:paraId="1EA63A8E" w14:textId="77777777" w:rsidTr="007B7A84">
        <w:trPr>
          <w:cantSplit/>
          <w:trHeight w:val="338"/>
          <w:tblHeader/>
        </w:trPr>
        <w:tc>
          <w:tcPr>
            <w:tcW w:w="86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730E0E1"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w:t>
            </w:r>
          </w:p>
        </w:tc>
        <w:tc>
          <w:tcPr>
            <w:tcW w:w="1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9300954"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Regression</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2E2C371"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112.005</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0709D6A"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B53E3C5"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28.001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4C55C492"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41.473</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163043C"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.001</w:t>
            </w:r>
          </w:p>
        </w:tc>
      </w:tr>
      <w:tr w:rsidR="00BF3C23" w:rsidRPr="00987DF0" w14:paraId="5A603408" w14:textId="77777777" w:rsidTr="007B7A84">
        <w:trPr>
          <w:cantSplit/>
          <w:trHeight w:val="141"/>
          <w:tblHeader/>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6A211B5F" w14:textId="77777777" w:rsidR="00BF3C23" w:rsidRPr="00987DF0" w:rsidRDefault="00BF3C23" w:rsidP="00BF3C23">
            <w:pPr>
              <w:spacing w:line="240" w:lineRule="auto"/>
              <w:rPr>
                <w:color w:val="000000" w:themeColor="text1"/>
                <w:szCs w:val="24"/>
              </w:rPr>
            </w:pPr>
          </w:p>
        </w:tc>
        <w:tc>
          <w:tcPr>
            <w:tcW w:w="1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323F7C9"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Residual</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5E59F8D"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4.051</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526D3A4"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D92183D"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0.675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58B8B7F2" w14:textId="77777777" w:rsidR="00BF3C23" w:rsidRPr="00987DF0" w:rsidRDefault="00BF3C23" w:rsidP="00BF3C23">
            <w:pPr>
              <w:autoSpaceDE w:val="0"/>
              <w:autoSpaceDN w:val="0"/>
              <w:adjustRightInd w:val="0"/>
              <w:spacing w:before="120" w:line="240" w:lineRule="auto"/>
              <w:rPr>
                <w:color w:val="000000" w:themeColor="text1"/>
                <w:szCs w:val="24"/>
              </w:rPr>
            </w:pP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175AC4F" w14:textId="77777777" w:rsidR="00BF3C23" w:rsidRPr="00987DF0" w:rsidRDefault="00BF3C23" w:rsidP="00BF3C23">
            <w:pPr>
              <w:autoSpaceDE w:val="0"/>
              <w:autoSpaceDN w:val="0"/>
              <w:adjustRightInd w:val="0"/>
              <w:spacing w:before="120" w:line="240" w:lineRule="auto"/>
              <w:rPr>
                <w:color w:val="000000" w:themeColor="text1"/>
                <w:szCs w:val="24"/>
              </w:rPr>
            </w:pPr>
          </w:p>
        </w:tc>
      </w:tr>
      <w:tr w:rsidR="00BF3C23" w:rsidRPr="00987DF0" w14:paraId="7CEBCEC6" w14:textId="77777777" w:rsidTr="007B7A84">
        <w:trPr>
          <w:cantSplit/>
          <w:trHeight w:val="141"/>
          <w:tblHeader/>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37B8EEDF" w14:textId="77777777" w:rsidR="00BF3C23" w:rsidRPr="00987DF0" w:rsidRDefault="00BF3C23" w:rsidP="00BF3C23">
            <w:pPr>
              <w:spacing w:line="240" w:lineRule="auto"/>
              <w:rPr>
                <w:color w:val="000000" w:themeColor="text1"/>
                <w:szCs w:val="24"/>
              </w:rPr>
            </w:pPr>
          </w:p>
        </w:tc>
        <w:tc>
          <w:tcPr>
            <w:tcW w:w="1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4CB0C44B"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Total</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4673E93"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116.056</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7D85242"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0D8AB68" w14:textId="77777777" w:rsidR="00BF3C23" w:rsidRPr="00987DF0" w:rsidRDefault="00BF3C23" w:rsidP="00BF3C23">
            <w:pPr>
              <w:autoSpaceDE w:val="0"/>
              <w:autoSpaceDN w:val="0"/>
              <w:adjustRightInd w:val="0"/>
              <w:spacing w:before="120" w:line="240" w:lineRule="auto"/>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3349151" w14:textId="77777777" w:rsidR="00BF3C23" w:rsidRPr="00987DF0" w:rsidRDefault="00BF3C23" w:rsidP="00BF3C23">
            <w:pPr>
              <w:autoSpaceDE w:val="0"/>
              <w:autoSpaceDN w:val="0"/>
              <w:adjustRightInd w:val="0"/>
              <w:spacing w:before="120" w:line="240" w:lineRule="auto"/>
              <w:rPr>
                <w:color w:val="000000" w:themeColor="text1"/>
                <w:szCs w:val="24"/>
              </w:rPr>
            </w:pP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2B7B6C8" w14:textId="77777777" w:rsidR="00BF3C23" w:rsidRPr="00987DF0" w:rsidRDefault="00BF3C23" w:rsidP="00BF3C23">
            <w:pPr>
              <w:autoSpaceDE w:val="0"/>
              <w:autoSpaceDN w:val="0"/>
              <w:adjustRightInd w:val="0"/>
              <w:spacing w:before="120" w:line="240" w:lineRule="auto"/>
              <w:rPr>
                <w:color w:val="000000" w:themeColor="text1"/>
                <w:szCs w:val="24"/>
              </w:rPr>
            </w:pPr>
          </w:p>
        </w:tc>
      </w:tr>
    </w:tbl>
    <w:bookmarkEnd w:id="16"/>
    <w:bookmarkEnd w:id="17"/>
    <w:p w14:paraId="7B342AE8" w14:textId="77777777" w:rsidR="00BF3C23" w:rsidRPr="00121BFB" w:rsidRDefault="00BF3C23" w:rsidP="00BF3C23">
      <w:pPr>
        <w:rPr>
          <w:b/>
          <w:bCs/>
          <w:color w:val="000000" w:themeColor="text1"/>
          <w:szCs w:val="24"/>
        </w:rPr>
      </w:pPr>
      <w:r w:rsidRPr="00121BFB">
        <w:rPr>
          <w:b/>
          <w:bCs/>
          <w:color w:val="000000" w:themeColor="text1"/>
          <w:szCs w:val="24"/>
        </w:rPr>
        <w:t>Source: Survey Data (2025)</w:t>
      </w:r>
    </w:p>
    <w:p w14:paraId="1B5F0B35" w14:textId="77777777" w:rsidR="00BF3C23" w:rsidRDefault="00BF3C23" w:rsidP="00BF3C23">
      <w:pPr>
        <w:rPr>
          <w:color w:val="000000" w:themeColor="text1"/>
          <w:szCs w:val="24"/>
        </w:rPr>
      </w:pPr>
      <w:r w:rsidRPr="00987DF0">
        <w:rPr>
          <w:color w:val="000000" w:themeColor="text1"/>
          <w:szCs w:val="24"/>
        </w:rPr>
        <w:t>The results indicate that the computed F-statistic of 41.473 was substantially higher than the mean square value of 28.001. Furthermore, the associated significance level was 0.001, which is below the conventional threshold of 0.05. These findings suggest that the overall regression model examining the relationship between firm characteristics and profitability of SACCOs in Laikipia County, Kenya, is statistically significant</w:t>
      </w:r>
      <w:r>
        <w:rPr>
          <w:color w:val="000000" w:themeColor="text1"/>
          <w:szCs w:val="24"/>
        </w:rPr>
        <w:t xml:space="preserve"> and hence the goodness of the fit determined. </w:t>
      </w:r>
    </w:p>
    <w:p w14:paraId="2E851A52" w14:textId="24FED975" w:rsidR="00BF3C23" w:rsidRDefault="00BF3C23" w:rsidP="00BF3C23">
      <w:pPr>
        <w:shd w:val="clear" w:color="auto" w:fill="FFFFFF"/>
        <w:spacing w:line="240" w:lineRule="auto"/>
        <w:rPr>
          <w:b/>
          <w:sz w:val="28"/>
        </w:rPr>
      </w:pPr>
      <w:r w:rsidRPr="00BF3C23">
        <w:rPr>
          <w:b/>
          <w:sz w:val="28"/>
        </w:rPr>
        <w:t>Hypotheses Testing</w:t>
      </w:r>
    </w:p>
    <w:p w14:paraId="6E19A121"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The first hypothesis (H01) stated that firm size does not significantly affect the profitability of SACCOs in Laikipia County, Kenya. Regression analysis results indicated a positive and significant relationship between firm size, measured by total assets, and profitability (β = 0.254, p = 0.000). This implies that larger SACCOs achieve higher profitability due to economies of scale and enhanced resource mobilization. Therefore, the null hypothesis was rejected. These findings align with Mutai (2021), who established that larger financial institutions tend to perform better owing to superior operational efficiency and wider market outreach.</w:t>
      </w:r>
    </w:p>
    <w:p w14:paraId="03EB6243"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The second hypothesis (H02) proposed that liquidity does not significantly affect profitability. The results demonstrated a positive and statistically significant relationship between liquidity and profitability (β = 0.346, p = 0.001). This indicates that improved liquidity enhances SACCOs’ financial performance by ensuring adequate funds for lending and investment activities. Consequently, the null hypothesis was rejected. These findings concur with Koubi (2018), who found that liquidity plays a vital role in sustaining institutional financial health and operational efficiency.</w:t>
      </w:r>
    </w:p>
    <w:p w14:paraId="4B5F9684"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The third hypothesis (H03) stated that capital structure does not significantly affect profitability. Results revealed that capital structure had a positive and significant influence on profitability (β = 0.118, p = 0.002). This suggests that optimal capital composition enhances financial performance. Hence, the null hypothesis was rejected. The findings support Hsing (2012), who demonstrated that financial structure variables substantially influence market performance and profitability.</w:t>
      </w:r>
    </w:p>
    <w:p w14:paraId="4ED08C23"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p>
    <w:p w14:paraId="5FE917B9" w14:textId="319CFDFF"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lastRenderedPageBreak/>
        <w:t>The fourth hypothesis (H04) asserted that firm age does not significantly affect profitability. Regression results showed a significant positive relationship (β = 0.279, p = 0.001), implying that older SACCOs exhibit higher profitability due to accumulated experience and market stability. The null hypothesis was therefore rejected, consistent with Yabu and Kessy (2015), who observed that firm age positively influences performance outcomes</w:t>
      </w: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457468B1" w:rsidR="00A27439" w:rsidRPr="007A56B8" w:rsidRDefault="00E05059" w:rsidP="002E784F">
      <w:pPr>
        <w:spacing w:line="240" w:lineRule="auto"/>
        <w:rPr>
          <w:rFonts w:cs="Times New Roman"/>
          <w:color w:val="000000" w:themeColor="text1"/>
          <w:szCs w:val="24"/>
        </w:rPr>
      </w:pPr>
      <w:r w:rsidRPr="00E05059">
        <w:rPr>
          <w:rFonts w:cs="Times New Roman"/>
          <w:color w:val="000000" w:themeColor="text1"/>
          <w:szCs w:val="24"/>
        </w:rPr>
        <w:t>The study concludes that firm characteristics</w:t>
      </w:r>
      <w:r w:rsidR="00E550A5">
        <w:rPr>
          <w:rFonts w:cs="Times New Roman"/>
          <w:color w:val="000000" w:themeColor="text1"/>
          <w:szCs w:val="24"/>
        </w:rPr>
        <w:t xml:space="preserve"> </w:t>
      </w:r>
      <w:r w:rsidRPr="00E05059">
        <w:rPr>
          <w:rFonts w:cs="Times New Roman"/>
          <w:color w:val="000000" w:themeColor="text1"/>
          <w:szCs w:val="24"/>
        </w:rPr>
        <w:t>specifically firm size, liquidity, capital structure, and firm age</w:t>
      </w:r>
      <w:r w:rsidR="00E550A5">
        <w:rPr>
          <w:rFonts w:cs="Times New Roman"/>
          <w:color w:val="000000" w:themeColor="text1"/>
          <w:szCs w:val="24"/>
        </w:rPr>
        <w:t xml:space="preserve"> </w:t>
      </w:r>
      <w:r w:rsidRPr="00E05059">
        <w:rPr>
          <w:rFonts w:cs="Times New Roman"/>
          <w:color w:val="000000" w:themeColor="text1"/>
          <w:szCs w:val="24"/>
        </w:rPr>
        <w:t xml:space="preserve">significantly influence the profitability of SACCOs in Laikipia County, Kenya. Larger SACCOs benefit from economies of scale, strong capital bases, and service diversification, leading to higher profitability. High liquidity enhances financial flexibility and investment capacity. Well-balanced capital structures reduce financial risk and borrowing costs, improving returns, while excessive debt constrains profitability. Older SACCOs perform better due to experience and established trust, unlike younger ones facing growth challenges. Effective management of these firm-specific factors is vital for SACCOs’ financial sustainability, growth, and overall sectoral performance.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673EBBF5" w14:textId="77777777" w:rsidR="00E05059" w:rsidRDefault="00E05059" w:rsidP="00E05059">
      <w:pPr>
        <w:spacing w:before="0" w:line="240" w:lineRule="auto"/>
      </w:pPr>
      <w:r>
        <w:t>Based on the findings on the relationship between firm characteristics and the profitability of SACCOs in Laikipia County, several recommendations are proposed to enhance financial sustainability. SACCOs should strategically manage their firm size by pursuing prudent asset growth to achieve economies of scale. This can be realized through membership expansion, product diversification, and investment in income-generating ventures aligned with member needs.</w:t>
      </w:r>
    </w:p>
    <w:p w14:paraId="6CBD8529" w14:textId="77777777" w:rsidR="00E05059" w:rsidRDefault="00E05059" w:rsidP="00E05059">
      <w:pPr>
        <w:spacing w:before="0" w:line="240" w:lineRule="auto"/>
      </w:pPr>
    </w:p>
    <w:p w14:paraId="3DAA69F5" w14:textId="77777777" w:rsidR="00E05059" w:rsidRDefault="00E05059" w:rsidP="00E05059">
      <w:pPr>
        <w:spacing w:before="0" w:line="240" w:lineRule="auto"/>
      </w:pPr>
      <w:r>
        <w:t>Effective liquidity management is crucial; SACCOs should maintain optimal liquidity levels to meet short-term obligations without compromising profitability. Investing surplus funds in low-risk, short-term instruments can promote both stability and operational efficiency. Additionally, a balanced capital structure emphasizing core capital and equity financing is essential to minimize financial strain and ensure long-term profitability. SACCOs should efficiently leverage member deposits while maintaining sufficient reserves.</w:t>
      </w:r>
    </w:p>
    <w:p w14:paraId="4DAFC3C7" w14:textId="77777777" w:rsidR="00E05059" w:rsidRDefault="00E05059" w:rsidP="00E05059">
      <w:pPr>
        <w:spacing w:before="0" w:line="240" w:lineRule="auto"/>
      </w:pPr>
    </w:p>
    <w:p w14:paraId="648B633B" w14:textId="6AF69915" w:rsidR="00D16476" w:rsidRPr="007A56B8" w:rsidRDefault="00E05059" w:rsidP="00E05059">
      <w:pPr>
        <w:spacing w:before="0" w:line="240" w:lineRule="auto"/>
      </w:pPr>
      <w:r>
        <w:t>Older SACCOs should capitalize on their institutional experience to drive innovation and strengthen governance, while younger ones should prioritize establishing strong operational and governance frameworks for sustainable growth. Moreover, SACCO leaders and policymakers should promote capacity building and adopt technology-driven systems for financial planning and reporting. Regulatory bodies such as SASRA should revise policies to enhance profitability ratios, compliance, and risk management</w:t>
      </w:r>
      <w:r w:rsidR="00795B86" w:rsidRPr="007A56B8">
        <w:t>.</w:t>
      </w:r>
    </w:p>
    <w:p w14:paraId="38ACF2C4" w14:textId="77777777" w:rsidR="007A56B8" w:rsidRPr="007A56B8" w:rsidRDefault="007A56B8">
      <w:pPr>
        <w:spacing w:before="0" w:after="160" w:line="259" w:lineRule="auto"/>
        <w:jc w:val="left"/>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br w:type="page"/>
      </w: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lastRenderedPageBreak/>
        <w:t>REFERENCES</w:t>
      </w:r>
    </w:p>
    <w:p w14:paraId="2EF35A1F" w14:textId="503106BF" w:rsidR="0025131C" w:rsidRPr="00724653" w:rsidRDefault="005D308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Adan, F. A., &amp; Omagwa, J. (2018). Relationship Between Firm Financials and Dividend Policy of Firms Listed at Nairobi Securities Exchange, Kenya. International Journal of Scientific and Education Research, 2(05), 13. </w:t>
      </w:r>
      <w:hyperlink r:id="rId7" w:history="1">
        <w:r w:rsidRPr="00724653">
          <w:rPr>
            <w:rStyle w:val="Hyperlink"/>
            <w:rFonts w:eastAsia="Times New Roman"/>
            <w:szCs w:val="24"/>
          </w:rPr>
          <w:t>https://ir-library.ku.ac.ke/bitstream/handle/123456789/19000/Relationship%20Between%20Firm%20Financials%20and%20Dividend%20Policy%20of%20Firms%20Listed%20at%20Nairobi%20Securities%20Exchange%2C%20Kenya.pdf?sequence=1&amp;isAllowed=y</w:t>
        </w:r>
      </w:hyperlink>
      <w:r w:rsidRPr="00724653">
        <w:rPr>
          <w:rFonts w:eastAsia="Times New Roman"/>
          <w:color w:val="000000" w:themeColor="text1"/>
          <w:szCs w:val="24"/>
        </w:rPr>
        <w:t xml:space="preserve"> </w:t>
      </w:r>
    </w:p>
    <w:p w14:paraId="48D51D8B" w14:textId="4C8C556C" w:rsidR="0025131C" w:rsidRPr="00724653" w:rsidRDefault="00DB750D"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Ahurira, E. (2018). Savings and Credit Cooperatives(SACCOS) and Poverty Alleviation among Sacco Members in Jinja District. Uganda Management Institute. </w:t>
      </w:r>
      <w:hyperlink r:id="rId8" w:history="1">
        <w:r w:rsidRPr="00724653">
          <w:rPr>
            <w:rStyle w:val="Hyperlink"/>
            <w:rFonts w:eastAsia="Times New Roman"/>
            <w:szCs w:val="24"/>
          </w:rPr>
          <w:t>https://hdl.handle.net/20.500.12305/732</w:t>
        </w:r>
      </w:hyperlink>
      <w:r w:rsidRPr="00724653">
        <w:rPr>
          <w:rFonts w:eastAsia="Times New Roman"/>
          <w:color w:val="000000" w:themeColor="text1"/>
          <w:szCs w:val="24"/>
        </w:rPr>
        <w:t xml:space="preserve"> </w:t>
      </w:r>
    </w:p>
    <w:p w14:paraId="32DB45DF"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AI and The LinkedIn community. (2023, October). </w:t>
      </w:r>
      <w:r w:rsidRPr="00724653">
        <w:rPr>
          <w:rFonts w:eastAsia="Times New Roman"/>
          <w:i/>
          <w:iCs/>
          <w:color w:val="000000" w:themeColor="text1"/>
          <w:szCs w:val="24"/>
        </w:rPr>
        <w:t>How can you explain a company’s capital structure and dividend policy to stakeholders?</w:t>
      </w:r>
      <w:r w:rsidRPr="00724653">
        <w:rPr>
          <w:rFonts w:eastAsia="Times New Roman"/>
          <w:color w:val="000000" w:themeColor="text1"/>
          <w:szCs w:val="24"/>
        </w:rPr>
        <w:t xml:space="preserve"> https://www.linkedin.com/advice/0/how-can-you-explain-companys-capital-structure-qz1se</w:t>
      </w:r>
    </w:p>
    <w:p w14:paraId="211456D4" w14:textId="7D41910D" w:rsidR="0025131C" w:rsidRPr="00724653" w:rsidRDefault="00AC3060"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Alikouzay, Z. (2023). Firm Characteristics and Capital Structure: Exploring the Determinants of Financing Choices in European Markets. University of Twente. </w:t>
      </w:r>
      <w:hyperlink r:id="rId9" w:history="1">
        <w:r w:rsidRPr="00724653">
          <w:rPr>
            <w:rStyle w:val="Hyperlink"/>
            <w:rFonts w:eastAsia="Times New Roman"/>
            <w:szCs w:val="24"/>
          </w:rPr>
          <w:t>https://purl.utwente.nl/essays/95162</w:t>
        </w:r>
      </w:hyperlink>
      <w:r w:rsidRPr="00724653">
        <w:rPr>
          <w:rFonts w:eastAsia="Times New Roman"/>
          <w:color w:val="000000" w:themeColor="text1"/>
          <w:szCs w:val="24"/>
        </w:rPr>
        <w:t xml:space="preserve"> </w:t>
      </w:r>
    </w:p>
    <w:p w14:paraId="2453BC30" w14:textId="2E8ADD7C"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Websacco. (2023). The role of SACCOs in Kenya’s economy. </w:t>
      </w:r>
      <w:hyperlink r:id="rId10" w:history="1">
        <w:r w:rsidRPr="00724653">
          <w:rPr>
            <w:rStyle w:val="Hyperlink"/>
            <w:rFonts w:eastAsia="Times New Roman"/>
            <w:szCs w:val="24"/>
          </w:rPr>
          <w:t>https://blog.websacco.com/2023/09/29/the-role-of-saccos-in-kenyas-economy/</w:t>
        </w:r>
      </w:hyperlink>
      <w:r w:rsidRPr="00724653">
        <w:rPr>
          <w:rFonts w:eastAsia="Times New Roman"/>
          <w:color w:val="000000" w:themeColor="text1"/>
          <w:szCs w:val="24"/>
        </w:rPr>
        <w:t xml:space="preserve"> </w:t>
      </w:r>
    </w:p>
    <w:p w14:paraId="3B67479E" w14:textId="394712D5"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lang w:val="fr-FR"/>
        </w:rPr>
        <w:t xml:space="preserve">Ariyani, H. F., Pangestuti, I. R. D., &amp; Raharjo, S. T. (2018). THE EFFECT OF ASSET STRUCTURE, PROFITABILITY, COMPANY SIZE, AND COMPANY GROWTH ON CAPITAL STRUCTURE (The Study of Manufacturing Companies Listed on the IDX for the Period 2013 - 2017). JURNAL BISNIS STRATEGI, 27(2), 123-136. </w:t>
      </w:r>
      <w:hyperlink r:id="rId11" w:history="1">
        <w:r w:rsidRPr="00724653">
          <w:rPr>
            <w:rStyle w:val="Hyperlink"/>
            <w:rFonts w:eastAsia="Times New Roman"/>
            <w:szCs w:val="24"/>
            <w:lang w:val="fr-FR"/>
          </w:rPr>
          <w:t>https://doi.org/10.14710/jbs.27.2.123-136</w:t>
        </w:r>
      </w:hyperlink>
      <w:r w:rsidRPr="00724653">
        <w:rPr>
          <w:rFonts w:eastAsia="Times New Roman"/>
          <w:color w:val="000000" w:themeColor="text1"/>
          <w:szCs w:val="24"/>
          <w:lang w:val="fr-FR"/>
        </w:rPr>
        <w:t xml:space="preserve"> </w:t>
      </w:r>
    </w:p>
    <w:p w14:paraId="04334B7F" w14:textId="01A1A908"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Atola, D. M., &amp; Oduor, O. G. (2017). Sacco Investment Products and Financial Growth of Members in Bungoma County. International Journal of Multidisciplinary and Current Research, 5(6), 1265-1270. </w:t>
      </w:r>
      <w:hyperlink r:id="rId12" w:history="1">
        <w:r w:rsidRPr="00724653">
          <w:rPr>
            <w:rStyle w:val="Hyperlink"/>
            <w:rFonts w:eastAsia="Times New Roman"/>
            <w:szCs w:val="24"/>
          </w:rPr>
          <w:t>https://doi.org/10.14741/ijmcr/v.5.6.4</w:t>
        </w:r>
      </w:hyperlink>
      <w:r w:rsidRPr="00724653">
        <w:rPr>
          <w:rFonts w:eastAsia="Times New Roman"/>
          <w:color w:val="000000" w:themeColor="text1"/>
          <w:szCs w:val="24"/>
        </w:rPr>
        <w:t xml:space="preserve"> </w:t>
      </w:r>
    </w:p>
    <w:p w14:paraId="3EE40B79" w14:textId="5431CA64"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Atrill, P. (2020). Financial Management for Decision Makers (9th ed.). </w:t>
      </w:r>
      <w:hyperlink r:id="rId13" w:history="1">
        <w:r w:rsidRPr="00724653">
          <w:rPr>
            <w:rStyle w:val="Hyperlink"/>
            <w:rFonts w:eastAsia="Times New Roman"/>
            <w:szCs w:val="24"/>
          </w:rPr>
          <w:t>https://www.pearson.com/uk/higher-education/products-and-services/products/atrill-financial-management-for-decision-makers-9e.html</w:t>
        </w:r>
      </w:hyperlink>
      <w:r w:rsidRPr="00724653">
        <w:rPr>
          <w:rFonts w:eastAsia="Times New Roman"/>
          <w:color w:val="000000" w:themeColor="text1"/>
          <w:szCs w:val="24"/>
        </w:rPr>
        <w:t xml:space="preserve"> </w:t>
      </w:r>
    </w:p>
    <w:p w14:paraId="4D98ED9C"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Atsango, V. (2018). </w:t>
      </w:r>
      <w:r w:rsidRPr="00724653">
        <w:rPr>
          <w:rFonts w:eastAsia="Times New Roman"/>
          <w:i/>
          <w:iCs/>
          <w:color w:val="000000" w:themeColor="text1"/>
          <w:szCs w:val="24"/>
        </w:rPr>
        <w:t>Relationship Between Firm Characteristics and Profitability of Deposit Taking Sacco’s in Kenya</w:t>
      </w:r>
      <w:r w:rsidRPr="00724653">
        <w:rPr>
          <w:rFonts w:eastAsia="Times New Roman"/>
          <w:color w:val="000000" w:themeColor="text1"/>
          <w:szCs w:val="24"/>
        </w:rPr>
        <w:t>.</w:t>
      </w:r>
    </w:p>
    <w:p w14:paraId="7EE04C8A"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Atsiaya, S. (2019). </w:t>
      </w:r>
      <w:r w:rsidRPr="00724653">
        <w:rPr>
          <w:rFonts w:eastAsia="Times New Roman"/>
          <w:i/>
          <w:iCs/>
          <w:color w:val="000000" w:themeColor="text1"/>
          <w:szCs w:val="24"/>
        </w:rPr>
        <w:t>Savings Mobilization and Broadening the Capital Base in SACCOs and Co-operative Societies</w:t>
      </w:r>
      <w:r w:rsidRPr="00724653">
        <w:rPr>
          <w:rFonts w:eastAsia="Times New Roman"/>
          <w:color w:val="000000" w:themeColor="text1"/>
          <w:szCs w:val="24"/>
        </w:rPr>
        <w:t>.</w:t>
      </w:r>
    </w:p>
    <w:p w14:paraId="7DE54649" w14:textId="7F2BFCF2"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Bhatia, M. (2018). Your guide to qualitative and quantitative data analysis methods. Atlan. </w:t>
      </w:r>
      <w:hyperlink r:id="rId14" w:history="1">
        <w:r w:rsidRPr="00724653">
          <w:rPr>
            <w:rStyle w:val="Hyperlink"/>
            <w:rFonts w:eastAsia="Times New Roman"/>
            <w:szCs w:val="24"/>
          </w:rPr>
          <w:t>https://atlan.com/your-guide-to-qualitative-and-quantitative-data-analysis-methods/</w:t>
        </w:r>
      </w:hyperlink>
      <w:r w:rsidRPr="00724653">
        <w:rPr>
          <w:rFonts w:eastAsia="Times New Roman"/>
          <w:color w:val="000000" w:themeColor="text1"/>
          <w:szCs w:val="24"/>
        </w:rPr>
        <w:t xml:space="preserve"> </w:t>
      </w:r>
    </w:p>
    <w:p w14:paraId="5FC65DF9" w14:textId="15B1F0AC"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Boshnak, H. A., Basheikh, A. M., &amp; Basaif, M. S. (2021). The impact of firm characteristics on firm performance during the covid-19 pandemic: evidence from Saudi Arabia. Asian Economic and Financial Review. </w:t>
      </w:r>
      <w:hyperlink r:id="rId15" w:history="1">
        <w:r w:rsidRPr="00724653">
          <w:rPr>
            <w:rStyle w:val="Hyperlink"/>
            <w:rFonts w:eastAsia="Times New Roman"/>
            <w:szCs w:val="24"/>
          </w:rPr>
          <w:t>https://doi.org/10.18488/journal.AEFR.2021.119.693.709</w:t>
        </w:r>
      </w:hyperlink>
      <w:r w:rsidRPr="00724653">
        <w:rPr>
          <w:rFonts w:eastAsia="Times New Roman"/>
          <w:color w:val="000000" w:themeColor="text1"/>
          <w:szCs w:val="24"/>
        </w:rPr>
        <w:t xml:space="preserve"> </w:t>
      </w:r>
    </w:p>
    <w:p w14:paraId="580FF23F"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Buluma, F. C. O., Mungai, F. N., &amp; Kung’u, J. (2017). Effect of Sasra Regulations on Financial Performance of Nyandarua County ’ S Deposit Taking Saccos in Kenya. </w:t>
      </w:r>
      <w:r w:rsidRPr="00724653">
        <w:rPr>
          <w:rFonts w:eastAsia="Times New Roman"/>
          <w:i/>
          <w:iCs/>
          <w:color w:val="000000" w:themeColor="text1"/>
          <w:szCs w:val="24"/>
        </w:rPr>
        <w:t>International Journal of Economics, Commerce and Management</w:t>
      </w:r>
      <w:r w:rsidRPr="00724653">
        <w:rPr>
          <w:rFonts w:eastAsia="Times New Roman"/>
          <w:color w:val="000000" w:themeColor="text1"/>
          <w:szCs w:val="24"/>
        </w:rPr>
        <w:t xml:space="preserve">, </w:t>
      </w:r>
      <w:r w:rsidRPr="00724653">
        <w:rPr>
          <w:rFonts w:eastAsia="Times New Roman"/>
          <w:i/>
          <w:iCs/>
          <w:color w:val="000000" w:themeColor="text1"/>
          <w:szCs w:val="24"/>
        </w:rPr>
        <w:t>v</w:t>
      </w:r>
      <w:r w:rsidRPr="00724653">
        <w:rPr>
          <w:rFonts w:eastAsia="Times New Roman"/>
          <w:color w:val="000000" w:themeColor="text1"/>
          <w:szCs w:val="24"/>
        </w:rPr>
        <w:t>(7), 614–636.</w:t>
      </w:r>
    </w:p>
    <w:p w14:paraId="76CD3E17" w14:textId="214BFAF1"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lastRenderedPageBreak/>
        <w:t xml:space="preserve">Burksaitiene, D., &amp; Draugele, L. (2018). Capital Structure Impact on Liquidity Management. International Journal of Economics, Business and Management Research, 2(01). </w:t>
      </w:r>
      <w:hyperlink r:id="rId16" w:history="1">
        <w:r w:rsidRPr="00724653">
          <w:rPr>
            <w:rStyle w:val="Hyperlink"/>
            <w:rFonts w:eastAsia="Times New Roman"/>
            <w:szCs w:val="24"/>
          </w:rPr>
          <w:t>https://www.ijebmr.com</w:t>
        </w:r>
      </w:hyperlink>
      <w:r w:rsidRPr="00724653">
        <w:rPr>
          <w:rFonts w:eastAsia="Times New Roman"/>
          <w:color w:val="000000" w:themeColor="text1"/>
          <w:szCs w:val="24"/>
        </w:rPr>
        <w:t xml:space="preserve"> </w:t>
      </w:r>
    </w:p>
    <w:p w14:paraId="3AD3E514" w14:textId="03FC82CE"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Dioha, C., Mohammed, N. A., &amp; Okpanachi, J. (2018). Effect of Firm Characteristics on Profitability of Listed Consumer Goods Companies in Nigeria. Journal of Accounting, Finance and Auditing Studies, 4(2), 14–31. </w:t>
      </w:r>
      <w:hyperlink r:id="rId17" w:history="1">
        <w:r w:rsidRPr="00724653">
          <w:rPr>
            <w:rStyle w:val="Hyperlink"/>
            <w:rFonts w:eastAsia="Times New Roman"/>
            <w:szCs w:val="24"/>
          </w:rPr>
          <w:t>https://doi.org/10.56578/jafas040202</w:t>
        </w:r>
      </w:hyperlink>
      <w:r w:rsidRPr="00724653">
        <w:rPr>
          <w:rFonts w:eastAsia="Times New Roman"/>
          <w:color w:val="000000" w:themeColor="text1"/>
          <w:szCs w:val="24"/>
        </w:rPr>
        <w:t xml:space="preserve"> </w:t>
      </w:r>
    </w:p>
    <w:p w14:paraId="6E07F951"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Chen, J. (2018). </w:t>
      </w:r>
      <w:r w:rsidRPr="00724653">
        <w:rPr>
          <w:rFonts w:eastAsia="Times New Roman"/>
          <w:i/>
          <w:iCs/>
          <w:color w:val="000000" w:themeColor="text1"/>
          <w:szCs w:val="24"/>
        </w:rPr>
        <w:t>Bird In Hand</w:t>
      </w:r>
      <w:r w:rsidRPr="00724653">
        <w:rPr>
          <w:rFonts w:eastAsia="Times New Roman"/>
          <w:color w:val="000000" w:themeColor="text1"/>
          <w:szCs w:val="24"/>
        </w:rPr>
        <w:t>. Second.</w:t>
      </w:r>
    </w:p>
    <w:p w14:paraId="42F49C73"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Dorian, L., Vipond, T., Sanders, J., Spendelow, R., Kong, H., &amp; Powell, S. (2019). </w:t>
      </w:r>
      <w:r w:rsidRPr="00724653">
        <w:rPr>
          <w:rFonts w:eastAsia="Times New Roman"/>
          <w:i/>
          <w:iCs/>
          <w:color w:val="000000" w:themeColor="text1"/>
          <w:szCs w:val="24"/>
        </w:rPr>
        <w:t>Financial Analysis Fundamentals</w:t>
      </w:r>
      <w:r w:rsidRPr="00724653">
        <w:rPr>
          <w:rFonts w:eastAsia="Times New Roman"/>
          <w:color w:val="000000" w:themeColor="text1"/>
          <w:szCs w:val="24"/>
        </w:rPr>
        <w:t>.</w:t>
      </w:r>
    </w:p>
    <w:p w14:paraId="3D22C3B7" w14:textId="44C88156"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Gichuru, D. B., Kung'u, J. N., &amp; Gakobo, T. W. (2019). Influence of Capital Structure on Profitability of Government Based Deposit Taking Savings and Credit Co-operatives in Kenya. European Journal of Economic and Financial Research, 3(5), 1–14. </w:t>
      </w:r>
      <w:hyperlink r:id="rId18" w:history="1">
        <w:r w:rsidRPr="00724653">
          <w:rPr>
            <w:rStyle w:val="Hyperlink"/>
            <w:rFonts w:eastAsia="Times New Roman"/>
            <w:szCs w:val="24"/>
          </w:rPr>
          <w:t>https://oapub.org/ejef/index.php/ejef/article/view/490</w:t>
        </w:r>
      </w:hyperlink>
      <w:r w:rsidRPr="00724653">
        <w:rPr>
          <w:rFonts w:eastAsia="Times New Roman"/>
          <w:color w:val="000000" w:themeColor="text1"/>
          <w:szCs w:val="24"/>
        </w:rPr>
        <w:t xml:space="preserve"> </w:t>
      </w:r>
    </w:p>
    <w:p w14:paraId="79BB1872" w14:textId="14CB9BA9"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lang w:val="fr-FR"/>
        </w:rPr>
        <w:t xml:space="preserve">Githogori, C., Mungai, J., &amp; Muema, J. (2018). Effects of SACCO Loans Access on Members Investments in Savings and Credit Cooperatives Societies in Nyeri County, Kenya. Researchjournali’s Journal of Finance, 6, 1–19. </w:t>
      </w:r>
      <w:hyperlink r:id="rId19" w:history="1">
        <w:r w:rsidRPr="00724653">
          <w:rPr>
            <w:rStyle w:val="Hyperlink"/>
            <w:rFonts w:eastAsia="Times New Roman"/>
            <w:szCs w:val="24"/>
            <w:lang w:val="fr-FR"/>
          </w:rPr>
          <w:t>https://www.researchjournali.com/pdf/10.1000/146.pdf</w:t>
        </w:r>
      </w:hyperlink>
      <w:r w:rsidRPr="00724653">
        <w:rPr>
          <w:rFonts w:eastAsia="Times New Roman"/>
          <w:color w:val="000000" w:themeColor="text1"/>
          <w:szCs w:val="24"/>
          <w:lang w:val="fr-FR"/>
        </w:rPr>
        <w:t xml:space="preserve"> </w:t>
      </w:r>
    </w:p>
    <w:p w14:paraId="19A5CCDF"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Godfrey, C. (Dreamcatcher P. L. (2018). </w:t>
      </w:r>
      <w:r w:rsidRPr="00724653">
        <w:rPr>
          <w:rFonts w:eastAsia="Times New Roman"/>
          <w:i/>
          <w:iCs/>
          <w:color w:val="000000" w:themeColor="text1"/>
          <w:szCs w:val="24"/>
        </w:rPr>
        <w:t>Dividend Theories and Dividend Policies</w:t>
      </w:r>
      <w:r w:rsidRPr="00724653">
        <w:rPr>
          <w:rFonts w:eastAsia="Times New Roman"/>
          <w:color w:val="000000" w:themeColor="text1"/>
          <w:szCs w:val="24"/>
        </w:rPr>
        <w:t>.</w:t>
      </w:r>
    </w:p>
    <w:p w14:paraId="08B13971" w14:textId="6D11A769"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Gweyi, M. O., &amp; Karanja, J. (2014). Effect of Financial Leverage on Financial Performance of Deposit Taking Savings and Credit Co-operative in Kenya. International Journal of Academic Research in Accounting, Finance and Management Sciences, 4(2), 225–236. </w:t>
      </w:r>
      <w:hyperlink r:id="rId20" w:history="1">
        <w:r w:rsidRPr="00724653">
          <w:rPr>
            <w:rStyle w:val="Hyperlink"/>
            <w:rFonts w:eastAsia="Times New Roman"/>
            <w:szCs w:val="24"/>
          </w:rPr>
          <w:t>https://doi.org/10.6007/IJARAFMS/v4-i2/838</w:t>
        </w:r>
      </w:hyperlink>
      <w:r w:rsidRPr="00724653">
        <w:rPr>
          <w:rFonts w:eastAsia="Times New Roman"/>
          <w:color w:val="000000" w:themeColor="text1"/>
          <w:szCs w:val="24"/>
        </w:rPr>
        <w:t xml:space="preserve"> </w:t>
      </w:r>
    </w:p>
    <w:p w14:paraId="11F560E5" w14:textId="18754D4F"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Hashmi, S. D., Gulzar, S., Ghafoor, Z., &amp; Naz, I. (2020). Sensitivity of firm size measures to practices of corporate finance: evidence from BRICS. Future Business Journal, 6(1). </w:t>
      </w:r>
      <w:hyperlink r:id="rId21" w:history="1">
        <w:r w:rsidRPr="00724653">
          <w:rPr>
            <w:rStyle w:val="Hyperlink"/>
            <w:rFonts w:eastAsia="Times New Roman"/>
            <w:szCs w:val="24"/>
          </w:rPr>
          <w:t>https://doi.org/10.1186/s43093-020-00015-y</w:t>
        </w:r>
      </w:hyperlink>
      <w:r w:rsidRPr="00724653">
        <w:rPr>
          <w:rFonts w:eastAsia="Times New Roman"/>
          <w:color w:val="000000" w:themeColor="text1"/>
          <w:szCs w:val="24"/>
        </w:rPr>
        <w:t xml:space="preserve"> </w:t>
      </w:r>
    </w:p>
    <w:p w14:paraId="0D92F78D" w14:textId="05BD844D"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International Cooperative Alliance. (1995). Statement on the Cooperative Identity. </w:t>
      </w:r>
      <w:hyperlink r:id="rId22" w:history="1">
        <w:r w:rsidRPr="00724653">
          <w:rPr>
            <w:rStyle w:val="Hyperlink"/>
            <w:rFonts w:eastAsia="Times New Roman"/>
            <w:szCs w:val="24"/>
          </w:rPr>
          <w:t>https://www.ica.coop/en/cooperative-identity-values-principles</w:t>
        </w:r>
      </w:hyperlink>
      <w:r w:rsidRPr="00724653">
        <w:rPr>
          <w:rFonts w:eastAsia="Times New Roman"/>
          <w:color w:val="000000" w:themeColor="text1"/>
          <w:szCs w:val="24"/>
        </w:rPr>
        <w:t xml:space="preserve"> </w:t>
      </w:r>
    </w:p>
    <w:p w14:paraId="5A2FA534" w14:textId="0E0D3B35"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Rahman, M. J., &amp; Yilun, L. (2021). Firm Size, Firm Age, and Firm Profitability: Evidence from China. Journal of Accounting, Business and Management, 28(1), 101–115. </w:t>
      </w:r>
      <w:hyperlink r:id="rId23" w:history="1">
        <w:r w:rsidRPr="00724653">
          <w:rPr>
            <w:rStyle w:val="Hyperlink"/>
            <w:rFonts w:eastAsia="Times New Roman"/>
            <w:szCs w:val="24"/>
          </w:rPr>
          <w:t>https://doi.org/10.31966/jabminternational.v28i1.829</w:t>
        </w:r>
      </w:hyperlink>
      <w:r w:rsidRPr="00724653">
        <w:rPr>
          <w:rFonts w:eastAsia="Times New Roman"/>
          <w:color w:val="000000" w:themeColor="text1"/>
          <w:szCs w:val="24"/>
        </w:rPr>
        <w:t xml:space="preserve"> </w:t>
      </w:r>
    </w:p>
    <w:p w14:paraId="70E19294" w14:textId="38CCBCE3"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Chen, J., Cheng, M., &amp; Velasquez, V. (2023). What Are Alternative Investments? Definition and Examples. Investopedia. </w:t>
      </w:r>
      <w:hyperlink r:id="rId24" w:history="1">
        <w:r w:rsidRPr="00724653">
          <w:rPr>
            <w:rStyle w:val="Hyperlink"/>
            <w:rFonts w:eastAsia="Times New Roman"/>
            <w:szCs w:val="24"/>
          </w:rPr>
          <w:t>https://www.investopedia.com/terms/a/alternative_investment.asp</w:t>
        </w:r>
      </w:hyperlink>
      <w:r w:rsidRPr="00724653">
        <w:rPr>
          <w:rFonts w:eastAsia="Times New Roman"/>
          <w:color w:val="000000" w:themeColor="text1"/>
          <w:szCs w:val="24"/>
        </w:rPr>
        <w:t xml:space="preserve"> </w:t>
      </w:r>
    </w:p>
    <w:p w14:paraId="4875CC4A" w14:textId="01CCCFD7"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Kanda, B. Y., Mungai, J., &amp; Omagwa, J. (2019). Capital Structure and Profitability of Insurance Firms Listed At Nairobi Securities Exchange, Kenya. IOSR Journal of Economics and Finance </w:t>
      </w:r>
      <w:hyperlink r:id="rId25" w:history="1">
        <w:r w:rsidRPr="00724653">
          <w:rPr>
            <w:rStyle w:val="Hyperlink"/>
            <w:rFonts w:eastAsia="Times New Roman"/>
            <w:szCs w:val="24"/>
          </w:rPr>
          <w:t>https://doi.org/10.9790/5933-1006017589</w:t>
        </w:r>
      </w:hyperlink>
      <w:r w:rsidRPr="00724653">
        <w:rPr>
          <w:rFonts w:eastAsia="Times New Roman"/>
          <w:color w:val="000000" w:themeColor="text1"/>
          <w:szCs w:val="24"/>
        </w:rPr>
        <w:t xml:space="preserve"> </w:t>
      </w:r>
    </w:p>
    <w:p w14:paraId="6A2B17BC"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Kariuki, P. W. (Jomo K. U. of A. and T. (2016). </w:t>
      </w:r>
      <w:r w:rsidRPr="00724653">
        <w:rPr>
          <w:rFonts w:eastAsia="Times New Roman"/>
          <w:i/>
          <w:iCs/>
          <w:color w:val="000000" w:themeColor="text1"/>
          <w:szCs w:val="24"/>
        </w:rPr>
        <w:t>Firm Characteristics And Financial Intermediation Efficiency Of Deposit Taking Saving And Credit Co-Operative Societies In Kenya ( Business Administration )</w:t>
      </w:r>
      <w:r w:rsidRPr="00724653">
        <w:rPr>
          <w:rFonts w:eastAsia="Times New Roman"/>
          <w:color w:val="000000" w:themeColor="text1"/>
          <w:szCs w:val="24"/>
        </w:rPr>
        <w:t>Jomo Kenyatta University of Agriculture and Technology.</w:t>
      </w:r>
    </w:p>
    <w:p w14:paraId="123A73DF" w14:textId="127569ED"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Kartiningsih, D., &amp; Daryanto, W. M. (2020). The effect of firm characteristics to profitability of food and beverages companies listed in Indonesia Stock Exchange. International Journal of Business, Economics and Law, 22(1), 69–76. </w:t>
      </w:r>
      <w:hyperlink r:id="rId26" w:history="1">
        <w:r w:rsidRPr="00724653">
          <w:rPr>
            <w:rStyle w:val="Hyperlink"/>
            <w:rFonts w:eastAsia="Times New Roman"/>
            <w:szCs w:val="24"/>
          </w:rPr>
          <w:t>https://ijbel.com/wp-content/uploads/2020/08/IJBEL-Vol.22-No.1-August-2020-69-76.pdf</w:t>
        </w:r>
      </w:hyperlink>
      <w:r w:rsidRPr="00724653">
        <w:rPr>
          <w:rFonts w:eastAsia="Times New Roman"/>
          <w:color w:val="000000" w:themeColor="text1"/>
          <w:szCs w:val="24"/>
        </w:rPr>
        <w:t xml:space="preserve"> </w:t>
      </w:r>
    </w:p>
    <w:p w14:paraId="677BED0E"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lastRenderedPageBreak/>
        <w:t xml:space="preserve">Karuga, F. (2017). </w:t>
      </w:r>
      <w:r w:rsidRPr="00724653">
        <w:rPr>
          <w:rFonts w:eastAsia="Times New Roman"/>
          <w:i/>
          <w:iCs/>
          <w:color w:val="000000" w:themeColor="text1"/>
          <w:szCs w:val="24"/>
        </w:rPr>
        <w:t>Relationship Between Firm Size and Financial Performance of Deposit Taking Savings and Credit Cooperative Societies in Kenya</w:t>
      </w:r>
      <w:r w:rsidRPr="00724653">
        <w:rPr>
          <w:rFonts w:eastAsia="Times New Roman"/>
          <w:color w:val="000000" w:themeColor="text1"/>
          <w:szCs w:val="24"/>
        </w:rPr>
        <w:t xml:space="preserve"> (Issue December). University of Nairobi.</w:t>
      </w:r>
    </w:p>
    <w:p w14:paraId="18421106" w14:textId="4B4E214A"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Kenya National Bureau of Statistics. (2022). Laikipia County Statistical Abstract 2022. Kenya National Bureau of Statistics. </w:t>
      </w:r>
      <w:hyperlink r:id="rId27" w:history="1">
        <w:r w:rsidRPr="00724653">
          <w:rPr>
            <w:rStyle w:val="Hyperlink"/>
            <w:rFonts w:eastAsia="Times New Roman"/>
            <w:szCs w:val="24"/>
          </w:rPr>
          <w:t>https://laikipia.go.ke/resources/all-downloads/laikipia-county-statistical-abstract-2022</w:t>
        </w:r>
      </w:hyperlink>
      <w:r w:rsidRPr="00724653">
        <w:rPr>
          <w:rFonts w:eastAsia="Times New Roman"/>
          <w:color w:val="000000" w:themeColor="text1"/>
          <w:szCs w:val="24"/>
        </w:rPr>
        <w:t xml:space="preserve"> </w:t>
      </w:r>
    </w:p>
    <w:p w14:paraId="3993CBFA" w14:textId="4397AA84"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Kinyua, B. (2022). Firm Characteristics, Corporate Governance and Financial Leverage: A Critical Literature Review. African Development Finance Journal, 4(3), 78–103. </w:t>
      </w:r>
      <w:hyperlink r:id="rId28" w:history="1">
        <w:r w:rsidRPr="00724653">
          <w:rPr>
            <w:rStyle w:val="Hyperlink"/>
            <w:rFonts w:eastAsia="Times New Roman"/>
            <w:szCs w:val="24"/>
          </w:rPr>
          <w:t>http://journals.uonbi.ac.ke/index.php/adfj</w:t>
        </w:r>
      </w:hyperlink>
      <w:r w:rsidRPr="00724653">
        <w:rPr>
          <w:rFonts w:eastAsia="Times New Roman"/>
          <w:color w:val="000000" w:themeColor="text1"/>
          <w:szCs w:val="24"/>
        </w:rPr>
        <w:t xml:space="preserve"> </w:t>
      </w:r>
    </w:p>
    <w:p w14:paraId="76050385" w14:textId="4C84F99A"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lang w:val="fr-FR"/>
        </w:rPr>
        <w:t xml:space="preserve">Kirimi, P. N., Simiyu, J., &amp; Dennis, M. (2017). Effect of Debt Finance on Financial Performance of Savings and Credit Cooperative Societies in Maara Sub-county, Tharaka Nithi County, Kenya. International Journal of Accounting, Finance and Risk Management, 2(3), 113–130. </w:t>
      </w:r>
      <w:hyperlink r:id="rId29" w:history="1">
        <w:r w:rsidRPr="00724653">
          <w:rPr>
            <w:rStyle w:val="Hyperlink"/>
            <w:rFonts w:eastAsia="Times New Roman"/>
            <w:szCs w:val="24"/>
            <w:lang w:val="fr-FR"/>
          </w:rPr>
          <w:t>https://doi.org/10.11648/j.ijafrm.20170203.14</w:t>
        </w:r>
      </w:hyperlink>
      <w:r w:rsidRPr="00724653">
        <w:rPr>
          <w:rFonts w:eastAsia="Times New Roman"/>
          <w:color w:val="000000" w:themeColor="text1"/>
          <w:szCs w:val="24"/>
          <w:lang w:val="fr-FR"/>
        </w:rPr>
        <w:t xml:space="preserve"> </w:t>
      </w:r>
    </w:p>
    <w:p w14:paraId="3964ED05" w14:textId="6206E33E"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KUSSCO. (2023). Kenyan elected to Co-operatives Global Board. </w:t>
      </w:r>
      <w:hyperlink r:id="rId30" w:history="1">
        <w:r w:rsidRPr="00724653">
          <w:rPr>
            <w:rStyle w:val="Hyperlink"/>
            <w:rFonts w:eastAsia="Times New Roman"/>
            <w:szCs w:val="24"/>
          </w:rPr>
          <w:t>https://kuscco.com/index.php/disclaimer/92-ticker/232-kenyan-elected-to-co-operatives-global-board</w:t>
        </w:r>
      </w:hyperlink>
      <w:r w:rsidRPr="00724653">
        <w:rPr>
          <w:rFonts w:eastAsia="Times New Roman"/>
          <w:color w:val="000000" w:themeColor="text1"/>
          <w:szCs w:val="24"/>
        </w:rPr>
        <w:t xml:space="preserve"> </w:t>
      </w:r>
    </w:p>
    <w:p w14:paraId="6FE59B46" w14:textId="2884117D"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Kwaltommai, A. S., Enemali, M. I., Duna, J., &amp; Ahmed, A. (2019). Firm Characteristics and Financial Performance of Consumer Goods Firms in Nigeria. Scholars Bulletin, 05(12), 743–752. </w:t>
      </w:r>
      <w:hyperlink r:id="rId31" w:history="1">
        <w:r w:rsidRPr="00724653">
          <w:rPr>
            <w:rStyle w:val="Hyperlink"/>
            <w:rFonts w:eastAsia="Times New Roman"/>
            <w:szCs w:val="24"/>
          </w:rPr>
          <w:t>https://doi.org/10.36348/sb.2019.v05i12.008</w:t>
        </w:r>
      </w:hyperlink>
      <w:r w:rsidRPr="00724653">
        <w:rPr>
          <w:rFonts w:eastAsia="Times New Roman"/>
          <w:color w:val="000000" w:themeColor="text1"/>
          <w:szCs w:val="24"/>
        </w:rPr>
        <w:t xml:space="preserve"> </w:t>
      </w:r>
    </w:p>
    <w:p w14:paraId="5682D10D" w14:textId="6486C8B0"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Lelenguiya, P., &amp; Ambrose, J. (2022). Firm Characteristics and Financial Performance of Quoted Commercial Banks in Kenya. The International Journal of Business &amp; Management. </w:t>
      </w:r>
      <w:hyperlink r:id="rId32" w:history="1">
        <w:r w:rsidRPr="00724653">
          <w:rPr>
            <w:rStyle w:val="Hyperlink"/>
            <w:rFonts w:eastAsia="Times New Roman"/>
            <w:szCs w:val="24"/>
          </w:rPr>
          <w:t>https://doi.org/10.24940/theijbm/2022/v10/i5/BM2205-031</w:t>
        </w:r>
      </w:hyperlink>
      <w:r w:rsidRPr="00724653">
        <w:rPr>
          <w:rFonts w:eastAsia="Times New Roman"/>
          <w:color w:val="000000" w:themeColor="text1"/>
          <w:szCs w:val="24"/>
        </w:rPr>
        <w:t xml:space="preserve"> </w:t>
      </w:r>
    </w:p>
    <w:p w14:paraId="739ACD0A" w14:textId="16BD61C6"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Gichuhi, L. N. (2016). The Effect of Capital Structure on Profitability of Firms Listed at the Nairobi Securities Exchange. University of Nairobi. </w:t>
      </w:r>
      <w:hyperlink r:id="rId33" w:history="1">
        <w:r w:rsidRPr="00724653">
          <w:rPr>
            <w:rStyle w:val="Hyperlink"/>
            <w:rFonts w:eastAsia="Times New Roman"/>
            <w:szCs w:val="24"/>
          </w:rPr>
          <w:t>https://erepository.uonbi.ac.ke/handle/11295/97500</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14B8F95D" w14:textId="66059CAA"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Menicucci, E., &amp; Paolucci, G. (2016). The determinants of bank profitability: empirical evidence from European banking sector. Journal of Financial Reporting and Accounting, 14(1), 86–115. </w:t>
      </w:r>
      <w:hyperlink r:id="rId34" w:history="1">
        <w:r w:rsidRPr="00724653">
          <w:rPr>
            <w:rStyle w:val="Hyperlink"/>
            <w:rFonts w:eastAsia="Times New Roman"/>
            <w:szCs w:val="24"/>
          </w:rPr>
          <w:t>https://doi.org/10.1108/JFRA-05-2015-0060</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17431AA9" w14:textId="62AA511E"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Mmari, G. A., &amp; Thinyane, L. C. (2019). Analysis of factors influencing financial performance of savings and credit co-operative societies in Lesotho: Evidence from Maseru District. International Journal of Financial Research. </w:t>
      </w:r>
      <w:hyperlink r:id="rId35" w:history="1">
        <w:r w:rsidRPr="00724653">
          <w:rPr>
            <w:rStyle w:val="Hyperlink"/>
            <w:rFonts w:eastAsia="Times New Roman"/>
            <w:szCs w:val="24"/>
          </w:rPr>
          <w:t>https://doi.org/10.5430/ijfr.v10n2p121</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04628FE1" w14:textId="37FDEDE9"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Muchira, J. W., &amp; Mwangi, J. (2019). Impact of Dividend Policy on The Growth of SACCOs in Kenya. International Journal of Social Science and Humanities Research. </w:t>
      </w:r>
      <w:hyperlink r:id="rId36" w:history="1">
        <w:r w:rsidRPr="00724653">
          <w:rPr>
            <w:rStyle w:val="Hyperlink"/>
            <w:rFonts w:eastAsia="Times New Roman"/>
            <w:szCs w:val="24"/>
          </w:rPr>
          <w:t>https://www.researchpublish.com/journal/International-Journal-of-Social-Science-and-Humanities-Research/7/4</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54364CFB" w14:textId="60D1FA68"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lang w:val="fr-FR"/>
        </w:rPr>
        <w:t xml:space="preserve">Muithya, V. K., &amp; Ombati, R. (2019). Internal factors affecting growth of savings and credit cooperative societies in Machakos County, Kenya. European Journal of Business and Strategic Management. </w:t>
      </w:r>
      <w:hyperlink r:id="rId37" w:history="1">
        <w:r w:rsidRPr="00724653">
          <w:rPr>
            <w:rStyle w:val="Hyperlink"/>
            <w:rFonts w:eastAsia="Times New Roman"/>
            <w:szCs w:val="24"/>
            <w:lang w:val="fr-FR"/>
          </w:rPr>
          <w:t>https://doi.org/10.47749/ejbsm.v4i5.969</w:t>
        </w:r>
      </w:hyperlink>
      <w:r w:rsidRPr="00724653">
        <w:rPr>
          <w:rFonts w:eastAsia="Times New Roman"/>
          <w:color w:val="000000" w:themeColor="text1"/>
          <w:szCs w:val="24"/>
          <w:lang w:val="fr-FR"/>
        </w:rPr>
        <w:t xml:space="preserve"> </w:t>
      </w:r>
      <w:r w:rsidR="007B7A84" w:rsidRPr="00724653">
        <w:rPr>
          <w:rFonts w:eastAsia="Times New Roman"/>
          <w:color w:val="000000" w:themeColor="text1"/>
          <w:szCs w:val="24"/>
          <w:lang w:val="fr-FR"/>
        </w:rPr>
        <w:t xml:space="preserve"> </w:t>
      </w:r>
    </w:p>
    <w:p w14:paraId="42341366"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Murkomen, C. K., Njeje, D., &amp; Cherono, V. (2017). </w:t>
      </w:r>
      <w:r w:rsidRPr="00724653">
        <w:rPr>
          <w:rFonts w:eastAsia="Times New Roman"/>
          <w:i/>
          <w:iCs/>
          <w:color w:val="000000" w:themeColor="text1"/>
          <w:szCs w:val="24"/>
        </w:rPr>
        <w:t>An Assessment of the Relationship between Capital Structure and Financial Performance of Saccos in Baringo County</w:t>
      </w:r>
      <w:r w:rsidRPr="00724653">
        <w:rPr>
          <w:rFonts w:eastAsia="Times New Roman"/>
          <w:color w:val="000000" w:themeColor="text1"/>
          <w:szCs w:val="24"/>
        </w:rPr>
        <w:t xml:space="preserve">. </w:t>
      </w:r>
      <w:r w:rsidRPr="00724653">
        <w:rPr>
          <w:rFonts w:eastAsia="Times New Roman"/>
          <w:i/>
          <w:iCs/>
          <w:color w:val="000000" w:themeColor="text1"/>
          <w:szCs w:val="24"/>
        </w:rPr>
        <w:t>19</w:t>
      </w:r>
      <w:r w:rsidRPr="00724653">
        <w:rPr>
          <w:rFonts w:eastAsia="Times New Roman"/>
          <w:color w:val="000000" w:themeColor="text1"/>
          <w:szCs w:val="24"/>
        </w:rPr>
        <w:t>(3), 1–13. https://doi.org/10.9790/487X-1903040113</w:t>
      </w:r>
    </w:p>
    <w:p w14:paraId="62D8FE34"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Musoke, H., &amp; Nyonyintono, R. (2017). Financial Controls and Profitability Performance of Savings and Credit Cooperatives in Uganda. </w:t>
      </w:r>
      <w:r w:rsidRPr="00724653">
        <w:rPr>
          <w:rFonts w:eastAsia="Times New Roman"/>
          <w:i/>
          <w:iCs/>
          <w:color w:val="000000" w:themeColor="text1"/>
          <w:szCs w:val="24"/>
        </w:rPr>
        <w:t>International Journal of Economics, Commerce and Management United Kingdom</w:t>
      </w:r>
      <w:r w:rsidRPr="00724653">
        <w:rPr>
          <w:rFonts w:eastAsia="Times New Roman"/>
          <w:color w:val="000000" w:themeColor="text1"/>
          <w:szCs w:val="24"/>
        </w:rPr>
        <w:t xml:space="preserve">, </w:t>
      </w:r>
      <w:r w:rsidRPr="00724653">
        <w:rPr>
          <w:rFonts w:eastAsia="Times New Roman"/>
          <w:i/>
          <w:iCs/>
          <w:color w:val="000000" w:themeColor="text1"/>
          <w:szCs w:val="24"/>
        </w:rPr>
        <w:t>V</w:t>
      </w:r>
      <w:r w:rsidRPr="00724653">
        <w:rPr>
          <w:rFonts w:eastAsia="Times New Roman"/>
          <w:color w:val="000000" w:themeColor="text1"/>
          <w:szCs w:val="24"/>
        </w:rPr>
        <w:t>(5). http://ijecm.co.uk/</w:t>
      </w:r>
    </w:p>
    <w:p w14:paraId="399CFC0A" w14:textId="71D748EC"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lastRenderedPageBreak/>
        <w:t xml:space="preserve">Mwangi, I. (2019). Measures and Distribution of Financial Inclusion in Kenya. European Journal of Business and Management, 11(22) </w:t>
      </w:r>
      <w:hyperlink r:id="rId38" w:history="1">
        <w:r w:rsidRPr="00724653">
          <w:rPr>
            <w:rStyle w:val="Hyperlink"/>
            <w:rFonts w:eastAsia="Times New Roman"/>
            <w:szCs w:val="24"/>
          </w:rPr>
          <w:t>https://doi.org/10.7176/EJBM/11-22-07</w:t>
        </w:r>
      </w:hyperlink>
      <w:r w:rsidRPr="00724653">
        <w:rPr>
          <w:rFonts w:eastAsia="Times New Roman"/>
          <w:color w:val="000000" w:themeColor="text1"/>
          <w:szCs w:val="24"/>
        </w:rPr>
        <w:t xml:space="preserve"> </w:t>
      </w:r>
    </w:p>
    <w:p w14:paraId="567DDBBB" w14:textId="3DED11A7"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Mwangi Macharia Robert, &amp; Ng'ang'a, P. (2021). Firm Characteristics and Profitability of Deposit Taking Savings and Credit Cooperative Societies in Nairobi City County, Kenya. International Journal of Management and Commerce Innovations, 9(1), 285-294. </w:t>
      </w:r>
      <w:hyperlink r:id="rId39" w:history="1">
        <w:r w:rsidRPr="00724653">
          <w:rPr>
            <w:rStyle w:val="Hyperlink"/>
            <w:rFonts w:eastAsia="Times New Roman"/>
            <w:szCs w:val="24"/>
          </w:rPr>
          <w:t>https://www.researchpublish.com/journal/IJMCI/Vol9_Issue1_April2021-September2021/12</w:t>
        </w:r>
      </w:hyperlink>
      <w:r w:rsidRPr="00724653">
        <w:rPr>
          <w:rFonts w:eastAsia="Times New Roman"/>
          <w:color w:val="000000" w:themeColor="text1"/>
          <w:szCs w:val="24"/>
        </w:rPr>
        <w:t xml:space="preserve"> </w:t>
      </w:r>
    </w:p>
    <w:p w14:paraId="35637571" w14:textId="726C803B"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lang w:val="fr-FR"/>
        </w:rPr>
        <w:t xml:space="preserve">Mwatu, D. M., &amp; Abdul, F. (2018). Capital Structure and the Financial Performance of Deposit- Taking Savings and Credit Cooperative Societies in Kenya. International Journal of Current Aspects in Finance, 4(2), 71–88. </w:t>
      </w:r>
      <w:hyperlink r:id="rId40" w:history="1">
        <w:r w:rsidRPr="00724653">
          <w:rPr>
            <w:rStyle w:val="Hyperlink"/>
            <w:rFonts w:eastAsia="Times New Roman"/>
            <w:szCs w:val="24"/>
            <w:lang w:val="fr-FR"/>
          </w:rPr>
          <w:t>https://www.ijcab.org/journals</w:t>
        </w:r>
      </w:hyperlink>
      <w:r w:rsidRPr="00724653">
        <w:rPr>
          <w:rFonts w:eastAsia="Times New Roman"/>
          <w:color w:val="000000" w:themeColor="text1"/>
          <w:szCs w:val="24"/>
          <w:lang w:val="fr-FR"/>
        </w:rPr>
        <w:t xml:space="preserve"> </w:t>
      </w:r>
      <w:r w:rsidR="0025131C" w:rsidRPr="00724653">
        <w:rPr>
          <w:rFonts w:eastAsia="Times New Roman"/>
          <w:color w:val="000000" w:themeColor="text1"/>
          <w:szCs w:val="24"/>
        </w:rPr>
        <w:t>.</w:t>
      </w:r>
    </w:p>
    <w:p w14:paraId="439D4817"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Mwendwa, G. M. (2022). </w:t>
      </w:r>
      <w:r w:rsidRPr="00724653">
        <w:rPr>
          <w:rFonts w:eastAsia="Times New Roman"/>
          <w:i/>
          <w:iCs/>
          <w:color w:val="000000" w:themeColor="text1"/>
          <w:szCs w:val="24"/>
        </w:rPr>
        <w:t>Firm Characteristics and Financial Performance of Manufacturing and Construction Allied Firms Listed in Nairobi Securities Exchange, Kenya</w:t>
      </w:r>
      <w:r w:rsidRPr="00724653">
        <w:rPr>
          <w:rFonts w:eastAsia="Times New Roman"/>
          <w:color w:val="000000" w:themeColor="text1"/>
          <w:szCs w:val="24"/>
        </w:rPr>
        <w:t>.</w:t>
      </w:r>
    </w:p>
    <w:p w14:paraId="03E3849C"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Nnyanja, W. (2017). </w:t>
      </w:r>
      <w:r w:rsidRPr="00724653">
        <w:rPr>
          <w:rFonts w:eastAsia="Times New Roman"/>
          <w:i/>
          <w:iCs/>
          <w:color w:val="000000" w:themeColor="text1"/>
          <w:szCs w:val="24"/>
        </w:rPr>
        <w:t>the Role of Saving and Credit Cooperatives in Improving Household Income: the Case for Teachers in Mukono District</w:t>
      </w:r>
      <w:r w:rsidRPr="00724653">
        <w:rPr>
          <w:rFonts w:eastAsia="Times New Roman"/>
          <w:color w:val="000000" w:themeColor="text1"/>
          <w:szCs w:val="24"/>
        </w:rPr>
        <w:t xml:space="preserve">. </w:t>
      </w:r>
      <w:r w:rsidRPr="00724653">
        <w:rPr>
          <w:rFonts w:eastAsia="Times New Roman"/>
          <w:i/>
          <w:iCs/>
          <w:color w:val="000000" w:themeColor="text1"/>
          <w:szCs w:val="24"/>
        </w:rPr>
        <w:t>May</w:t>
      </w:r>
      <w:r w:rsidRPr="00724653">
        <w:rPr>
          <w:rFonts w:eastAsia="Times New Roman"/>
          <w:color w:val="000000" w:themeColor="text1"/>
          <w:szCs w:val="24"/>
        </w:rPr>
        <w:t>.</w:t>
      </w:r>
    </w:p>
    <w:p w14:paraId="4A62F783"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Ochingo, M. A. (JKUAT), &amp; Muturi, W. M. (JKUAT). (2018). Effect of Firm Characteristics on Financial Performance of Savings and Credit Cooperatives Society in Kenya. </w:t>
      </w:r>
      <w:r w:rsidRPr="00724653">
        <w:rPr>
          <w:rFonts w:eastAsia="Times New Roman"/>
          <w:i/>
          <w:iCs/>
          <w:color w:val="000000" w:themeColor="text1"/>
          <w:szCs w:val="24"/>
        </w:rPr>
        <w:t>The Strategic Journal of Business &amp; Change Management</w:t>
      </w:r>
      <w:r w:rsidRPr="00724653">
        <w:rPr>
          <w:rFonts w:eastAsia="Times New Roman"/>
          <w:color w:val="000000" w:themeColor="text1"/>
          <w:szCs w:val="24"/>
        </w:rPr>
        <w:t xml:space="preserve">, </w:t>
      </w:r>
      <w:r w:rsidRPr="00724653">
        <w:rPr>
          <w:rFonts w:eastAsia="Times New Roman"/>
          <w:i/>
          <w:iCs/>
          <w:color w:val="000000" w:themeColor="text1"/>
          <w:szCs w:val="24"/>
        </w:rPr>
        <w:t>5</w:t>
      </w:r>
      <w:r w:rsidRPr="00724653">
        <w:rPr>
          <w:rFonts w:eastAsia="Times New Roman"/>
          <w:color w:val="000000" w:themeColor="text1"/>
          <w:szCs w:val="24"/>
        </w:rPr>
        <w:t>(1), 769–784.</w:t>
      </w:r>
    </w:p>
    <w:p w14:paraId="51BE4830" w14:textId="6E9B121B"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Ochola, V. O. (2018). Effect of Firm Characteristics on The Profitability of Listed Investment Companies In Kenya. KCA University. </w:t>
      </w:r>
      <w:hyperlink r:id="rId41" w:history="1">
        <w:r w:rsidRPr="00724653">
          <w:rPr>
            <w:rStyle w:val="Hyperlink"/>
            <w:rFonts w:eastAsia="Times New Roman"/>
            <w:szCs w:val="24"/>
          </w:rPr>
          <w:t>https://repository.kca.ac.ke/handle/123456789/190</w:t>
        </w:r>
      </w:hyperlink>
      <w:r w:rsidRPr="00724653">
        <w:rPr>
          <w:rFonts w:eastAsia="Times New Roman"/>
          <w:color w:val="000000" w:themeColor="text1"/>
          <w:szCs w:val="24"/>
        </w:rPr>
        <w:t xml:space="preserve"> </w:t>
      </w:r>
      <w:r w:rsidR="00A3750F" w:rsidRPr="00724653">
        <w:rPr>
          <w:rFonts w:eastAsia="Times New Roman"/>
          <w:color w:val="000000" w:themeColor="text1"/>
          <w:szCs w:val="24"/>
        </w:rPr>
        <w:t xml:space="preserve"> </w:t>
      </w:r>
      <w:r w:rsidR="0025131C" w:rsidRPr="00724653">
        <w:rPr>
          <w:rFonts w:eastAsia="Times New Roman"/>
          <w:color w:val="000000" w:themeColor="text1"/>
          <w:szCs w:val="24"/>
        </w:rPr>
        <w:t>.</w:t>
      </w:r>
    </w:p>
    <w:p w14:paraId="0BE42CFC"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Odondi, A. (2022). </w:t>
      </w:r>
      <w:r w:rsidRPr="00724653">
        <w:rPr>
          <w:rFonts w:eastAsia="Times New Roman"/>
          <w:i/>
          <w:iCs/>
          <w:color w:val="000000" w:themeColor="text1"/>
          <w:szCs w:val="24"/>
        </w:rPr>
        <w:t>Financial Leverage and Financial Performance of Deposit Taking Savings and Credit Co-Operative Societies in Nairobi City County</w:t>
      </w:r>
      <w:r w:rsidRPr="00724653">
        <w:rPr>
          <w:rFonts w:eastAsia="Times New Roman"/>
          <w:color w:val="000000" w:themeColor="text1"/>
          <w:szCs w:val="24"/>
        </w:rPr>
        <w:t>.</w:t>
      </w:r>
    </w:p>
    <w:p w14:paraId="4B9E8754" w14:textId="22EC8961"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Otieno, S. (2019). The role of cooperatives in social and economic development of Kenya and actions required to accelerate growth and development of the sector in Africa. Cooperative Alliance of Kenya. </w:t>
      </w:r>
      <w:hyperlink r:id="rId42" w:history="1">
        <w:r w:rsidRPr="00724653">
          <w:rPr>
            <w:rStyle w:val="Hyperlink"/>
            <w:rFonts w:eastAsia="Times New Roman"/>
            <w:szCs w:val="24"/>
          </w:rPr>
          <w:t>https://www.un.org/development/desa/dspd/wp-content/uploads/sites/22/2019/06/Otieno.pdf</w:t>
        </w:r>
      </w:hyperlink>
      <w:r w:rsidRPr="00724653">
        <w:rPr>
          <w:rFonts w:eastAsia="Times New Roman"/>
          <w:color w:val="000000" w:themeColor="text1"/>
          <w:szCs w:val="24"/>
        </w:rPr>
        <w:t xml:space="preserve"> </w:t>
      </w:r>
    </w:p>
    <w:p w14:paraId="1BBA7BCF" w14:textId="718CBD5A"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Pacific Crest Group. (2023). Measuring Profitability Based on Efficiency. </w:t>
      </w:r>
      <w:hyperlink r:id="rId43" w:history="1">
        <w:r w:rsidRPr="00724653">
          <w:rPr>
            <w:rStyle w:val="Hyperlink"/>
            <w:rFonts w:eastAsia="Times New Roman"/>
            <w:szCs w:val="24"/>
          </w:rPr>
          <w:t>https://www.pcg-services.com/measuring-profitability-based-efficiency/</w:t>
        </w:r>
      </w:hyperlink>
      <w:r w:rsidRPr="00724653">
        <w:rPr>
          <w:rFonts w:eastAsia="Times New Roman"/>
          <w:color w:val="000000" w:themeColor="text1"/>
          <w:szCs w:val="24"/>
        </w:rPr>
        <w:t xml:space="preserve"> </w:t>
      </w:r>
    </w:p>
    <w:p w14:paraId="5C2C62F4" w14:textId="0BDD900D"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Pervan, M., Curak, M., &amp; Pavic Kramaric, T. (2018). The influence of industry characteristics and dynamic capabilities on firms' profitability. International Journal of Financial Studies, 6(1), 4. </w:t>
      </w:r>
      <w:hyperlink r:id="rId44" w:history="1">
        <w:r w:rsidRPr="00724653">
          <w:rPr>
            <w:rStyle w:val="Hyperlink"/>
            <w:rFonts w:eastAsia="Times New Roman"/>
            <w:szCs w:val="24"/>
          </w:rPr>
          <w:t>https://doi.org/10.3390/ijfs6010004</w:t>
        </w:r>
      </w:hyperlink>
      <w:r w:rsidRPr="00724653">
        <w:rPr>
          <w:rFonts w:eastAsia="Times New Roman"/>
          <w:color w:val="000000" w:themeColor="text1"/>
          <w:szCs w:val="24"/>
        </w:rPr>
        <w:t xml:space="preserve"> </w:t>
      </w:r>
    </w:p>
    <w:p w14:paraId="2DDD11AB" w14:textId="4B43CAB4"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Republic of Kenya. (2022). Kenya Vision 2030 Flagship Programmes and Projects Progress Report (FY 2021/2022). </w:t>
      </w:r>
      <w:hyperlink r:id="rId45" w:history="1">
        <w:r w:rsidRPr="00724653">
          <w:rPr>
            <w:rStyle w:val="Hyperlink"/>
            <w:rFonts w:eastAsia="Times New Roman"/>
            <w:szCs w:val="24"/>
          </w:rPr>
          <w:t>https://vision2030.go.ke/wp-content/uploads/2022/09/FINAL-EDITED-VISION-2030-FLAGSHIP-PROJECT-PROGRESS-REPORT_170820221-1.pdf</w:t>
        </w:r>
      </w:hyperlink>
      <w:r w:rsidRPr="00724653">
        <w:rPr>
          <w:rFonts w:eastAsia="Times New Roman"/>
          <w:color w:val="000000" w:themeColor="text1"/>
          <w:szCs w:val="24"/>
        </w:rPr>
        <w:t xml:space="preserve"> </w:t>
      </w:r>
    </w:p>
    <w:p w14:paraId="14FB9D99" w14:textId="510D9C67"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Salah, W. (2018). The Effect of Firm Characteristics on Earnings Quality: The Moderating Role of Firm Size. Proceedings of the 2nd international conference of industrial and service organizations management, South Valley University, Egypt, Vol. 2, 188-206. </w:t>
      </w:r>
      <w:hyperlink r:id="rId46" w:history="1">
        <w:r w:rsidRPr="00724653">
          <w:rPr>
            <w:rStyle w:val="Hyperlink"/>
            <w:rFonts w:eastAsia="Times New Roman"/>
            <w:szCs w:val="24"/>
          </w:rPr>
          <w:t>https://buescholar.bue.edu.eg/bus_admin</w:t>
        </w:r>
      </w:hyperlink>
      <w:r w:rsidRPr="00724653">
        <w:rPr>
          <w:rFonts w:eastAsia="Times New Roman"/>
          <w:color w:val="000000" w:themeColor="text1"/>
          <w:szCs w:val="24"/>
        </w:rPr>
        <w:t xml:space="preserve"> </w:t>
      </w:r>
    </w:p>
    <w:p w14:paraId="13D9AD35" w14:textId="67187FAA"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Rashata, H. (2021). Firm Characteristics and Firm Performance during the Covid-19 Pandemic: Evidence from an emerging market. SSRN Electronic Journal. </w:t>
      </w:r>
      <w:hyperlink r:id="rId47" w:history="1">
        <w:r w:rsidRPr="00724653">
          <w:rPr>
            <w:rStyle w:val="Hyperlink"/>
            <w:rFonts w:eastAsia="Times New Roman"/>
            <w:szCs w:val="24"/>
          </w:rPr>
          <w:t>https://doi.org/10.2139/ssrn.3960757</w:t>
        </w:r>
      </w:hyperlink>
      <w:r w:rsidRPr="00724653">
        <w:rPr>
          <w:rFonts w:eastAsia="Times New Roman"/>
          <w:color w:val="000000" w:themeColor="text1"/>
          <w:szCs w:val="24"/>
        </w:rPr>
        <w:t xml:space="preserve"> </w:t>
      </w:r>
    </w:p>
    <w:p w14:paraId="20D68DB1" w14:textId="4A630D67"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lastRenderedPageBreak/>
        <w:t xml:space="preserve">SASRA. (2020). The SACCO Supervision Annual Report. </w:t>
      </w:r>
      <w:hyperlink r:id="rId48" w:history="1">
        <w:r w:rsidRPr="00724653">
          <w:rPr>
            <w:rStyle w:val="Hyperlink"/>
            <w:rFonts w:eastAsia="Times New Roman"/>
            <w:szCs w:val="24"/>
          </w:rPr>
          <w:t>https://www.sasra.go.ke/index.php?option=com_phocadownload&amp;view=category&amp;download=191:sacco-supervision-annual-report-2020&amp;id=11:sacco-supervision-reports&amp;Itemid=200</w:t>
        </w:r>
      </w:hyperlink>
      <w:r w:rsidRPr="00724653">
        <w:rPr>
          <w:rFonts w:eastAsia="Times New Roman"/>
          <w:color w:val="000000" w:themeColor="text1"/>
          <w:szCs w:val="24"/>
        </w:rPr>
        <w:t xml:space="preserve"> </w:t>
      </w:r>
      <w:r w:rsidR="0025131C" w:rsidRPr="00724653">
        <w:rPr>
          <w:rFonts w:eastAsia="Times New Roman"/>
          <w:color w:val="000000" w:themeColor="text1"/>
          <w:szCs w:val="24"/>
        </w:rPr>
        <w:t>,</w:t>
      </w:r>
    </w:p>
    <w:p w14:paraId="6206850F" w14:textId="7FF5C19D"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SASRA. (2022). SACCO Supervision Annual Report, 2022. </w:t>
      </w:r>
      <w:hyperlink r:id="rId49" w:history="1">
        <w:r w:rsidRPr="00724653">
          <w:rPr>
            <w:rStyle w:val="Hyperlink"/>
            <w:rFonts w:eastAsia="Times New Roman"/>
            <w:szCs w:val="24"/>
          </w:rPr>
          <w:t>https://www.sasra.go.ke/sacco-supervision-annual-report-2022/</w:t>
        </w:r>
      </w:hyperlink>
      <w:r w:rsidRPr="00724653">
        <w:rPr>
          <w:rFonts w:eastAsia="Times New Roman"/>
          <w:color w:val="000000" w:themeColor="text1"/>
          <w:szCs w:val="24"/>
        </w:rPr>
        <w:t xml:space="preserve"> </w:t>
      </w:r>
    </w:p>
    <w:p w14:paraId="2F2B6E69" w14:textId="301617BE"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Jegers, M. (2018). Capital structure. In Handbook of Research on Nonprofit Economics and Management (pp. 87–96). </w:t>
      </w:r>
      <w:hyperlink r:id="rId50" w:history="1">
        <w:r w:rsidRPr="00724653">
          <w:rPr>
            <w:rStyle w:val="Hyperlink"/>
            <w:rFonts w:eastAsia="Times New Roman"/>
            <w:szCs w:val="24"/>
          </w:rPr>
          <w:t>https://doi.org/10.4337/9781785363528.00012</w:t>
        </w:r>
      </w:hyperlink>
      <w:r w:rsidRPr="00724653">
        <w:rPr>
          <w:rFonts w:eastAsia="Times New Roman"/>
          <w:color w:val="000000" w:themeColor="text1"/>
          <w:szCs w:val="24"/>
        </w:rPr>
        <w:t xml:space="preserve"> </w:t>
      </w:r>
    </w:p>
    <w:p w14:paraId="30378371"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Seran, A. (2022). Analysis The Effect of Firm Characteristics on The Completeness of Public Company’s Voluntary Disclosure. </w:t>
      </w:r>
      <w:r w:rsidRPr="00724653">
        <w:rPr>
          <w:rFonts w:eastAsia="Times New Roman"/>
          <w:i/>
          <w:iCs/>
          <w:color w:val="000000" w:themeColor="text1"/>
          <w:szCs w:val="24"/>
        </w:rPr>
        <w:t>Jurnal Cendekia Ilmiah</w:t>
      </w:r>
      <w:r w:rsidRPr="00724653">
        <w:rPr>
          <w:rFonts w:eastAsia="Times New Roman"/>
          <w:color w:val="000000" w:themeColor="text1"/>
          <w:szCs w:val="24"/>
        </w:rPr>
        <w:t xml:space="preserve">, </w:t>
      </w:r>
      <w:r w:rsidRPr="00724653">
        <w:rPr>
          <w:rFonts w:eastAsia="Times New Roman"/>
          <w:i/>
          <w:iCs/>
          <w:color w:val="000000" w:themeColor="text1"/>
          <w:szCs w:val="24"/>
        </w:rPr>
        <w:t>1</w:t>
      </w:r>
      <w:r w:rsidRPr="00724653">
        <w:rPr>
          <w:rFonts w:eastAsia="Times New Roman"/>
          <w:color w:val="000000" w:themeColor="text1"/>
          <w:szCs w:val="24"/>
        </w:rPr>
        <w:t>(5).</w:t>
      </w:r>
    </w:p>
    <w:p w14:paraId="5CBA62F6" w14:textId="414CEB1E"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Smith, C., Ogutu, M., Munjuri, M., &amp; Kagwe, J. (2020). The Influence of Firm Characteristics on the Relationship between Foreign Market Entry Strategies and Financial Performance of Listed Multinational Firms in Kenya. European Journal of Business and Management Research, 5(3) </w:t>
      </w:r>
      <w:hyperlink r:id="rId51" w:history="1">
        <w:r w:rsidRPr="00724653">
          <w:rPr>
            <w:rStyle w:val="Hyperlink"/>
            <w:rFonts w:eastAsia="Times New Roman"/>
            <w:szCs w:val="24"/>
          </w:rPr>
          <w:t>https://doi.org/10.24018/ejbmr.2020.5.3.332</w:t>
        </w:r>
      </w:hyperlink>
      <w:r w:rsidRPr="00724653">
        <w:rPr>
          <w:rFonts w:eastAsia="Times New Roman"/>
          <w:color w:val="000000" w:themeColor="text1"/>
          <w:szCs w:val="24"/>
        </w:rPr>
        <w:t xml:space="preserve"> </w:t>
      </w:r>
    </w:p>
    <w:p w14:paraId="75735A32" w14:textId="2034E18A"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The Alliance Africa. (2018). Review of the existing information communication technologies [ICT] in co-operatives in Africa for the purpose of establishing a flexible, user-friendly integrated management information system. </w:t>
      </w:r>
      <w:hyperlink r:id="rId52" w:history="1">
        <w:r w:rsidRPr="00724653">
          <w:rPr>
            <w:rStyle w:val="Hyperlink"/>
            <w:rFonts w:eastAsia="Times New Roman"/>
            <w:szCs w:val="24"/>
          </w:rPr>
          <w:t>https://www.coops4dev.coop/sites/default/files/2018-07/Review%20of%20the%20Existing%20Information%20Communication%20Technologies%20%5BICT%5D%20in%20Co-Operatives%20in%20Africa%20for%20the%20Purpose%20of%20Establishing%20a%20Flexible%2C%20User-Friendly%20Integrated%20Management%20Information%20System.pdf</w:t>
        </w:r>
      </w:hyperlink>
      <w:r w:rsidRPr="00724653">
        <w:rPr>
          <w:rFonts w:eastAsia="Times New Roman"/>
          <w:color w:val="000000" w:themeColor="text1"/>
          <w:szCs w:val="24"/>
        </w:rPr>
        <w:t xml:space="preserve"> </w:t>
      </w:r>
    </w:p>
    <w:p w14:paraId="65582068"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Wafula, N. (2020). </w:t>
      </w:r>
      <w:r w:rsidRPr="00724653">
        <w:rPr>
          <w:rFonts w:eastAsia="Times New Roman"/>
          <w:i/>
          <w:iCs/>
          <w:color w:val="000000" w:themeColor="text1"/>
          <w:szCs w:val="24"/>
        </w:rPr>
        <w:t>Firm Characteristics and Financial Stability of Commercial Banks in Kenya</w:t>
      </w:r>
      <w:r w:rsidRPr="00724653">
        <w:rPr>
          <w:rFonts w:eastAsia="Times New Roman"/>
          <w:color w:val="000000" w:themeColor="text1"/>
          <w:szCs w:val="24"/>
        </w:rPr>
        <w:t>.</w:t>
      </w:r>
    </w:p>
    <w:p w14:paraId="00E01385" w14:textId="52A3508E"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Wawire, A. K., &amp; Njogo, M. N. (2021). Firm Characteristics and Operational Efficiency of Agricultural Firms Listed at Nairobi Securities Exchange in Kenya. Research Journal of Finance and Accounting. </w:t>
      </w:r>
      <w:hyperlink r:id="rId53" w:history="1">
        <w:r w:rsidRPr="00724653">
          <w:rPr>
            <w:rStyle w:val="Hyperlink"/>
            <w:rFonts w:eastAsia="Times New Roman"/>
            <w:szCs w:val="24"/>
          </w:rPr>
          <w:t>https://doi.org/10.7176/RJFA/12-24-01</w:t>
        </w:r>
      </w:hyperlink>
      <w:r w:rsidRPr="00724653">
        <w:rPr>
          <w:rFonts w:eastAsia="Times New Roman"/>
          <w:color w:val="000000" w:themeColor="text1"/>
          <w:szCs w:val="24"/>
        </w:rPr>
        <w:t xml:space="preserve"> </w:t>
      </w:r>
    </w:p>
    <w:p w14:paraId="3859DADA" w14:textId="77777777" w:rsidR="00647405"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Scholtens, B., &amp; van Wensveen, D. (2003). The Theory of Financial Intermediation: An Essay On What It Does (Not) Explain. SUERF Studies. </w:t>
      </w:r>
      <w:hyperlink r:id="rId54" w:history="1">
        <w:r w:rsidRPr="00724653">
          <w:rPr>
            <w:rStyle w:val="Hyperlink"/>
            <w:rFonts w:eastAsia="Times New Roman"/>
            <w:szCs w:val="24"/>
          </w:rPr>
          <w:t>https://www.suerf.org/download/studies/study20031.pdf</w:t>
        </w:r>
      </w:hyperlink>
      <w:r w:rsidRPr="00724653">
        <w:rPr>
          <w:rFonts w:eastAsia="Times New Roman"/>
          <w:color w:val="000000" w:themeColor="text1"/>
          <w:szCs w:val="24"/>
        </w:rPr>
        <w:t xml:space="preserve"> </w:t>
      </w:r>
      <w:r w:rsidR="0025131C" w:rsidRPr="00724653">
        <w:rPr>
          <w:rFonts w:eastAsia="Times New Roman"/>
          <w:color w:val="000000" w:themeColor="text1"/>
          <w:szCs w:val="24"/>
        </w:rPr>
        <w:t>.</w:t>
      </w:r>
    </w:p>
    <w:p w14:paraId="556D0058" w14:textId="331E1DBB" w:rsidR="007E067A" w:rsidRDefault="00647405" w:rsidP="00724653">
      <w:pPr>
        <w:autoSpaceDE w:val="0"/>
        <w:autoSpaceDN w:val="0"/>
        <w:spacing w:line="240" w:lineRule="auto"/>
        <w:ind w:left="360"/>
        <w:rPr>
          <w:rFonts w:ascii="Arial" w:hAnsi="Arial" w:cs="Arial"/>
          <w:color w:val="222222"/>
          <w:sz w:val="20"/>
          <w:szCs w:val="20"/>
          <w:highlight w:val="yellow"/>
          <w:shd w:val="clear" w:color="auto" w:fill="FFFFFF"/>
        </w:rPr>
      </w:pPr>
      <w:r w:rsidRPr="007E067A">
        <w:rPr>
          <w:rFonts w:ascii="Arial" w:hAnsi="Arial" w:cs="Arial"/>
          <w:color w:val="222222"/>
          <w:sz w:val="20"/>
          <w:szCs w:val="20"/>
          <w:highlight w:val="yellow"/>
          <w:shd w:val="clear" w:color="auto" w:fill="FFFFFF"/>
        </w:rPr>
        <w:t>Menicucci, E. (2018). The influence of firm characteristics on profitability: Evidence from Italian hospitality industry. </w:t>
      </w:r>
      <w:r w:rsidRPr="007E067A">
        <w:rPr>
          <w:rFonts w:ascii="Arial" w:hAnsi="Arial" w:cs="Arial"/>
          <w:i/>
          <w:iCs/>
          <w:color w:val="222222"/>
          <w:sz w:val="20"/>
          <w:szCs w:val="20"/>
          <w:highlight w:val="yellow"/>
          <w:shd w:val="clear" w:color="auto" w:fill="FFFFFF"/>
        </w:rPr>
        <w:t>International Journal of Contemporary Hospitality Management</w:t>
      </w:r>
      <w:r w:rsidRPr="007E067A">
        <w:rPr>
          <w:rFonts w:ascii="Arial" w:hAnsi="Arial" w:cs="Arial"/>
          <w:color w:val="222222"/>
          <w:sz w:val="20"/>
          <w:szCs w:val="20"/>
          <w:highlight w:val="yellow"/>
          <w:shd w:val="clear" w:color="auto" w:fill="FFFFFF"/>
        </w:rPr>
        <w:t>, </w:t>
      </w:r>
      <w:r w:rsidRPr="007E067A">
        <w:rPr>
          <w:rFonts w:ascii="Arial" w:hAnsi="Arial" w:cs="Arial"/>
          <w:i/>
          <w:iCs/>
          <w:color w:val="222222"/>
          <w:sz w:val="20"/>
          <w:szCs w:val="20"/>
          <w:highlight w:val="yellow"/>
          <w:shd w:val="clear" w:color="auto" w:fill="FFFFFF"/>
        </w:rPr>
        <w:t>30</w:t>
      </w:r>
      <w:r w:rsidRPr="007E067A">
        <w:rPr>
          <w:rFonts w:ascii="Arial" w:hAnsi="Arial" w:cs="Arial"/>
          <w:color w:val="222222"/>
          <w:sz w:val="20"/>
          <w:szCs w:val="20"/>
          <w:highlight w:val="yellow"/>
          <w:shd w:val="clear" w:color="auto" w:fill="FFFFFF"/>
        </w:rPr>
        <w:t xml:space="preserve">(8), 2845-2868. </w:t>
      </w:r>
      <w:hyperlink r:id="rId55" w:history="1">
        <w:r w:rsidR="007E067A" w:rsidRPr="007E067A">
          <w:rPr>
            <w:rStyle w:val="Hyperlink"/>
            <w:rFonts w:ascii="Arial" w:hAnsi="Arial" w:cs="Arial"/>
            <w:sz w:val="20"/>
            <w:szCs w:val="20"/>
            <w:highlight w:val="yellow"/>
            <w:shd w:val="clear" w:color="auto" w:fill="FFFFFF"/>
          </w:rPr>
          <w:t>https://doi.org/10.1108/IJCHM-04-2017-0219</w:t>
        </w:r>
      </w:hyperlink>
    </w:p>
    <w:p w14:paraId="51894795" w14:textId="537D1B43" w:rsidR="007E067A" w:rsidRDefault="007E067A" w:rsidP="00724653">
      <w:pPr>
        <w:autoSpaceDE w:val="0"/>
        <w:autoSpaceDN w:val="0"/>
        <w:spacing w:line="240" w:lineRule="auto"/>
        <w:ind w:left="360"/>
        <w:rPr>
          <w:rFonts w:ascii="Arial" w:hAnsi="Arial" w:cs="Arial"/>
          <w:sz w:val="20"/>
          <w:szCs w:val="20"/>
          <w:highlight w:val="yellow"/>
          <w:shd w:val="clear" w:color="auto" w:fill="FFFFFF"/>
        </w:rPr>
      </w:pPr>
      <w:r w:rsidRPr="007E067A">
        <w:rPr>
          <w:rFonts w:ascii="Arial" w:hAnsi="Arial" w:cs="Arial"/>
          <w:sz w:val="20"/>
          <w:szCs w:val="20"/>
          <w:highlight w:val="yellow"/>
          <w:shd w:val="clear" w:color="auto" w:fill="FFFFFF"/>
        </w:rPr>
        <w:t xml:space="preserve">Carolyne, Tarus, and Eddie Simiyu. 2024. “Sacco Based Financial Characteristics and Financial Performance of Deposit Taking Savings and Credit Co-Operative Societies in Kenya”. Asian Journal of Economics, Business and Accounting 24 (9):494-514. </w:t>
      </w:r>
      <w:hyperlink r:id="rId56" w:history="1">
        <w:r w:rsidRPr="007E067A">
          <w:rPr>
            <w:rStyle w:val="Hyperlink"/>
            <w:rFonts w:ascii="Arial" w:hAnsi="Arial" w:cs="Arial"/>
            <w:sz w:val="20"/>
            <w:szCs w:val="20"/>
            <w:highlight w:val="yellow"/>
            <w:shd w:val="clear" w:color="auto" w:fill="FFFFFF"/>
          </w:rPr>
          <w:t>https://doi.org/10.9734/ajeba/2024/v24i91507</w:t>
        </w:r>
      </w:hyperlink>
    </w:p>
    <w:p w14:paraId="22A005A7" w14:textId="78251FF7" w:rsidR="00B55CEF" w:rsidRDefault="007E067A" w:rsidP="007A56B8">
      <w:pPr>
        <w:pStyle w:val="NormalWeb"/>
        <w:spacing w:before="0" w:beforeAutospacing="0"/>
        <w:ind w:left="720" w:hanging="720"/>
        <w:rPr>
          <w:color w:val="000000" w:themeColor="text1"/>
        </w:rPr>
      </w:pPr>
      <w:r w:rsidRPr="007E067A">
        <w:rPr>
          <w:color w:val="000000" w:themeColor="text1"/>
          <w:highlight w:val="yellow"/>
        </w:rPr>
        <w:t>Innocent Mukwiye, and Osiemo Kengere. 2025. “Effect of Loan Management Practices on Financial Performance of Umurenge Saving and Credit Cooperatives in Nyanza District”. Asian Journal of Education and Social Studies 51 (8):1359–1381. https://doi.org/10.9734/ajess/2025/v51i82325.</w:t>
      </w:r>
    </w:p>
    <w:p w14:paraId="1D96D14C" w14:textId="77777777" w:rsidR="007E067A" w:rsidRPr="00B55CEF" w:rsidRDefault="007E067A" w:rsidP="007A56B8">
      <w:pPr>
        <w:pStyle w:val="NormalWeb"/>
        <w:spacing w:before="0" w:beforeAutospacing="0"/>
        <w:ind w:left="720" w:hanging="720"/>
        <w:rPr>
          <w:color w:val="000000" w:themeColor="text1"/>
        </w:rPr>
      </w:pPr>
    </w:p>
    <w:sectPr w:rsidR="007E067A" w:rsidRPr="00B55CEF" w:rsidSect="00055D83">
      <w:headerReference w:type="even" r:id="rId57"/>
      <w:headerReference w:type="default" r:id="rId58"/>
      <w:footerReference w:type="even" r:id="rId59"/>
      <w:footerReference w:type="default" r:id="rId60"/>
      <w:headerReference w:type="first" r:id="rId61"/>
      <w:footerReference w:type="first" r:id="rId62"/>
      <w:pgSz w:w="12240" w:h="15840" w:code="1"/>
      <w:pgMar w:top="1094" w:right="605" w:bottom="605" w:left="605" w:header="346" w:footer="40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29C004" w16cex:dateUtc="2025-12-14T01:11:00Z"/>
  <w16cex:commentExtensible w16cex:durableId="71EF71CB" w16cex:dateUtc="2025-12-14T01:13:00Z"/>
  <w16cex:commentExtensible w16cex:durableId="1F73421B" w16cex:dateUtc="2025-12-14T01:16:00Z"/>
  <w16cex:commentExtensible w16cex:durableId="7F1DCA58" w16cex:dateUtc="2025-12-14T01:35:00Z"/>
  <w16cex:commentExtensible w16cex:durableId="485F2757" w16cex:dateUtc="2025-12-14T01:36:00Z"/>
  <w16cex:commentExtensible w16cex:durableId="49DA5B9A" w16cex:dateUtc="2025-12-14T01:27:00Z"/>
  <w16cex:commentExtensible w16cex:durableId="28177513" w16cex:dateUtc="2025-12-14T01:25:00Z"/>
  <w16cex:commentExtensible w16cex:durableId="0E4CD0E2" w16cex:dateUtc="2025-12-14T01:32:00Z"/>
  <w16cex:commentExtensible w16cex:durableId="5FCFDDC6" w16cex:dateUtc="2025-12-14T01:39:00Z"/>
  <w16cex:commentExtensible w16cex:durableId="7E0ED894" w16cex:dateUtc="2025-12-14T01:38:00Z"/>
  <w16cex:commentExtensible w16cex:durableId="495B8E3C" w16cex:dateUtc="2025-12-14T0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96100C" w16cid:durableId="0529C004"/>
  <w16cid:commentId w16cid:paraId="4CCBC0FD" w16cid:durableId="71EF71CB"/>
  <w16cid:commentId w16cid:paraId="24599977" w16cid:durableId="1F73421B"/>
  <w16cid:commentId w16cid:paraId="1EB55E0E" w16cid:durableId="7F1DCA58"/>
  <w16cid:commentId w16cid:paraId="6CC886FA" w16cid:durableId="485F2757"/>
  <w16cid:commentId w16cid:paraId="1C427921" w16cid:durableId="49DA5B9A"/>
  <w16cid:commentId w16cid:paraId="61CA54C6" w16cid:durableId="28177513"/>
  <w16cid:commentId w16cid:paraId="5BDA960F" w16cid:durableId="0E4CD0E2"/>
  <w16cid:commentId w16cid:paraId="196F764D" w16cid:durableId="5FCFDDC6"/>
  <w16cid:commentId w16cid:paraId="0ADDE9D0" w16cid:durableId="7E0ED894"/>
  <w16cid:commentId w16cid:paraId="3D776A19" w16cid:durableId="495B8E3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CD3F2" w14:textId="77777777" w:rsidR="00AF4555" w:rsidRDefault="00AF4555">
      <w:pPr>
        <w:spacing w:before="0" w:line="240" w:lineRule="auto"/>
      </w:pPr>
      <w:r>
        <w:separator/>
      </w:r>
    </w:p>
  </w:endnote>
  <w:endnote w:type="continuationSeparator" w:id="0">
    <w:p w14:paraId="318FE982" w14:textId="77777777" w:rsidR="00AF4555" w:rsidRDefault="00AF45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F9F6F" w14:textId="77777777" w:rsidR="003858C7" w:rsidRDefault="003858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236679"/>
      <w:docPartObj>
        <w:docPartGallery w:val="Page Numbers (Bottom of Page)"/>
        <w:docPartUnique/>
      </w:docPartObj>
    </w:sdtPr>
    <w:sdtEndPr>
      <w:rPr>
        <w:noProof/>
        <w:sz w:val="20"/>
        <w:szCs w:val="18"/>
      </w:rPr>
    </w:sdtEndPr>
    <w:sdtContent>
      <w:p w14:paraId="78E128D3" w14:textId="23510BE5" w:rsidR="007B7A84" w:rsidRPr="008A0558" w:rsidRDefault="007B7A84">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7E067A">
          <w:rPr>
            <w:noProof/>
            <w:sz w:val="20"/>
            <w:szCs w:val="18"/>
          </w:rPr>
          <w:t>2</w:t>
        </w:r>
        <w:r w:rsidRPr="008A0558">
          <w:rPr>
            <w:noProof/>
            <w:sz w:val="20"/>
            <w:szCs w:val="18"/>
          </w:rPr>
          <w:fldChar w:fldCharType="end"/>
        </w:r>
      </w:p>
    </w:sdtContent>
  </w:sdt>
  <w:p w14:paraId="70E80D4D" w14:textId="77777777" w:rsidR="007B7A84" w:rsidRDefault="007B7A8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16D4" w14:textId="77777777" w:rsidR="003858C7" w:rsidRDefault="003858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1E4F0" w14:textId="77777777" w:rsidR="00AF4555" w:rsidRDefault="00AF4555">
      <w:pPr>
        <w:spacing w:before="0" w:line="240" w:lineRule="auto"/>
      </w:pPr>
      <w:r>
        <w:separator/>
      </w:r>
    </w:p>
  </w:footnote>
  <w:footnote w:type="continuationSeparator" w:id="0">
    <w:p w14:paraId="150518BC" w14:textId="77777777" w:rsidR="00AF4555" w:rsidRDefault="00AF455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936A" w14:textId="11FBD373" w:rsidR="003858C7" w:rsidRDefault="00AF4555">
    <w:pPr>
      <w:pStyle w:val="Header"/>
    </w:pPr>
    <w:r>
      <w:rPr>
        <w:noProof/>
      </w:rPr>
      <w:pict w14:anchorId="08788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5141" o:spid="_x0000_s2050"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3F48" w14:textId="61D7BCD0" w:rsidR="003858C7" w:rsidRDefault="00AF4555">
    <w:pPr>
      <w:pStyle w:val="Header"/>
    </w:pPr>
    <w:r>
      <w:rPr>
        <w:noProof/>
      </w:rPr>
      <w:pict w14:anchorId="3F956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5142" o:spid="_x0000_s2051"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761A" w14:textId="0A77056E" w:rsidR="003858C7" w:rsidRDefault="00AF4555">
    <w:pPr>
      <w:pStyle w:val="Header"/>
    </w:pPr>
    <w:r>
      <w:rPr>
        <w:noProof/>
      </w:rPr>
      <w:pict w14:anchorId="28136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5140" o:spid="_x0000_s2049" type="#_x0000_t136" style="position:absolute;left:0;text-align:left;margin-left:0;margin-top:0;width:698.65pt;height:7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35AD4"/>
    <w:multiLevelType w:val="hybridMultilevel"/>
    <w:tmpl w:val="6E8A43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0"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1"/>
  </w:num>
  <w:num w:numId="4">
    <w:abstractNumId w:val="20"/>
  </w:num>
  <w:num w:numId="5">
    <w:abstractNumId w:val="17"/>
  </w:num>
  <w:num w:numId="6">
    <w:abstractNumId w:val="19"/>
  </w:num>
  <w:num w:numId="7">
    <w:abstractNumId w:val="3"/>
  </w:num>
  <w:num w:numId="8">
    <w:abstractNumId w:val="0"/>
  </w:num>
  <w:num w:numId="9">
    <w:abstractNumId w:val="12"/>
  </w:num>
  <w:num w:numId="10">
    <w:abstractNumId w:val="5"/>
  </w:num>
  <w:num w:numId="11">
    <w:abstractNumId w:val="1"/>
  </w:num>
  <w:num w:numId="12">
    <w:abstractNumId w:val="11"/>
  </w:num>
  <w:num w:numId="13">
    <w:abstractNumId w:val="14"/>
  </w:num>
  <w:num w:numId="14">
    <w:abstractNumId w:val="18"/>
  </w:num>
  <w:num w:numId="15">
    <w:abstractNumId w:val="2"/>
  </w:num>
  <w:num w:numId="16">
    <w:abstractNumId w:val="10"/>
  </w:num>
  <w:num w:numId="17">
    <w:abstractNumId w:val="8"/>
  </w:num>
  <w:num w:numId="18">
    <w:abstractNumId w:val="15"/>
  </w:num>
  <w:num w:numId="19">
    <w:abstractNumId w:val="13"/>
  </w:num>
  <w:num w:numId="20">
    <w:abstractNumId w:val="7"/>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83"/>
    <w:rsid w:val="00005286"/>
    <w:rsid w:val="000079DC"/>
    <w:rsid w:val="00014726"/>
    <w:rsid w:val="0001490C"/>
    <w:rsid w:val="00036654"/>
    <w:rsid w:val="000410EC"/>
    <w:rsid w:val="000443AB"/>
    <w:rsid w:val="000446E8"/>
    <w:rsid w:val="00047D61"/>
    <w:rsid w:val="00055D83"/>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4063"/>
    <w:rsid w:val="000D7152"/>
    <w:rsid w:val="000D7DAA"/>
    <w:rsid w:val="000E2349"/>
    <w:rsid w:val="00104D7F"/>
    <w:rsid w:val="00111B62"/>
    <w:rsid w:val="001163C7"/>
    <w:rsid w:val="00130874"/>
    <w:rsid w:val="00131EAA"/>
    <w:rsid w:val="001403AD"/>
    <w:rsid w:val="00142F60"/>
    <w:rsid w:val="001450C8"/>
    <w:rsid w:val="001452A3"/>
    <w:rsid w:val="00147E4C"/>
    <w:rsid w:val="00154669"/>
    <w:rsid w:val="00162029"/>
    <w:rsid w:val="00167079"/>
    <w:rsid w:val="00167C75"/>
    <w:rsid w:val="0017796D"/>
    <w:rsid w:val="0018163F"/>
    <w:rsid w:val="00185BCB"/>
    <w:rsid w:val="00185FFD"/>
    <w:rsid w:val="001938DE"/>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0B3D"/>
    <w:rsid w:val="002856C7"/>
    <w:rsid w:val="002859D4"/>
    <w:rsid w:val="002860AE"/>
    <w:rsid w:val="002B2D3C"/>
    <w:rsid w:val="002B5578"/>
    <w:rsid w:val="002C2F8F"/>
    <w:rsid w:val="002C5E15"/>
    <w:rsid w:val="002C6F25"/>
    <w:rsid w:val="002C72A3"/>
    <w:rsid w:val="002D1CB2"/>
    <w:rsid w:val="002D32ED"/>
    <w:rsid w:val="002D4259"/>
    <w:rsid w:val="002D7340"/>
    <w:rsid w:val="002D7535"/>
    <w:rsid w:val="002E3874"/>
    <w:rsid w:val="002E784F"/>
    <w:rsid w:val="002F03DA"/>
    <w:rsid w:val="002F3573"/>
    <w:rsid w:val="00300BE0"/>
    <w:rsid w:val="00301FD6"/>
    <w:rsid w:val="003029F0"/>
    <w:rsid w:val="00311377"/>
    <w:rsid w:val="00311719"/>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607E2"/>
    <w:rsid w:val="0036344E"/>
    <w:rsid w:val="00370F8B"/>
    <w:rsid w:val="00372DCB"/>
    <w:rsid w:val="00374FD9"/>
    <w:rsid w:val="00376BF4"/>
    <w:rsid w:val="0038103F"/>
    <w:rsid w:val="003851AE"/>
    <w:rsid w:val="003858C7"/>
    <w:rsid w:val="003A2387"/>
    <w:rsid w:val="003C4227"/>
    <w:rsid w:val="003C581F"/>
    <w:rsid w:val="003C59BB"/>
    <w:rsid w:val="003C7107"/>
    <w:rsid w:val="003D2541"/>
    <w:rsid w:val="003D39AB"/>
    <w:rsid w:val="003D4D6F"/>
    <w:rsid w:val="003D7198"/>
    <w:rsid w:val="003E0D69"/>
    <w:rsid w:val="003E0FAD"/>
    <w:rsid w:val="003F01AE"/>
    <w:rsid w:val="003F72A0"/>
    <w:rsid w:val="00406845"/>
    <w:rsid w:val="004071F4"/>
    <w:rsid w:val="00407977"/>
    <w:rsid w:val="0041566F"/>
    <w:rsid w:val="00415ABE"/>
    <w:rsid w:val="004165B3"/>
    <w:rsid w:val="00416E73"/>
    <w:rsid w:val="00421CF2"/>
    <w:rsid w:val="0042251A"/>
    <w:rsid w:val="00426617"/>
    <w:rsid w:val="00426CDB"/>
    <w:rsid w:val="00437393"/>
    <w:rsid w:val="00440EF7"/>
    <w:rsid w:val="004737A8"/>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E3D2D"/>
    <w:rsid w:val="004E4A2C"/>
    <w:rsid w:val="004F5A5D"/>
    <w:rsid w:val="00500683"/>
    <w:rsid w:val="00504BC4"/>
    <w:rsid w:val="00505972"/>
    <w:rsid w:val="005071C6"/>
    <w:rsid w:val="0051495F"/>
    <w:rsid w:val="005228FC"/>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A1956"/>
    <w:rsid w:val="005B04D7"/>
    <w:rsid w:val="005B0558"/>
    <w:rsid w:val="005D308E"/>
    <w:rsid w:val="005D3FE1"/>
    <w:rsid w:val="005D72F4"/>
    <w:rsid w:val="005E3D2C"/>
    <w:rsid w:val="005F1DA5"/>
    <w:rsid w:val="005F2F50"/>
    <w:rsid w:val="0060683F"/>
    <w:rsid w:val="00610BEF"/>
    <w:rsid w:val="0061111A"/>
    <w:rsid w:val="00615B2D"/>
    <w:rsid w:val="00616E93"/>
    <w:rsid w:val="006177C4"/>
    <w:rsid w:val="006211E5"/>
    <w:rsid w:val="00622E5D"/>
    <w:rsid w:val="00623C02"/>
    <w:rsid w:val="00632E53"/>
    <w:rsid w:val="006378FE"/>
    <w:rsid w:val="00647405"/>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731F"/>
    <w:rsid w:val="007173FC"/>
    <w:rsid w:val="007205CE"/>
    <w:rsid w:val="00722A32"/>
    <w:rsid w:val="00723B81"/>
    <w:rsid w:val="00724653"/>
    <w:rsid w:val="007313ED"/>
    <w:rsid w:val="00750F50"/>
    <w:rsid w:val="0076188C"/>
    <w:rsid w:val="00762807"/>
    <w:rsid w:val="007656A9"/>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65B5"/>
    <w:rsid w:val="007B75C6"/>
    <w:rsid w:val="007B7A84"/>
    <w:rsid w:val="007C3182"/>
    <w:rsid w:val="007C6929"/>
    <w:rsid w:val="007D08AC"/>
    <w:rsid w:val="007D4F35"/>
    <w:rsid w:val="007E067A"/>
    <w:rsid w:val="007E1EC2"/>
    <w:rsid w:val="007E3458"/>
    <w:rsid w:val="007E5A6C"/>
    <w:rsid w:val="007F1318"/>
    <w:rsid w:val="007F4F3C"/>
    <w:rsid w:val="008003E7"/>
    <w:rsid w:val="0081762C"/>
    <w:rsid w:val="008209F0"/>
    <w:rsid w:val="00822A7E"/>
    <w:rsid w:val="008263C5"/>
    <w:rsid w:val="008438B8"/>
    <w:rsid w:val="008456FF"/>
    <w:rsid w:val="00854FF7"/>
    <w:rsid w:val="00857BF9"/>
    <w:rsid w:val="00860F17"/>
    <w:rsid w:val="00870B4E"/>
    <w:rsid w:val="008718EE"/>
    <w:rsid w:val="00872612"/>
    <w:rsid w:val="00876501"/>
    <w:rsid w:val="00880213"/>
    <w:rsid w:val="00895281"/>
    <w:rsid w:val="008A5E87"/>
    <w:rsid w:val="008B0097"/>
    <w:rsid w:val="008B4F87"/>
    <w:rsid w:val="008B4FD4"/>
    <w:rsid w:val="008B511B"/>
    <w:rsid w:val="008B630B"/>
    <w:rsid w:val="008B7836"/>
    <w:rsid w:val="008B7D65"/>
    <w:rsid w:val="008C2098"/>
    <w:rsid w:val="008D43EA"/>
    <w:rsid w:val="008E2312"/>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57F"/>
    <w:rsid w:val="009E783A"/>
    <w:rsid w:val="009F3871"/>
    <w:rsid w:val="009F5632"/>
    <w:rsid w:val="009F5EC1"/>
    <w:rsid w:val="009F6D2D"/>
    <w:rsid w:val="00A00A05"/>
    <w:rsid w:val="00A0120F"/>
    <w:rsid w:val="00A01B25"/>
    <w:rsid w:val="00A01E19"/>
    <w:rsid w:val="00A22EB7"/>
    <w:rsid w:val="00A27439"/>
    <w:rsid w:val="00A31119"/>
    <w:rsid w:val="00A3750F"/>
    <w:rsid w:val="00A40F08"/>
    <w:rsid w:val="00A47F85"/>
    <w:rsid w:val="00A52C12"/>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A1E"/>
    <w:rsid w:val="00AC0D69"/>
    <w:rsid w:val="00AC3060"/>
    <w:rsid w:val="00AD0959"/>
    <w:rsid w:val="00AD4106"/>
    <w:rsid w:val="00AD6429"/>
    <w:rsid w:val="00AD73F6"/>
    <w:rsid w:val="00AE3911"/>
    <w:rsid w:val="00AE4AA5"/>
    <w:rsid w:val="00AE69E8"/>
    <w:rsid w:val="00AF253B"/>
    <w:rsid w:val="00AF38F9"/>
    <w:rsid w:val="00AF4555"/>
    <w:rsid w:val="00AF46F3"/>
    <w:rsid w:val="00B00FCB"/>
    <w:rsid w:val="00B03327"/>
    <w:rsid w:val="00B04E6C"/>
    <w:rsid w:val="00B108BB"/>
    <w:rsid w:val="00B14EAC"/>
    <w:rsid w:val="00B2188D"/>
    <w:rsid w:val="00B22173"/>
    <w:rsid w:val="00B40B7A"/>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F3C23"/>
    <w:rsid w:val="00BF6F97"/>
    <w:rsid w:val="00C01423"/>
    <w:rsid w:val="00C0320B"/>
    <w:rsid w:val="00C03297"/>
    <w:rsid w:val="00C053F5"/>
    <w:rsid w:val="00C06731"/>
    <w:rsid w:val="00C10FCA"/>
    <w:rsid w:val="00C12D3D"/>
    <w:rsid w:val="00C1335A"/>
    <w:rsid w:val="00C237CE"/>
    <w:rsid w:val="00C25488"/>
    <w:rsid w:val="00C32AB8"/>
    <w:rsid w:val="00C4118B"/>
    <w:rsid w:val="00C54577"/>
    <w:rsid w:val="00C67694"/>
    <w:rsid w:val="00C864EE"/>
    <w:rsid w:val="00C9348C"/>
    <w:rsid w:val="00C95979"/>
    <w:rsid w:val="00CA2418"/>
    <w:rsid w:val="00CA37C0"/>
    <w:rsid w:val="00CA6BD4"/>
    <w:rsid w:val="00CB6E82"/>
    <w:rsid w:val="00CE4C91"/>
    <w:rsid w:val="00CF7125"/>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152F"/>
    <w:rsid w:val="00D73F27"/>
    <w:rsid w:val="00D74259"/>
    <w:rsid w:val="00D7477F"/>
    <w:rsid w:val="00D7785F"/>
    <w:rsid w:val="00D916BC"/>
    <w:rsid w:val="00D94638"/>
    <w:rsid w:val="00DA0813"/>
    <w:rsid w:val="00DB266B"/>
    <w:rsid w:val="00DB408B"/>
    <w:rsid w:val="00DB750D"/>
    <w:rsid w:val="00DC406B"/>
    <w:rsid w:val="00DC4076"/>
    <w:rsid w:val="00DC411F"/>
    <w:rsid w:val="00DD21C0"/>
    <w:rsid w:val="00DE1158"/>
    <w:rsid w:val="00DE2430"/>
    <w:rsid w:val="00DE5974"/>
    <w:rsid w:val="00DF126E"/>
    <w:rsid w:val="00E05059"/>
    <w:rsid w:val="00E0554F"/>
    <w:rsid w:val="00E07021"/>
    <w:rsid w:val="00E1065F"/>
    <w:rsid w:val="00E1453F"/>
    <w:rsid w:val="00E160F3"/>
    <w:rsid w:val="00E17890"/>
    <w:rsid w:val="00E22B03"/>
    <w:rsid w:val="00E22FC8"/>
    <w:rsid w:val="00E236F2"/>
    <w:rsid w:val="00E24AB2"/>
    <w:rsid w:val="00E31A3E"/>
    <w:rsid w:val="00E3230A"/>
    <w:rsid w:val="00E3709F"/>
    <w:rsid w:val="00E41E2F"/>
    <w:rsid w:val="00E448DE"/>
    <w:rsid w:val="00E468EC"/>
    <w:rsid w:val="00E5141C"/>
    <w:rsid w:val="00E54B24"/>
    <w:rsid w:val="00E550A5"/>
    <w:rsid w:val="00E57ADC"/>
    <w:rsid w:val="00E60AE6"/>
    <w:rsid w:val="00E63B72"/>
    <w:rsid w:val="00E63DD0"/>
    <w:rsid w:val="00E70601"/>
    <w:rsid w:val="00E728DB"/>
    <w:rsid w:val="00E730D7"/>
    <w:rsid w:val="00E737F5"/>
    <w:rsid w:val="00E73E17"/>
    <w:rsid w:val="00E75DCB"/>
    <w:rsid w:val="00E77E87"/>
    <w:rsid w:val="00E819C7"/>
    <w:rsid w:val="00E85394"/>
    <w:rsid w:val="00E85589"/>
    <w:rsid w:val="00E87A78"/>
    <w:rsid w:val="00EA355D"/>
    <w:rsid w:val="00EA6B12"/>
    <w:rsid w:val="00EA7AE3"/>
    <w:rsid w:val="00EC528B"/>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85A74"/>
    <w:rsid w:val="00F926C6"/>
    <w:rsid w:val="00F933EE"/>
    <w:rsid w:val="00F93EB9"/>
    <w:rsid w:val="00FA38FE"/>
    <w:rsid w:val="00FA3A0A"/>
    <w:rsid w:val="00FA74EF"/>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
    <w:name w:val="Unresolved Mention"/>
    <w:basedOn w:val="DefaultParagraphFont"/>
    <w:uiPriority w:val="99"/>
    <w:semiHidden/>
    <w:unhideWhenUsed/>
    <w:rsid w:val="00A47F85"/>
    <w:rPr>
      <w:color w:val="605E5C"/>
      <w:shd w:val="clear" w:color="auto" w:fill="E1DFDD"/>
    </w:rPr>
  </w:style>
  <w:style w:type="paragraph" w:styleId="Header">
    <w:name w:val="header"/>
    <w:basedOn w:val="Normal"/>
    <w:link w:val="HeaderChar"/>
    <w:uiPriority w:val="99"/>
    <w:unhideWhenUsed/>
    <w:rsid w:val="003858C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858C7"/>
    <w:rPr>
      <w:rFonts w:ascii="Times New Roman" w:eastAsia="Calibri" w:hAnsi="Times New Roman" w:cs="SimSun"/>
      <w:color w:val="000000"/>
      <w:kern w:val="0"/>
      <w:sz w:val="24"/>
    </w:rPr>
  </w:style>
  <w:style w:type="character" w:styleId="CommentReference">
    <w:name w:val="annotation reference"/>
    <w:basedOn w:val="DefaultParagraphFont"/>
    <w:uiPriority w:val="99"/>
    <w:semiHidden/>
    <w:unhideWhenUsed/>
    <w:rsid w:val="00DE1158"/>
    <w:rPr>
      <w:sz w:val="16"/>
      <w:szCs w:val="16"/>
    </w:rPr>
  </w:style>
  <w:style w:type="paragraph" w:styleId="CommentText">
    <w:name w:val="annotation text"/>
    <w:basedOn w:val="Normal"/>
    <w:link w:val="CommentTextChar"/>
    <w:uiPriority w:val="99"/>
    <w:semiHidden/>
    <w:unhideWhenUsed/>
    <w:rsid w:val="00DE1158"/>
    <w:pPr>
      <w:spacing w:line="240" w:lineRule="auto"/>
    </w:pPr>
    <w:rPr>
      <w:sz w:val="20"/>
      <w:szCs w:val="20"/>
    </w:rPr>
  </w:style>
  <w:style w:type="character" w:customStyle="1" w:styleId="CommentTextChar">
    <w:name w:val="Comment Text Char"/>
    <w:basedOn w:val="DefaultParagraphFont"/>
    <w:link w:val="CommentText"/>
    <w:uiPriority w:val="99"/>
    <w:semiHidden/>
    <w:rsid w:val="00DE1158"/>
    <w:rPr>
      <w:rFonts w:ascii="Times New Roman" w:eastAsia="Calibri" w:hAnsi="Times New Roman" w:cs="SimSun"/>
      <w:color w:val="000000"/>
      <w:kern w:val="0"/>
      <w:sz w:val="20"/>
      <w:szCs w:val="20"/>
    </w:rPr>
  </w:style>
  <w:style w:type="paragraph" w:styleId="CommentSubject">
    <w:name w:val="annotation subject"/>
    <w:basedOn w:val="CommentText"/>
    <w:next w:val="CommentText"/>
    <w:link w:val="CommentSubjectChar"/>
    <w:uiPriority w:val="99"/>
    <w:semiHidden/>
    <w:unhideWhenUsed/>
    <w:rsid w:val="00DE1158"/>
    <w:rPr>
      <w:b/>
      <w:bCs/>
    </w:rPr>
  </w:style>
  <w:style w:type="character" w:customStyle="1" w:styleId="CommentSubjectChar">
    <w:name w:val="Comment Subject Char"/>
    <w:basedOn w:val="CommentTextChar"/>
    <w:link w:val="CommentSubject"/>
    <w:uiPriority w:val="99"/>
    <w:semiHidden/>
    <w:rsid w:val="00DE1158"/>
    <w:rPr>
      <w:rFonts w:ascii="Times New Roman" w:eastAsia="Calibri" w:hAnsi="Times New Roman" w:cs="SimSun"/>
      <w:b/>
      <w:bCs/>
      <w:color w:val="000000"/>
      <w:kern w:val="0"/>
      <w:sz w:val="20"/>
      <w:szCs w:val="20"/>
    </w:rPr>
  </w:style>
  <w:style w:type="paragraph" w:styleId="BalloonText">
    <w:name w:val="Balloon Text"/>
    <w:basedOn w:val="Normal"/>
    <w:link w:val="BalloonTextChar"/>
    <w:uiPriority w:val="99"/>
    <w:semiHidden/>
    <w:unhideWhenUsed/>
    <w:rsid w:val="008438B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8B8"/>
    <w:rPr>
      <w:rFonts w:ascii="Segoe UI" w:eastAsia="Calibri" w:hAnsi="Segoe UI" w:cs="Segoe U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871773363">
      <w:bodyDiv w:val="1"/>
      <w:marLeft w:val="0"/>
      <w:marRight w:val="0"/>
      <w:marTop w:val="0"/>
      <w:marBottom w:val="0"/>
      <w:divBdr>
        <w:top w:val="none" w:sz="0" w:space="0" w:color="auto"/>
        <w:left w:val="none" w:sz="0" w:space="0" w:color="auto"/>
        <w:bottom w:val="none" w:sz="0" w:space="0" w:color="auto"/>
        <w:right w:val="none" w:sz="0" w:space="0" w:color="auto"/>
      </w:divBdr>
      <w:divsChild>
        <w:div w:id="1973823268">
          <w:marLeft w:val="0"/>
          <w:marRight w:val="0"/>
          <w:marTop w:val="0"/>
          <w:marBottom w:val="0"/>
          <w:divBdr>
            <w:top w:val="none" w:sz="0" w:space="0" w:color="auto"/>
            <w:left w:val="none" w:sz="0" w:space="0" w:color="auto"/>
            <w:bottom w:val="none" w:sz="0" w:space="0" w:color="auto"/>
            <w:right w:val="none" w:sz="0" w:space="0" w:color="auto"/>
          </w:divBdr>
          <w:divsChild>
            <w:div w:id="1910537291">
              <w:marLeft w:val="0"/>
              <w:marRight w:val="0"/>
              <w:marTop w:val="0"/>
              <w:marBottom w:val="0"/>
              <w:divBdr>
                <w:top w:val="none" w:sz="0" w:space="0" w:color="auto"/>
                <w:left w:val="none" w:sz="0" w:space="0" w:color="auto"/>
                <w:bottom w:val="none" w:sz="0" w:space="0" w:color="auto"/>
                <w:right w:val="none" w:sz="0" w:space="0" w:color="auto"/>
              </w:divBdr>
              <w:divsChild>
                <w:div w:id="1097754834">
                  <w:marLeft w:val="0"/>
                  <w:marRight w:val="0"/>
                  <w:marTop w:val="0"/>
                  <w:marBottom w:val="0"/>
                  <w:divBdr>
                    <w:top w:val="none" w:sz="0" w:space="0" w:color="auto"/>
                    <w:left w:val="none" w:sz="0" w:space="0" w:color="auto"/>
                    <w:bottom w:val="none" w:sz="0" w:space="0" w:color="auto"/>
                    <w:right w:val="none" w:sz="0" w:space="0" w:color="auto"/>
                  </w:divBdr>
                  <w:divsChild>
                    <w:div w:id="19393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089306449">
      <w:bodyDiv w:val="1"/>
      <w:marLeft w:val="0"/>
      <w:marRight w:val="0"/>
      <w:marTop w:val="0"/>
      <w:marBottom w:val="0"/>
      <w:divBdr>
        <w:top w:val="none" w:sz="0" w:space="0" w:color="auto"/>
        <w:left w:val="none" w:sz="0" w:space="0" w:color="auto"/>
        <w:bottom w:val="none" w:sz="0" w:space="0" w:color="auto"/>
        <w:right w:val="none" w:sz="0" w:space="0" w:color="auto"/>
      </w:divBdr>
      <w:divsChild>
        <w:div w:id="15694688">
          <w:marLeft w:val="0"/>
          <w:marRight w:val="0"/>
          <w:marTop w:val="0"/>
          <w:marBottom w:val="0"/>
          <w:divBdr>
            <w:top w:val="none" w:sz="0" w:space="0" w:color="auto"/>
            <w:left w:val="none" w:sz="0" w:space="0" w:color="auto"/>
            <w:bottom w:val="none" w:sz="0" w:space="0" w:color="auto"/>
            <w:right w:val="none" w:sz="0" w:space="0" w:color="auto"/>
          </w:divBdr>
          <w:divsChild>
            <w:div w:id="307519771">
              <w:marLeft w:val="0"/>
              <w:marRight w:val="0"/>
              <w:marTop w:val="0"/>
              <w:marBottom w:val="0"/>
              <w:divBdr>
                <w:top w:val="none" w:sz="0" w:space="0" w:color="auto"/>
                <w:left w:val="none" w:sz="0" w:space="0" w:color="auto"/>
                <w:bottom w:val="none" w:sz="0" w:space="0" w:color="auto"/>
                <w:right w:val="none" w:sz="0" w:space="0" w:color="auto"/>
              </w:divBdr>
              <w:divsChild>
                <w:div w:id="280495769">
                  <w:marLeft w:val="0"/>
                  <w:marRight w:val="0"/>
                  <w:marTop w:val="0"/>
                  <w:marBottom w:val="0"/>
                  <w:divBdr>
                    <w:top w:val="none" w:sz="0" w:space="0" w:color="auto"/>
                    <w:left w:val="none" w:sz="0" w:space="0" w:color="auto"/>
                    <w:bottom w:val="none" w:sz="0" w:space="0" w:color="auto"/>
                    <w:right w:val="none" w:sz="0" w:space="0" w:color="auto"/>
                  </w:divBdr>
                  <w:divsChild>
                    <w:div w:id="3371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jbel.com/wp-content/uploads/2020/08/IJBEL-Vol.22-No.1-August-2020-69-76.pdf" TargetMode="External"/><Relationship Id="rId21" Type="http://schemas.openxmlformats.org/officeDocument/2006/relationships/hyperlink" Target="https://doi.org/10.1186/s43093-020-00015-y" TargetMode="External"/><Relationship Id="rId34" Type="http://schemas.openxmlformats.org/officeDocument/2006/relationships/hyperlink" Target="https://doi.org/10.1108/JFRA-05-2015-0060" TargetMode="External"/><Relationship Id="rId42" Type="http://schemas.openxmlformats.org/officeDocument/2006/relationships/hyperlink" Target="https://www.un.org/development/desa/dspd/wp-content/uploads/sites/22/2019/06/Otieno.pdf" TargetMode="External"/><Relationship Id="rId47" Type="http://schemas.openxmlformats.org/officeDocument/2006/relationships/hyperlink" Target="https://doi.org/10.2139/ssrn.3960757" TargetMode="External"/><Relationship Id="rId50" Type="http://schemas.openxmlformats.org/officeDocument/2006/relationships/hyperlink" Target="https://doi.org/10.4337/9781785363528.00012" TargetMode="External"/><Relationship Id="rId55" Type="http://schemas.openxmlformats.org/officeDocument/2006/relationships/hyperlink" Target="https://doi.org/10.1108/IJCHM-04-2017-0219" TargetMode="External"/><Relationship Id="rId63" Type="http://schemas.openxmlformats.org/officeDocument/2006/relationships/fontTable" Target="fontTable.xml"/><Relationship Id="rId7" Type="http://schemas.openxmlformats.org/officeDocument/2006/relationships/hyperlink" Target="https://ir-library.ku.ac.ke/bitstream/handle/123456789/19000/Relationship%20Between%20Firm%20Financials%20and%20Dividend%20Policy%20of%20Firms%20Listed%20at%20Nairobi%20Securities%20Exchange%2C%20Kenya.pdf?sequence=1&amp;isAllowed=y" TargetMode="External"/><Relationship Id="rId2" Type="http://schemas.openxmlformats.org/officeDocument/2006/relationships/styles" Target="styles.xml"/><Relationship Id="rId16" Type="http://schemas.openxmlformats.org/officeDocument/2006/relationships/hyperlink" Target="https://www.ijebmr.com" TargetMode="External"/><Relationship Id="rId29" Type="http://schemas.openxmlformats.org/officeDocument/2006/relationships/hyperlink" Target="https://doi.org/10.11648/j.ijafrm.20170203.14" TargetMode="External"/><Relationship Id="rId11" Type="http://schemas.openxmlformats.org/officeDocument/2006/relationships/hyperlink" Target="https://doi.org/10.14710/jbs.27.2.123-136" TargetMode="External"/><Relationship Id="rId24" Type="http://schemas.openxmlformats.org/officeDocument/2006/relationships/hyperlink" Target="https://www.investopedia.com/terms/a/alternative_investment.asp" TargetMode="External"/><Relationship Id="rId32" Type="http://schemas.openxmlformats.org/officeDocument/2006/relationships/hyperlink" Target="https://doi.org/10.24940/theijbm/2022/v10/i5/BM2205-031" TargetMode="External"/><Relationship Id="rId37" Type="http://schemas.openxmlformats.org/officeDocument/2006/relationships/hyperlink" Target="https://doi.org/10.47749/ejbsm.v4i5.969" TargetMode="External"/><Relationship Id="rId40" Type="http://schemas.openxmlformats.org/officeDocument/2006/relationships/hyperlink" Target="https://www.ijcab.org/journals" TargetMode="External"/><Relationship Id="rId45" Type="http://schemas.openxmlformats.org/officeDocument/2006/relationships/hyperlink" Target="https://vision2030.go.ke/wp-content/uploads/2022/09/FINAL-EDITED-VISION-2030-FLAGSHIP-PROJECT-PROGRESS-REPORT_170820221-1.pdf" TargetMode="External"/><Relationship Id="rId53" Type="http://schemas.openxmlformats.org/officeDocument/2006/relationships/hyperlink" Target="https://doi.org/10.7176/RJFA/12-24-01" TargetMode="External"/><Relationship Id="rId58" Type="http://schemas.openxmlformats.org/officeDocument/2006/relationships/header" Target="header2.xml"/><Relationship Id="rId66" Type="http://schemas.microsoft.com/office/2018/08/relationships/commentsExtensible" Target="commentsExtensible.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www.researchjournali.com/pdf/10.1000/146.pdf" TargetMode="External"/><Relationship Id="rId14" Type="http://schemas.openxmlformats.org/officeDocument/2006/relationships/hyperlink" Target="https://atlan.com/your-guide-to-qualitative-and-quantitative-data-analysis-methods/" TargetMode="External"/><Relationship Id="rId22" Type="http://schemas.openxmlformats.org/officeDocument/2006/relationships/hyperlink" Target="https://www.ica.coop/en/cooperative-identity-values-principles" TargetMode="External"/><Relationship Id="rId27" Type="http://schemas.openxmlformats.org/officeDocument/2006/relationships/hyperlink" Target="https://laikipia.go.ke/resources/all-downloads/laikipia-county-statistical-abstract-2022" TargetMode="External"/><Relationship Id="rId30" Type="http://schemas.openxmlformats.org/officeDocument/2006/relationships/hyperlink" Target="https://kuscco.com/index.php/disclaimer/92-ticker/232-kenyan-elected-to-co-operatives-global-board" TargetMode="External"/><Relationship Id="rId35" Type="http://schemas.openxmlformats.org/officeDocument/2006/relationships/hyperlink" Target="https://doi.org/10.5430/ijfr.v10n2p121" TargetMode="External"/><Relationship Id="rId43" Type="http://schemas.openxmlformats.org/officeDocument/2006/relationships/hyperlink" Target="https://www.pcg-services.com/measuring-profitability-based-efficiency/" TargetMode="External"/><Relationship Id="rId48" Type="http://schemas.openxmlformats.org/officeDocument/2006/relationships/hyperlink" Target="https://www.sasra.go.ke/index.php?option=com_phocadownload&amp;view=category&amp;download=191:sacco-supervision-annual-report-2020&amp;id=11:sacco-supervision-reports&amp;Itemid=200" TargetMode="External"/><Relationship Id="rId56" Type="http://schemas.openxmlformats.org/officeDocument/2006/relationships/hyperlink" Target="https://doi.org/10.9734/ajeba/2024/v24i91507" TargetMode="External"/><Relationship Id="rId64" Type="http://schemas.openxmlformats.org/officeDocument/2006/relationships/glossaryDocument" Target="glossary/document.xml"/><Relationship Id="rId8" Type="http://schemas.openxmlformats.org/officeDocument/2006/relationships/hyperlink" Target="https://hdl.handle.net/20.500.12305/732" TargetMode="External"/><Relationship Id="rId51" Type="http://schemas.openxmlformats.org/officeDocument/2006/relationships/hyperlink" Target="https://doi.org/10.24018/ejbmr.2020.5.3.332" TargetMode="External"/><Relationship Id="rId3" Type="http://schemas.openxmlformats.org/officeDocument/2006/relationships/settings" Target="settings.xml"/><Relationship Id="rId12" Type="http://schemas.openxmlformats.org/officeDocument/2006/relationships/hyperlink" Target="https://doi.org/10.14741/ijmcr/v.5.6.4" TargetMode="External"/><Relationship Id="rId17" Type="http://schemas.openxmlformats.org/officeDocument/2006/relationships/hyperlink" Target="https://doi.org/10.56578/jafas040202" TargetMode="External"/><Relationship Id="rId25" Type="http://schemas.openxmlformats.org/officeDocument/2006/relationships/hyperlink" Target="https://doi.org/10.9790/5933-1006017589" TargetMode="External"/><Relationship Id="rId33" Type="http://schemas.openxmlformats.org/officeDocument/2006/relationships/hyperlink" Target="https://erepository.uonbi.ac.ke/handle/11295/97500" TargetMode="External"/><Relationship Id="rId38" Type="http://schemas.openxmlformats.org/officeDocument/2006/relationships/hyperlink" Target="https://doi.org/10.7176/EJBM/11-22-07" TargetMode="External"/><Relationship Id="rId46" Type="http://schemas.openxmlformats.org/officeDocument/2006/relationships/hyperlink" Target="https://buescholar.bue.edu.eg/bus_admin" TargetMode="External"/><Relationship Id="rId59" Type="http://schemas.openxmlformats.org/officeDocument/2006/relationships/footer" Target="footer1.xml"/><Relationship Id="rId67" Type="http://schemas.microsoft.com/office/2016/09/relationships/commentsIds" Target="commentsIds.xml"/><Relationship Id="rId20" Type="http://schemas.openxmlformats.org/officeDocument/2006/relationships/hyperlink" Target="https://doi.org/10.6007/IJARAFMS/v4-i2/838" TargetMode="External"/><Relationship Id="rId41" Type="http://schemas.openxmlformats.org/officeDocument/2006/relationships/hyperlink" Target="https://repository.kca.ac.ke/handle/123456789/190" TargetMode="External"/><Relationship Id="rId54" Type="http://schemas.openxmlformats.org/officeDocument/2006/relationships/hyperlink" Target="https://www.suerf.org/download/studies/study20031.pdf"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8488/journal.AEFR.2021.119.693.709" TargetMode="External"/><Relationship Id="rId23" Type="http://schemas.openxmlformats.org/officeDocument/2006/relationships/hyperlink" Target="https://doi.org/10.31966/jabminternational.v28i1.829" TargetMode="External"/><Relationship Id="rId28" Type="http://schemas.openxmlformats.org/officeDocument/2006/relationships/hyperlink" Target="http://journals.uonbi.ac.ke/index.php/adfj" TargetMode="External"/><Relationship Id="rId36" Type="http://schemas.openxmlformats.org/officeDocument/2006/relationships/hyperlink" Target="https://www.researchpublish.com/journal/International-Journal-of-Social-Science-and-Humanities-Research/7/4" TargetMode="External"/><Relationship Id="rId49" Type="http://schemas.openxmlformats.org/officeDocument/2006/relationships/hyperlink" Target="https://www.sasra.go.ke/sacco-supervision-annual-report-2022/" TargetMode="External"/><Relationship Id="rId57" Type="http://schemas.openxmlformats.org/officeDocument/2006/relationships/header" Target="header1.xml"/><Relationship Id="rId10" Type="http://schemas.openxmlformats.org/officeDocument/2006/relationships/hyperlink" Target="https://blog.websacco.com/2023/09/29/the-role-of-saccos-in-kenyas-economy/" TargetMode="External"/><Relationship Id="rId31" Type="http://schemas.openxmlformats.org/officeDocument/2006/relationships/hyperlink" Target="https://doi.org/10.36348/sb.2019.v05i12.008" TargetMode="External"/><Relationship Id="rId44" Type="http://schemas.openxmlformats.org/officeDocument/2006/relationships/hyperlink" Target="https://doi.org/10.3390/ijfs6010004" TargetMode="External"/><Relationship Id="rId52" Type="http://schemas.openxmlformats.org/officeDocument/2006/relationships/hyperlink" Target="https://www.coops4dev.coop/sites/default/files/2018-07/Review%20of%20the%20Existing%20Information%20Communication%20Technologies%20%5BICT%5D%20in%20Co-Operatives%20in%20Africa%20for%20the%20Purpose%20of%20Establishing%20a%20Flexible%2C%20User-Friendly%20Integrated%20Management%20Information%20System.pdf"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rl.utwente.nl/essays/95162" TargetMode="External"/><Relationship Id="rId13" Type="http://schemas.openxmlformats.org/officeDocument/2006/relationships/hyperlink" Target="https://www.pearson.com/uk/higher-education/products-and-services/products/atrill-financial-management-for-decision-makers-9e.html" TargetMode="External"/><Relationship Id="rId18" Type="http://schemas.openxmlformats.org/officeDocument/2006/relationships/hyperlink" Target="https://oapub.org/ejef/index.php/ejef/article/view/490" TargetMode="External"/><Relationship Id="rId39" Type="http://schemas.openxmlformats.org/officeDocument/2006/relationships/hyperlink" Target="https://www.researchpublish.com/journal/IJMCI/Vol9_Issue1_April2021-September2021/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B1"/>
    <w:rsid w:val="005047B9"/>
    <w:rsid w:val="00581FC7"/>
    <w:rsid w:val="005F3F67"/>
    <w:rsid w:val="006658B1"/>
    <w:rsid w:val="006F4F07"/>
    <w:rsid w:val="006F619F"/>
    <w:rsid w:val="00753241"/>
    <w:rsid w:val="009F5EC1"/>
    <w:rsid w:val="00B37574"/>
    <w:rsid w:val="00CB03C8"/>
    <w:rsid w:val="00FD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8B1"/>
    <w:rPr>
      <w:color w:val="808080"/>
    </w:rPr>
  </w:style>
  <w:style w:type="paragraph" w:customStyle="1" w:styleId="B359B1E84F6943B3AB6191A83EE3BCCD">
    <w:name w:val="B359B1E84F6943B3AB6191A83EE3BCCD"/>
    <w:rsid w:val="00665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20</Pages>
  <Words>9797</Words>
  <Characters>55846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user</cp:lastModifiedBy>
  <cp:revision>20</cp:revision>
  <dcterms:created xsi:type="dcterms:W3CDTF">2025-10-27T16:15:00Z</dcterms:created>
  <dcterms:modified xsi:type="dcterms:W3CDTF">2025-12-28T14:56:00Z</dcterms:modified>
</cp:coreProperties>
</file>