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CEA6B" w14:textId="77777777" w:rsidR="00F21BAC" w:rsidRDefault="00000000">
      <w:pPr>
        <w:widowControl w:val="0"/>
        <w:pBdr>
          <w:top w:val="nil"/>
          <w:left w:val="nil"/>
          <w:bottom w:val="nil"/>
          <w:right w:val="nil"/>
          <w:between w:val="nil"/>
        </w:pBdr>
      </w:pPr>
      <w:r>
        <w:pict w14:anchorId="5CEED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518B9ED6">
          <v:shape id="_x0000_s2051" type="#_x0000_t136" style="position:absolute;margin-left:0;margin-top:0;width:50pt;height:50pt;z-index:251657728;visibility:hidden">
            <o:lock v:ext="edit" selection="t"/>
          </v:shape>
        </w:pict>
      </w:r>
      <w:r>
        <w:pict w14:anchorId="74596163">
          <v:shape id="_x0000_s2050" type="#_x0000_t136" style="position:absolute;margin-left:0;margin-top:0;width:50pt;height:50pt;z-index:251658752;visibility:hidden">
            <o:lock v:ext="edit" selection="t"/>
          </v:shape>
        </w:pict>
      </w:r>
    </w:p>
    <w:p w14:paraId="08F9DC79" w14:textId="77777777" w:rsidR="00F21BAC" w:rsidRDefault="00000000">
      <w:pPr>
        <w:pStyle w:val="Heading3"/>
        <w:keepNext w:val="0"/>
        <w:keepLines w:val="0"/>
        <w:spacing w:before="240" w:after="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Original Research Article </w:t>
      </w:r>
    </w:p>
    <w:p w14:paraId="748BBA03" w14:textId="77777777" w:rsidR="00F21BAC" w:rsidRDefault="00F21BAC">
      <w:pPr>
        <w:pStyle w:val="Heading3"/>
        <w:keepNext w:val="0"/>
        <w:keepLines w:val="0"/>
        <w:spacing w:before="240" w:after="240" w:line="360" w:lineRule="auto"/>
        <w:jc w:val="center"/>
        <w:rPr>
          <w:rFonts w:ascii="Times New Roman" w:eastAsia="Times New Roman" w:hAnsi="Times New Roman" w:cs="Times New Roman"/>
          <w:b/>
          <w:bCs/>
          <w:color w:val="FF0000"/>
          <w:sz w:val="24"/>
          <w:szCs w:val="24"/>
        </w:rPr>
      </w:pPr>
    </w:p>
    <w:p w14:paraId="2F6BFDCD" w14:textId="77777777" w:rsidR="00F21BAC" w:rsidRDefault="00000000">
      <w:pPr>
        <w:jc w:val="center"/>
      </w:pPr>
      <w:r>
        <w:rPr>
          <w:rFonts w:ascii="Times New Roman" w:eastAsia="Times New Roman" w:hAnsi="Times New Roman" w:cs="Times New Roman"/>
          <w:b/>
          <w:bCs/>
          <w:color w:val="000000"/>
          <w:sz w:val="24"/>
          <w:szCs w:val="24"/>
        </w:rPr>
        <w:t>Digital Marketing and Sustainable Consumer Behavior in India</w:t>
      </w:r>
    </w:p>
    <w:p w14:paraId="5CF46CED" w14:textId="77777777" w:rsidR="00F21BAC" w:rsidRDefault="00000000">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0" w:name="_heading=h.28ayqio7rw41" w:colFirst="0" w:colLast="0"/>
      <w:bookmarkEnd w:id="0"/>
      <w:r>
        <w:rPr>
          <w:rFonts w:ascii="Times New Roman" w:eastAsia="Times New Roman" w:hAnsi="Times New Roman" w:cs="Times New Roman"/>
          <w:b/>
          <w:bCs/>
          <w:color w:val="000000"/>
          <w:sz w:val="24"/>
          <w:szCs w:val="24"/>
        </w:rPr>
        <w:t>Abstract</w:t>
      </w:r>
    </w:p>
    <w:p w14:paraId="28039691" w14:textId="77777777" w:rsidR="00F21BAC" w:rsidRDefault="00000000">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fast growth of digital technology has redefined consumption trends in urban India with digital marketing playing a major role in defining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Although this has changed, the literature has little empirical evidence that connects digital marketing and the use of the internet to sustainable consumption in emerging urban economies. To fill this research gap, the current study analyses the impacts of digital marketing influence and internet use on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as one of the Sustainable Development Goal 12 (Responsible Consumption and Production).</w:t>
      </w:r>
    </w:p>
    <w:p w14:paraId="2CB403AE" w14:textId="77777777" w:rsidR="00F21BAC" w:rsidRDefault="00000000">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is premised on primary data obtained after a structured survey of consumers in urban areas and uses chi-square, binary logistic regression, and exploratory factor analysis as the methodological tools to test the demographic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factors that determine online purchasing. The findings indicate that gender is not a significant factor in digital engagement, which means that there is no discrimination in the access to digital channels, whereas age is a significant factor in regard to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intensity and digital marketing influence become the best predictors of online purchasing than the traditional demographic variables.</w:t>
      </w:r>
    </w:p>
    <w:p w14:paraId="10FDFD3C" w14:textId="77777777" w:rsidR="00F21BAC" w:rsidRDefault="00000000">
      <w:pPr>
        <w:pStyle w:val="Heading2"/>
        <w:keepNext w:val="0"/>
        <w:keepLines w:val="0"/>
        <w:spacing w:before="240" w:after="240" w:line="360" w:lineRule="auto"/>
        <w:jc w:val="both"/>
        <w:rPr>
          <w:rFonts w:ascii="Times New Roman" w:eastAsia="Times New Roman" w:hAnsi="Times New Roman" w:cs="Times New Roman"/>
          <w:sz w:val="24"/>
          <w:szCs w:val="24"/>
        </w:rPr>
      </w:pPr>
      <w:bookmarkStart w:id="1" w:name="_heading=h.qz3m54xpvnel" w:colFirst="0" w:colLast="0"/>
      <w:bookmarkEnd w:id="1"/>
      <w:r>
        <w:rPr>
          <w:rFonts w:ascii="Times New Roman" w:eastAsia="Times New Roman" w:hAnsi="Times New Roman" w:cs="Times New Roman"/>
          <w:sz w:val="24"/>
          <w:szCs w:val="24"/>
        </w:rPr>
        <w:t xml:space="preserve">Regarding sustainability, the results indicate that digital consumption has the potential to enhance efficiency through the cost reduction of physical travel and information search, and brings with it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risks of overconsumption and digital inequality. The empirical results presented in the study contribute to the literature in that digital consumption choices in urban India are more likely to be based on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exposure, but not demographics. The policy implications will include responsible digital marketing habits, online advertising transparency, and consumer awareness campaigns to allow digital market growth to assist in the sustainable and responsible consumption as part of SDG-12.</w:t>
      </w:r>
    </w:p>
    <w:p w14:paraId="7AE8A429" w14:textId="77777777" w:rsidR="00F21BAC" w:rsidRDefault="00F21BAC">
      <w:pPr>
        <w:pStyle w:val="Heading2"/>
        <w:keepNext w:val="0"/>
        <w:keepLines w:val="0"/>
        <w:spacing w:before="240" w:after="240" w:line="360" w:lineRule="auto"/>
        <w:jc w:val="both"/>
        <w:rPr>
          <w:rFonts w:ascii="Times New Roman" w:eastAsia="Times New Roman" w:hAnsi="Times New Roman" w:cs="Times New Roman"/>
          <w:sz w:val="24"/>
          <w:szCs w:val="24"/>
        </w:rPr>
      </w:pPr>
      <w:bookmarkStart w:id="2" w:name="_heading=h.okral1wpt7m6" w:colFirst="0" w:colLast="0"/>
      <w:bookmarkEnd w:id="2"/>
    </w:p>
    <w:p w14:paraId="49EEB008"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3" w:name="_heading=h.srrd0otbjzec" w:colFirst="0" w:colLast="0"/>
      <w:bookmarkEnd w:id="3"/>
      <w:r>
        <w:rPr>
          <w:rFonts w:ascii="Times New Roman" w:eastAsia="Times New Roman" w:hAnsi="Times New Roman" w:cs="Times New Roman"/>
          <w:b/>
          <w:bCs/>
          <w:sz w:val="24"/>
          <w:szCs w:val="24"/>
        </w:rPr>
        <w:t xml:space="preserve">Key Words: Digital Marketing, Sustainable, Consumer Behavior, Internet, India </w:t>
      </w:r>
    </w:p>
    <w:p w14:paraId="64E3F58D" w14:textId="77777777" w:rsidR="00F21BAC" w:rsidRDefault="00000000">
      <w:pPr>
        <w:pStyle w:val="Heading2"/>
        <w:keepNext w:val="0"/>
        <w:keepLines w:val="0"/>
        <w:spacing w:after="80" w:line="360" w:lineRule="auto"/>
        <w:jc w:val="both"/>
        <w:rPr>
          <w:rFonts w:ascii="Times New Roman" w:eastAsia="Times New Roman" w:hAnsi="Times New Roman" w:cs="Times New Roman"/>
          <w:sz w:val="24"/>
          <w:szCs w:val="24"/>
        </w:rPr>
      </w:pPr>
      <w:bookmarkStart w:id="4" w:name="_heading=h.fo7kirsumq5p" w:colFirst="0" w:colLast="0"/>
      <w:bookmarkEnd w:id="4"/>
      <w:r>
        <w:rPr>
          <w:rFonts w:ascii="Times New Roman" w:eastAsia="Times New Roman" w:hAnsi="Times New Roman" w:cs="Times New Roman"/>
          <w:b/>
          <w:bCs/>
          <w:sz w:val="24"/>
          <w:szCs w:val="24"/>
        </w:rPr>
        <w:t>Introduction</w:t>
      </w:r>
    </w:p>
    <w:p w14:paraId="1850097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The high rate of </w:t>
      </w:r>
      <w:proofErr w:type="spellStart"/>
      <w:r>
        <w:rPr>
          <w:rFonts w:ascii="Times New Roman" w:eastAsia="Times New Roman" w:hAnsi="Times New Roman" w:cs="Times New Roman"/>
          <w:color w:val="111111"/>
          <w:sz w:val="24"/>
          <w:szCs w:val="24"/>
        </w:rPr>
        <w:t>digitalisation</w:t>
      </w:r>
      <w:proofErr w:type="spellEnd"/>
      <w:r>
        <w:rPr>
          <w:rFonts w:ascii="Times New Roman" w:eastAsia="Times New Roman" w:hAnsi="Times New Roman" w:cs="Times New Roman"/>
          <w:color w:val="111111"/>
          <w:sz w:val="24"/>
          <w:szCs w:val="24"/>
        </w:rPr>
        <w:t xml:space="preserve"> has greatly changed the consumption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of the urban Indian people, where digital marketing is at the </w:t>
      </w:r>
      <w:proofErr w:type="spellStart"/>
      <w:r>
        <w:rPr>
          <w:rFonts w:ascii="Times New Roman" w:eastAsia="Times New Roman" w:hAnsi="Times New Roman" w:cs="Times New Roman"/>
          <w:color w:val="111111"/>
          <w:sz w:val="24"/>
          <w:szCs w:val="24"/>
        </w:rPr>
        <w:t>centre</w:t>
      </w:r>
      <w:proofErr w:type="spellEnd"/>
      <w:r>
        <w:rPr>
          <w:rFonts w:ascii="Times New Roman" w:eastAsia="Times New Roman" w:hAnsi="Times New Roman" w:cs="Times New Roman"/>
          <w:color w:val="111111"/>
          <w:sz w:val="24"/>
          <w:szCs w:val="24"/>
        </w:rPr>
        <w:t xml:space="preserve"> of consumers in their search of information and </w:t>
      </w:r>
      <w:proofErr w:type="gramStart"/>
      <w:r>
        <w:rPr>
          <w:rFonts w:ascii="Times New Roman" w:eastAsia="Times New Roman" w:hAnsi="Times New Roman" w:cs="Times New Roman"/>
          <w:color w:val="111111"/>
          <w:sz w:val="24"/>
          <w:szCs w:val="24"/>
        </w:rPr>
        <w:t>decision making</w:t>
      </w:r>
      <w:proofErr w:type="gramEnd"/>
      <w:r>
        <w:rPr>
          <w:rFonts w:ascii="Times New Roman" w:eastAsia="Times New Roman" w:hAnsi="Times New Roman" w:cs="Times New Roman"/>
          <w:color w:val="111111"/>
          <w:sz w:val="24"/>
          <w:szCs w:val="24"/>
        </w:rPr>
        <w:t xml:space="preserve"> process.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These transformations are especially significant in the context of sustainability because the digital consumption patterns determine the usage of resources, the extent of traveling, the efficiency of information, and the encouragement of responsible consumption trends.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role of digital platforms on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is thus of utmost importance in balancing urban consumption with the goals of sustainability.</w:t>
      </w:r>
    </w:p>
    <w:p w14:paraId="51884C56" w14:textId="77777777" w:rsidR="00F21BAC" w:rsidRDefault="00F21BAC">
      <w:pPr>
        <w:pStyle w:val="Heading1"/>
        <w:keepNext w:val="0"/>
        <w:keepLines w:val="0"/>
        <w:spacing w:before="240" w:after="240" w:line="360" w:lineRule="auto"/>
        <w:jc w:val="both"/>
        <w:rPr>
          <w:rFonts w:ascii="Times New Roman" w:eastAsia="Times New Roman" w:hAnsi="Times New Roman" w:cs="Times New Roman"/>
          <w:sz w:val="24"/>
          <w:szCs w:val="24"/>
        </w:rPr>
      </w:pPr>
    </w:p>
    <w:p w14:paraId="74E54FDD"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Increased reliance on digital platforms in daily consumption has redefined the markets in cities in the developing economies.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Although digital channels can decrease physical mobility, transaction costs and information asymmetry, they can also promote impulse buying and overconsumption.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bi-polarity of digital consumption shows that there is a need to have a systematic analysis of how digital marketing and internet use have an interaction with sustainable consumption objectives.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Nevertheless, there is no empirical data to associate digital marketing effects with the responsible consumption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in the rapidly </w:t>
      </w:r>
      <w:proofErr w:type="spellStart"/>
      <w:r>
        <w:rPr>
          <w:rFonts w:ascii="Times New Roman" w:eastAsia="Times New Roman" w:hAnsi="Times New Roman" w:cs="Times New Roman"/>
          <w:color w:val="111111"/>
          <w:sz w:val="24"/>
          <w:szCs w:val="24"/>
        </w:rPr>
        <w:t>urbanising</w:t>
      </w:r>
      <w:proofErr w:type="spellEnd"/>
      <w:r>
        <w:rPr>
          <w:rFonts w:ascii="Times New Roman" w:eastAsia="Times New Roman" w:hAnsi="Times New Roman" w:cs="Times New Roman"/>
          <w:color w:val="111111"/>
          <w:sz w:val="24"/>
          <w:szCs w:val="24"/>
        </w:rPr>
        <w:t xml:space="preserve"> economies.</w:t>
      </w:r>
    </w:p>
    <w:p w14:paraId="1C35BC36" w14:textId="77777777" w:rsidR="00F21BAC" w:rsidRDefault="00F21BAC">
      <w:pPr>
        <w:pStyle w:val="Heading1"/>
        <w:keepNext w:val="0"/>
        <w:keepLines w:val="0"/>
        <w:spacing w:before="240" w:after="240" w:line="360" w:lineRule="auto"/>
        <w:jc w:val="both"/>
        <w:rPr>
          <w:rFonts w:ascii="Times New Roman" w:eastAsia="Times New Roman" w:hAnsi="Times New Roman" w:cs="Times New Roman"/>
          <w:sz w:val="24"/>
          <w:szCs w:val="24"/>
        </w:rPr>
      </w:pPr>
    </w:p>
    <w:p w14:paraId="54821EE2"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It is on this backdrop that the current research analyses online purchases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in an urban context by incorporating both the dynamics of digital marketing and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study objectives will be: (</w:t>
      </w:r>
      <w:proofErr w:type="spellStart"/>
      <w:r>
        <w:rPr>
          <w:rFonts w:ascii="Times New Roman" w:eastAsia="Times New Roman" w:hAnsi="Times New Roman" w:cs="Times New Roman"/>
          <w:color w:val="111111"/>
          <w:sz w:val="24"/>
          <w:szCs w:val="24"/>
        </w:rPr>
        <w:t>i</w:t>
      </w:r>
      <w:proofErr w:type="spellEnd"/>
      <w:r>
        <w:rPr>
          <w:rFonts w:ascii="Times New Roman" w:eastAsia="Times New Roman" w:hAnsi="Times New Roman" w:cs="Times New Roman"/>
          <w:color w:val="111111"/>
          <w:sz w:val="24"/>
          <w:szCs w:val="24"/>
        </w:rPr>
        <w:t xml:space="preserve">) to investigate the relationship between the demographics and activities online, (ii) to determine the prominent predictors of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with specific focus on digital marketing exposure and internet use and (iii) to test these associations in terms of sustainable and responsible consumption.</w:t>
      </w:r>
    </w:p>
    <w:p w14:paraId="1EE7B7F1" w14:textId="77777777" w:rsidR="00F21BAC" w:rsidRDefault="00F21BAC">
      <w:pPr>
        <w:pStyle w:val="Heading1"/>
        <w:keepNext w:val="0"/>
        <w:keepLines w:val="0"/>
        <w:spacing w:before="240" w:after="240" w:line="360" w:lineRule="auto"/>
        <w:jc w:val="both"/>
        <w:rPr>
          <w:rFonts w:ascii="Times New Roman" w:eastAsia="Times New Roman" w:hAnsi="Times New Roman" w:cs="Times New Roman"/>
          <w:sz w:val="24"/>
          <w:szCs w:val="24"/>
        </w:rPr>
      </w:pPr>
    </w:p>
    <w:p w14:paraId="3A886B59"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 xml:space="preserve">The study conceptual framework is based on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consumption theory and sustainability theory with reference to Sustainable Development Goal 12, which focuses on responsible consumption and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w:t>
      </w:r>
      <w:proofErr w:type="spellStart"/>
      <w:r>
        <w:rPr>
          <w:rFonts w:ascii="Times New Roman" w:eastAsia="Times New Roman" w:hAnsi="Times New Roman" w:cs="Times New Roman"/>
          <w:color w:val="111111"/>
          <w:sz w:val="24"/>
          <w:szCs w:val="24"/>
        </w:rPr>
        <w:t>conceptualisation</w:t>
      </w:r>
      <w:proofErr w:type="spellEnd"/>
      <w:r>
        <w:rPr>
          <w:rFonts w:ascii="Times New Roman" w:eastAsia="Times New Roman" w:hAnsi="Times New Roman" w:cs="Times New Roman"/>
          <w:color w:val="111111"/>
          <w:sz w:val="24"/>
          <w:szCs w:val="24"/>
        </w:rPr>
        <w:t xml:space="preserve"> of digital marketing influence and internet usage as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facilitators affecting the influence on purchasing decisions is based on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determinants of purchasing decisions in addition to more traditional demographic determinants.</w:t>
      </w:r>
    </w:p>
    <w:p w14:paraId="1E8B0429" w14:textId="77777777" w:rsidR="00F21BAC" w:rsidRDefault="00F21BAC">
      <w:pPr>
        <w:pStyle w:val="Heading1"/>
        <w:keepNext w:val="0"/>
        <w:keepLines w:val="0"/>
        <w:spacing w:before="240" w:after="240" w:line="360" w:lineRule="auto"/>
        <w:jc w:val="both"/>
        <w:rPr>
          <w:rFonts w:ascii="Times New Roman" w:eastAsia="Times New Roman" w:hAnsi="Times New Roman" w:cs="Times New Roman"/>
          <w:sz w:val="24"/>
          <w:szCs w:val="24"/>
        </w:rPr>
      </w:pPr>
    </w:p>
    <w:p w14:paraId="562B4FA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The research methodology relies on primary survey data, which is obtained among urban consumers.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chi-square test, binary logistic regression, and exploratory factor analysis are analytical methods that are used to </w:t>
      </w:r>
      <w:proofErr w:type="spellStart"/>
      <w:r>
        <w:rPr>
          <w:rFonts w:ascii="Times New Roman" w:eastAsia="Times New Roman" w:hAnsi="Times New Roman" w:cs="Times New Roman"/>
          <w:color w:val="111111"/>
          <w:sz w:val="24"/>
          <w:szCs w:val="24"/>
        </w:rPr>
        <w:t>analyse</w:t>
      </w:r>
      <w:proofErr w:type="spellEnd"/>
      <w:r>
        <w:rPr>
          <w:rFonts w:ascii="Times New Roman" w:eastAsia="Times New Roman" w:hAnsi="Times New Roman" w:cs="Times New Roman"/>
          <w:color w:val="111111"/>
          <w:sz w:val="24"/>
          <w:szCs w:val="24"/>
        </w:rPr>
        <w:t xml:space="preserve"> the associations, determine the significant predictors, and obtain underlying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dimensions that reflect digital consumption.</w:t>
      </w:r>
    </w:p>
    <w:p w14:paraId="569C247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This paper, by paying attention to the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processes of online buying, adds to the sustainability literature by pointing out that online consumption trends are not only products of demographic processes but are conditioned by digitally mediated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factors.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results have significant policy and managerial implications in developing responsible digital marketing approaches that can result in informed, efficient, and sustainable consumption of fast-</w:t>
      </w:r>
      <w:proofErr w:type="spellStart"/>
      <w:r>
        <w:rPr>
          <w:rFonts w:ascii="Times New Roman" w:eastAsia="Times New Roman" w:hAnsi="Times New Roman" w:cs="Times New Roman"/>
          <w:color w:val="111111"/>
          <w:sz w:val="24"/>
          <w:szCs w:val="24"/>
        </w:rPr>
        <w:t>urbanising</w:t>
      </w:r>
      <w:proofErr w:type="spellEnd"/>
      <w:r>
        <w:rPr>
          <w:rFonts w:ascii="Times New Roman" w:eastAsia="Times New Roman" w:hAnsi="Times New Roman" w:cs="Times New Roman"/>
          <w:color w:val="111111"/>
          <w:sz w:val="24"/>
          <w:szCs w:val="24"/>
        </w:rPr>
        <w:t xml:space="preserve"> economies.</w:t>
      </w:r>
    </w:p>
    <w:p w14:paraId="3F30D9A7"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5" w:name="_heading=h.z1lxr4gm4yjp" w:colFirst="0" w:colLast="0"/>
      <w:bookmarkEnd w:id="5"/>
      <w:r>
        <w:rPr>
          <w:rFonts w:ascii="Times New Roman" w:eastAsia="Times New Roman" w:hAnsi="Times New Roman" w:cs="Times New Roman"/>
          <w:b/>
          <w:bCs/>
          <w:sz w:val="24"/>
          <w:szCs w:val="24"/>
        </w:rPr>
        <w:t>Literature Review</w:t>
      </w:r>
    </w:p>
    <w:p w14:paraId="501ABA60"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2C6CE57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fast growth of digital technologies has radically changed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developed and emerging economies, especially in cities where internet penetration is high, and smartphone users are dominant (UNCTAD, 2024; OECD, 2025).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has transformed the consumer information search, product options, and purchase decision-making process, and digital marketing is progressively becoming a mediator in these activities (Kannan and Li, 2017; Sak et al., 2025). Recent literature contextualizes these changes in the more general framework of sustainable development in particular, Sustainable Development Goal 12 (SDG-12), which focuses </w:t>
      </w:r>
      <w:r>
        <w:rPr>
          <w:rFonts w:ascii="Times New Roman" w:eastAsia="Times New Roman" w:hAnsi="Times New Roman" w:cs="Times New Roman"/>
          <w:sz w:val="24"/>
          <w:szCs w:val="24"/>
        </w:rPr>
        <w:lastRenderedPageBreak/>
        <w:t>on responsible consumption and production patterns as a matter of economic development and technological transformation (United Nations, 2015; UNEP, 2021).</w:t>
      </w:r>
    </w:p>
    <w:p w14:paraId="68ACECD6"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Economically, the digital platforms change the market structure through the reduction of transaction costs, information asymmetry, and increased sets of consumer choice (UNCTAD, 2024; OECD, 2025). Digital markets help consumers to compare, have access to peer reviews, and receive information about the product at low marginal cost, and thus enhance allocative efficiency and consumer surplus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Such productivity improvements are especially significant in the urban economies where digital infrastructure promotes a large number of people being involved in online markets (Sak et al., 2025). Though, researchers are increasingly believing that such benefits are accompanied by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distortions, which are questioning the mainstream rational-choice theories of consumption (Thaler and Sunstein, 2008; Tiwari et al., 2025).</w:t>
      </w:r>
    </w:p>
    <w:p w14:paraId="4D06B452"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marketing is no longer merely an informational weapon but a strong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stimulus that influences the preferences and decision-making of consumers (Kannan and Li, 2017; Sustainability, 2025). In the recent research, it is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the impact of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advertising, social media promotions, influencer marketing, and user-generated reviews on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growing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Tiwari et al., 2025). Digital marketing, unlike conventional mass marketing, involves the use of algorithmic targeting and analytics in real-time in enabling firms to step into the consumer decision process at various levels (Sak et al., 2025). Explained by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economics, this kind of influence is influenced by social proof, scarcity cues and default effects that are inherent to platform structures (Thaler and Sunstein 2008; OECD 2025).</w:t>
      </w:r>
    </w:p>
    <w:p w14:paraId="15407AD1"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Statistics have always shown that an exposure to digital marketing enhances the probability and frequency of internet purchases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Sustainability, 2025). Although it is useful to the performance of firms and their market growth, it poses a question about the consumer welfare and sustainability performance (OECD, 2025; UNEP, 2021). The digitized and hyper fast business space might drive impulsive consumption, minimize deliberate decision-making, and increase demand to levels above what is socially optimal, which is against the SDG-12 goals of moderation and resource efficiency (UNCTAD, 2024; Antonio Satyedi,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 2025).</w:t>
      </w:r>
    </w:p>
    <w:p w14:paraId="65B47346"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Online consumption and sustainability have a dual relationship as such. On the one hand, digital business can cut the environmental costs, reducing the physical movement, making logistics more effective, and managing the inventory based on data (Journal of Cleaner Production, 2024; UNEP, 2021). Conversely, online shopping has the potential to boost the level of consumption, speed up the turnover of products, and enhance the emissions of packaging and delivery (OECD, 2025; UNCTAD, 2024). According to recent sustainability research, digital consumption cannot necessarily have responsible consequences; instead, it has an environmental influence, which relies on regulatory frameworks, the governance of platforms, and consumer consciousness (Antonio Satyedi, et al, 2025; Sak et al., 2025).</w:t>
      </w:r>
    </w:p>
    <w:p w14:paraId="56B72BF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addressing the issues of policy is starting to emphasize that sustainability in digital markets should be proactively regulated and not presupposed (UNCTAD, 2024; OECD, 2025). In the absence of proper regulatory conditions, digital platforms can focus not on environmental and social concerns but on the indicators of engagement and sales increase, supporting unsustainable consumption trends (UNEP, 2021; Sustainability, 2025). As a result, academics recommend incorporating the concept of sustainability in online economy policies, such as the responsible advertising framework, transparency rules of sponsored content, and incentives of marketing sustainable products online (OECD, 2025; UNCTAD, 2024).</w:t>
      </w:r>
    </w:p>
    <w:p w14:paraId="4C1F1712"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has also been keen on demographic determinants of digital consumption. Initial research on the adoption of technology brought forward the aspects of age, gender, income, and education in influencing digital penetration (Davis, 1989). But according to more recent studies, the demographic variables, especially gender, are now less explanatory in the digitally mature and urban situations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Sak et al., 2025). Increased accessibility, decreased data rates, and ease of user interface have increased inclusivity in digital consumption with a number of studies showing a reduced gender gap in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(UNCTAD, 2024; Sustainability, 2025).</w:t>
      </w:r>
    </w:p>
    <w:p w14:paraId="5FC4F40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in its turn, remains a rather subtle and context-related connection in terms of digital consumption. The life-cycle economic theories describe the age-related disparities by differences in the stability of income, opportunity cost of time, and the tendency of risk-taking (OECD, 2025). Empirical research suggests that the older consumers can place more importance on convenience </w:t>
      </w:r>
      <w:r>
        <w:rPr>
          <w:rFonts w:ascii="Times New Roman" w:eastAsia="Times New Roman" w:hAnsi="Times New Roman" w:cs="Times New Roman"/>
          <w:sz w:val="24"/>
          <w:szCs w:val="24"/>
        </w:rPr>
        <w:lastRenderedPageBreak/>
        <w:t xml:space="preserve">and reliability, whereas the younger consumers are more digital but have less purchasing power (Sak et al., 2025; Tiwari et al., 2025). These results indicate that despite the possible general inclusion in </w:t>
      </w:r>
      <w:proofErr w:type="gramStart"/>
      <w:r>
        <w:rPr>
          <w:rFonts w:ascii="Times New Roman" w:eastAsia="Times New Roman" w:hAnsi="Times New Roman" w:cs="Times New Roman"/>
          <w:sz w:val="24"/>
          <w:szCs w:val="24"/>
        </w:rPr>
        <w:t>access</w:t>
      </w:r>
      <w:proofErr w:type="gramEnd"/>
      <w:r>
        <w:rPr>
          <w:rFonts w:ascii="Times New Roman" w:eastAsia="Times New Roman" w:hAnsi="Times New Roman" w:cs="Times New Roman"/>
          <w:sz w:val="24"/>
          <w:szCs w:val="24"/>
        </w:rPr>
        <w:t xml:space="preserve"> of digital platforms, the results of consumption are still influenced by economic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factors related to various life stages.</w:t>
      </w:r>
    </w:p>
    <w:p w14:paraId="21D3100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demographic factors, the recent literature has identified internet usage intensity as one of the most frequent predictors of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Sak et al., 2025). Intensive numbers of digital activity expose more individuals to the marketing stimuli, lessen the risk of perceived transactions, and establish the habitual consumption practices (Tiwari et al., 2025). Considering the economic perspective, a high frequency of surfing the internet reduces the marginal transaction costs and therefore, repeated buying is more probable (OECD, 2025). Behavioral research, though, warns that long-term exposure to digital might undermine self-control and make one prone to impulse purchases, especially in algorithm-driven consumption settings (Thaler, and Sunstein 2008; Sustainability, 2025).</w:t>
      </w:r>
    </w:p>
    <w:p w14:paraId="391BBC8F"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and institutional quality form the core of comprehending the digital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its implications on sustainability. Online platforms are already considered as trusted based on data protection, payment security, transparency, and the efficiency of consumer grievance (OECD, 2025; UNCTAD, 2024). The </w:t>
      </w:r>
      <w:proofErr w:type="spellStart"/>
      <w:r>
        <w:rPr>
          <w:rFonts w:ascii="Times New Roman" w:eastAsia="Times New Roman" w:hAnsi="Times New Roman" w:cs="Times New Roman"/>
          <w:sz w:val="24"/>
          <w:szCs w:val="24"/>
        </w:rPr>
        <w:t>conceptualisation</w:t>
      </w:r>
      <w:proofErr w:type="spellEnd"/>
      <w:r>
        <w:rPr>
          <w:rFonts w:ascii="Times New Roman" w:eastAsia="Times New Roman" w:hAnsi="Times New Roman" w:cs="Times New Roman"/>
          <w:sz w:val="24"/>
          <w:szCs w:val="24"/>
        </w:rPr>
        <w:t xml:space="preserve"> of trust in the institutional economics literature is the public good that eliminates uncertainty and transaction costs, and therefore, allows market exchanges that promote welfare (UNEP, 2021). Weak regulatory frameworks, conversely, make consumers more vulnerable and expedite the lack of efficiency in the markets, especially in the fast-growing digital economies (OECD, 2025).</w:t>
      </w:r>
    </w:p>
    <w:p w14:paraId="781D7AC2"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amount of literature has increased, there are still a number of gaps. There is still limited empirical data on the connection between the influence of digital marketing and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which is directly related to emerging economies (Antonio Satyedi, et al, 2025</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Sustainability, 2025). Furthermore, a substantial number of studies are concentrated on purchase intention as opposed to actual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bringing their relevance to policy down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Last but not least, the application of SDG-12 to economic discourses of digital consumption has not yet reached its full potential, as sustainability is usually discussed in the periphery and not the main analytical approach (UNCTAD, 2024; OECD, 2025).</w:t>
      </w:r>
    </w:p>
    <w:p w14:paraId="1DFB6940" w14:textId="77777777" w:rsidR="00F21BAC" w:rsidRDefault="00F21BAC">
      <w:pPr>
        <w:spacing w:line="360" w:lineRule="auto"/>
        <w:jc w:val="both"/>
        <w:rPr>
          <w:rFonts w:ascii="Times New Roman" w:eastAsia="Times New Roman" w:hAnsi="Times New Roman" w:cs="Times New Roman"/>
          <w:sz w:val="24"/>
          <w:szCs w:val="24"/>
        </w:rPr>
      </w:pPr>
    </w:p>
    <w:p w14:paraId="510190FE"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paper fits into this gap by measuring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framework of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policy-related approach that is clearly oriented towards SDG-12. It is adding to the changing body of literature on digital consumption and sustainable development as it focuses on internet use intensity and digital impact of marketing, rather than on demographic factors. Generally, current academic evidence indicates that despite the efficiency benefits and inclusivity benefits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responsible consumption in the digital economy would need concerted actions in policy, institutional empowerment, and responsible digital marketing practices (UNEP, 2021; OECD, 2025; UNCTAD, 2024).</w:t>
      </w:r>
    </w:p>
    <w:p w14:paraId="44244AD2"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Hypotheses Development</w:t>
      </w:r>
    </w:p>
    <w:p w14:paraId="3F573F5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available literature, the hypotheses that are tested are as follows:</w:t>
      </w:r>
    </w:p>
    <w:p w14:paraId="1126D444" w14:textId="77777777" w:rsidR="00F21BAC" w:rsidRDefault="00000000">
      <w:pPr>
        <w:pStyle w:val="Heading1"/>
        <w:keepNext w:val="0"/>
        <w:keepLines w:val="0"/>
        <w:numPr>
          <w:ilvl w:val="0"/>
          <w:numId w:val="1"/>
        </w:numPr>
        <w:spacing w:before="240" w:after="0" w:line="360" w:lineRule="auto"/>
        <w:jc w:val="both"/>
        <w:rPr>
          <w:b/>
          <w:bCs/>
        </w:rPr>
      </w:pPr>
      <w:r>
        <w:rPr>
          <w:rFonts w:ascii="Times New Roman" w:eastAsia="Times New Roman" w:hAnsi="Times New Roman" w:cs="Times New Roman"/>
          <w:sz w:val="24"/>
          <w:szCs w:val="24"/>
        </w:rPr>
        <w:t>H01: There is no significant gender connected with internet use and preference to use digital marketing.</w:t>
      </w:r>
    </w:p>
    <w:p w14:paraId="19A9E363" w14:textId="77777777" w:rsidR="00F21BAC" w:rsidRDefault="00000000">
      <w:pPr>
        <w:pStyle w:val="Heading1"/>
        <w:keepNext w:val="0"/>
        <w:keepLines w:val="0"/>
        <w:numPr>
          <w:ilvl w:val="0"/>
          <w:numId w:val="1"/>
        </w:numPr>
        <w:spacing w:before="0" w:after="0" w:line="360" w:lineRule="auto"/>
        <w:jc w:val="both"/>
        <w:rPr>
          <w:b/>
          <w:bCs/>
        </w:rPr>
      </w:pPr>
      <w:r>
        <w:rPr>
          <w:rFonts w:ascii="Times New Roman" w:eastAsia="Times New Roman" w:hAnsi="Times New Roman" w:cs="Times New Roman"/>
          <w:sz w:val="24"/>
          <w:szCs w:val="24"/>
        </w:rPr>
        <w:t xml:space="preserve">H02: Age has a significant connection to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258506A9" w14:textId="77777777" w:rsidR="00F21BAC" w:rsidRDefault="00000000">
      <w:pPr>
        <w:pStyle w:val="Heading1"/>
        <w:keepNext w:val="0"/>
        <w:keepLines w:val="0"/>
        <w:numPr>
          <w:ilvl w:val="0"/>
          <w:numId w:val="1"/>
        </w:numPr>
        <w:spacing w:before="0" w:after="0" w:line="360" w:lineRule="auto"/>
        <w:jc w:val="both"/>
        <w:rPr>
          <w:b/>
          <w:bCs/>
        </w:rPr>
      </w:pPr>
      <w:r>
        <w:rPr>
          <w:rFonts w:ascii="Times New Roman" w:eastAsia="Times New Roman" w:hAnsi="Times New Roman" w:cs="Times New Roman"/>
          <w:sz w:val="24"/>
          <w:szCs w:val="24"/>
        </w:rPr>
        <w:t>H03: There is a significant correlation between online marketing power and the use of the internet and the propensity to purchase as an online buyer.</w:t>
      </w:r>
    </w:p>
    <w:p w14:paraId="7B5D55FC" w14:textId="77777777" w:rsidR="00F21BAC" w:rsidRDefault="00000000">
      <w:pPr>
        <w:pStyle w:val="Heading1"/>
        <w:keepNext w:val="0"/>
        <w:keepLines w:val="0"/>
        <w:numPr>
          <w:ilvl w:val="0"/>
          <w:numId w:val="1"/>
        </w:numPr>
        <w:spacing w:before="0" w:after="240" w:line="360" w:lineRule="auto"/>
        <w:jc w:val="both"/>
      </w:pPr>
      <w:bookmarkStart w:id="6" w:name="_heading=h.3wqjkkci5pne" w:colFirst="0" w:colLast="0"/>
      <w:bookmarkEnd w:id="6"/>
      <w:r>
        <w:rPr>
          <w:rFonts w:ascii="Times New Roman" w:eastAsia="Times New Roman" w:hAnsi="Times New Roman" w:cs="Times New Roman"/>
          <w:color w:val="111111"/>
          <w:sz w:val="24"/>
          <w:szCs w:val="24"/>
        </w:rPr>
        <w:t>H</w:t>
      </w:r>
      <w:r>
        <w:rPr>
          <w:rFonts w:ascii="Times New Roman" w:eastAsia="Times New Roman" w:hAnsi="Times New Roman" w:cs="Times New Roman"/>
          <w:sz w:val="24"/>
          <w:szCs w:val="24"/>
        </w:rPr>
        <w:t>0</w:t>
      </w:r>
      <w:r>
        <w:rPr>
          <w:rFonts w:ascii="Times New Roman" w:eastAsia="Times New Roman" w:hAnsi="Times New Roman" w:cs="Times New Roman"/>
          <w:color w:val="111111"/>
          <w:sz w:val="24"/>
          <w:szCs w:val="24"/>
        </w:rPr>
        <w:t xml:space="preserve">4: Trust, convenience and preference to online shopping determine buying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w:t>
      </w:r>
    </w:p>
    <w:p w14:paraId="46B8A785"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7" w:name="_heading=h.2dthc1syoumo" w:colFirst="0" w:colLast="0"/>
      <w:bookmarkEnd w:id="7"/>
      <w:r>
        <w:rPr>
          <w:rFonts w:ascii="Times New Roman" w:eastAsia="Times New Roman" w:hAnsi="Times New Roman" w:cs="Times New Roman"/>
          <w:b/>
          <w:bCs/>
          <w:sz w:val="24"/>
          <w:szCs w:val="24"/>
        </w:rPr>
        <w:t>Research Methodology</w:t>
      </w:r>
    </w:p>
    <w:p w14:paraId="34FF86A3"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color w:val="111111"/>
          <w:sz w:val="24"/>
          <w:szCs w:val="24"/>
        </w:rPr>
      </w:pPr>
      <w:bookmarkStart w:id="8" w:name="_heading=h.mqeyk3hr1df" w:colFirst="0" w:colLast="0"/>
      <w:bookmarkEnd w:id="8"/>
      <w:r>
        <w:rPr>
          <w:rFonts w:ascii="Times New Roman" w:eastAsia="Times New Roman" w:hAnsi="Times New Roman" w:cs="Times New Roman"/>
          <w:color w:val="111111"/>
          <w:sz w:val="24"/>
          <w:szCs w:val="24"/>
        </w:rPr>
        <w:t xml:space="preserve">This paper is a quantitative cross-sectional research study aiming to identify the factors of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in consumers in urban areas, especially the impact of digital marketing and the use of the internet as the basis of Sustainable Development Goal 12 (Responsible Consumption and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survey was carried out using the primary data through a structured questionnaire survey to </w:t>
      </w:r>
      <w:proofErr w:type="gramStart"/>
      <w:r>
        <w:rPr>
          <w:rFonts w:ascii="Times New Roman" w:eastAsia="Times New Roman" w:hAnsi="Times New Roman" w:cs="Times New Roman"/>
          <w:color w:val="111111"/>
          <w:sz w:val="24"/>
          <w:szCs w:val="24"/>
        </w:rPr>
        <w:t>227  urban</w:t>
      </w:r>
      <w:proofErr w:type="gramEnd"/>
      <w:r>
        <w:rPr>
          <w:rFonts w:ascii="Times New Roman" w:eastAsia="Times New Roman" w:hAnsi="Times New Roman" w:cs="Times New Roman"/>
          <w:color w:val="111111"/>
          <w:sz w:val="24"/>
          <w:szCs w:val="24"/>
        </w:rPr>
        <w:t xml:space="preserve"> internet users and sampled with the convenience sampling method since it was not possible to sample the entire community.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urban concentration is caused by the increased digital penetration and exposure to online marketing.</w:t>
      </w:r>
    </w:p>
    <w:p w14:paraId="49DCF594"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Sampling Method</w:t>
      </w:r>
    </w:p>
    <w:p w14:paraId="3CC60ADA"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Convenience sampling must be justified, with why it has been selected and what are its limitations, in terms of </w:t>
      </w:r>
      <w:proofErr w:type="spellStart"/>
      <w:r>
        <w:rPr>
          <w:rFonts w:ascii="Times New Roman" w:eastAsia="Times New Roman" w:hAnsi="Times New Roman" w:cs="Times New Roman"/>
          <w:sz w:val="24"/>
          <w:szCs w:val="24"/>
        </w:rPr>
        <w:t>generalisability</w:t>
      </w:r>
      <w:proofErr w:type="spellEnd"/>
      <w:r>
        <w:rPr>
          <w:rFonts w:ascii="Times New Roman" w:eastAsia="Times New Roman" w:hAnsi="Times New Roman" w:cs="Times New Roman"/>
          <w:sz w:val="24"/>
          <w:szCs w:val="24"/>
        </w:rPr>
        <w:t>.</w:t>
      </w:r>
    </w:p>
    <w:p w14:paraId="149B301B" w14:textId="77777777" w:rsidR="00F21BAC" w:rsidRDefault="00F21BAC"/>
    <w:p w14:paraId="2091264C"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9" w:name="_heading=h.juyvu94r6y6d" w:colFirst="0" w:colLast="0"/>
      <w:bookmarkEnd w:id="9"/>
      <w:r>
        <w:rPr>
          <w:rFonts w:ascii="Times New Roman" w:eastAsia="Times New Roman" w:hAnsi="Times New Roman" w:cs="Times New Roman"/>
          <w:color w:val="111111"/>
          <w:sz w:val="24"/>
          <w:szCs w:val="24"/>
        </w:rPr>
        <w:t xml:space="preserve">The questionnaire involved capturing of the following variables, which are </w:t>
      </w:r>
      <w:proofErr w:type="spellStart"/>
      <w:r>
        <w:rPr>
          <w:rFonts w:ascii="Times New Roman" w:eastAsia="Times New Roman" w:hAnsi="Times New Roman" w:cs="Times New Roman"/>
          <w:color w:val="111111"/>
          <w:sz w:val="24"/>
          <w:szCs w:val="24"/>
        </w:rPr>
        <w:t>categorised</w:t>
      </w:r>
      <w:proofErr w:type="spellEnd"/>
      <w:r>
        <w:rPr>
          <w:rFonts w:ascii="Times New Roman" w:eastAsia="Times New Roman" w:hAnsi="Times New Roman" w:cs="Times New Roman"/>
          <w:color w:val="111111"/>
          <w:sz w:val="24"/>
          <w:szCs w:val="24"/>
        </w:rPr>
        <w:t xml:space="preserve"> into the following; the following variables were undertaken; demographic variables (gender and age), digital engagement indicators (intensity of internet usage and perceived digital marketing influence) and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which was measured as a binary outcome.</w:t>
      </w:r>
    </w:p>
    <w:p w14:paraId="7B76E4B5"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0" w:name="_heading=h.ilwp4z85aufh" w:colFirst="0" w:colLast="0"/>
      <w:bookmarkEnd w:id="10"/>
      <w:r>
        <w:rPr>
          <w:rFonts w:ascii="Times New Roman" w:eastAsia="Times New Roman" w:hAnsi="Times New Roman" w:cs="Times New Roman"/>
          <w:color w:val="111111"/>
          <w:sz w:val="24"/>
          <w:szCs w:val="24"/>
        </w:rPr>
        <w:t>The analysis of data was done using a multi-stage analytic strategy.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characteristics of respondents were </w:t>
      </w:r>
      <w:proofErr w:type="spellStart"/>
      <w:r>
        <w:rPr>
          <w:rFonts w:ascii="Times New Roman" w:eastAsia="Times New Roman" w:hAnsi="Times New Roman" w:cs="Times New Roman"/>
          <w:color w:val="111111"/>
          <w:sz w:val="24"/>
          <w:szCs w:val="24"/>
        </w:rPr>
        <w:t>summarised</w:t>
      </w:r>
      <w:proofErr w:type="spellEnd"/>
      <w:r>
        <w:rPr>
          <w:rFonts w:ascii="Times New Roman" w:eastAsia="Times New Roman" w:hAnsi="Times New Roman" w:cs="Times New Roman"/>
          <w:color w:val="111111"/>
          <w:sz w:val="24"/>
          <w:szCs w:val="24"/>
        </w:rPr>
        <w:t xml:space="preserve"> using descriptive statistics.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Chi-square tests were used to test the relationships between demographic variables and digital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binary logistic regression was used to determine the most significant predictors of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as well as to estimate the relative significance of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and demographic variables.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Nagelkerke R 2 and classification accuracy were used as model adequacy measures.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Moreover, the Varimax rotation of the exploratory factor analysis (EFA) was performed in order to determine latent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constructs that support consumer perceptions.</w:t>
      </w:r>
    </w:p>
    <w:p w14:paraId="1B30EF50"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color w:val="111111"/>
          <w:sz w:val="24"/>
          <w:szCs w:val="24"/>
        </w:rPr>
      </w:pPr>
      <w:bookmarkStart w:id="11" w:name="_heading=h.qn13agph8hu7" w:colFirst="0" w:colLast="0"/>
      <w:bookmarkEnd w:id="11"/>
      <w:r>
        <w:rPr>
          <w:rFonts w:ascii="Times New Roman" w:eastAsia="Times New Roman" w:hAnsi="Times New Roman" w:cs="Times New Roman"/>
          <w:color w:val="111111"/>
          <w:sz w:val="24"/>
          <w:szCs w:val="24"/>
        </w:rPr>
        <w:t>The ethical standards were observed using voluntary participation and anonymity of the respondents.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methodology offers solid and policy-relevant evidence on the digital consumption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even though there is a set of limitations associated with the sampling and the cross-sectional design.</w:t>
      </w:r>
    </w:p>
    <w:p w14:paraId="3F5997C5" w14:textId="77777777" w:rsidR="00F21BAC"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6B2033E2"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restricted to the youth aged between 18 and 30 years who reside in Mumbai city.</w:t>
      </w:r>
    </w:p>
    <w:p w14:paraId="4D7364B4"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few platforms are used for this study such as Facebook, Instagram, YouTube, and WhatsApp.</w:t>
      </w:r>
    </w:p>
    <w:p w14:paraId="5EEB341E"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done for a short period which might not hold the long run.</w:t>
      </w:r>
    </w:p>
    <w:p w14:paraId="003B3DDE" w14:textId="77777777" w:rsidR="00F21BAC" w:rsidRDefault="00F21BAC"/>
    <w:p w14:paraId="7BC10E64"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12" w:name="_heading=h.lbqzbeth7dpl" w:colFirst="0" w:colLast="0"/>
      <w:bookmarkEnd w:id="12"/>
      <w:r>
        <w:rPr>
          <w:rFonts w:ascii="Times New Roman" w:eastAsia="Times New Roman" w:hAnsi="Times New Roman" w:cs="Times New Roman"/>
          <w:b/>
          <w:bCs/>
          <w:sz w:val="24"/>
          <w:szCs w:val="24"/>
        </w:rPr>
        <w:t>Results and Discussion</w:t>
      </w:r>
    </w:p>
    <w:p w14:paraId="3851FAA1"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Placing the Findings in the context of SDG-12: Responsible Consumption in the Digital Economy.</w:t>
      </w:r>
    </w:p>
    <w:p w14:paraId="3C08D4B8"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sustainable development goal 12 underscores the importance of ensuring sustainable consumption and production patterns, especially in fast </w:t>
      </w:r>
      <w:proofErr w:type="spellStart"/>
      <w:r>
        <w:rPr>
          <w:rFonts w:ascii="Times New Roman" w:eastAsia="Times New Roman" w:hAnsi="Times New Roman" w:cs="Times New Roman"/>
          <w:sz w:val="24"/>
          <w:szCs w:val="24"/>
        </w:rPr>
        <w:t>urbanising</w:t>
      </w:r>
      <w:proofErr w:type="spellEnd"/>
      <w:r>
        <w:rPr>
          <w:rFonts w:ascii="Times New Roman" w:eastAsia="Times New Roman" w:hAnsi="Times New Roman" w:cs="Times New Roman"/>
          <w:sz w:val="24"/>
          <w:szCs w:val="24"/>
        </w:rPr>
        <w:t xml:space="preserve"> and digitally transforming </w:t>
      </w:r>
      <w:r>
        <w:rPr>
          <w:rFonts w:ascii="Times New Roman" w:eastAsia="Times New Roman" w:hAnsi="Times New Roman" w:cs="Times New Roman"/>
          <w:sz w:val="24"/>
          <w:szCs w:val="24"/>
        </w:rPr>
        <w:lastRenderedPageBreak/>
        <w:t xml:space="preserve">economies. In that respect, the current research provides crucial empirical data about the way digital marketing and the usage of the internet influence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urban Indian consumers. The results indicate that the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becoming more and more motivated by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exposure and digital interaction, and not by the predetermined demographic features, signifying the structural change in the consumption processes.</w:t>
      </w:r>
    </w:p>
    <w:p w14:paraId="39D575B4" w14:textId="77777777" w:rsidR="00F21BA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change has significant consequences in terms of a policy-oriented economic approach. Digital platforms transform the cost of transactions, the flow of information and consumer decision-making processes. Although such changes can lead to allocative efficiency and decrease physical interaction of market resources that are resource-heavy, they also concern overconsumption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manipulations as well as inequalities in digital capabilities. Findings of this research thus make contributions to the emerging body of discussion on the interactions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with sustainability goals, especially SDG-12.</w:t>
      </w:r>
    </w:p>
    <w:p w14:paraId="4D115295"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Gender Neutrality and Inclusive Digital Access: Advantage to Equitable Consumption.</w:t>
      </w:r>
    </w:p>
    <w:p w14:paraId="2C99EFF4"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results, one of the most important is that there was no statistically significant correlation between gender and digital engagement or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implies that, at the least in urban India, entry to and engagement on digital markets is now very much gender neutral.</w:t>
      </w:r>
    </w:p>
    <w:p w14:paraId="2897249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development and policy perspective, this result has shown that there is advancement towards inclusive consumption systems. The digital platforms seem to reduce some of the structural barriers that limited the participation of women in the traditional markets in the past, including mobility issues, time, and social norms. The digital channels of consumption help to improve a more even distribution of access to goods and services by reducing these barriers which are in line with the inclusivity dimension incorporated in SDG-12.</w:t>
      </w:r>
    </w:p>
    <w:p w14:paraId="4964144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interpretation of the policy should be wary. The use of gender neutrality does not necessarily translate to equality in results. Inequality in income, possession of assets and domination of financial resources can still influence the quality and magnitude of consumption. The results, however, show that digital infrastructures and platform designs can be used to promote more inclusive consumption institutions, as long as supportive policies deal with existing underlying economic disparities.</w:t>
      </w:r>
    </w:p>
    <w:p w14:paraId="1F6B4DC0"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The Age Differences and the Life-cycle Economics of Digital Consumption.</w:t>
      </w:r>
    </w:p>
    <w:p w14:paraId="729283A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Contrary to gender, age is found to be a statistically significant predictor of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result has significant consequences on the topic of consumption patterns in the light of life-cycle and welfare economics.</w:t>
      </w:r>
    </w:p>
    <w:p w14:paraId="79D2AE9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online purchasing activities of older consumers are likely to be more significant, which may indicate the increase of income stability, purchasing power, and more powerful inclination to convenience. Efficiency wise, the digital platforms would lower search and transaction costs to such consumers so that they could optimize the use and consumption decisions. In this regard, digital consumption helps to align allocative efficiency, as it helps people to form more precise preferences and find suitable products.</w:t>
      </w:r>
    </w:p>
    <w:p w14:paraId="22816F04"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the differences based on age give the policy concern over digital capability gaps. The younger consumers can be highly exposed to digital, but with lower financial capacity, and the older consumers can be confronted with the issue of digital literacy and cybersecurity threats. These differences indicate that the digital consumption policies should be aware of the dynamics of life-cycles, which include educating consumers, providing digital literacy, and protection against economic exploitation.</w:t>
      </w:r>
    </w:p>
    <w:p w14:paraId="5A8CA5EC"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3" w:name="_heading=h.2h33uv7gv1l9" w:colFirst="0" w:colLast="0"/>
      <w:bookmarkEnd w:id="13"/>
      <w:r>
        <w:rPr>
          <w:rFonts w:ascii="Times New Roman" w:eastAsia="Times New Roman" w:hAnsi="Times New Roman" w:cs="Times New Roman"/>
          <w:sz w:val="24"/>
          <w:szCs w:val="24"/>
        </w:rPr>
        <w:t>Within the SDG-12 perspective, age-sensitive policies are essential to see that digital consumption is contributing to welfare-enhancing and sustainable results and not strengthening the vulnerabilities at various life phases.</w:t>
      </w:r>
    </w:p>
    <w:p w14:paraId="60C634C9" w14:textId="77777777" w:rsidR="00F21BAC" w:rsidRDefault="00000000">
      <w:pPr>
        <w:pStyle w:val="Heading3"/>
        <w:keepNext w:val="0"/>
        <w:keepLines w:val="0"/>
        <w:spacing w:before="280" w:line="360" w:lineRule="auto"/>
        <w:jc w:val="both"/>
        <w:rPr>
          <w:rFonts w:ascii="Times New Roman" w:eastAsia="Times New Roman" w:hAnsi="Times New Roman" w:cs="Times New Roman"/>
          <w:b/>
          <w:bCs/>
          <w:sz w:val="24"/>
          <w:szCs w:val="24"/>
        </w:rPr>
      </w:pPr>
      <w:bookmarkStart w:id="14" w:name="_heading=h.t3bsab976k1a" w:colFirst="0" w:colLast="0"/>
      <w:bookmarkEnd w:id="14"/>
      <w:r>
        <w:rPr>
          <w:rFonts w:ascii="Times New Roman" w:eastAsia="Times New Roman" w:hAnsi="Times New Roman" w:cs="Times New Roman"/>
          <w:b/>
          <w:bCs/>
          <w:color w:val="000000"/>
          <w:sz w:val="24"/>
          <w:szCs w:val="24"/>
        </w:rPr>
        <w:t xml:space="preserve">Table 1: Factor Analysis Results – </w:t>
      </w:r>
      <w:r>
        <w:rPr>
          <w:rFonts w:ascii="Times New Roman" w:eastAsia="Times New Roman" w:hAnsi="Times New Roman" w:cs="Times New Roman"/>
          <w:b/>
          <w:bCs/>
          <w:sz w:val="24"/>
          <w:szCs w:val="24"/>
        </w:rPr>
        <w:t>KMO and Bartlett’s Test</w:t>
      </w:r>
    </w:p>
    <w:tbl>
      <w:tblPr>
        <w:tblStyle w:val="a4"/>
        <w:tblW w:w="8895" w:type="dxa"/>
        <w:tblBorders>
          <w:top w:val="nil"/>
          <w:left w:val="nil"/>
          <w:bottom w:val="nil"/>
          <w:right w:val="nil"/>
          <w:insideH w:val="nil"/>
          <w:insideV w:val="nil"/>
        </w:tblBorders>
        <w:tblLayout w:type="fixed"/>
        <w:tblLook w:val="0600" w:firstRow="0" w:lastRow="0" w:firstColumn="0" w:lastColumn="0" w:noHBand="1" w:noVBand="1"/>
      </w:tblPr>
      <w:tblGrid>
        <w:gridCol w:w="5775"/>
        <w:gridCol w:w="3120"/>
      </w:tblGrid>
      <w:tr w:rsidR="00F21BAC" w14:paraId="787EEF85" w14:textId="77777777">
        <w:trPr>
          <w:trHeight w:val="285"/>
        </w:trPr>
        <w:tc>
          <w:tcPr>
            <w:tcW w:w="5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E3EBFF"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w:t>
            </w:r>
          </w:p>
        </w:tc>
        <w:tc>
          <w:tcPr>
            <w:tcW w:w="31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E15B77"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F21BAC" w14:paraId="2503118A" w14:textId="77777777">
        <w:trPr>
          <w:trHeight w:val="55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B7B4EE"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Kaiser–Meyer–Olkin Measure of Sampling Adequacy</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7AA4F2C9"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F21BAC" w14:paraId="7F0F8C00" w14:textId="77777777">
        <w:trPr>
          <w:trHeight w:val="55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C4B32D"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Bartlett’s Test of Sphericity – Approx. Chi-Square</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721A893B"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486.35</w:t>
            </w:r>
          </w:p>
        </w:tc>
      </w:tr>
      <w:tr w:rsidR="00F21BAC" w14:paraId="2479F213" w14:textId="77777777">
        <w:trPr>
          <w:trHeight w:val="28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7ADE9A"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Degrees of Freedom</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0EBA8481"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F21BAC" w14:paraId="25913586" w14:textId="77777777">
        <w:trPr>
          <w:trHeight w:val="28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4898FE"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(p-value)</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7D223D28"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bl>
    <w:p w14:paraId="4EBF113F" w14:textId="77777777" w:rsidR="00F21BAC" w:rsidRDefault="00000000">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lastRenderedPageBreak/>
        <w:t>Source: Primary data analysis</w:t>
      </w:r>
      <w:r>
        <w:rPr>
          <w:rFonts w:ascii="Times New Roman" w:eastAsia="Times New Roman" w:hAnsi="Times New Roman" w:cs="Times New Roman"/>
          <w:sz w:val="20"/>
          <w:szCs w:val="20"/>
        </w:rPr>
        <w:t xml:space="preserve"> </w:t>
      </w:r>
    </w:p>
    <w:p w14:paraId="1305873D" w14:textId="77777777" w:rsidR="00F21BAC" w:rsidRDefault="00000000">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Digital Marketing Influence: </w:t>
      </w:r>
      <w:proofErr w:type="spellStart"/>
      <w:r>
        <w:rPr>
          <w:rFonts w:ascii="Times New Roman" w:eastAsia="Times New Roman" w:hAnsi="Times New Roman" w:cs="Times New Roman"/>
          <w:b/>
          <w:bCs/>
          <w:sz w:val="24"/>
          <w:szCs w:val="24"/>
        </w:rPr>
        <w:t>Behavioural</w:t>
      </w:r>
      <w:proofErr w:type="spellEnd"/>
      <w:r>
        <w:rPr>
          <w:rFonts w:ascii="Times New Roman" w:eastAsia="Times New Roman" w:hAnsi="Times New Roman" w:cs="Times New Roman"/>
          <w:b/>
          <w:bCs/>
          <w:sz w:val="24"/>
          <w:szCs w:val="24"/>
        </w:rPr>
        <w:t xml:space="preserve"> Economics, Consumption Externalities.</w:t>
      </w:r>
    </w:p>
    <w:p w14:paraId="5621F178"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 1,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aspect of digital consumption is emphasized by the great positive impact of the digital marketing influence on the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Digital marketing does not only serve as a form of information but serves as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influence that forms preference and perception and trust.</w:t>
      </w:r>
    </w:p>
    <w:p w14:paraId="6F397F47"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leads to economic policy issues on consumption externalities. Although companies enjoy higher sales, the society might have to pay the price of overconsumption which includes environmental degradation, waste creation and economic strains on households. These externalities are especially applicable in city economies where the level of penetration of digital marketing is high and regulatory controls are weak.</w:t>
      </w:r>
    </w:p>
    <w:p w14:paraId="0BD4BC36"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online marketing has a great influence on the purchase decisions regardless of demographic attributes. This means that other consumers with various income levels and different ages might be equally affected by the persuasive digital strategy. This is why SDG-12 makes it necessary to reconsider the digital marketing governance.</w:t>
      </w:r>
    </w:p>
    <w:p w14:paraId="7B450901"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examples of policy interventions are responsible approaches to digital advertisement, transparency of sponsored content, and limitations on manipulative design. Promotion of sustainable, resource-saving, and ethically made products via digital platforms would be one way to bring market incentives in line with sustainability objectives.</w:t>
      </w:r>
    </w:p>
    <w:p w14:paraId="22775DB5" w14:textId="77777777" w:rsidR="00F21BA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KMO value of 0.72</w:t>
      </w:r>
      <w:r>
        <w:rPr>
          <w:rFonts w:ascii="Times New Roman" w:eastAsia="Times New Roman" w:hAnsi="Times New Roman" w:cs="Times New Roman"/>
          <w:sz w:val="26"/>
          <w:szCs w:val="26"/>
        </w:rPr>
        <w:t xml:space="preserve">, </w:t>
      </w:r>
      <w:r>
        <w:rPr>
          <w:rFonts w:ascii="Times New Roman" w:eastAsia="Times New Roman" w:hAnsi="Times New Roman" w:cs="Times New Roman"/>
        </w:rPr>
        <w:t>falls within the range of validity of 0 to 1 and it shows sufficient sampling appropriateness to conduct exploratory factor analysis</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The Test of Sphericity by Bartlett is significant (p &lt; 0.001), which proves the appropriateness of data to be used in the factor analysis.</w:t>
      </w:r>
    </w:p>
    <w:p w14:paraId="5852A36C"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15" w:name="_heading=h.nf5wmeq187w9" w:colFirst="0" w:colLast="0"/>
      <w:bookmarkEnd w:id="15"/>
      <w:r>
        <w:rPr>
          <w:rFonts w:ascii="Times New Roman" w:eastAsia="Times New Roman" w:hAnsi="Times New Roman" w:cs="Times New Roman"/>
          <w:b/>
          <w:bCs/>
          <w:sz w:val="24"/>
          <w:szCs w:val="24"/>
        </w:rPr>
        <w:t>Table 2: Rotated Component Matrix (Varimax Rotation)</w:t>
      </w:r>
    </w:p>
    <w:tbl>
      <w:tblPr>
        <w:tblStyle w:val="a5"/>
        <w:tblW w:w="9660" w:type="dxa"/>
        <w:tblBorders>
          <w:top w:val="nil"/>
          <w:left w:val="nil"/>
          <w:bottom w:val="nil"/>
          <w:right w:val="nil"/>
          <w:insideH w:val="nil"/>
          <w:insideV w:val="nil"/>
        </w:tblBorders>
        <w:tblLayout w:type="fixed"/>
        <w:tblLook w:val="0600" w:firstRow="0" w:lastRow="0" w:firstColumn="0" w:lastColumn="0" w:noHBand="1" w:noVBand="1"/>
      </w:tblPr>
      <w:tblGrid>
        <w:gridCol w:w="3990"/>
        <w:gridCol w:w="3255"/>
        <w:gridCol w:w="2415"/>
      </w:tblGrid>
      <w:tr w:rsidR="00F21BAC" w14:paraId="21D53B2A" w14:textId="77777777">
        <w:trPr>
          <w:trHeight w:val="825"/>
        </w:trPr>
        <w:tc>
          <w:tcPr>
            <w:tcW w:w="3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5448B0"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757BB4"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 1</w:t>
            </w:r>
            <w:r>
              <w:rPr>
                <w:rFonts w:ascii="Times New Roman" w:eastAsia="Times New Roman" w:hAnsi="Times New Roman" w:cs="Times New Roman"/>
                <w:b/>
                <w:bCs/>
                <w:sz w:val="24"/>
                <w:szCs w:val="24"/>
              </w:rPr>
              <w:br/>
              <w:t>(Digital Marketing Influence)</w:t>
            </w:r>
          </w:p>
        </w:tc>
        <w:tc>
          <w:tcPr>
            <w:tcW w:w="24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17744B"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 2</w:t>
            </w:r>
            <w:r>
              <w:rPr>
                <w:rFonts w:ascii="Times New Roman" w:eastAsia="Times New Roman" w:hAnsi="Times New Roman" w:cs="Times New Roman"/>
                <w:b/>
                <w:bCs/>
                <w:sz w:val="24"/>
                <w:szCs w:val="24"/>
              </w:rPr>
              <w:br/>
              <w:t xml:space="preserve"> (Buying </w:t>
            </w:r>
            <w:proofErr w:type="spellStart"/>
            <w:r>
              <w:rPr>
                <w:rFonts w:ascii="Times New Roman" w:eastAsia="Times New Roman" w:hAnsi="Times New Roman" w:cs="Times New Roman"/>
                <w:b/>
                <w:bCs/>
                <w:sz w:val="24"/>
                <w:szCs w:val="24"/>
              </w:rPr>
              <w:t>Behaviour</w:t>
            </w:r>
            <w:proofErr w:type="spellEnd"/>
            <w:r>
              <w:rPr>
                <w:rFonts w:ascii="Times New Roman" w:eastAsia="Times New Roman" w:hAnsi="Times New Roman" w:cs="Times New Roman"/>
                <w:b/>
                <w:bCs/>
                <w:sz w:val="24"/>
                <w:szCs w:val="24"/>
              </w:rPr>
              <w:t>)</w:t>
            </w:r>
          </w:p>
        </w:tc>
      </w:tr>
      <w:tr w:rsidR="00F21BAC" w14:paraId="0E903D08"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4B6C8A"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Social media advertisements influence my purchase</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448F990A"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53EEE33B"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r>
      <w:tr w:rsidR="00F21BAC" w14:paraId="6C026321"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821347"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advertisements attract my attention</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6F2A6D8C"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49B97D22"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F21BAC" w14:paraId="162AA5D1"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A1EAC4"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reviews influence my buying decision</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08B82BC3"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1C73810E"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F21BAC" w14:paraId="11FA7CAF"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281172"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shopping is convenient</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05325068"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76436159"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F21BAC" w14:paraId="4DDAE968"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8E0809"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trust online shopping platforms</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50D71F87"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67E16B36"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F21BAC" w14:paraId="1A2FB718"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391F1C"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online shopping over offline shopping</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446B5754"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65020968"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bl>
    <w:p w14:paraId="338FE52B" w14:textId="77777777" w:rsidR="00F21BAC" w:rsidRDefault="00000000">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3257671B"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16" w:name="_heading=h.l38r4zq0zdlj" w:colFirst="0" w:colLast="0"/>
      <w:bookmarkEnd w:id="16"/>
      <w:r>
        <w:rPr>
          <w:rFonts w:ascii="Times New Roman" w:eastAsia="Times New Roman" w:hAnsi="Times New Roman" w:cs="Times New Roman"/>
          <w:b/>
          <w:bCs/>
          <w:sz w:val="24"/>
          <w:szCs w:val="24"/>
        </w:rPr>
        <w:t>Table 3: Total Variance Explained</w:t>
      </w:r>
    </w:p>
    <w:tbl>
      <w:tblPr>
        <w:tblStyle w:val="a6"/>
        <w:tblW w:w="8910" w:type="dxa"/>
        <w:tblBorders>
          <w:top w:val="nil"/>
          <w:left w:val="nil"/>
          <w:bottom w:val="nil"/>
          <w:right w:val="nil"/>
          <w:insideH w:val="nil"/>
          <w:insideV w:val="nil"/>
        </w:tblBorders>
        <w:tblLayout w:type="fixed"/>
        <w:tblLook w:val="0600" w:firstRow="0" w:lastRow="0" w:firstColumn="0" w:lastColumn="0" w:noHBand="1" w:noVBand="1"/>
      </w:tblPr>
      <w:tblGrid>
        <w:gridCol w:w="2190"/>
        <w:gridCol w:w="2250"/>
        <w:gridCol w:w="2220"/>
        <w:gridCol w:w="2250"/>
      </w:tblGrid>
      <w:tr w:rsidR="00F21BAC" w14:paraId="2C1C59EA" w14:textId="77777777">
        <w:trPr>
          <w:trHeight w:val="285"/>
        </w:trPr>
        <w:tc>
          <w:tcPr>
            <w:tcW w:w="21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1B5165"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0E80AF"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Eigenvalue</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6B901E"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Variance</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84A0DE" w14:textId="77777777" w:rsidR="00F21BAC" w:rsidRDefault="00000000">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Cumulative %</w:t>
            </w:r>
          </w:p>
        </w:tc>
      </w:tr>
      <w:tr w:rsidR="00F21BAC" w14:paraId="298F427C" w14:textId="77777777">
        <w:trPr>
          <w:trHeight w:val="28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B223BF"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 1</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0B124A01"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7ADC641"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409B86CD"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r>
      <w:tr w:rsidR="00F21BAC" w14:paraId="20B7A723" w14:textId="77777777">
        <w:trPr>
          <w:trHeight w:val="28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F66AFB"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 2</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43731A84"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1CD1332"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23662574" w14:textId="77777777" w:rsidR="00F21BAC"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r>
    </w:tbl>
    <w:p w14:paraId="4093B4F1" w14:textId="77777777" w:rsidR="00F21BAC" w:rsidRDefault="00000000">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7D916979"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7" w:name="_heading=h.4hrvxv46io06" w:colFirst="0" w:colLast="0"/>
      <w:bookmarkEnd w:id="17"/>
      <w:r>
        <w:rPr>
          <w:rFonts w:ascii="Times New Roman" w:eastAsia="Times New Roman" w:hAnsi="Times New Roman" w:cs="Times New Roman"/>
          <w:b/>
          <w:bCs/>
          <w:color w:val="111111"/>
          <w:sz w:val="24"/>
          <w:szCs w:val="24"/>
        </w:rPr>
        <w:t>Factor Structure Interpretation.</w:t>
      </w:r>
    </w:p>
    <w:p w14:paraId="4E8844B0"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18" w:name="_heading=h.sajp7qo2kcg8" w:colFirst="0" w:colLast="0"/>
      <w:bookmarkEnd w:id="18"/>
      <w:r>
        <w:rPr>
          <w:rFonts w:ascii="Times New Roman" w:eastAsia="Times New Roman" w:hAnsi="Times New Roman" w:cs="Times New Roman"/>
          <w:b/>
          <w:bCs/>
          <w:color w:val="111111"/>
          <w:sz w:val="24"/>
          <w:szCs w:val="24"/>
        </w:rPr>
        <w:t>Factor 1: Influence Digital Marketing.</w:t>
      </w:r>
    </w:p>
    <w:p w14:paraId="5CBFE5FC"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2 &amp; 3, above, shows that </w:t>
      </w:r>
      <w:r>
        <w:rPr>
          <w:rFonts w:ascii="Times New Roman" w:eastAsia="Times New Roman" w:hAnsi="Times New Roman" w:cs="Times New Roman"/>
          <w:color w:val="111111"/>
          <w:sz w:val="24"/>
          <w:szCs w:val="24"/>
        </w:rPr>
        <w:t>it is a very strong factor represented by social media advertisements, online advertisements, and online reviews.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fact that these variables have high loadings assures that digital marketing exposure and persuasive content are some of the most important in consumer purchase decisions.</w:t>
      </w:r>
    </w:p>
    <w:p w14:paraId="48E6CA6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19" w:name="_heading=h.h4p5byfdgwbm" w:colFirst="0" w:colLast="0"/>
      <w:bookmarkEnd w:id="19"/>
      <w:r>
        <w:rPr>
          <w:rFonts w:ascii="Times New Roman" w:eastAsia="Times New Roman" w:hAnsi="Times New Roman" w:cs="Times New Roman"/>
          <w:b/>
          <w:bCs/>
          <w:sz w:val="24"/>
          <w:szCs w:val="24"/>
        </w:rPr>
        <w:t xml:space="preserve">Factor 2: Buying </w:t>
      </w:r>
      <w:proofErr w:type="spellStart"/>
      <w:r>
        <w:rPr>
          <w:rFonts w:ascii="Times New Roman" w:eastAsia="Times New Roman" w:hAnsi="Times New Roman" w:cs="Times New Roman"/>
          <w:b/>
          <w:bCs/>
          <w:sz w:val="24"/>
          <w:szCs w:val="24"/>
        </w:rPr>
        <w:t>Behaviour</w:t>
      </w:r>
      <w:proofErr w:type="spellEnd"/>
    </w:p>
    <w:p w14:paraId="58F0247D"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0" w:name="_heading=h.7afnsfl0zbig" w:colFirst="0" w:colLast="0"/>
      <w:bookmarkEnd w:id="20"/>
      <w:r>
        <w:rPr>
          <w:rFonts w:ascii="Times New Roman" w:eastAsia="Times New Roman" w:hAnsi="Times New Roman" w:cs="Times New Roman"/>
          <w:sz w:val="24"/>
          <w:szCs w:val="24"/>
        </w:rPr>
        <w:lastRenderedPageBreak/>
        <w:t xml:space="preserve">The Tables 2 &amp; 3, above, shows that </w:t>
      </w:r>
      <w:r>
        <w:rPr>
          <w:rFonts w:ascii="Times New Roman" w:eastAsia="Times New Roman" w:hAnsi="Times New Roman" w:cs="Times New Roman"/>
          <w:color w:val="111111"/>
          <w:sz w:val="24"/>
          <w:szCs w:val="24"/>
        </w:rPr>
        <w:t>this aspect is defined by convenience, confidence in online shopping and inclination towards online shopping.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variables represent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and attitudinal preparedness of the consumers to make online purchases.</w:t>
      </w:r>
    </w:p>
    <w:p w14:paraId="0FB4C367"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1" w:name="_heading=h.uuhe3496cieo" w:colFirst="0" w:colLast="0"/>
      <w:bookmarkEnd w:id="21"/>
      <w:r>
        <w:rPr>
          <w:rFonts w:ascii="Times New Roman" w:eastAsia="Times New Roman" w:hAnsi="Times New Roman" w:cs="Times New Roman"/>
          <w:color w:val="111111"/>
          <w:sz w:val="24"/>
          <w:szCs w:val="24"/>
        </w:rPr>
        <w:t>A combination of the two factors accounts for a significant percentage of the total variance (74.4 per cent), which confirms a strong and clear factor structure.</w:t>
      </w:r>
    </w:p>
    <w:p w14:paraId="24B900C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22" w:name="_heading=h.ca89nyeeijd" w:colFirst="0" w:colLast="0"/>
      <w:bookmarkEnd w:id="22"/>
      <w:r>
        <w:rPr>
          <w:rFonts w:ascii="Times New Roman" w:eastAsia="Times New Roman" w:hAnsi="Times New Roman" w:cs="Times New Roman"/>
          <w:b/>
          <w:bCs/>
          <w:sz w:val="24"/>
          <w:szCs w:val="24"/>
        </w:rPr>
        <w:t>Hypothesis Testing Results</w:t>
      </w:r>
    </w:p>
    <w:p w14:paraId="68600BF7"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3" w:name="_heading=h.51hf86ivlz95" w:colFirst="0" w:colLast="0"/>
      <w:bookmarkEnd w:id="23"/>
      <w:r>
        <w:rPr>
          <w:rFonts w:ascii="Times New Roman" w:eastAsia="Times New Roman" w:hAnsi="Times New Roman" w:cs="Times New Roman"/>
          <w:color w:val="111111"/>
          <w:sz w:val="24"/>
          <w:szCs w:val="24"/>
        </w:rPr>
        <w:t>In terms of the results of the factor analysis and the following analysis of the regression, the hypotheses mentioned below are approved:</w:t>
      </w:r>
    </w:p>
    <w:p w14:paraId="47B7E09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24" w:name="_heading=h.6xzoy75dbw4w" w:colFirst="0" w:colLast="0"/>
      <w:bookmarkEnd w:id="24"/>
      <w:r>
        <w:rPr>
          <w:rFonts w:ascii="Times New Roman" w:eastAsia="Times New Roman" w:hAnsi="Times New Roman" w:cs="Times New Roman"/>
          <w:b/>
          <w:bCs/>
          <w:sz w:val="24"/>
          <w:szCs w:val="24"/>
        </w:rPr>
        <w:t xml:space="preserve">H03: There is no significant impact of digital marketing influence on online purchasing </w:t>
      </w:r>
      <w:proofErr w:type="spellStart"/>
      <w:r>
        <w:rPr>
          <w:rFonts w:ascii="Times New Roman" w:eastAsia="Times New Roman" w:hAnsi="Times New Roman" w:cs="Times New Roman"/>
          <w:b/>
          <w:bCs/>
          <w:sz w:val="24"/>
          <w:szCs w:val="24"/>
        </w:rPr>
        <w:t>behaviour</w:t>
      </w:r>
      <w:proofErr w:type="spellEnd"/>
      <w:r>
        <w:rPr>
          <w:rFonts w:ascii="Times New Roman" w:eastAsia="Times New Roman" w:hAnsi="Times New Roman" w:cs="Times New Roman"/>
          <w:b/>
          <w:bCs/>
          <w:sz w:val="24"/>
          <w:szCs w:val="24"/>
        </w:rPr>
        <w:t>.</w:t>
      </w:r>
    </w:p>
    <w:p w14:paraId="7430D7B9" w14:textId="77777777" w:rsidR="00F21BAC" w:rsidRDefault="00000000">
      <w:pPr>
        <w:keepNext/>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Rejected :</w:t>
      </w:r>
      <w:proofErr w:type="gramEnd"/>
      <w:r>
        <w:rPr>
          <w:rFonts w:ascii="Times New Roman" w:eastAsia="Times New Roman" w:hAnsi="Times New Roman" w:cs="Times New Roman"/>
          <w:sz w:val="24"/>
          <w:szCs w:val="24"/>
        </w:rPr>
        <w:t xml:space="preserve"> The hypothesis has been rightly rejected and not accepted because the empirical findings indicate clearly a statistically significant effect of digital marketing influence on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10D0DB9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5" w:name="_heading=h.y3bw90mitni9" w:colFirst="0" w:colLast="0"/>
      <w:bookmarkEnd w:id="25"/>
      <w:r>
        <w:rPr>
          <w:rFonts w:ascii="Times New Roman" w:eastAsia="Times New Roman" w:hAnsi="Times New Roman" w:cs="Times New Roman"/>
          <w:color w:val="111111"/>
          <w:sz w:val="24"/>
          <w:szCs w:val="24"/>
        </w:rPr>
        <w:t>H</w:t>
      </w:r>
      <w:r>
        <w:rPr>
          <w:rFonts w:ascii="Times New Roman" w:eastAsia="Times New Roman" w:hAnsi="Times New Roman" w:cs="Times New Roman"/>
          <w:sz w:val="24"/>
          <w:szCs w:val="24"/>
        </w:rPr>
        <w:t>0</w:t>
      </w:r>
      <w:r>
        <w:rPr>
          <w:rFonts w:ascii="Times New Roman" w:eastAsia="Times New Roman" w:hAnsi="Times New Roman" w:cs="Times New Roman"/>
          <w:color w:val="111111"/>
          <w:sz w:val="24"/>
          <w:szCs w:val="24"/>
        </w:rPr>
        <w:t xml:space="preserve">4: Trust, convenience and preference to online shopping determine buying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w:t>
      </w:r>
    </w:p>
    <w:p w14:paraId="3785857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6" w:name="_heading=h.ud5lo0gqmbz0" w:colFirst="0" w:colLast="0"/>
      <w:bookmarkEnd w:id="26"/>
      <w:r>
        <w:rPr>
          <w:rFonts w:ascii="Times New Roman" w:eastAsia="Times New Roman" w:hAnsi="Times New Roman" w:cs="Times New Roman"/>
          <w:sz w:val="24"/>
          <w:szCs w:val="24"/>
        </w:rPr>
        <w:t xml:space="preserve">Accepted. </w:t>
      </w:r>
      <w:r>
        <w:rPr>
          <w:rFonts w:ascii="Times New Roman" w:eastAsia="Times New Roman" w:hAnsi="Times New Roman" w:cs="Times New Roman"/>
          <w:color w:val="111111"/>
          <w:sz w:val="24"/>
          <w:szCs w:val="24"/>
        </w:rPr>
        <w:t xml:space="preserve">The second reason proves the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basis of online purchasing decision making.</w:t>
      </w:r>
    </w:p>
    <w:p w14:paraId="185E6DB1"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7" w:name="_heading=h.rvny96ti10l3" w:colFirst="0" w:colLast="0"/>
      <w:bookmarkEnd w:id="27"/>
      <w:r>
        <w:rPr>
          <w:rFonts w:ascii="Times New Roman" w:eastAsia="Times New Roman" w:hAnsi="Times New Roman" w:cs="Times New Roman"/>
          <w:color w:val="111111"/>
          <w:sz w:val="24"/>
          <w:szCs w:val="24"/>
        </w:rPr>
        <w:t xml:space="preserve">There is no support of the hypotheses based on demographic variables (e.g. gender), which supports the conclusion that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is motivated more by a digital contact and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perception rather than by demographic factors.</w:t>
      </w:r>
    </w:p>
    <w:p w14:paraId="79A2E701" w14:textId="77777777" w:rsidR="00F21BAC" w:rsidRDefault="00000000">
      <w:pPr>
        <w:pStyle w:val="Heading1"/>
        <w:keepNext w:val="0"/>
        <w:keepLines w:val="0"/>
        <w:spacing w:before="0" w:after="0" w:line="360" w:lineRule="auto"/>
        <w:jc w:val="both"/>
        <w:rPr>
          <w:rFonts w:ascii="Times New Roman" w:eastAsia="Times New Roman" w:hAnsi="Times New Roman" w:cs="Times New Roman"/>
          <w:b/>
          <w:bCs/>
          <w:color w:val="111111"/>
          <w:sz w:val="24"/>
          <w:szCs w:val="24"/>
          <w:shd w:val="clear" w:color="auto" w:fill="D4EDDA"/>
        </w:rPr>
      </w:pPr>
      <w:r>
        <w:rPr>
          <w:rFonts w:ascii="Times New Roman" w:eastAsia="Times New Roman" w:hAnsi="Times New Roman" w:cs="Times New Roman"/>
          <w:color w:val="111111"/>
          <w:sz w:val="24"/>
          <w:szCs w:val="24"/>
        </w:rPr>
        <w:t xml:space="preserve">The conceptual framework is also confirmed by the results of the factor analysis which empirically proves that digital marketing influence and buying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are two different but complementary constructs.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These findings contribute to the thesis that the sustainability and responsible use of digital consumption is less about the consumer but rather about the influence of digital platforms on perceptions, trust, and convenience.</w:t>
      </w:r>
    </w:p>
    <w:p w14:paraId="79850B0B"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exploratory factor analysis also demonstrates that there are two credible and significant factors that can impact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consumers with respect to digital marketing. Digital </w:t>
      </w:r>
      <w:r>
        <w:rPr>
          <w:rFonts w:ascii="Times New Roman" w:eastAsia="Times New Roman" w:hAnsi="Times New Roman" w:cs="Times New Roman"/>
          <w:sz w:val="24"/>
          <w:szCs w:val="24"/>
        </w:rPr>
        <w:lastRenderedPageBreak/>
        <w:t xml:space="preserve">Marketing Influence is the first factor, which indicates the strength of online ads, social media and reviews. The second factor is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defines trust, convenience and preference towards online shopping. The combination of these factors accounts for 74.4 per cent of total variance showing a strong underlying factor structure.</w:t>
      </w:r>
    </w:p>
    <w:p w14:paraId="0005A49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KMO of 0.72 and the significant Bartlett test are solid proofs of the appropriateness of the data in factor analysis. Two significant variables can be obtained:</w:t>
      </w:r>
    </w:p>
    <w:p w14:paraId="7388684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Marketing Influence- an indication of the power of social media promotions, online advertisements, and reviews.</w:t>
      </w:r>
    </w:p>
    <w:p w14:paraId="531679A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winning the trust, convenience, and preference in online shopping.</w:t>
      </w:r>
    </w:p>
    <w:p w14:paraId="204643CE"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combination of these factors together accounts for 74.4 per cent of the total variance, which is a strong underlying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structure.</w:t>
      </w:r>
    </w:p>
    <w:p w14:paraId="42A3EF88" w14:textId="77777777" w:rsidR="00F21BAC" w:rsidRDefault="00000000">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Institutional Quality, Trust and </w:t>
      </w:r>
      <w:proofErr w:type="spellStart"/>
      <w:r>
        <w:rPr>
          <w:rFonts w:ascii="Times New Roman" w:eastAsia="Times New Roman" w:hAnsi="Times New Roman" w:cs="Times New Roman"/>
          <w:b/>
          <w:bCs/>
          <w:sz w:val="24"/>
          <w:szCs w:val="24"/>
        </w:rPr>
        <w:t>Behavioural</w:t>
      </w:r>
      <w:proofErr w:type="spellEnd"/>
      <w:r>
        <w:rPr>
          <w:rFonts w:ascii="Times New Roman" w:eastAsia="Times New Roman" w:hAnsi="Times New Roman" w:cs="Times New Roman"/>
          <w:b/>
          <w:bCs/>
          <w:sz w:val="24"/>
          <w:szCs w:val="24"/>
        </w:rPr>
        <w:t xml:space="preserve"> Readiness</w:t>
      </w:r>
    </w:p>
    <w:p w14:paraId="26290901"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exploratory factor analysis determines that there are two latent constructs Digital Marketing Influence and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factor, which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in terms of trust, convenience, and preference towards online shopping, has significant implications on the institutional economics.</w:t>
      </w:r>
    </w:p>
    <w:p w14:paraId="0F4B219D"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 in online platforms indicates confidence in the currency system, data security, arbitration policies, and reliability of delivery. These factors are directly related to the quality of institutions and their regulatory effectiveness. Strong institutions lead to less uncertainty and less transaction costs leading to market participation and welfare-enhancing transactions.</w:t>
      </w:r>
    </w:p>
    <w:p w14:paraId="50554AFE"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 and convenience can facilitate responsible consumption on a sustainability level when platforms provide the most accurate information, clear pricing and sustainable product selection. On the other hand, a lack of strong regulation and governance of platforms may destroy trust and result in exploitative behaviors.</w:t>
      </w:r>
    </w:p>
    <w:p w14:paraId="732ACCA2"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thus point to the role of the state as a regulator but also facilitator to sustainable digital markets. Enacting laws that enhance consumer protection, regulating data privacy, and </w:t>
      </w:r>
      <w:r>
        <w:rPr>
          <w:rFonts w:ascii="Times New Roman" w:eastAsia="Times New Roman" w:hAnsi="Times New Roman" w:cs="Times New Roman"/>
          <w:sz w:val="24"/>
          <w:szCs w:val="24"/>
        </w:rPr>
        <w:lastRenderedPageBreak/>
        <w:t>encouraging platform responsibility are critical measures that will see to it that digital consumption will add value to SDG-12 goals.</w:t>
      </w:r>
    </w:p>
    <w:p w14:paraId="4BF9654D" w14:textId="77777777" w:rsidR="00F21BAC" w:rsidRDefault="00000000">
      <w:pPr>
        <w:pStyle w:val="Heading3"/>
        <w:keepNext w:val="0"/>
        <w:keepLines w:val="0"/>
        <w:spacing w:before="280" w:line="360" w:lineRule="auto"/>
        <w:jc w:val="both"/>
        <w:rPr>
          <w:rFonts w:ascii="Times New Roman" w:eastAsia="Times New Roman" w:hAnsi="Times New Roman" w:cs="Times New Roman"/>
          <w:b/>
          <w:bCs/>
          <w:sz w:val="24"/>
          <w:szCs w:val="24"/>
        </w:rPr>
      </w:pPr>
      <w:bookmarkStart w:id="28" w:name="_heading=h.yc4elupnv3xr" w:colFirst="0" w:colLast="0"/>
      <w:bookmarkEnd w:id="28"/>
      <w:r>
        <w:rPr>
          <w:rFonts w:ascii="Times New Roman" w:eastAsia="Times New Roman" w:hAnsi="Times New Roman" w:cs="Times New Roman"/>
          <w:b/>
          <w:bCs/>
          <w:color w:val="000000"/>
          <w:sz w:val="24"/>
          <w:szCs w:val="24"/>
        </w:rPr>
        <w:t>Table 4: Logistic Regression Results</w:t>
      </w:r>
    </w:p>
    <w:tbl>
      <w:tblPr>
        <w:tblStyle w:val="a7"/>
        <w:tblW w:w="8895" w:type="dxa"/>
        <w:tblBorders>
          <w:top w:val="nil"/>
          <w:left w:val="nil"/>
          <w:bottom w:val="nil"/>
          <w:right w:val="nil"/>
          <w:insideH w:val="nil"/>
          <w:insideV w:val="nil"/>
        </w:tblBorders>
        <w:tblLayout w:type="fixed"/>
        <w:tblLook w:val="0600" w:firstRow="0" w:lastRow="0" w:firstColumn="0" w:lastColumn="0" w:noHBand="1" w:noVBand="1"/>
      </w:tblPr>
      <w:tblGrid>
        <w:gridCol w:w="2250"/>
        <w:gridCol w:w="2250"/>
        <w:gridCol w:w="2190"/>
        <w:gridCol w:w="2205"/>
      </w:tblGrid>
      <w:tr w:rsidR="00F21BAC" w14:paraId="3C1B9F87" w14:textId="77777777">
        <w:trPr>
          <w:trHeight w:val="285"/>
        </w:trPr>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B01DF4"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79F175"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β Coefficient</w:t>
            </w:r>
          </w:p>
        </w:tc>
        <w:tc>
          <w:tcPr>
            <w:tcW w:w="21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30EAD9"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Odds Ratio</w:t>
            </w:r>
          </w:p>
        </w:tc>
        <w:tc>
          <w:tcPr>
            <w:tcW w:w="22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AE5C68"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r>
      <w:tr w:rsidR="00F21BAC" w14:paraId="45BF5F69" w14:textId="77777777">
        <w:trPr>
          <w:trHeight w:val="28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C3DC28"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16E1AEDE"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6AFE474C"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380227D8"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F21BAC" w14:paraId="56655201" w14:textId="77777777">
        <w:trPr>
          <w:trHeight w:val="28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BC2618"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220E5697"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1B1C999A"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333D6C02"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F21BAC" w14:paraId="1CE0EF12" w14:textId="77777777">
        <w:trPr>
          <w:trHeight w:val="28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07E2EF"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Usage</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19993E3"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6BCB339E"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6D883187"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F21BAC" w14:paraId="5286B5EA" w14:textId="77777777">
        <w:trPr>
          <w:trHeight w:val="55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405615"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Marketing Influence</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4B336DF2"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0F0DC2BF"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1DF4C718"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bl>
    <w:p w14:paraId="14FDB5D1" w14:textId="77777777" w:rsidR="00F21BAC" w:rsidRDefault="00000000">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6434C44D" w14:textId="77777777" w:rsidR="00F21BAC"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29" w:name="_heading=h.s8083w13wk8f" w:colFirst="0" w:colLast="0"/>
      <w:bookmarkEnd w:id="29"/>
      <w:r>
        <w:rPr>
          <w:rFonts w:ascii="Times New Roman" w:eastAsia="Times New Roman" w:hAnsi="Times New Roman" w:cs="Times New Roman"/>
          <w:b/>
          <w:bCs/>
          <w:sz w:val="24"/>
          <w:szCs w:val="24"/>
        </w:rPr>
        <w:t>Table 5: Model Fit Statistics</w:t>
      </w:r>
    </w:p>
    <w:tbl>
      <w:tblPr>
        <w:tblStyle w:val="a8"/>
        <w:tblW w:w="8895" w:type="dxa"/>
        <w:tblBorders>
          <w:top w:val="nil"/>
          <w:left w:val="nil"/>
          <w:bottom w:val="nil"/>
          <w:right w:val="nil"/>
          <w:insideH w:val="nil"/>
          <w:insideV w:val="nil"/>
        </w:tblBorders>
        <w:tblLayout w:type="fixed"/>
        <w:tblLook w:val="0600" w:firstRow="0" w:lastRow="0" w:firstColumn="0" w:lastColumn="0" w:noHBand="1" w:noVBand="1"/>
      </w:tblPr>
      <w:tblGrid>
        <w:gridCol w:w="4455"/>
        <w:gridCol w:w="4440"/>
      </w:tblGrid>
      <w:tr w:rsidR="00F21BAC" w14:paraId="04C1CDF0" w14:textId="77777777">
        <w:trPr>
          <w:trHeight w:val="285"/>
        </w:trPr>
        <w:tc>
          <w:tcPr>
            <w:tcW w:w="4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5BB2B6"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w:t>
            </w:r>
          </w:p>
        </w:tc>
        <w:tc>
          <w:tcPr>
            <w:tcW w:w="4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E3C9CE"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F21BAC" w14:paraId="076C13FC" w14:textId="77777777">
        <w:trPr>
          <w:trHeight w:val="285"/>
        </w:trPr>
        <w:tc>
          <w:tcPr>
            <w:tcW w:w="4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062B75"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Nagelkerke R²</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79BDF4FA"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F21BAC" w14:paraId="3699698D" w14:textId="77777777">
        <w:trPr>
          <w:trHeight w:val="285"/>
        </w:trPr>
        <w:tc>
          <w:tcPr>
            <w:tcW w:w="4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475315"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bookmarkStart w:id="30" w:name="_heading=h.zh0tewnnnn74" w:colFirst="0" w:colLast="0"/>
            <w:bookmarkEnd w:id="30"/>
            <w:r>
              <w:rPr>
                <w:rFonts w:ascii="Times New Roman" w:eastAsia="Times New Roman" w:hAnsi="Times New Roman" w:cs="Times New Roman"/>
                <w:sz w:val="24"/>
                <w:szCs w:val="24"/>
              </w:rPr>
              <w:t>Overall Prediction Accuracy</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434B30BC" w14:textId="77777777" w:rsidR="00F21BAC" w:rsidRDefault="00000000">
            <w:pPr>
              <w:pStyle w:val="Heading1"/>
              <w:keepNext w:val="0"/>
              <w:keepLines w:val="0"/>
              <w:spacing w:before="240" w:after="0" w:line="360" w:lineRule="auto"/>
              <w:jc w:val="both"/>
              <w:rPr>
                <w:rFonts w:ascii="Times New Roman" w:eastAsia="Times New Roman" w:hAnsi="Times New Roman" w:cs="Times New Roman"/>
                <w:sz w:val="24"/>
                <w:szCs w:val="24"/>
              </w:rPr>
            </w:pPr>
            <w:bookmarkStart w:id="31" w:name="_heading=h.43z1hjxnh6fq" w:colFirst="0" w:colLast="0"/>
            <w:bookmarkEnd w:id="31"/>
            <w:r>
              <w:rPr>
                <w:rFonts w:ascii="Times New Roman" w:eastAsia="Times New Roman" w:hAnsi="Times New Roman" w:cs="Times New Roman"/>
                <w:sz w:val="24"/>
                <w:szCs w:val="24"/>
              </w:rPr>
              <w:t>78%</w:t>
            </w:r>
          </w:p>
        </w:tc>
      </w:tr>
    </w:tbl>
    <w:p w14:paraId="3673041D" w14:textId="77777777" w:rsidR="00F21BAC" w:rsidRDefault="00000000">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7571A7B8" w14:textId="77777777" w:rsidR="00F21BAC" w:rsidRDefault="00000000">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Internet Usage Intensity as Structural Process of Consumption </w:t>
      </w:r>
      <w:proofErr w:type="spellStart"/>
      <w:r>
        <w:rPr>
          <w:rFonts w:ascii="Times New Roman" w:eastAsia="Times New Roman" w:hAnsi="Times New Roman" w:cs="Times New Roman"/>
          <w:b/>
          <w:bCs/>
          <w:sz w:val="24"/>
          <w:szCs w:val="24"/>
        </w:rPr>
        <w:t>Behaviour</w:t>
      </w:r>
      <w:proofErr w:type="spellEnd"/>
      <w:r>
        <w:rPr>
          <w:rFonts w:ascii="Times New Roman" w:eastAsia="Times New Roman" w:hAnsi="Times New Roman" w:cs="Times New Roman"/>
          <w:b/>
          <w:bCs/>
          <w:sz w:val="24"/>
          <w:szCs w:val="24"/>
        </w:rPr>
        <w:t>.</w:t>
      </w:r>
    </w:p>
    <w:p w14:paraId="243C4039"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Tables 4 &amp; 5, the results of the logistic regression indicate that the intensity of the internet use is the strongest predictor of the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observation underscores the key role of digital immersion as a decision maker when it comes to consumption choices.</w:t>
      </w:r>
    </w:p>
    <w:p w14:paraId="36788048"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impacts of high internet use diminishing information asymmetry and reduces search costs and enhances market transparency. These aspects have long-term efficiency of the market and consumer surplus. More digitally engaged consumers are able to compare prices, review them, </w:t>
      </w:r>
      <w:r>
        <w:rPr>
          <w:rFonts w:ascii="Times New Roman" w:eastAsia="Times New Roman" w:hAnsi="Times New Roman" w:cs="Times New Roman"/>
          <w:sz w:val="24"/>
          <w:szCs w:val="24"/>
        </w:rPr>
        <w:lastRenderedPageBreak/>
        <w:t>and make rational and efficient decisions, which may contribute to rational and efficient consumption.</w:t>
      </w:r>
    </w:p>
    <w:p w14:paraId="47DE1F20"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regarding the sustainability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economics, there is a higher exposure to persuasive digital stimuli, algorithm-driven recommendations, and time-sensitive promotions with intensive internet use as well. These processes are able to promote habitual and impulsive buying, undermining deliberative choices and making a contribution to too much consumption.</w:t>
      </w:r>
    </w:p>
    <w:p w14:paraId="2F5CE7B7"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policy implication is obvious: digital access does not ensure sustainable consumption. The regulatory systems should be concerned with the structuring of the digital environments in terms of advertising intensity, data-driven targeting, and default design aspects. In the absence of such interventions, consumption volumes may shoot up as the greater the use of the internet without ensuring that the patterns of consumption are responsible as envisaged under SDG-12.</w:t>
      </w:r>
    </w:p>
    <w:p w14:paraId="1A323033"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logistic regression model reveals that the internet usage </w:t>
      </w:r>
      <w:proofErr w:type="gramStart"/>
      <w:r>
        <w:rPr>
          <w:rFonts w:ascii="Times New Roman" w:eastAsia="Times New Roman" w:hAnsi="Times New Roman" w:cs="Times New Roman"/>
          <w:sz w:val="24"/>
          <w:szCs w:val="24"/>
        </w:rPr>
        <w:t>( 1.12</w:t>
      </w:r>
      <w:proofErr w:type="gramEnd"/>
      <w:r>
        <w:rPr>
          <w:rFonts w:ascii="Times New Roman" w:eastAsia="Times New Roman" w:hAnsi="Times New Roman" w:cs="Times New Roman"/>
          <w:sz w:val="24"/>
          <w:szCs w:val="24"/>
        </w:rPr>
        <w:t xml:space="preserve">, p &lt; 0.001) and the impact of digital marketing </w:t>
      </w:r>
      <w:proofErr w:type="gramStart"/>
      <w:r>
        <w:rPr>
          <w:rFonts w:ascii="Times New Roman" w:eastAsia="Times New Roman" w:hAnsi="Times New Roman" w:cs="Times New Roman"/>
          <w:sz w:val="24"/>
          <w:szCs w:val="24"/>
        </w:rPr>
        <w:t>( 0.94</w:t>
      </w:r>
      <w:proofErr w:type="gramEnd"/>
      <w:r>
        <w:rPr>
          <w:rFonts w:ascii="Times New Roman" w:eastAsia="Times New Roman" w:hAnsi="Times New Roman" w:cs="Times New Roman"/>
          <w:sz w:val="24"/>
          <w:szCs w:val="24"/>
        </w:rPr>
        <w:t xml:space="preserve">, p = 0.004) increase the probability of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significantly. The positive and significant effect is also shown by age </w:t>
      </w:r>
      <w:proofErr w:type="gramStart"/>
      <w:r>
        <w:rPr>
          <w:rFonts w:ascii="Times New Roman" w:eastAsia="Times New Roman" w:hAnsi="Times New Roman" w:cs="Times New Roman"/>
          <w:sz w:val="24"/>
          <w:szCs w:val="24"/>
        </w:rPr>
        <w:t>( 0.38</w:t>
      </w:r>
      <w:proofErr w:type="gramEnd"/>
      <w:r>
        <w:rPr>
          <w:rFonts w:ascii="Times New Roman" w:eastAsia="Times New Roman" w:hAnsi="Times New Roman" w:cs="Times New Roman"/>
          <w:sz w:val="24"/>
          <w:szCs w:val="24"/>
        </w:rPr>
        <w:t xml:space="preserve">, p = 0.031), and gender is statistically </w:t>
      </w:r>
      <w:proofErr w:type="spellStart"/>
      <w:r>
        <w:rPr>
          <w:rFonts w:ascii="Times New Roman" w:eastAsia="Times New Roman" w:hAnsi="Times New Roman" w:cs="Times New Roman"/>
          <w:sz w:val="24"/>
          <w:szCs w:val="24"/>
        </w:rPr>
        <w:t>non significant</w:t>
      </w:r>
      <w:proofErr w:type="spellEnd"/>
      <w:r>
        <w:rPr>
          <w:rFonts w:ascii="Times New Roman" w:eastAsia="Times New Roman" w:hAnsi="Times New Roman" w:cs="Times New Roman"/>
          <w:sz w:val="24"/>
          <w:szCs w:val="24"/>
        </w:rPr>
        <w:t>.</w:t>
      </w:r>
    </w:p>
    <w:p w14:paraId="126FCA67"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2" w:name="_heading=h.yuqvihw1nt96" w:colFirst="0" w:colLast="0"/>
      <w:bookmarkEnd w:id="32"/>
      <w:r>
        <w:rPr>
          <w:rFonts w:ascii="Times New Roman" w:eastAsia="Times New Roman" w:hAnsi="Times New Roman" w:cs="Times New Roman"/>
          <w:sz w:val="24"/>
          <w:szCs w:val="24"/>
        </w:rPr>
        <w:t>The model has a high power of explanation as it has a Nagelkerke R 2 of 0.41 and a total prediction accuracy of 78 per cent which implies that the model fits very well.</w:t>
      </w:r>
    </w:p>
    <w:p w14:paraId="65B49BE5" w14:textId="77777777" w:rsidR="00F21BAC" w:rsidRDefault="00000000">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Bringing together Efficiency, Equity and Sustainability</w:t>
      </w:r>
    </w:p>
    <w:p w14:paraId="5CCD8F29"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the findings indicate that digital consumption in urban India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the multi-level influence of efficiency benefits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risks. With digital platforms, costs of transactions decrease and consumer choice increases, which support economic efficiency. Meanwhile, they strengthen the incentives towards consumption, as well as moving the decision-making processes into deliberative and impulsive levels.</w:t>
      </w:r>
    </w:p>
    <w:p w14:paraId="54F9F21B" w14:textId="77777777" w:rsidR="00F21BAC"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vital duality in terms of economics journals. The market cannot be left to achieve sustainable consumption. It needs policy coordination that incorporates efficiency, equity and environmental consideration. The findings of the study affirm the argument that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variables, including exposure and trust, should be core in the design of the consumption policy.</w:t>
      </w:r>
    </w:p>
    <w:p w14:paraId="13C9EA53"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Discussion, Practical Implications, and Theoretical Implications</w:t>
      </w:r>
    </w:p>
    <w:p w14:paraId="442F36F0"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confirm the fact that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most influenced by digital marketing and use of the internet over traditional demographic variables like gender. Age is not outdated to imply that there are age disparities when it comes to digital engagement.</w:t>
      </w:r>
    </w:p>
    <w:p w14:paraId="625B6549"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Practically, demographic segmentation should not be the primary focus of firms, which should strive to promote their online presence, online reviews, and social media activities. The response of the consumers can be deeply enhanced by training better trust and comfort by designing the platform and communicating the issues clearly.</w:t>
      </w:r>
    </w:p>
    <w:p w14:paraId="67498206"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Theoretically, the research is supportive of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technology acceptance models because the perceived influence and the intensity of use are superior to demographic features in mediating the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factor structure goes even further to support the aspect of digital marketing as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stimulus over a purely informational one.</w:t>
      </w:r>
    </w:p>
    <w:p w14:paraId="0A0E1E96"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Future Research Directions and Conclusion</w:t>
      </w:r>
    </w:p>
    <w:p w14:paraId="5AB82460"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this paper has shown that digital buying in urban India is becoming more influenced by digital exposure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processes instead of demographic factors. As radical as this change is promising in terms of efficiency and inclusiveness, it also brings challenges to sustainable consumption.</w:t>
      </w:r>
    </w:p>
    <w:p w14:paraId="65586671"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SDG-12,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is neither necessarily sustainable nor harmful. Its results are contingent on the nature of governance structures, quality of institutions and policy purpose. Placing digital marketing and online consumption in a responsible consumption framework can allow the policymakers to benefit from the advantages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and reduce its dangers.</w:t>
      </w:r>
    </w:p>
    <w:p w14:paraId="0B5EE8A7"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3" w:name="_heading=h.hb3lm4mtccpz" w:colFirst="0" w:colLast="0"/>
      <w:bookmarkEnd w:id="33"/>
      <w:r>
        <w:rPr>
          <w:rFonts w:ascii="Times New Roman" w:eastAsia="Times New Roman" w:hAnsi="Times New Roman" w:cs="Times New Roman"/>
          <w:sz w:val="24"/>
          <w:szCs w:val="24"/>
        </w:rPr>
        <w:t xml:space="preserve">These findings thus add to the economics of sustainable development by stating that </w:t>
      </w:r>
      <w:proofErr w:type="spellStart"/>
      <w:r>
        <w:rPr>
          <w:rFonts w:ascii="Times New Roman" w:eastAsia="Times New Roman" w:hAnsi="Times New Roman" w:cs="Times New Roman"/>
          <w:sz w:val="24"/>
          <w:szCs w:val="24"/>
        </w:rPr>
        <w:t>behaviourally</w:t>
      </w:r>
      <w:proofErr w:type="spellEnd"/>
      <w:r>
        <w:rPr>
          <w:rFonts w:ascii="Times New Roman" w:eastAsia="Times New Roman" w:hAnsi="Times New Roman" w:cs="Times New Roman"/>
          <w:sz w:val="24"/>
          <w:szCs w:val="24"/>
        </w:rPr>
        <w:t xml:space="preserve"> informed, institutionally based, and sustainability-focused </w:t>
      </w:r>
      <w:proofErr w:type="spellStart"/>
      <w:r>
        <w:rPr>
          <w:rFonts w:ascii="Times New Roman" w:eastAsia="Times New Roman" w:hAnsi="Times New Roman" w:cs="Times New Roman"/>
          <w:sz w:val="24"/>
          <w:szCs w:val="24"/>
        </w:rPr>
        <w:t>institutionalised</w:t>
      </w:r>
      <w:proofErr w:type="spellEnd"/>
      <w:r>
        <w:rPr>
          <w:rFonts w:ascii="Times New Roman" w:eastAsia="Times New Roman" w:hAnsi="Times New Roman" w:cs="Times New Roman"/>
          <w:sz w:val="24"/>
          <w:szCs w:val="24"/>
        </w:rPr>
        <w:t xml:space="preserve"> policies of digital consumption are needed in the emerging urban economies.</w:t>
      </w:r>
    </w:p>
    <w:p w14:paraId="530FFBD9" w14:textId="77777777" w:rsidR="00F21BAC" w:rsidRDefault="00000000">
      <w:pPr>
        <w:spacing w:after="200"/>
        <w:rPr>
          <w:rFonts w:ascii="Calibri" w:eastAsia="Calibri" w:hAnsi="Calibri" w:cs="Calibri"/>
          <w:highlight w:val="yellow"/>
        </w:rPr>
      </w:pPr>
      <w:r>
        <w:rPr>
          <w:rFonts w:ascii="Calibri" w:eastAsia="Calibri" w:hAnsi="Calibri" w:cs="Calibri"/>
          <w:highlight w:val="yellow"/>
        </w:rPr>
        <w:t>Disclaimer (Artificial intelligence)</w:t>
      </w:r>
    </w:p>
    <w:p w14:paraId="027BCE1D" w14:textId="77777777" w:rsidR="00F21BAC" w:rsidRDefault="00000000">
      <w:pPr>
        <w:spacing w:after="200"/>
      </w:pPr>
      <w:r>
        <w:rPr>
          <w:rFonts w:ascii="Calibri" w:eastAsia="Calibri" w:hAnsi="Calibri" w:cs="Calibri"/>
          <w:highlight w:val="yellow"/>
        </w:rPr>
        <w:lastRenderedPageBreak/>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NO generative AI technologies such as Large Language Models (ChatGPT, COPILOT, etc.) and text-to-image generators have been used during the writing or editing of this manuscript. </w:t>
      </w:r>
    </w:p>
    <w:p w14:paraId="629EDD4A" w14:textId="77777777" w:rsidR="00F21BAC" w:rsidRDefault="00000000">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34" w:name="_heading=h.l4qnncgdnn8k" w:colFirst="0" w:colLast="0"/>
      <w:bookmarkEnd w:id="34"/>
      <w:r>
        <w:rPr>
          <w:rFonts w:ascii="Times New Roman" w:eastAsia="Times New Roman" w:hAnsi="Times New Roman" w:cs="Times New Roman"/>
          <w:b/>
          <w:bCs/>
          <w:sz w:val="24"/>
          <w:szCs w:val="24"/>
        </w:rPr>
        <w:t xml:space="preserve">References </w:t>
      </w:r>
    </w:p>
    <w:p w14:paraId="039C46EA"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Agarwal, R., Gao, G., DesRoches, C., &amp; Jha, A. K. (2010). The digital transformation of healthcare: Current status and the road ahead. </w:t>
      </w:r>
      <w:r>
        <w:rPr>
          <w:rFonts w:ascii="Times New Roman" w:eastAsia="Times New Roman" w:hAnsi="Times New Roman" w:cs="Times New Roman"/>
          <w:i/>
          <w:iCs/>
          <w:sz w:val="24"/>
          <w:szCs w:val="24"/>
        </w:rPr>
        <w:t>Information Systems Research, 21</w:t>
      </w:r>
      <w:r>
        <w:rPr>
          <w:rFonts w:ascii="Times New Roman" w:eastAsia="Times New Roman" w:hAnsi="Times New Roman" w:cs="Times New Roman"/>
          <w:sz w:val="24"/>
          <w:szCs w:val="24"/>
        </w:rPr>
        <w:t>(4), 796–809.</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https://doi.org/10.1287/isre.1100.0327</w:t>
        </w:r>
      </w:hyperlink>
    </w:p>
    <w:p w14:paraId="1D59401F" w14:textId="77777777" w:rsidR="00F21BAC" w:rsidRDefault="00000000">
      <w:pPr>
        <w:spacing w:before="240" w:after="240" w:line="360" w:lineRule="auto"/>
        <w:rPr>
          <w:rFonts w:ascii="Times New Roman" w:eastAsia="Times New Roman" w:hAnsi="Times New Roman" w:cs="Times New Roman"/>
          <w:sz w:val="24"/>
          <w:szCs w:val="24"/>
        </w:rPr>
      </w:pPr>
      <w:r w:rsidRPr="00853F56">
        <w:rPr>
          <w:rFonts w:ascii="Times New Roman" w:eastAsia="Times New Roman" w:hAnsi="Times New Roman" w:cs="Times New Roman"/>
          <w:sz w:val="24"/>
          <w:szCs w:val="24"/>
          <w:lang w:val="nl-BE"/>
        </w:rPr>
        <w:t xml:space="preserve">Banerjee, A. V., &amp; Duflo, E. (2011). </w:t>
      </w:r>
      <w:r>
        <w:rPr>
          <w:rFonts w:ascii="Times New Roman" w:eastAsia="Times New Roman" w:hAnsi="Times New Roman" w:cs="Times New Roman"/>
          <w:i/>
          <w:iCs/>
          <w:sz w:val="24"/>
          <w:szCs w:val="24"/>
        </w:rPr>
        <w:t>Poor economics: A radical rethinking of the way to fight global poverty</w:t>
      </w:r>
      <w:r>
        <w:rPr>
          <w:rFonts w:ascii="Times New Roman" w:eastAsia="Times New Roman" w:hAnsi="Times New Roman" w:cs="Times New Roman"/>
          <w:sz w:val="24"/>
          <w:szCs w:val="24"/>
        </w:rPr>
        <w:t>. PublicAffairs.</w:t>
      </w:r>
    </w:p>
    <w:p w14:paraId="03FDB92F" w14:textId="77777777" w:rsidR="00F21BAC"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Chaffey, D., &amp; Ellis-Chadwick, F. (2019). </w:t>
      </w:r>
      <w:r>
        <w:rPr>
          <w:rFonts w:ascii="Times New Roman" w:eastAsia="Times New Roman" w:hAnsi="Times New Roman" w:cs="Times New Roman"/>
          <w:i/>
          <w:iCs/>
          <w:sz w:val="24"/>
          <w:szCs w:val="24"/>
        </w:rPr>
        <w:t>Digital marketing: Strategy, implementation and practice</w:t>
      </w:r>
      <w:r>
        <w:rPr>
          <w:rFonts w:ascii="Times New Roman" w:eastAsia="Times New Roman" w:hAnsi="Times New Roman" w:cs="Times New Roman"/>
          <w:sz w:val="24"/>
          <w:szCs w:val="24"/>
        </w:rPr>
        <w:t xml:space="preserve"> (7th ed.). Pearson Education.</w:t>
      </w:r>
    </w:p>
    <w:p w14:paraId="37B60456"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Chauhan, S., &amp; Shah, M. H. (2023). Consumer adoption of e-pharmacy services in emerging economies: Evidence from India. </w:t>
      </w:r>
      <w:r>
        <w:rPr>
          <w:rFonts w:ascii="Times New Roman" w:eastAsia="Times New Roman" w:hAnsi="Times New Roman" w:cs="Times New Roman"/>
          <w:i/>
          <w:iCs/>
          <w:sz w:val="24"/>
          <w:szCs w:val="24"/>
        </w:rPr>
        <w:t>Journal of Retailing and Consumer Services, 70</w:t>
      </w:r>
      <w:r>
        <w:rPr>
          <w:rFonts w:ascii="Times New Roman" w:eastAsia="Times New Roman" w:hAnsi="Times New Roman" w:cs="Times New Roman"/>
          <w:sz w:val="24"/>
          <w:szCs w:val="24"/>
        </w:rPr>
        <w:t>, 103153.</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https://doi.org/10.1016/j.jretconser.2022.103153</w:t>
        </w:r>
      </w:hyperlink>
    </w:p>
    <w:p w14:paraId="5CD11CED"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Cutler, D. M., &amp; Ly, D. P. (2011). The (paper) work of medicine: Understanding international medical costs. </w:t>
      </w:r>
      <w:r>
        <w:rPr>
          <w:rFonts w:ascii="Times New Roman" w:eastAsia="Times New Roman" w:hAnsi="Times New Roman" w:cs="Times New Roman"/>
          <w:i/>
          <w:iCs/>
          <w:sz w:val="24"/>
          <w:szCs w:val="24"/>
        </w:rPr>
        <w:t>Journal of Economic Perspectives, 25</w:t>
      </w:r>
      <w:r>
        <w:rPr>
          <w:rFonts w:ascii="Times New Roman" w:eastAsia="Times New Roman" w:hAnsi="Times New Roman" w:cs="Times New Roman"/>
          <w:sz w:val="24"/>
          <w:szCs w:val="24"/>
        </w:rPr>
        <w:t>(2), 3–25.</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https://doi.org/10.1257/jep.25.2.3</w:t>
        </w:r>
      </w:hyperlink>
    </w:p>
    <w:p w14:paraId="5D4F8717"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Davis, F. D. (1989). Perceived usefulness, perceived ease of use, and user acceptance of information technology. </w:t>
      </w:r>
      <w:r>
        <w:rPr>
          <w:rFonts w:ascii="Times New Roman" w:eastAsia="Times New Roman" w:hAnsi="Times New Roman" w:cs="Times New Roman"/>
          <w:i/>
          <w:iCs/>
          <w:sz w:val="24"/>
          <w:szCs w:val="24"/>
        </w:rPr>
        <w:t>MIS Quarterly, 13</w:t>
      </w:r>
      <w:r>
        <w:rPr>
          <w:rFonts w:ascii="Times New Roman" w:eastAsia="Times New Roman" w:hAnsi="Times New Roman" w:cs="Times New Roman"/>
          <w:sz w:val="24"/>
          <w:szCs w:val="24"/>
        </w:rPr>
        <w:t>(3), 319–340.</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https://doi.org/10.2307/249008</w:t>
        </w:r>
      </w:hyperlink>
    </w:p>
    <w:p w14:paraId="4EFE52C6"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Dwivedi, Y. K., </w:t>
      </w:r>
      <w:proofErr w:type="spellStart"/>
      <w:r>
        <w:rPr>
          <w:rFonts w:ascii="Times New Roman" w:eastAsia="Times New Roman" w:hAnsi="Times New Roman" w:cs="Times New Roman"/>
          <w:sz w:val="24"/>
          <w:szCs w:val="24"/>
        </w:rPr>
        <w:t>Ismagilova</w:t>
      </w:r>
      <w:proofErr w:type="spellEnd"/>
      <w:r>
        <w:rPr>
          <w:rFonts w:ascii="Times New Roman" w:eastAsia="Times New Roman" w:hAnsi="Times New Roman" w:cs="Times New Roman"/>
          <w:sz w:val="24"/>
          <w:szCs w:val="24"/>
        </w:rPr>
        <w:t xml:space="preserve">, E., Hughes, D. L., Carlson, J., </w:t>
      </w:r>
      <w:proofErr w:type="spellStart"/>
      <w:r>
        <w:rPr>
          <w:rFonts w:ascii="Times New Roman" w:eastAsia="Times New Roman" w:hAnsi="Times New Roman" w:cs="Times New Roman"/>
          <w:sz w:val="24"/>
          <w:szCs w:val="24"/>
        </w:rPr>
        <w:t>Filieri</w:t>
      </w:r>
      <w:proofErr w:type="spellEnd"/>
      <w:r>
        <w:rPr>
          <w:rFonts w:ascii="Times New Roman" w:eastAsia="Times New Roman" w:hAnsi="Times New Roman" w:cs="Times New Roman"/>
          <w:sz w:val="24"/>
          <w:szCs w:val="24"/>
        </w:rPr>
        <w:t xml:space="preserve">, R., Jacobson, J., … Wang, Y. (2021). Setting the future of digital and social media marketing research. </w:t>
      </w:r>
      <w:r>
        <w:rPr>
          <w:rFonts w:ascii="Times New Roman" w:eastAsia="Times New Roman" w:hAnsi="Times New Roman" w:cs="Times New Roman"/>
          <w:i/>
          <w:iCs/>
          <w:sz w:val="24"/>
          <w:szCs w:val="24"/>
        </w:rPr>
        <w:t>International Journal of Information Management, 59</w:t>
      </w:r>
      <w:r>
        <w:rPr>
          <w:rFonts w:ascii="Times New Roman" w:eastAsia="Times New Roman" w:hAnsi="Times New Roman" w:cs="Times New Roman"/>
          <w:sz w:val="24"/>
          <w:szCs w:val="24"/>
        </w:rPr>
        <w:t>, 102168.</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https://doi.org/10.1016/j.ijinfomgt.2020.102168</w:t>
        </w:r>
      </w:hyperlink>
    </w:p>
    <w:p w14:paraId="0DBA5278" w14:textId="77777777" w:rsidR="00F21BAC"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Goplani, M., </w:t>
      </w:r>
      <w:proofErr w:type="spellStart"/>
      <w:r>
        <w:rPr>
          <w:rFonts w:ascii="Times New Roman" w:eastAsia="Times New Roman" w:hAnsi="Times New Roman" w:cs="Times New Roman"/>
          <w:sz w:val="24"/>
          <w:szCs w:val="24"/>
        </w:rPr>
        <w:t>Sabhani</w:t>
      </w:r>
      <w:proofErr w:type="spellEnd"/>
      <w:r>
        <w:rPr>
          <w:rFonts w:ascii="Times New Roman" w:eastAsia="Times New Roman" w:hAnsi="Times New Roman" w:cs="Times New Roman"/>
          <w:sz w:val="24"/>
          <w:szCs w:val="24"/>
        </w:rPr>
        <w:t xml:space="preserve">, J., &amp; Gupta, A. (2024). A study on use of digital payment applications for e-commerce among youth. </w:t>
      </w:r>
      <w:r>
        <w:rPr>
          <w:rFonts w:ascii="Times New Roman" w:eastAsia="Times New Roman" w:hAnsi="Times New Roman" w:cs="Times New Roman"/>
          <w:i/>
          <w:iCs/>
          <w:sz w:val="24"/>
          <w:szCs w:val="24"/>
        </w:rPr>
        <w:t>Shodh Sanchar Bulletin, 11</w:t>
      </w:r>
      <w:r>
        <w:rPr>
          <w:rFonts w:ascii="Times New Roman" w:eastAsia="Times New Roman" w:hAnsi="Times New Roman" w:cs="Times New Roman"/>
          <w:sz w:val="24"/>
          <w:szCs w:val="24"/>
        </w:rPr>
        <w:t>(41), 48–56.</w:t>
      </w:r>
    </w:p>
    <w:p w14:paraId="3FFA8595" w14:textId="77777777" w:rsidR="00F21BAC" w:rsidRDefault="00000000">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Goplani, M. </w:t>
      </w:r>
      <w:r>
        <w:rPr>
          <w:rFonts w:ascii="Times New Roman" w:eastAsia="Times New Roman" w:hAnsi="Times New Roman" w:cs="Times New Roman"/>
          <w:color w:val="222222"/>
          <w:sz w:val="24"/>
          <w:szCs w:val="24"/>
          <w:highlight w:val="white"/>
        </w:rPr>
        <w:t>&amp; Panchal, M.</w:t>
      </w:r>
      <w:r>
        <w:rPr>
          <w:rFonts w:ascii="Times New Roman" w:eastAsia="Times New Roman" w:hAnsi="Times New Roman" w:cs="Times New Roman"/>
          <w:sz w:val="24"/>
          <w:szCs w:val="24"/>
        </w:rPr>
        <w:t xml:space="preserve"> (2025). Digital Hurdles Women's Challenges and Smart Precautions with Mobile Wallet Usage.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Inclusive Growth &amp; Innovation: Multidisciplinary Research Perspectives</w:t>
      </w:r>
      <w:r>
        <w:rPr>
          <w:rFonts w:ascii="Times New Roman" w:eastAsia="Times New Roman" w:hAnsi="Times New Roman" w:cs="Times New Roman"/>
          <w:i/>
          <w:iCs/>
          <w:sz w:val="24"/>
          <w:szCs w:val="24"/>
        </w:rPr>
        <w:t>. ISSN: 978-620-7-47398-4</w:t>
      </w:r>
      <w:r>
        <w:rPr>
          <w:rFonts w:ascii="Times New Roman" w:eastAsia="Times New Roman" w:hAnsi="Times New Roman" w:cs="Times New Roman"/>
          <w:sz w:val="24"/>
          <w:szCs w:val="24"/>
        </w:rPr>
        <w:t xml:space="preserve"> (pp. 1–17). Lambert Academic Publisher. </w:t>
      </w:r>
      <w:hyperlink r:id="rId18">
        <w:r>
          <w:rPr>
            <w:rFonts w:ascii="Times New Roman" w:eastAsia="Times New Roman" w:hAnsi="Times New Roman" w:cs="Times New Roman"/>
            <w:color w:val="1155CC"/>
            <w:sz w:val="24"/>
            <w:szCs w:val="24"/>
            <w:u w:val="single"/>
          </w:rPr>
          <w:t>https://www.researchgate.net/publication/394102839_Digital_Hurdles_Women%27s_Challenges_and_Smart_Precautions_with_Mobile_Wallet_Usage</w:t>
        </w:r>
      </w:hyperlink>
      <w:r>
        <w:rPr>
          <w:rFonts w:ascii="Times New Roman" w:eastAsia="Times New Roman" w:hAnsi="Times New Roman" w:cs="Times New Roman"/>
          <w:sz w:val="24"/>
          <w:szCs w:val="24"/>
        </w:rPr>
        <w:t> </w:t>
      </w:r>
    </w:p>
    <w:p w14:paraId="08E3839E" w14:textId="77777777" w:rsidR="00F21BAC" w:rsidRDefault="00000000">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Goplani, M., &amp; </w:t>
      </w: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(2025). Analysis of the Factors that Affect Customer Satisfaction when Using a Service. International Journal of Advanced Research in Science Communication and Technology, 665. </w:t>
      </w:r>
      <w:hyperlink r:id="rId19">
        <w:r>
          <w:rPr>
            <w:rFonts w:ascii="Times New Roman" w:eastAsia="Times New Roman" w:hAnsi="Times New Roman" w:cs="Times New Roman"/>
            <w:color w:val="1155CC"/>
            <w:sz w:val="24"/>
            <w:szCs w:val="24"/>
            <w:u w:val="single"/>
          </w:rPr>
          <w:t>https://doi.org/10.48175/ijarsct-29691</w:t>
        </w:r>
      </w:hyperlink>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1155CC"/>
            <w:sz w:val="24"/>
            <w:szCs w:val="24"/>
            <w:u w:val="single"/>
          </w:rPr>
          <w:t>https://www.researchgate.net/publication/398661022_Analysis_of_the_Factors_that_Affect_Customer_Satisfaction_when_Using_a_Service</w:t>
        </w:r>
      </w:hyperlink>
      <w:r>
        <w:rPr>
          <w:rFonts w:ascii="Times New Roman" w:eastAsia="Times New Roman" w:hAnsi="Times New Roman" w:cs="Times New Roman"/>
          <w:sz w:val="24"/>
          <w:szCs w:val="24"/>
        </w:rPr>
        <w:t xml:space="preserve"> </w:t>
      </w:r>
    </w:p>
    <w:p w14:paraId="1B3CF9C0"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Gupta, S., &amp; Arora, S. (2017). Consumer adoption of m-wallet: A study on mobile payment adoption in India. </w:t>
      </w:r>
      <w:r>
        <w:rPr>
          <w:rFonts w:ascii="Times New Roman" w:eastAsia="Times New Roman" w:hAnsi="Times New Roman" w:cs="Times New Roman"/>
          <w:i/>
          <w:iCs/>
          <w:sz w:val="24"/>
          <w:szCs w:val="24"/>
        </w:rPr>
        <w:t>Journal of Internet Commerce, 16</w:t>
      </w:r>
      <w:r>
        <w:rPr>
          <w:rFonts w:ascii="Times New Roman" w:eastAsia="Times New Roman" w:hAnsi="Times New Roman" w:cs="Times New Roman"/>
          <w:sz w:val="24"/>
          <w:szCs w:val="24"/>
        </w:rPr>
        <w:t>(4), 450–472.</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https://doi.org/10.1080/15332861.2017.1378650</w:t>
        </w:r>
      </w:hyperlink>
    </w:p>
    <w:p w14:paraId="0D45FAD1" w14:textId="77777777" w:rsidR="00F21BAC"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Monetary Fund. (2021). </w:t>
      </w:r>
      <w:r>
        <w:rPr>
          <w:rFonts w:ascii="Times New Roman" w:eastAsia="Times New Roman" w:hAnsi="Times New Roman" w:cs="Times New Roman"/>
          <w:i/>
          <w:iCs/>
          <w:sz w:val="24"/>
          <w:szCs w:val="24"/>
        </w:rPr>
        <w:t>Digital money across borders: Macro-financial implications</w:t>
      </w:r>
      <w:r>
        <w:rPr>
          <w:rFonts w:ascii="Times New Roman" w:eastAsia="Times New Roman" w:hAnsi="Times New Roman" w:cs="Times New Roman"/>
          <w:sz w:val="24"/>
          <w:szCs w:val="24"/>
        </w:rPr>
        <w:t>. IMF Publications.</w:t>
      </w:r>
    </w:p>
    <w:p w14:paraId="50B3E304"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Iyengar, K., Mabrouk, A., Jain, V. K., Venkatesan, A., &amp; Vaishya, R. (2020). Learning opportunities from COVID-19 and future effects on the health care system. </w:t>
      </w:r>
      <w:r>
        <w:rPr>
          <w:rFonts w:ascii="Times New Roman" w:eastAsia="Times New Roman" w:hAnsi="Times New Roman" w:cs="Times New Roman"/>
          <w:i/>
          <w:iCs/>
          <w:sz w:val="24"/>
          <w:szCs w:val="24"/>
        </w:rPr>
        <w:t>Diabetes &amp; Metabolic Syndrome: Clinical Research &amp; Reviews, 14</w:t>
      </w:r>
      <w:r>
        <w:rPr>
          <w:rFonts w:ascii="Times New Roman" w:eastAsia="Times New Roman" w:hAnsi="Times New Roman" w:cs="Times New Roman"/>
          <w:sz w:val="24"/>
          <w:szCs w:val="24"/>
        </w:rPr>
        <w:t>(5), 943–946.</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https://doi.org/10.1016/j.dsx.2020.06.036</w:t>
        </w:r>
      </w:hyperlink>
    </w:p>
    <w:p w14:paraId="2018E80C" w14:textId="77777777" w:rsidR="00F21BAC" w:rsidRDefault="0000000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 Kulkarni, S. (2021). Digital payment systems and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urban India. </w:t>
      </w:r>
      <w:r>
        <w:rPr>
          <w:rFonts w:ascii="Times New Roman" w:eastAsia="Times New Roman" w:hAnsi="Times New Roman" w:cs="Times New Roman"/>
          <w:i/>
          <w:iCs/>
          <w:sz w:val="24"/>
          <w:szCs w:val="24"/>
        </w:rPr>
        <w:t>International Journal of Economics and Financial Issues, 11</w:t>
      </w:r>
      <w:r>
        <w:rPr>
          <w:rFonts w:ascii="Times New Roman" w:eastAsia="Times New Roman" w:hAnsi="Times New Roman" w:cs="Times New Roman"/>
          <w:sz w:val="24"/>
          <w:szCs w:val="24"/>
        </w:rPr>
        <w:t>(4), 45–52.</w:t>
      </w:r>
    </w:p>
    <w:p w14:paraId="768AD4CB" w14:textId="77777777" w:rsidR="00F21BAC" w:rsidRDefault="0000000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(2022). Adoption of UPI and mobile wallets: Evidence from metropolitan households in India. </w:t>
      </w:r>
      <w:r>
        <w:rPr>
          <w:rFonts w:ascii="Times New Roman" w:eastAsia="Times New Roman" w:hAnsi="Times New Roman" w:cs="Times New Roman"/>
          <w:i/>
          <w:iCs/>
          <w:sz w:val="24"/>
          <w:szCs w:val="24"/>
        </w:rPr>
        <w:t>Journal of Digital Economy, 3</w:t>
      </w:r>
      <w:r>
        <w:rPr>
          <w:rFonts w:ascii="Times New Roman" w:eastAsia="Times New Roman" w:hAnsi="Times New Roman" w:cs="Times New Roman"/>
          <w:sz w:val="24"/>
          <w:szCs w:val="24"/>
        </w:rPr>
        <w:t>(2), 87–98.</w:t>
      </w:r>
    </w:p>
    <w:p w14:paraId="4712780A" w14:textId="77777777" w:rsidR="00F21BAC" w:rsidRDefault="0000000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&amp;Uma, R. (2023). Cashless transactions and financial inclusion: A post-COVID analysis of Indian households. </w:t>
      </w:r>
      <w:r>
        <w:rPr>
          <w:rFonts w:ascii="Times New Roman" w:eastAsia="Times New Roman" w:hAnsi="Times New Roman" w:cs="Times New Roman"/>
          <w:i/>
          <w:iCs/>
          <w:sz w:val="24"/>
          <w:szCs w:val="24"/>
        </w:rPr>
        <w:t>Indian Journal of Economics and Business, 22</w:t>
      </w:r>
      <w:r>
        <w:rPr>
          <w:rFonts w:ascii="Times New Roman" w:eastAsia="Times New Roman" w:hAnsi="Times New Roman" w:cs="Times New Roman"/>
          <w:sz w:val="24"/>
          <w:szCs w:val="24"/>
        </w:rPr>
        <w:t>(1), 113–128.</w:t>
      </w:r>
    </w:p>
    <w:p w14:paraId="2A94010F" w14:textId="77777777" w:rsidR="00F21BAC" w:rsidRDefault="0000000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 Asha, P. (2024). Digital payments and trust formation in online platforms: Evidence from India. </w:t>
      </w:r>
      <w:r>
        <w:rPr>
          <w:rFonts w:ascii="Times New Roman" w:eastAsia="Times New Roman" w:hAnsi="Times New Roman" w:cs="Times New Roman"/>
          <w:i/>
          <w:iCs/>
          <w:sz w:val="24"/>
          <w:szCs w:val="24"/>
        </w:rPr>
        <w:t>Asian Journal of Business and Accounting, 17</w:t>
      </w:r>
      <w:r>
        <w:rPr>
          <w:rFonts w:ascii="Times New Roman" w:eastAsia="Times New Roman" w:hAnsi="Times New Roman" w:cs="Times New Roman"/>
          <w:sz w:val="24"/>
          <w:szCs w:val="24"/>
        </w:rPr>
        <w:t>(2), 201–220.</w:t>
      </w:r>
    </w:p>
    <w:p w14:paraId="0AF965BC" w14:textId="77777777" w:rsidR="00F21BAC" w:rsidRDefault="0000000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Jagannarayan</w:t>
      </w:r>
      <w:proofErr w:type="spellEnd"/>
      <w:r>
        <w:rPr>
          <w:rFonts w:ascii="Times New Roman" w:eastAsia="Times New Roman" w:hAnsi="Times New Roman" w:cs="Times New Roman"/>
          <w:sz w:val="24"/>
          <w:szCs w:val="24"/>
        </w:rPr>
        <w:t xml:space="preserve">, N., &amp; Uma R. (2025). AI, digital payments, and consumer welfare in platform-based healthcare services. </w:t>
      </w:r>
      <w:r>
        <w:rPr>
          <w:rFonts w:ascii="Times New Roman" w:eastAsia="Times New Roman" w:hAnsi="Times New Roman" w:cs="Times New Roman"/>
          <w:i/>
          <w:iCs/>
          <w:sz w:val="24"/>
          <w:szCs w:val="24"/>
        </w:rPr>
        <w:t>Journal of Health Economics and Policy, 10</w:t>
      </w:r>
      <w:r>
        <w:rPr>
          <w:rFonts w:ascii="Times New Roman" w:eastAsia="Times New Roman" w:hAnsi="Times New Roman" w:cs="Times New Roman"/>
          <w:sz w:val="24"/>
          <w:szCs w:val="24"/>
        </w:rPr>
        <w:t>(1), 1–18.</w:t>
      </w:r>
    </w:p>
    <w:p w14:paraId="1CC08323"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Kannan, P. K., &amp; Li, H. (2017). Digital marketing: A framework, review and research agenda. </w:t>
      </w:r>
      <w:r>
        <w:rPr>
          <w:rFonts w:ascii="Times New Roman" w:eastAsia="Times New Roman" w:hAnsi="Times New Roman" w:cs="Times New Roman"/>
          <w:i/>
          <w:iCs/>
          <w:sz w:val="24"/>
          <w:szCs w:val="24"/>
        </w:rPr>
        <w:t>International Journal of Research in Marketing, 34</w:t>
      </w:r>
      <w:r>
        <w:rPr>
          <w:rFonts w:ascii="Times New Roman" w:eastAsia="Times New Roman" w:hAnsi="Times New Roman" w:cs="Times New Roman"/>
          <w:sz w:val="24"/>
          <w:szCs w:val="24"/>
        </w:rPr>
        <w:t>(1), 22–45.</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https://doi.org/10.1016/j.ijresmar.2016.11.006</w:t>
        </w:r>
      </w:hyperlink>
    </w:p>
    <w:p w14:paraId="2073A524"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sidRPr="00853F56">
        <w:rPr>
          <w:rFonts w:ascii="Times New Roman" w:eastAsia="Times New Roman" w:hAnsi="Times New Roman" w:cs="Times New Roman"/>
          <w:sz w:val="24"/>
          <w:szCs w:val="24"/>
          <w:lang w:val="nl-BE"/>
        </w:rPr>
        <w:t xml:space="preserve">Keesara, S., Jonas, A., &amp; Schulman, K. (2020). </w:t>
      </w:r>
      <w:r>
        <w:rPr>
          <w:rFonts w:ascii="Times New Roman" w:eastAsia="Times New Roman" w:hAnsi="Times New Roman" w:cs="Times New Roman"/>
          <w:sz w:val="24"/>
          <w:szCs w:val="24"/>
        </w:rPr>
        <w:t xml:space="preserve">Covid-19 and health care’s digital revolution. </w:t>
      </w:r>
      <w:r>
        <w:rPr>
          <w:rFonts w:ascii="Times New Roman" w:eastAsia="Times New Roman" w:hAnsi="Times New Roman" w:cs="Times New Roman"/>
          <w:i/>
          <w:iCs/>
          <w:sz w:val="24"/>
          <w:szCs w:val="24"/>
        </w:rPr>
        <w:t>New England Journal of Medicine, 382</w:t>
      </w:r>
      <w:r>
        <w:rPr>
          <w:rFonts w:ascii="Times New Roman" w:eastAsia="Times New Roman" w:hAnsi="Times New Roman" w:cs="Times New Roman"/>
          <w:sz w:val="24"/>
          <w:szCs w:val="24"/>
        </w:rPr>
        <w:t>(23), e82.</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https://doi.org/10.1056/NEJMp2005835</w:t>
        </w:r>
      </w:hyperlink>
    </w:p>
    <w:p w14:paraId="0F931E3D"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Lamberton, C., &amp; Stephen, A. T. (2016). A thematic exploration of digital, social media, and mobile marketing research’s evolution. </w:t>
      </w:r>
      <w:r>
        <w:rPr>
          <w:rFonts w:ascii="Times New Roman" w:eastAsia="Times New Roman" w:hAnsi="Times New Roman" w:cs="Times New Roman"/>
          <w:i/>
          <w:iCs/>
          <w:sz w:val="24"/>
          <w:szCs w:val="24"/>
        </w:rPr>
        <w:t>Journal of Marketing, 80</w:t>
      </w:r>
      <w:r>
        <w:rPr>
          <w:rFonts w:ascii="Times New Roman" w:eastAsia="Times New Roman" w:hAnsi="Times New Roman" w:cs="Times New Roman"/>
          <w:sz w:val="24"/>
          <w:szCs w:val="24"/>
        </w:rPr>
        <w:t>(6), 146–172.</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https://doi.org/10.1509/jm.15.0415</w:t>
        </w:r>
      </w:hyperlink>
    </w:p>
    <w:p w14:paraId="19FBBA91"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OECD. (2020). </w:t>
      </w:r>
      <w:r>
        <w:rPr>
          <w:rFonts w:ascii="Times New Roman" w:eastAsia="Times New Roman" w:hAnsi="Times New Roman" w:cs="Times New Roman"/>
          <w:i/>
          <w:iCs/>
          <w:sz w:val="24"/>
          <w:szCs w:val="24"/>
        </w:rPr>
        <w:t>Digital disruption in healthcare</w:t>
      </w:r>
      <w:r>
        <w:rPr>
          <w:rFonts w:ascii="Times New Roman" w:eastAsia="Times New Roman" w:hAnsi="Times New Roman" w:cs="Times New Roman"/>
          <w:sz w:val="24"/>
          <w:szCs w:val="24"/>
        </w:rPr>
        <w:t>. OECD Publishing.</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color w:val="1155CC"/>
            <w:sz w:val="24"/>
            <w:szCs w:val="24"/>
            <w:u w:val="single"/>
          </w:rPr>
          <w:t>https://doi.org/10.1787/2d2f6d30-en</w:t>
        </w:r>
      </w:hyperlink>
    </w:p>
    <w:p w14:paraId="69310D30" w14:textId="77777777" w:rsidR="00F21BAC" w:rsidRDefault="00000000">
      <w:pPr>
        <w:spacing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222222"/>
          <w:sz w:val="24"/>
          <w:szCs w:val="24"/>
          <w:highlight w:val="white"/>
        </w:rPr>
        <w:t xml:space="preserve">Panchal, M. &amp; </w:t>
      </w:r>
      <w:proofErr w:type="spellStart"/>
      <w:r>
        <w:rPr>
          <w:rFonts w:ascii="Times New Roman" w:eastAsia="Times New Roman" w:hAnsi="Times New Roman" w:cs="Times New Roman"/>
          <w:color w:val="222222"/>
          <w:sz w:val="24"/>
          <w:szCs w:val="24"/>
          <w:highlight w:val="white"/>
        </w:rPr>
        <w:t>Goplani</w:t>
      </w:r>
      <w:proofErr w:type="spellEnd"/>
      <w:r>
        <w:rPr>
          <w:rFonts w:ascii="Times New Roman" w:eastAsia="Times New Roman" w:hAnsi="Times New Roman" w:cs="Times New Roman"/>
          <w:color w:val="222222"/>
          <w:sz w:val="24"/>
          <w:szCs w:val="24"/>
          <w:highlight w:val="white"/>
        </w:rPr>
        <w:t xml:space="preserve">, M. (2024). CUSTOMERS’ TENDENCY TO ADOPT DIGITAL WALLETS IN MUMBAI CITY. Humanities and Social Science Studies, ISSN 2319-829X, Vol. 13, Issue 1, No. 31, 32-40. </w:t>
      </w:r>
      <w:hyperlink r:id="rId33">
        <w:r>
          <w:rPr>
            <w:rFonts w:ascii="Times New Roman" w:eastAsia="Times New Roman" w:hAnsi="Times New Roman" w:cs="Times New Roman"/>
            <w:color w:val="0563C1"/>
            <w:sz w:val="24"/>
            <w:szCs w:val="24"/>
            <w:highlight w:val="white"/>
            <w:u w:val="single"/>
          </w:rPr>
          <w:t>https://www.researchgate.net/publication/382462638_CUSTOMERS'_TENDENCY_TO_ADOPT_DIGITAL_WALLETS_IN_MUMBAI_CITY</w:t>
        </w:r>
      </w:hyperlink>
      <w:r>
        <w:rPr>
          <w:rFonts w:ascii="Times New Roman" w:eastAsia="Times New Roman" w:hAnsi="Times New Roman" w:cs="Times New Roman"/>
          <w:color w:val="222222"/>
          <w:sz w:val="24"/>
          <w:szCs w:val="24"/>
          <w:highlight w:val="white"/>
        </w:rPr>
        <w:t xml:space="preserve"> </w:t>
      </w:r>
    </w:p>
    <w:p w14:paraId="19D3D357" w14:textId="77777777" w:rsidR="00F21BAC"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Reserve Bank of India. (2022). </w:t>
      </w:r>
      <w:r>
        <w:rPr>
          <w:rFonts w:ascii="Times New Roman" w:eastAsia="Times New Roman" w:hAnsi="Times New Roman" w:cs="Times New Roman"/>
          <w:i/>
          <w:iCs/>
          <w:sz w:val="24"/>
          <w:szCs w:val="24"/>
        </w:rPr>
        <w:t>Payment and settlement systems in India: Vision 2025</w:t>
      </w:r>
      <w:r>
        <w:rPr>
          <w:rFonts w:ascii="Times New Roman" w:eastAsia="Times New Roman" w:hAnsi="Times New Roman" w:cs="Times New Roman"/>
          <w:sz w:val="24"/>
          <w:szCs w:val="24"/>
        </w:rPr>
        <w:t>. Reserve Bank of India.</w:t>
      </w:r>
    </w:p>
    <w:p w14:paraId="6E5F6F78"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Reddy, S., Fox, J., &amp; Purohit, M. P. (2022). Artificial intelligence-enabled healthcare delivery. </w:t>
      </w:r>
      <w:r>
        <w:rPr>
          <w:rFonts w:ascii="Times New Roman" w:eastAsia="Times New Roman" w:hAnsi="Times New Roman" w:cs="Times New Roman"/>
          <w:i/>
          <w:iCs/>
          <w:sz w:val="24"/>
          <w:szCs w:val="24"/>
        </w:rPr>
        <w:t>Journal of the Royal Society of Medicine, 115</w:t>
      </w:r>
      <w:r>
        <w:rPr>
          <w:rFonts w:ascii="Times New Roman" w:eastAsia="Times New Roman" w:hAnsi="Times New Roman" w:cs="Times New Roman"/>
          <w:sz w:val="24"/>
          <w:szCs w:val="24"/>
        </w:rPr>
        <w:t>(6), 216–221.</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https://doi.org/10.1177/01410768221086157</w:t>
        </w:r>
      </w:hyperlink>
    </w:p>
    <w:p w14:paraId="5E4437A4" w14:textId="77777777" w:rsidR="00F21BAC" w:rsidRPr="00853F56" w:rsidRDefault="00000000">
      <w:pPr>
        <w:rPr>
          <w:highlight w:val="yellow"/>
        </w:rPr>
      </w:pPr>
      <w:proofErr w:type="spellStart"/>
      <w:r w:rsidRPr="00853F56">
        <w:rPr>
          <w:color w:val="222222"/>
          <w:sz w:val="20"/>
          <w:szCs w:val="20"/>
          <w:highlight w:val="yellow"/>
        </w:rPr>
        <w:t>Setyadi</w:t>
      </w:r>
      <w:proofErr w:type="spellEnd"/>
      <w:r w:rsidRPr="00853F56">
        <w:rPr>
          <w:color w:val="222222"/>
          <w:sz w:val="20"/>
          <w:szCs w:val="20"/>
          <w:highlight w:val="yellow"/>
        </w:rPr>
        <w:t xml:space="preserve">, A., </w:t>
      </w:r>
      <w:proofErr w:type="spellStart"/>
      <w:r w:rsidRPr="00853F56">
        <w:rPr>
          <w:color w:val="222222"/>
          <w:sz w:val="20"/>
          <w:szCs w:val="20"/>
          <w:highlight w:val="yellow"/>
        </w:rPr>
        <w:t>Soekotjo</w:t>
      </w:r>
      <w:proofErr w:type="spellEnd"/>
      <w:r w:rsidRPr="00853F56">
        <w:rPr>
          <w:color w:val="222222"/>
          <w:sz w:val="20"/>
          <w:szCs w:val="20"/>
          <w:highlight w:val="yellow"/>
        </w:rPr>
        <w:t xml:space="preserve">, S., Lestari, S. D., </w:t>
      </w:r>
      <w:proofErr w:type="spellStart"/>
      <w:r w:rsidRPr="00853F56">
        <w:rPr>
          <w:color w:val="222222"/>
          <w:sz w:val="20"/>
          <w:szCs w:val="20"/>
          <w:highlight w:val="yellow"/>
        </w:rPr>
        <w:t>Pawirosumarto</w:t>
      </w:r>
      <w:proofErr w:type="spellEnd"/>
      <w:r w:rsidRPr="00853F56">
        <w:rPr>
          <w:color w:val="222222"/>
          <w:sz w:val="20"/>
          <w:szCs w:val="20"/>
          <w:highlight w:val="yellow"/>
        </w:rPr>
        <w:t xml:space="preserve">, S., &amp; Damaris, A. (2025). Trends and opportunities in sustainable manufacturing: a systematic review of key dimensions from 2019 to 2024. </w:t>
      </w:r>
      <w:r w:rsidRPr="00853F56">
        <w:rPr>
          <w:i/>
          <w:iCs/>
          <w:color w:val="222222"/>
          <w:sz w:val="20"/>
          <w:szCs w:val="20"/>
          <w:highlight w:val="yellow"/>
        </w:rPr>
        <w:t>Sustainability</w:t>
      </w:r>
      <w:r w:rsidRPr="00853F56">
        <w:rPr>
          <w:color w:val="222222"/>
          <w:sz w:val="20"/>
          <w:szCs w:val="20"/>
          <w:highlight w:val="yellow"/>
        </w:rPr>
        <w:t xml:space="preserve">, </w:t>
      </w:r>
      <w:r w:rsidRPr="00853F56">
        <w:rPr>
          <w:i/>
          <w:iCs/>
          <w:color w:val="222222"/>
          <w:sz w:val="20"/>
          <w:szCs w:val="20"/>
          <w:highlight w:val="yellow"/>
        </w:rPr>
        <w:t>17</w:t>
      </w:r>
      <w:r w:rsidRPr="00853F56">
        <w:rPr>
          <w:color w:val="222222"/>
          <w:sz w:val="20"/>
          <w:szCs w:val="20"/>
          <w:highlight w:val="yellow"/>
        </w:rPr>
        <w:t>(2), 789.</w:t>
      </w:r>
    </w:p>
    <w:p w14:paraId="7A1781E4"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sidRPr="00853F56">
        <w:rPr>
          <w:rFonts w:ascii="Times New Roman" w:eastAsia="Times New Roman" w:hAnsi="Times New Roman" w:cs="Times New Roman"/>
          <w:color w:val="1155CC"/>
          <w:sz w:val="24"/>
          <w:szCs w:val="24"/>
          <w:highlight w:val="yellow"/>
          <w:u w:val="single"/>
        </w:rPr>
        <w:t xml:space="preserve">Toh, Evelyn &amp; Kung, Zhen. (2024). The Stimulating Effect of E-Wallet on Impulse Purchase </w:t>
      </w:r>
      <w:proofErr w:type="gramStart"/>
      <w:r w:rsidRPr="00853F56">
        <w:rPr>
          <w:rFonts w:ascii="Times New Roman" w:eastAsia="Times New Roman" w:hAnsi="Times New Roman" w:cs="Times New Roman"/>
          <w:color w:val="1155CC"/>
          <w:sz w:val="24"/>
          <w:szCs w:val="24"/>
          <w:highlight w:val="yellow"/>
          <w:u w:val="single"/>
        </w:rPr>
        <w:t>From</w:t>
      </w:r>
      <w:proofErr w:type="gramEnd"/>
      <w:r w:rsidRPr="00853F56">
        <w:rPr>
          <w:rFonts w:ascii="Times New Roman" w:eastAsia="Times New Roman" w:hAnsi="Times New Roman" w:cs="Times New Roman"/>
          <w:color w:val="1155CC"/>
          <w:sz w:val="24"/>
          <w:szCs w:val="24"/>
          <w:highlight w:val="yellow"/>
          <w:u w:val="single"/>
        </w:rPr>
        <w:t xml:space="preserve"> the Perspective of Customers in Klang Valley. 10.4018/979-8-3693-5668-5.ch014.</w:t>
      </w:r>
      <w:r>
        <w:rPr>
          <w:rFonts w:ascii="Times New Roman" w:eastAsia="Times New Roman" w:hAnsi="Times New Roman" w:cs="Times New Roman"/>
          <w:color w:val="1155CC"/>
          <w:sz w:val="24"/>
          <w:szCs w:val="24"/>
          <w:u w:val="single"/>
        </w:rPr>
        <w:t xml:space="preserve"> </w:t>
      </w:r>
    </w:p>
    <w:p w14:paraId="72DEF692"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Thakur, R., &amp; Srivastava, M. (2014). Adoption readiness, personal innovativeness, perceived risk and usage intention across customer groups for mobile payment services in India. </w:t>
      </w:r>
      <w:r>
        <w:rPr>
          <w:rFonts w:ascii="Times New Roman" w:eastAsia="Times New Roman" w:hAnsi="Times New Roman" w:cs="Times New Roman"/>
          <w:i/>
          <w:iCs/>
          <w:sz w:val="24"/>
          <w:szCs w:val="24"/>
        </w:rPr>
        <w:t>Internet Research, 24</w:t>
      </w:r>
      <w:r>
        <w:rPr>
          <w:rFonts w:ascii="Times New Roman" w:eastAsia="Times New Roman" w:hAnsi="Times New Roman" w:cs="Times New Roman"/>
          <w:sz w:val="24"/>
          <w:szCs w:val="24"/>
        </w:rPr>
        <w:t>(3), 369–392.</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https://doi.org/10.1108/IntR-12-2012-0244</w:t>
        </w:r>
      </w:hyperlink>
    </w:p>
    <w:p w14:paraId="6EA62ADC" w14:textId="77777777" w:rsidR="00F21BAC" w:rsidRDefault="00000000">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Zhou, T. (2013). An empirical examination of continuance intention of mobile payment services. </w:t>
      </w:r>
      <w:r>
        <w:rPr>
          <w:rFonts w:ascii="Times New Roman" w:eastAsia="Times New Roman" w:hAnsi="Times New Roman" w:cs="Times New Roman"/>
          <w:i/>
          <w:iCs/>
          <w:sz w:val="24"/>
          <w:szCs w:val="24"/>
        </w:rPr>
        <w:t>Decision Support Systems, 54</w:t>
      </w:r>
      <w:r>
        <w:rPr>
          <w:rFonts w:ascii="Times New Roman" w:eastAsia="Times New Roman" w:hAnsi="Times New Roman" w:cs="Times New Roman"/>
          <w:sz w:val="24"/>
          <w:szCs w:val="24"/>
        </w:rPr>
        <w:t>(2), 1085–1091.</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https://doi.org/10.1016/j.dss.2012.10.034</w:t>
        </w:r>
      </w:hyperlink>
    </w:p>
    <w:p w14:paraId="77C72272" w14:textId="77777777" w:rsidR="00F21BAC" w:rsidRDefault="00F21BAC">
      <w:pPr>
        <w:rPr>
          <w:rFonts w:ascii="Times New Roman" w:eastAsia="Times New Roman" w:hAnsi="Times New Roman" w:cs="Times New Roman"/>
          <w:sz w:val="24"/>
          <w:szCs w:val="24"/>
        </w:rPr>
      </w:pPr>
    </w:p>
    <w:p w14:paraId="2D81583D" w14:textId="77777777" w:rsidR="00F21BAC" w:rsidRDefault="00F21BAC">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5" w:name="_heading=h.8k5nth9kubio" w:colFirst="0" w:colLast="0"/>
      <w:bookmarkEnd w:id="35"/>
    </w:p>
    <w:p w14:paraId="5622FA7E" w14:textId="77777777" w:rsidR="00F21BAC" w:rsidRDefault="00F21BAC">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6" w:name="_heading=h.xi179myoixhi" w:colFirst="0" w:colLast="0"/>
      <w:bookmarkEnd w:id="36"/>
    </w:p>
    <w:p w14:paraId="16F0A7EA" w14:textId="77777777" w:rsidR="00F21BAC" w:rsidRDefault="00F21BAC">
      <w:pPr>
        <w:pStyle w:val="Heading1"/>
        <w:keepNext w:val="0"/>
        <w:keepLines w:val="0"/>
        <w:spacing w:before="480" w:line="360" w:lineRule="auto"/>
        <w:jc w:val="both"/>
        <w:rPr>
          <w:rFonts w:ascii="Times New Roman" w:eastAsia="Times New Roman" w:hAnsi="Times New Roman" w:cs="Times New Roman"/>
          <w:b/>
          <w:bCs/>
          <w:sz w:val="24"/>
          <w:szCs w:val="24"/>
        </w:rPr>
      </w:pPr>
      <w:bookmarkStart w:id="37" w:name="_heading=h.nt180ceo24ae" w:colFirst="0" w:colLast="0"/>
      <w:bookmarkEnd w:id="37"/>
    </w:p>
    <w:p w14:paraId="29668451" w14:textId="77777777" w:rsidR="00F21BAC" w:rsidRDefault="00F21BAC">
      <w:pPr>
        <w:spacing w:line="360" w:lineRule="auto"/>
        <w:jc w:val="both"/>
        <w:rPr>
          <w:rFonts w:ascii="Times New Roman" w:eastAsia="Times New Roman" w:hAnsi="Times New Roman" w:cs="Times New Roman"/>
          <w:sz w:val="24"/>
          <w:szCs w:val="24"/>
        </w:rPr>
      </w:pPr>
    </w:p>
    <w:sectPr w:rsidR="00F21BAC">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0E9DF" w14:textId="77777777" w:rsidR="001F6417" w:rsidRDefault="001F6417">
      <w:pPr>
        <w:spacing w:line="240" w:lineRule="auto"/>
      </w:pPr>
      <w:r>
        <w:separator/>
      </w:r>
    </w:p>
  </w:endnote>
  <w:endnote w:type="continuationSeparator" w:id="0">
    <w:p w14:paraId="23A74818" w14:textId="77777777" w:rsidR="001F6417" w:rsidRDefault="001F64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D0CF20-4DC4-4776-83D1-147F24BB8B78}"/>
  </w:font>
  <w:font w:name="Cambria">
    <w:panose1 w:val="02040503050406030204"/>
    <w:charset w:val="00"/>
    <w:family w:val="roman"/>
    <w:pitch w:val="variable"/>
    <w:sig w:usb0="E00006FF" w:usb1="420024FF" w:usb2="02000000" w:usb3="00000000" w:csb0="0000019F" w:csb1="00000000"/>
    <w:embedRegular r:id="rId2" w:fontKey="{8493254B-D8E7-403F-A961-56D6C4CA6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8A52" w14:textId="77777777" w:rsidR="00F21BAC" w:rsidRDefault="00F21BA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2C9B" w14:textId="77777777" w:rsidR="00F21BAC" w:rsidRDefault="00F21BAC">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92E3" w14:textId="77777777" w:rsidR="00F21BAC" w:rsidRDefault="00F21BA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EA8DD" w14:textId="77777777" w:rsidR="001F6417" w:rsidRDefault="001F6417">
      <w:pPr>
        <w:spacing w:line="240" w:lineRule="auto"/>
      </w:pPr>
      <w:r>
        <w:separator/>
      </w:r>
    </w:p>
  </w:footnote>
  <w:footnote w:type="continuationSeparator" w:id="0">
    <w:p w14:paraId="32A6A153" w14:textId="77777777" w:rsidR="001F6417" w:rsidRDefault="001F64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7232" w14:textId="77777777" w:rsidR="00F21BAC"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48EFD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232C2" w14:textId="77777777" w:rsidR="00F21BAC"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355B9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80F2" w14:textId="77777777" w:rsidR="00F21BAC"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6B94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0433"/>
    <w:multiLevelType w:val="multilevel"/>
    <w:tmpl w:val="A27CFC9E"/>
    <w:lvl w:ilvl="0">
      <w:start w:val="1"/>
      <w:numFmt w:val="bullet"/>
      <w:lvlText w:val="●"/>
      <w:lvlJc w:val="left"/>
      <w:pPr>
        <w:ind w:left="720" w:hanging="360"/>
      </w:pPr>
      <w:rPr>
        <w:rFonts w:ascii="Times New Roman" w:eastAsia="Times New Roman" w:hAnsi="Times New Roman" w:cs="Times New Roman"/>
        <w:b w:val="0"/>
        <w:bCs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083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AC"/>
    <w:rsid w:val="00100277"/>
    <w:rsid w:val="001F6417"/>
    <w:rsid w:val="00853F56"/>
    <w:rsid w:val="00F2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EF4B9BE"/>
  <w15:docId w15:val="{E4486689-4007-49E0-B72A-C1703089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Header">
    <w:name w:val="header"/>
    <w:basedOn w:val="Normal"/>
    <w:link w:val="HeaderChar"/>
    <w:uiPriority w:val="99"/>
    <w:unhideWhenUsed/>
    <w:rsid w:val="00076B42"/>
    <w:pPr>
      <w:tabs>
        <w:tab w:val="center" w:pos="4680"/>
        <w:tab w:val="right" w:pos="9360"/>
      </w:tabs>
      <w:spacing w:line="240" w:lineRule="auto"/>
    </w:pPr>
  </w:style>
  <w:style w:type="character" w:customStyle="1" w:styleId="HeaderChar">
    <w:name w:val="Header Char"/>
    <w:basedOn w:val="DefaultParagraphFont"/>
    <w:link w:val="Header"/>
    <w:uiPriority w:val="99"/>
    <w:rsid w:val="00076B42"/>
  </w:style>
  <w:style w:type="paragraph" w:styleId="Footer">
    <w:name w:val="footer"/>
    <w:basedOn w:val="Normal"/>
    <w:link w:val="FooterChar"/>
    <w:uiPriority w:val="99"/>
    <w:unhideWhenUsed/>
    <w:rsid w:val="00076B42"/>
    <w:pPr>
      <w:tabs>
        <w:tab w:val="center" w:pos="4680"/>
        <w:tab w:val="right" w:pos="9360"/>
      </w:tabs>
      <w:spacing w:line="240" w:lineRule="auto"/>
    </w:pPr>
  </w:style>
  <w:style w:type="character" w:customStyle="1" w:styleId="FooterChar">
    <w:name w:val="Footer Char"/>
    <w:basedOn w:val="DefaultParagraphFont"/>
    <w:link w:val="Footer"/>
    <w:uiPriority w:val="99"/>
    <w:rsid w:val="00076B42"/>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257/jep.25.2.3" TargetMode="External"/><Relationship Id="rId18" Type="http://schemas.openxmlformats.org/officeDocument/2006/relationships/hyperlink" Target="https://www.researchgate.net/publication/394102839_Digital_Hurdles_Women%27s_Challenges_and_Smart_Precautions_with_Mobile_Wallet_Usage" TargetMode="External"/><Relationship Id="rId26" Type="http://schemas.openxmlformats.org/officeDocument/2006/relationships/hyperlink" Target="https://doi.org/10.1016/j.ijresmar.2016.11.006" TargetMode="External"/><Relationship Id="rId39" Type="http://schemas.openxmlformats.org/officeDocument/2006/relationships/hyperlink" Target="https://doi.org/10.1016/j.dss.2012.10.034" TargetMode="External"/><Relationship Id="rId21" Type="http://schemas.openxmlformats.org/officeDocument/2006/relationships/hyperlink" Target="https://doi.org/10.1080/15332861.2017.1378650" TargetMode="External"/><Relationship Id="rId34" Type="http://schemas.openxmlformats.org/officeDocument/2006/relationships/hyperlink" Target="https://doi.org/10.1177/01410768221086157"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ijinfomgt.2020.102168" TargetMode="External"/><Relationship Id="rId29" Type="http://schemas.openxmlformats.org/officeDocument/2006/relationships/hyperlink" Target="https://doi.org/10.1509/jm.15.0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retconser.2022.103153" TargetMode="External"/><Relationship Id="rId24" Type="http://schemas.openxmlformats.org/officeDocument/2006/relationships/hyperlink" Target="https://doi.org/10.1016/j.dsx.2020.06.036" TargetMode="External"/><Relationship Id="rId32" Type="http://schemas.openxmlformats.org/officeDocument/2006/relationships/hyperlink" Target="https://doi.org/10.1787/2d2f6d30-en" TargetMode="External"/><Relationship Id="rId37" Type="http://schemas.openxmlformats.org/officeDocument/2006/relationships/hyperlink" Target="https://doi.org/10.1108/IntR-12-2012-0244"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2307/249008" TargetMode="External"/><Relationship Id="rId23" Type="http://schemas.openxmlformats.org/officeDocument/2006/relationships/hyperlink" Target="https://doi.org/10.1016/j.dsx.2020.06.036" TargetMode="External"/><Relationship Id="rId28" Type="http://schemas.openxmlformats.org/officeDocument/2006/relationships/hyperlink" Target="https://doi.org/10.1056/NEJMp2005835" TargetMode="External"/><Relationship Id="rId36" Type="http://schemas.openxmlformats.org/officeDocument/2006/relationships/hyperlink" Target="https://doi.org/10.1108/IntR-12-2012-0244" TargetMode="External"/><Relationship Id="rId10" Type="http://schemas.openxmlformats.org/officeDocument/2006/relationships/hyperlink" Target="https://doi.org/10.1016/j.jretconser.2022.103153" TargetMode="External"/><Relationship Id="rId19" Type="http://schemas.openxmlformats.org/officeDocument/2006/relationships/hyperlink" Target="https://doi.org/10.48175/ijarsct-29691" TargetMode="External"/><Relationship Id="rId31" Type="http://schemas.openxmlformats.org/officeDocument/2006/relationships/hyperlink" Target="https://doi.org/10.1787/2d2f6d30-en"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1287/isre.1100.0327" TargetMode="External"/><Relationship Id="rId14" Type="http://schemas.openxmlformats.org/officeDocument/2006/relationships/hyperlink" Target="https://doi.org/10.2307/249008" TargetMode="External"/><Relationship Id="rId22" Type="http://schemas.openxmlformats.org/officeDocument/2006/relationships/hyperlink" Target="https://doi.org/10.1080/15332861.2017.1378650" TargetMode="External"/><Relationship Id="rId27" Type="http://schemas.openxmlformats.org/officeDocument/2006/relationships/hyperlink" Target="https://doi.org/10.1056/NEJMp2005835" TargetMode="External"/><Relationship Id="rId30" Type="http://schemas.openxmlformats.org/officeDocument/2006/relationships/hyperlink" Target="https://doi.org/10.1509/jm.15.0415" TargetMode="External"/><Relationship Id="rId35" Type="http://schemas.openxmlformats.org/officeDocument/2006/relationships/hyperlink" Target="https://doi.org/10.1177/01410768221086157" TargetMode="External"/><Relationship Id="rId43" Type="http://schemas.openxmlformats.org/officeDocument/2006/relationships/footer" Target="footer2.xml"/><Relationship Id="rId8" Type="http://schemas.openxmlformats.org/officeDocument/2006/relationships/hyperlink" Target="https://doi.org/10.1287/isre.1100.0327" TargetMode="External"/><Relationship Id="rId3" Type="http://schemas.openxmlformats.org/officeDocument/2006/relationships/styles" Target="styles.xml"/><Relationship Id="rId12" Type="http://schemas.openxmlformats.org/officeDocument/2006/relationships/hyperlink" Target="https://doi.org/10.1257/jep.25.2.3" TargetMode="External"/><Relationship Id="rId17" Type="http://schemas.openxmlformats.org/officeDocument/2006/relationships/hyperlink" Target="https://doi.org/10.1016/j.ijinfomgt.2020.102168" TargetMode="External"/><Relationship Id="rId25" Type="http://schemas.openxmlformats.org/officeDocument/2006/relationships/hyperlink" Target="https://doi.org/10.1016/j.ijresmar.2016.11.006" TargetMode="External"/><Relationship Id="rId33" Type="http://schemas.openxmlformats.org/officeDocument/2006/relationships/hyperlink" Target="https://www.researchgate.net/publication/382462638_CUSTOMERS'_TENDENCY_TO_ADOPT_DIGITAL_WALLETS_IN_MUMBAI_CITY" TargetMode="External"/><Relationship Id="rId38" Type="http://schemas.openxmlformats.org/officeDocument/2006/relationships/hyperlink" Target="https://doi.org/10.1016/j.dss.2012.10.034" TargetMode="External"/><Relationship Id="rId46" Type="http://schemas.openxmlformats.org/officeDocument/2006/relationships/fontTable" Target="fontTable.xml"/><Relationship Id="rId20" Type="http://schemas.openxmlformats.org/officeDocument/2006/relationships/hyperlink" Target="https://www.researchgate.net/publication/398661022_Analysis_of_the_Factors_that_Affect_Customer_Satisfaction_when_Using_a_Service"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YQRwXc83BRqEgDGIhel1/keT9w==">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6398</Words>
  <Characters>36469</Characters>
  <Application>Microsoft Office Word</Application>
  <DocSecurity>0</DocSecurity>
  <Lines>303</Lines>
  <Paragraphs>85</Paragraphs>
  <ScaleCrop>false</ScaleCrop>
  <Company/>
  <LinksUpToDate>false</LinksUpToDate>
  <CharactersWithSpaces>42782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2</cp:revision>
  <dcterms:created xsi:type="dcterms:W3CDTF">2026-01-19T09:40:00Z</dcterms:created>
  <dcterms:modified xsi:type="dcterms:W3CDTF">2026-01-27T11:46:00Z</dcterms:modified>
</cp:coreProperties>
</file>