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67781" w14:textId="43A87730" w:rsidR="00AC19FD" w:rsidRDefault="00915A47" w:rsidP="00DD083A">
      <w:pPr>
        <w:pStyle w:val="NormalWeb"/>
        <w:spacing w:before="0" w:beforeAutospacing="0" w:after="0" w:afterAutospacing="0"/>
        <w:jc w:val="center"/>
        <w:rPr>
          <w:b/>
          <w:bCs/>
          <w:i/>
          <w:iCs/>
          <w:sz w:val="28"/>
          <w:szCs w:val="28"/>
        </w:rPr>
      </w:pPr>
      <w:r w:rsidRPr="00915A47">
        <w:rPr>
          <w:b/>
          <w:bCs/>
          <w:sz w:val="28"/>
          <w:szCs w:val="28"/>
        </w:rPr>
        <w:t xml:space="preserve">Reproductive and behavioural implications of fluoxetine exposure in </w:t>
      </w:r>
      <w:r w:rsidRPr="00915A47">
        <w:rPr>
          <w:b/>
          <w:bCs/>
          <w:i/>
          <w:iCs/>
          <w:sz w:val="28"/>
          <w:szCs w:val="28"/>
        </w:rPr>
        <w:t>Danio rerio</w:t>
      </w:r>
    </w:p>
    <w:p w14:paraId="21CF9965" w14:textId="77777777" w:rsidR="00C0215F" w:rsidRPr="00915A47" w:rsidRDefault="00C0215F" w:rsidP="00DD083A">
      <w:pPr>
        <w:pStyle w:val="NormalWeb"/>
        <w:spacing w:before="0" w:beforeAutospacing="0" w:after="0" w:afterAutospacing="0"/>
        <w:jc w:val="center"/>
        <w:rPr>
          <w:b/>
          <w:bCs/>
          <w:i/>
          <w:iCs/>
          <w:sz w:val="28"/>
          <w:szCs w:val="28"/>
        </w:rPr>
      </w:pPr>
    </w:p>
    <w:p w14:paraId="6833FF89" w14:textId="4B730FBA" w:rsidR="00C0215F" w:rsidRDefault="00C0215F" w:rsidP="00D344E0">
      <w:pPr>
        <w:spacing w:after="0"/>
        <w:jc w:val="center"/>
        <w:rPr>
          <w:rFonts w:ascii="Times New Roman" w:hAnsi="Times New Roman" w:cs="Times New Roman"/>
          <w:sz w:val="24"/>
          <w:szCs w:val="24"/>
        </w:rPr>
      </w:pPr>
    </w:p>
    <w:p w14:paraId="06B793B3" w14:textId="77777777" w:rsidR="00C0215F" w:rsidRPr="00915A47" w:rsidRDefault="00C0215F" w:rsidP="00D344E0">
      <w:pPr>
        <w:spacing w:after="0"/>
        <w:jc w:val="center"/>
        <w:rPr>
          <w:rFonts w:ascii="Times New Roman" w:hAnsi="Times New Roman" w:cs="Times New Roman"/>
          <w:sz w:val="24"/>
          <w:szCs w:val="24"/>
        </w:rPr>
      </w:pPr>
    </w:p>
    <w:p w14:paraId="49B76B83" w14:textId="77777777" w:rsidR="00915A47" w:rsidRDefault="00915A47" w:rsidP="00915A47">
      <w:pPr>
        <w:spacing w:after="0" w:line="240" w:lineRule="auto"/>
        <w:rPr>
          <w:rFonts w:ascii="Times New Roman" w:hAnsi="Times New Roman"/>
          <w:b/>
          <w:bCs/>
          <w:sz w:val="24"/>
          <w:szCs w:val="28"/>
        </w:rPr>
      </w:pPr>
    </w:p>
    <w:p w14:paraId="69CECCE1" w14:textId="77777777" w:rsidR="00915A47" w:rsidRDefault="00915A47" w:rsidP="00915A47">
      <w:pPr>
        <w:spacing w:after="0" w:line="240" w:lineRule="auto"/>
        <w:rPr>
          <w:rFonts w:ascii="Times New Roman" w:hAnsi="Times New Roman"/>
          <w:b/>
          <w:bCs/>
          <w:sz w:val="24"/>
          <w:szCs w:val="28"/>
        </w:rPr>
      </w:pPr>
    </w:p>
    <w:p w14:paraId="4C2D7724" w14:textId="1CA4654C" w:rsidR="00915A47" w:rsidRPr="00794333" w:rsidRDefault="00915A47" w:rsidP="00915A47">
      <w:pPr>
        <w:spacing w:after="0" w:line="240" w:lineRule="auto"/>
        <w:rPr>
          <w:rFonts w:ascii="Times New Roman" w:hAnsi="Times New Roman"/>
          <w:b/>
          <w:bCs/>
          <w:sz w:val="24"/>
          <w:szCs w:val="28"/>
        </w:rPr>
      </w:pPr>
      <w:r w:rsidRPr="00F94272">
        <w:rPr>
          <w:rFonts w:ascii="Times New Roman" w:hAnsi="Times New Roman"/>
          <w:b/>
          <w:bCs/>
          <w:sz w:val="24"/>
          <w:szCs w:val="28"/>
        </w:rPr>
        <w:t>ABSTRACT</w:t>
      </w:r>
    </w:p>
    <w:p w14:paraId="47034332" w14:textId="77777777" w:rsidR="00915A47" w:rsidRDefault="00915A47" w:rsidP="00927BC9">
      <w:pPr>
        <w:rPr>
          <w:rFonts w:ascii="Times New Roman" w:hAnsi="Times New Roman" w:cs="Times New Roman"/>
          <w:sz w:val="24"/>
          <w:szCs w:val="24"/>
        </w:rPr>
      </w:pPr>
    </w:p>
    <w:p w14:paraId="4A2428DF" w14:textId="523BEAC3" w:rsidR="00927BC9" w:rsidRDefault="00927BC9" w:rsidP="00927BC9">
      <w:pPr>
        <w:spacing w:line="360" w:lineRule="auto"/>
        <w:jc w:val="both"/>
        <w:rPr>
          <w:rFonts w:ascii="Times New Roman" w:hAnsi="Times New Roman" w:cs="Times New Roman"/>
          <w:sz w:val="24"/>
          <w:szCs w:val="24"/>
        </w:rPr>
      </w:pPr>
      <w:r w:rsidRPr="00927BC9">
        <w:rPr>
          <w:rFonts w:ascii="Times New Roman" w:hAnsi="Times New Roman" w:cs="Times New Roman"/>
          <w:sz w:val="24"/>
          <w:szCs w:val="24"/>
        </w:rPr>
        <w:t xml:space="preserve">This study investigates the impact of fluoxetine, a common antidepressant, on the reproductive health and </w:t>
      </w:r>
      <w:proofErr w:type="spellStart"/>
      <w:r w:rsidRPr="00927BC9">
        <w:rPr>
          <w:rFonts w:ascii="Times New Roman" w:hAnsi="Times New Roman" w:cs="Times New Roman"/>
          <w:sz w:val="24"/>
          <w:szCs w:val="24"/>
        </w:rPr>
        <w:t>behavior</w:t>
      </w:r>
      <w:proofErr w:type="spellEnd"/>
      <w:r w:rsidRPr="00927BC9">
        <w:rPr>
          <w:rFonts w:ascii="Times New Roman" w:hAnsi="Times New Roman" w:cs="Times New Roman"/>
          <w:sz w:val="24"/>
          <w:szCs w:val="24"/>
        </w:rPr>
        <w:t xml:space="preserve"> of zebrafish (</w:t>
      </w:r>
      <w:r w:rsidRPr="00927BC9">
        <w:rPr>
          <w:rFonts w:ascii="Times New Roman" w:hAnsi="Times New Roman" w:cs="Times New Roman"/>
          <w:i/>
          <w:iCs/>
          <w:sz w:val="24"/>
          <w:szCs w:val="24"/>
        </w:rPr>
        <w:t>Danio rerio</w:t>
      </w:r>
      <w:r w:rsidRPr="00927BC9">
        <w:rPr>
          <w:rFonts w:ascii="Times New Roman" w:hAnsi="Times New Roman" w:cs="Times New Roman"/>
          <w:sz w:val="24"/>
          <w:szCs w:val="24"/>
        </w:rPr>
        <w:t xml:space="preserve">). Adult zebrafish were exposed to fluoxetine at concentrations of 0 (control), 40 ng/L (low dose), and 400 ng/L (high dose) for 28 days. Histopathological analysis revealed dose-dependent reproductive toxicity. In females, fluoxetine exposure caused detachment of the zona radiata in vitellogenin oocytes and increased the presence of atretic oocytes, indicating disrupted oogenesis. In males, exposure led to vacuolization in Sertoli cells and a potential reduction in spermatozoa, suggesting impaired spermatogenesis. Behavioural analysis using the novel tank test (NTT) showed that low-dose fluoxetine reduced anxiety-like </w:t>
      </w:r>
      <w:proofErr w:type="spellStart"/>
      <w:r w:rsidRPr="00927BC9">
        <w:rPr>
          <w:rFonts w:ascii="Times New Roman" w:hAnsi="Times New Roman" w:cs="Times New Roman"/>
          <w:sz w:val="24"/>
          <w:szCs w:val="24"/>
        </w:rPr>
        <w:t>behavior</w:t>
      </w:r>
      <w:proofErr w:type="spellEnd"/>
      <w:r w:rsidRPr="00927BC9">
        <w:rPr>
          <w:rFonts w:ascii="Times New Roman" w:hAnsi="Times New Roman" w:cs="Times New Roman"/>
          <w:sz w:val="24"/>
          <w:szCs w:val="24"/>
        </w:rPr>
        <w:t xml:space="preserve">, as evidenced by decreased latency to enter the top zone and increased time spent in the top zone. Conversely, high-dose exposure increased anxiety-like </w:t>
      </w:r>
      <w:proofErr w:type="spellStart"/>
      <w:r w:rsidRPr="00927BC9">
        <w:rPr>
          <w:rFonts w:ascii="Times New Roman" w:hAnsi="Times New Roman" w:cs="Times New Roman"/>
          <w:sz w:val="24"/>
          <w:szCs w:val="24"/>
        </w:rPr>
        <w:t>behavior</w:t>
      </w:r>
      <w:proofErr w:type="spellEnd"/>
      <w:r w:rsidRPr="00927BC9">
        <w:rPr>
          <w:rFonts w:ascii="Times New Roman" w:hAnsi="Times New Roman" w:cs="Times New Roman"/>
          <w:sz w:val="24"/>
          <w:szCs w:val="24"/>
        </w:rPr>
        <w:t xml:space="preserve">, with fish spending more time in the bottom zone. These findings demonstrate that fluoxetine, even at environmentally relevant concentrations, can negatively affect both the reproductive system and </w:t>
      </w:r>
      <w:proofErr w:type="spellStart"/>
      <w:r w:rsidRPr="00927BC9">
        <w:rPr>
          <w:rFonts w:ascii="Times New Roman" w:hAnsi="Times New Roman" w:cs="Times New Roman"/>
          <w:sz w:val="24"/>
          <w:szCs w:val="24"/>
        </w:rPr>
        <w:t>behavior</w:t>
      </w:r>
      <w:proofErr w:type="spellEnd"/>
      <w:r w:rsidRPr="00927BC9">
        <w:rPr>
          <w:rFonts w:ascii="Times New Roman" w:hAnsi="Times New Roman" w:cs="Times New Roman"/>
          <w:sz w:val="24"/>
          <w:szCs w:val="24"/>
        </w:rPr>
        <w:t xml:space="preserve"> of zebrafish, highlighting the ecotoxicological risks associated with pharmaceutical contamination in aquatic environments.</w:t>
      </w:r>
    </w:p>
    <w:p w14:paraId="5DE6A52F" w14:textId="77777777" w:rsidR="00927BC9" w:rsidRDefault="00927BC9" w:rsidP="00AC19FD">
      <w:pPr>
        <w:rPr>
          <w:rFonts w:ascii="Times New Roman" w:hAnsi="Times New Roman" w:cs="Times New Roman"/>
          <w:b/>
          <w:color w:val="1A1A1A"/>
          <w:sz w:val="24"/>
          <w:szCs w:val="44"/>
        </w:rPr>
      </w:pPr>
    </w:p>
    <w:p w14:paraId="55E38A2F" w14:textId="34099C14" w:rsidR="00915A47" w:rsidRPr="00927BC9" w:rsidRDefault="00AC19FD" w:rsidP="00AC19FD">
      <w:pPr>
        <w:rPr>
          <w:rFonts w:ascii="Times New Roman" w:hAnsi="Times New Roman" w:cs="Times New Roman"/>
          <w:bCs/>
          <w:sz w:val="24"/>
          <w:szCs w:val="24"/>
        </w:rPr>
      </w:pPr>
      <w:r w:rsidRPr="006961B7">
        <w:rPr>
          <w:rFonts w:ascii="Times New Roman" w:hAnsi="Times New Roman" w:cs="Times New Roman"/>
          <w:b/>
          <w:color w:val="1A1A1A"/>
          <w:sz w:val="24"/>
          <w:szCs w:val="44"/>
        </w:rPr>
        <w:t>Keywords</w:t>
      </w:r>
      <w:r w:rsidRPr="00927BC9">
        <w:rPr>
          <w:rFonts w:ascii="Times New Roman" w:hAnsi="Times New Roman" w:cs="Times New Roman"/>
          <w:bCs/>
          <w:color w:val="1A1A1A"/>
          <w:sz w:val="24"/>
          <w:szCs w:val="44"/>
        </w:rPr>
        <w:t>:</w:t>
      </w:r>
      <w:r w:rsidR="00927BC9" w:rsidRPr="00927BC9">
        <w:rPr>
          <w:rFonts w:ascii="Times New Roman" w:hAnsi="Times New Roman" w:cs="Times New Roman"/>
          <w:bCs/>
          <w:color w:val="1A1A1A"/>
          <w:sz w:val="24"/>
          <w:szCs w:val="44"/>
        </w:rPr>
        <w:t xml:space="preserve"> Reproductive Toxicity, Fluoxetine, Zebrafishes, Antidepressant, Atretic oocytes</w:t>
      </w:r>
    </w:p>
    <w:p w14:paraId="60DE2ADC" w14:textId="77777777" w:rsidR="00915A47" w:rsidRDefault="00915A47" w:rsidP="00915A47">
      <w:pPr>
        <w:rPr>
          <w:rFonts w:ascii="Times New Roman" w:hAnsi="Times New Roman" w:cs="Times New Roman"/>
          <w:sz w:val="24"/>
          <w:szCs w:val="24"/>
        </w:rPr>
      </w:pPr>
    </w:p>
    <w:p w14:paraId="45DF35C4" w14:textId="77777777" w:rsidR="00AC19FD" w:rsidRDefault="00AC19FD" w:rsidP="00AC19FD">
      <w:pPr>
        <w:autoSpaceDE w:val="0"/>
        <w:autoSpaceDN w:val="0"/>
        <w:adjustRightInd w:val="0"/>
        <w:spacing w:after="0" w:line="360" w:lineRule="auto"/>
        <w:jc w:val="both"/>
        <w:rPr>
          <w:rFonts w:ascii="Times New Roman" w:hAnsi="Times New Roman"/>
          <w:sz w:val="24"/>
          <w:szCs w:val="24"/>
          <w:lang w:val="en-US"/>
        </w:rPr>
      </w:pPr>
    </w:p>
    <w:p w14:paraId="707CC402" w14:textId="2F92E834" w:rsidR="00AC19FD" w:rsidRPr="00F94272" w:rsidRDefault="00AC19FD" w:rsidP="00AC19FD">
      <w:pPr>
        <w:autoSpaceDE w:val="0"/>
        <w:autoSpaceDN w:val="0"/>
        <w:adjustRightInd w:val="0"/>
        <w:spacing w:after="0" w:line="360" w:lineRule="auto"/>
        <w:jc w:val="both"/>
        <w:rPr>
          <w:rFonts w:ascii="Times New Roman" w:hAnsi="Times New Roman"/>
          <w:sz w:val="24"/>
          <w:szCs w:val="24"/>
          <w:lang w:val="en-US"/>
        </w:rPr>
      </w:pPr>
      <w:r w:rsidRPr="00F94272">
        <w:rPr>
          <w:rFonts w:ascii="Times New Roman" w:hAnsi="Times New Roman"/>
          <w:sz w:val="24"/>
          <w:szCs w:val="24"/>
          <w:lang w:val="en-US"/>
        </w:rPr>
        <w:t>____________________</w:t>
      </w:r>
    </w:p>
    <w:p w14:paraId="730832F9" w14:textId="77777777" w:rsidR="009278F2" w:rsidRDefault="009278F2" w:rsidP="009278F2">
      <w:pPr>
        <w:rPr>
          <w:rFonts w:ascii="Times New Roman" w:hAnsi="Times New Roman" w:cs="Times New Roman"/>
          <w:sz w:val="24"/>
          <w:szCs w:val="24"/>
        </w:rPr>
      </w:pPr>
    </w:p>
    <w:p w14:paraId="100CD969" w14:textId="38568746" w:rsidR="00AC19FD" w:rsidRPr="00A10FAD" w:rsidRDefault="00AC19FD" w:rsidP="00A10FAD">
      <w:pPr>
        <w:spacing w:line="480" w:lineRule="auto"/>
        <w:rPr>
          <w:rFonts w:ascii="Times New Roman" w:hAnsi="Times New Roman" w:cs="Times New Roman"/>
          <w:b/>
          <w:bCs/>
          <w:color w:val="1A1A1A"/>
          <w:sz w:val="24"/>
          <w:szCs w:val="24"/>
        </w:rPr>
      </w:pPr>
      <w:r w:rsidRPr="00A10FAD">
        <w:rPr>
          <w:rFonts w:ascii="Times New Roman" w:hAnsi="Times New Roman" w:cs="Times New Roman"/>
          <w:b/>
          <w:bCs/>
          <w:color w:val="1A1A1A"/>
          <w:sz w:val="24"/>
          <w:szCs w:val="24"/>
        </w:rPr>
        <w:t>INTRODUCTION</w:t>
      </w:r>
    </w:p>
    <w:p w14:paraId="3F09A986" w14:textId="27B2F003" w:rsidR="00981850" w:rsidRPr="00A10FAD" w:rsidRDefault="00981850"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 xml:space="preserve">Toxicology constitutes the scientific discipline concerned with the examination of the detrimental impacts exerted by exogenous agents on biological systems and their surrounding </w:t>
      </w:r>
      <w:r w:rsidRPr="00A10FAD">
        <w:rPr>
          <w:rFonts w:ascii="Times New Roman" w:hAnsi="Times New Roman" w:cs="Times New Roman"/>
          <w:color w:val="1A1A1A"/>
          <w:sz w:val="24"/>
          <w:szCs w:val="24"/>
        </w:rPr>
        <w:lastRenderedPageBreak/>
        <w:t xml:space="preserve">ecological contexts, including the elucidation of underlying mechanisms (Eaton &amp; Gallagher, 2010; Langman &amp; Kapur, 2006; Lehmann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2016; Sauvé, 2024). Reproductive toxicity can manifest across diverse ontogenetic stages, including larval, juvenile, or adult phases, depending on the species under consideration. Exposure during early life stages may lead to substantial alterations in critical developmental processes and an increased susceptibility to chemical-induced harm in adulthood. Moreover, exposure at reproductive maturity has the potential to disrupt normal reproductive physiology and </w:t>
      </w:r>
      <w:proofErr w:type="spellStart"/>
      <w:r w:rsidRPr="00A10FAD">
        <w:rPr>
          <w:rFonts w:ascii="Times New Roman" w:hAnsi="Times New Roman" w:cs="Times New Roman"/>
          <w:color w:val="1A1A1A"/>
          <w:sz w:val="24"/>
          <w:szCs w:val="24"/>
        </w:rPr>
        <w:t>behavior</w:t>
      </w:r>
      <w:proofErr w:type="spellEnd"/>
      <w:r w:rsidRPr="00A10FAD">
        <w:rPr>
          <w:rFonts w:ascii="Times New Roman" w:hAnsi="Times New Roman" w:cs="Times New Roman"/>
          <w:color w:val="1A1A1A"/>
          <w:sz w:val="24"/>
          <w:szCs w:val="24"/>
        </w:rPr>
        <w:t xml:space="preserve"> </w:t>
      </w:r>
      <w:commentRangeStart w:id="0"/>
      <w:r w:rsidRPr="00A10FAD">
        <w:rPr>
          <w:rFonts w:ascii="Times New Roman" w:hAnsi="Times New Roman" w:cs="Times New Roman"/>
          <w:color w:val="1A1A1A"/>
          <w:sz w:val="24"/>
          <w:szCs w:val="24"/>
        </w:rPr>
        <w:t xml:space="preserve">(Schlenk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2001)</w:t>
      </w:r>
      <w:commentRangeEnd w:id="0"/>
      <w:r w:rsidR="00ED46FA">
        <w:rPr>
          <w:rStyle w:val="ReferensiKomentar"/>
        </w:rPr>
        <w:commentReference w:id="0"/>
      </w:r>
      <w:r w:rsidRPr="00A10FAD">
        <w:rPr>
          <w:rFonts w:ascii="Times New Roman" w:hAnsi="Times New Roman" w:cs="Times New Roman"/>
          <w:color w:val="1A1A1A"/>
          <w:sz w:val="24"/>
          <w:szCs w:val="24"/>
        </w:rPr>
        <w:t xml:space="preserve">. The escalating prevalence of selective serotonin reuptake inhibitors in sewage systems poses a significant toxicological threat to aquatic ecosystems. This widespread contamination contributes to unpredictable toxicity and compromises reproductive functions in aquatic organisms, particularly impacting both small and large fish species (Stewart </w:t>
      </w:r>
      <w:r w:rsidRPr="00A10FAD">
        <w:rPr>
          <w:rFonts w:ascii="Times New Roman" w:hAnsi="Times New Roman" w:cs="Times New Roman"/>
          <w:i/>
          <w:iCs/>
          <w:color w:val="1A1A1A"/>
          <w:sz w:val="24"/>
          <w:szCs w:val="24"/>
        </w:rPr>
        <w:t>et a</w:t>
      </w:r>
      <w:r w:rsidRPr="00A10FAD">
        <w:rPr>
          <w:rFonts w:ascii="Times New Roman" w:hAnsi="Times New Roman" w:cs="Times New Roman"/>
          <w:color w:val="1A1A1A"/>
          <w:sz w:val="24"/>
          <w:szCs w:val="24"/>
        </w:rPr>
        <w:t>l., 2014).</w:t>
      </w:r>
    </w:p>
    <w:p w14:paraId="70B9510B" w14:textId="4FF4D72C" w:rsidR="00981850" w:rsidRPr="00A10FAD" w:rsidRDefault="00981850" w:rsidP="00A10FAD">
      <w:pPr>
        <w:spacing w:line="480" w:lineRule="auto"/>
        <w:ind w:firstLine="720"/>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Fluoxetine, marketed as Prozac, is a widely prescribed selective serotonin reuptake inhibitor antidepressant. Following administration, fluoxetine is excreted through urine and enters wastewater treatment facilities. However, these facilities frequently fail to achieve complete removal, allowing fluoxetine to permeate aquatic environments</w:t>
      </w:r>
      <w:r w:rsidR="00DF1905"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(Cui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2021). Due to its early market introduction and consistent detection in environmental and aquatic samples, fluoxetine is a prominent SSRI extensively investigated as a model compound for assessing pharmaceutical ecotoxicological impacts (</w:t>
      </w:r>
      <w:proofErr w:type="spellStart"/>
      <w:r w:rsidRPr="00A10FAD">
        <w:rPr>
          <w:rFonts w:ascii="Times New Roman" w:hAnsi="Times New Roman" w:cs="Times New Roman"/>
          <w:color w:val="1A1A1A"/>
          <w:sz w:val="24"/>
          <w:szCs w:val="24"/>
        </w:rPr>
        <w:t>Mennigen</w:t>
      </w:r>
      <w:proofErr w:type="spellEnd"/>
      <w:r w:rsidRPr="00A10FAD">
        <w:rPr>
          <w:rFonts w:ascii="Times New Roman" w:hAnsi="Times New Roman" w:cs="Times New Roman"/>
          <w:color w:val="1A1A1A"/>
          <w:sz w:val="24"/>
          <w:szCs w:val="24"/>
        </w:rPr>
        <w:t xml:space="preserve">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2017). Fluoxetine concentrations up to 0.54\mu g/L in surface water and 0.292\mu g/L in wastewater effluent have been reported</w:t>
      </w:r>
      <w:r w:rsidR="00DF1905"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(Martin </w:t>
      </w:r>
      <w:hyperlink r:id="rId9" w:tgtFrame="_blank" w:history="1">
        <w:r w:rsidRPr="00A10FAD">
          <w:rPr>
            <w:rStyle w:val="Hyperlink"/>
            <w:rFonts w:ascii="Times New Roman" w:hAnsi="Times New Roman" w:cs="Times New Roman"/>
            <w:i/>
            <w:iCs/>
            <w:color w:val="000000" w:themeColor="text1"/>
            <w:sz w:val="24"/>
            <w:szCs w:val="24"/>
            <w:u w:val="none"/>
          </w:rPr>
          <w:t>et.al</w:t>
        </w:r>
      </w:hyperlink>
      <w:r w:rsidRPr="00A10FAD">
        <w:rPr>
          <w:rFonts w:ascii="Times New Roman" w:hAnsi="Times New Roman" w:cs="Times New Roman"/>
          <w:i/>
          <w:iCs/>
          <w:color w:val="000000" w:themeColor="text1"/>
          <w:sz w:val="24"/>
          <w:szCs w:val="24"/>
        </w:rPr>
        <w:t>.</w:t>
      </w:r>
      <w:r w:rsidRPr="00A10FAD">
        <w:rPr>
          <w:rFonts w:ascii="Times New Roman" w:hAnsi="Times New Roman" w:cs="Times New Roman"/>
          <w:color w:val="000000" w:themeColor="text1"/>
          <w:sz w:val="24"/>
          <w:szCs w:val="24"/>
        </w:rPr>
        <w:t>,</w:t>
      </w:r>
      <w:r w:rsidR="00DF1905" w:rsidRPr="00A10FAD">
        <w:rPr>
          <w:rFonts w:ascii="Times New Roman" w:hAnsi="Times New Roman" w:cs="Times New Roman"/>
          <w:color w:val="000000" w:themeColor="text1"/>
          <w:sz w:val="24"/>
          <w:szCs w:val="24"/>
        </w:rPr>
        <w:t xml:space="preserve"> </w:t>
      </w:r>
      <w:r w:rsidRPr="00A10FAD">
        <w:rPr>
          <w:rFonts w:ascii="Times New Roman" w:hAnsi="Times New Roman" w:cs="Times New Roman"/>
          <w:color w:val="1A1A1A"/>
          <w:sz w:val="24"/>
          <w:szCs w:val="24"/>
        </w:rPr>
        <w:t>2019). Furthermore, fluoxetine and its metabolite, norfluoxetine, have been found in fish tissues at levels up to 10\mu g/kg, indicating their capacity for bioaccumulation in aquatic organisms</w:t>
      </w:r>
      <w:r w:rsidR="00DF1905"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w:t>
      </w:r>
      <w:proofErr w:type="spellStart"/>
      <w:r w:rsidRPr="00A10FAD">
        <w:rPr>
          <w:rFonts w:ascii="Times New Roman" w:hAnsi="Times New Roman" w:cs="Times New Roman"/>
          <w:color w:val="1A1A1A"/>
          <w:sz w:val="24"/>
          <w:szCs w:val="24"/>
        </w:rPr>
        <w:t>Sehonova</w:t>
      </w:r>
      <w:proofErr w:type="spellEnd"/>
      <w:r w:rsidRPr="00A10FAD">
        <w:rPr>
          <w:rFonts w:ascii="Times New Roman" w:hAnsi="Times New Roman" w:cs="Times New Roman"/>
          <w:color w:val="1A1A1A"/>
          <w:sz w:val="24"/>
          <w:szCs w:val="24"/>
        </w:rPr>
        <w:t xml:space="preserve">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2018). Exposure to fluoxetine can induce various effects in fish, including altered </w:t>
      </w:r>
      <w:proofErr w:type="spellStart"/>
      <w:r w:rsidRPr="00A10FAD">
        <w:rPr>
          <w:rFonts w:ascii="Times New Roman" w:hAnsi="Times New Roman" w:cs="Times New Roman"/>
          <w:color w:val="1A1A1A"/>
          <w:sz w:val="24"/>
          <w:szCs w:val="24"/>
        </w:rPr>
        <w:t>behavior</w:t>
      </w:r>
      <w:proofErr w:type="spellEnd"/>
      <w:r w:rsidRPr="00A10FAD">
        <w:rPr>
          <w:rFonts w:ascii="Times New Roman" w:hAnsi="Times New Roman" w:cs="Times New Roman"/>
          <w:color w:val="1A1A1A"/>
          <w:sz w:val="24"/>
          <w:szCs w:val="24"/>
        </w:rPr>
        <w:t xml:space="preserve">, developmental abnormalities, disrupted serotonin </w:t>
      </w:r>
      <w:r w:rsidR="008D7BD7" w:rsidRPr="00A10FAD">
        <w:rPr>
          <w:rFonts w:ascii="Times New Roman" w:hAnsi="Times New Roman" w:cs="Times New Roman"/>
          <w:color w:val="1A1A1A"/>
          <w:sz w:val="24"/>
          <w:szCs w:val="24"/>
        </w:rPr>
        <w:t>signalling</w:t>
      </w:r>
      <w:r w:rsidRPr="00A10FAD">
        <w:rPr>
          <w:rFonts w:ascii="Times New Roman" w:hAnsi="Times New Roman" w:cs="Times New Roman"/>
          <w:color w:val="1A1A1A"/>
          <w:sz w:val="24"/>
          <w:szCs w:val="24"/>
        </w:rPr>
        <w:t xml:space="preserve"> pathways, reproductive impairment, and changes in growth and </w:t>
      </w:r>
      <w:r w:rsidRPr="00A10FAD">
        <w:rPr>
          <w:rFonts w:ascii="Times New Roman" w:hAnsi="Times New Roman" w:cs="Times New Roman"/>
          <w:color w:val="1A1A1A"/>
          <w:sz w:val="24"/>
          <w:szCs w:val="24"/>
        </w:rPr>
        <w:lastRenderedPageBreak/>
        <w:t>physiological parameters, with these effects demonstrating species-specific and environmentally dependent variations. Given that the World Health Organization reports over 300 million individuals globally suffer from depression, selective serotonin reuptake inhibitors</w:t>
      </w:r>
      <w:r w:rsidR="00DF1905"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(SSRI) remain a commonly prescribed treatment. Fluoxetine, a selective serotonin reuptake inhibitor, is employed in the management of psychiatric conditions such as anxiety, obsessive-compulsive disorder</w:t>
      </w:r>
      <w:r w:rsidR="00DF1905"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(OCD), and depression, primarily by modulating serotonin levels. Nevertheless, its administration can lead to various adverse effects, including nausea, headaches, and alterations in appetite and sleep patterns</w:t>
      </w:r>
      <w:r w:rsidR="00DF1905"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w:t>
      </w:r>
      <w:commentRangeStart w:id="1"/>
      <w:r w:rsidRPr="00A10FAD">
        <w:rPr>
          <w:rFonts w:ascii="Times New Roman" w:hAnsi="Times New Roman" w:cs="Times New Roman"/>
          <w:color w:val="1A1A1A"/>
          <w:sz w:val="24"/>
          <w:szCs w:val="24"/>
        </w:rPr>
        <w:t xml:space="preserve">Kreke </w:t>
      </w:r>
      <w:hyperlink r:id="rId10" w:tgtFrame="_blank" w:history="1">
        <w:r w:rsidRPr="00A10FAD">
          <w:rPr>
            <w:rStyle w:val="Hyperlink"/>
            <w:rFonts w:ascii="Times New Roman" w:hAnsi="Times New Roman" w:cs="Times New Roman"/>
            <w:i/>
            <w:iCs/>
            <w:color w:val="000000" w:themeColor="text1"/>
            <w:sz w:val="24"/>
            <w:szCs w:val="24"/>
            <w:u w:val="none"/>
          </w:rPr>
          <w:t>et.al</w:t>
        </w:r>
      </w:hyperlink>
      <w:r w:rsidRPr="00A10FAD">
        <w:rPr>
          <w:rFonts w:ascii="Times New Roman" w:hAnsi="Times New Roman" w:cs="Times New Roman"/>
          <w:i/>
          <w:iCs/>
          <w:color w:val="000000" w:themeColor="text1"/>
          <w:sz w:val="24"/>
          <w:szCs w:val="24"/>
        </w:rPr>
        <w:t>.,</w:t>
      </w:r>
      <w:r w:rsidRPr="00A10FAD">
        <w:rPr>
          <w:rFonts w:ascii="Times New Roman" w:hAnsi="Times New Roman" w:cs="Times New Roman"/>
          <w:color w:val="1A1A1A"/>
          <w:sz w:val="24"/>
          <w:szCs w:val="24"/>
        </w:rPr>
        <w:t xml:space="preserve"> 2008</w:t>
      </w:r>
      <w:commentRangeEnd w:id="1"/>
      <w:r w:rsidR="00266FBB">
        <w:rPr>
          <w:rStyle w:val="ReferensiKomentar"/>
        </w:rPr>
        <w:commentReference w:id="1"/>
      </w:r>
      <w:r w:rsidRPr="00A10FAD">
        <w:rPr>
          <w:rFonts w:ascii="Times New Roman" w:hAnsi="Times New Roman" w:cs="Times New Roman"/>
          <w:color w:val="1A1A1A"/>
          <w:sz w:val="24"/>
          <w:szCs w:val="24"/>
        </w:rPr>
        <w:t>). Pharmacological investigations indicate a correlation between anxiety and related disorders and disruptions in neurotransmitters, such as slc6a11, which are crucial for regulating neural activity within the brain</w:t>
      </w:r>
      <w:r w:rsidR="008D7BD7"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(Wong </w:t>
      </w:r>
      <w:hyperlink r:id="rId11" w:tgtFrame="_blank" w:history="1">
        <w:r w:rsidRPr="00A10FAD">
          <w:rPr>
            <w:rStyle w:val="Hyperlink"/>
            <w:rFonts w:ascii="Times New Roman" w:hAnsi="Times New Roman" w:cs="Times New Roman"/>
            <w:i/>
            <w:iCs/>
            <w:color w:val="000000" w:themeColor="text1"/>
            <w:sz w:val="24"/>
            <w:szCs w:val="24"/>
            <w:u w:val="none"/>
          </w:rPr>
          <w:t>et.al</w:t>
        </w:r>
      </w:hyperlink>
      <w:r w:rsidRPr="00A10FAD">
        <w:rPr>
          <w:rFonts w:ascii="Times New Roman" w:hAnsi="Times New Roman" w:cs="Times New Roman"/>
          <w:i/>
          <w:iCs/>
          <w:color w:val="000000" w:themeColor="text1"/>
          <w:sz w:val="24"/>
          <w:szCs w:val="24"/>
        </w:rPr>
        <w:t>.,</w:t>
      </w:r>
      <w:r w:rsidRPr="00A10FAD">
        <w:rPr>
          <w:rFonts w:ascii="Times New Roman" w:hAnsi="Times New Roman" w:cs="Times New Roman"/>
          <w:color w:val="1A1A1A"/>
          <w:sz w:val="24"/>
          <w:szCs w:val="24"/>
        </w:rPr>
        <w:t xml:space="preserve"> 2013). Furthermore, fluoxetine and other SSRIs have been utilized in numerous piscine studies to investigate serotonin's influence on the hormonal system. Endocrine-disrupting compounds are chemical agents known to impair vertebrate reproduction through interference with hormonal balance.</w:t>
      </w:r>
    </w:p>
    <w:p w14:paraId="5D6E8540" w14:textId="77777777" w:rsidR="00A10FAD" w:rsidRDefault="00981850" w:rsidP="00A10FAD">
      <w:pPr>
        <w:spacing w:line="480" w:lineRule="auto"/>
        <w:ind w:firstLine="720"/>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The global surge in antidepressant consumption has been observed since the onset of the Covid-19 pandemic. These pharmaceutical agents present a significant ecotoxicological risk to aquatic environments, given their potent effects on aquatic organisms even at trace concentrations. A recent investigation revealed that fluoxetine, citalopram, sertraline, and paroxetine are among the most prevalent antidepressants identified in India</w:t>
      </w:r>
      <w:r w:rsidR="008D7BD7"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(Venkatachalam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2023). This investigation specifically aimed to assess the reproductive and </w:t>
      </w:r>
      <w:r w:rsidR="008D7BD7" w:rsidRPr="00A10FAD">
        <w:rPr>
          <w:rFonts w:ascii="Times New Roman" w:hAnsi="Times New Roman" w:cs="Times New Roman"/>
          <w:color w:val="1A1A1A"/>
          <w:sz w:val="24"/>
          <w:szCs w:val="24"/>
        </w:rPr>
        <w:t>behavioural</w:t>
      </w:r>
      <w:r w:rsidRPr="00A10FAD">
        <w:rPr>
          <w:rFonts w:ascii="Times New Roman" w:hAnsi="Times New Roman" w:cs="Times New Roman"/>
          <w:color w:val="1A1A1A"/>
          <w:sz w:val="24"/>
          <w:szCs w:val="24"/>
        </w:rPr>
        <w:t xml:space="preserve"> consequences of fluoxetine exposure in </w:t>
      </w:r>
      <w:r w:rsidRPr="00A10FAD">
        <w:rPr>
          <w:rFonts w:ascii="Times New Roman" w:hAnsi="Times New Roman" w:cs="Times New Roman"/>
          <w:i/>
          <w:iCs/>
          <w:color w:val="1A1A1A"/>
          <w:sz w:val="24"/>
          <w:szCs w:val="24"/>
        </w:rPr>
        <w:t>Danio rerio</w:t>
      </w:r>
      <w:r w:rsidRPr="00A10FAD">
        <w:rPr>
          <w:rFonts w:ascii="Times New Roman" w:hAnsi="Times New Roman" w:cs="Times New Roman"/>
          <w:color w:val="1A1A1A"/>
          <w:sz w:val="24"/>
          <w:szCs w:val="24"/>
        </w:rPr>
        <w:t>.</w:t>
      </w:r>
    </w:p>
    <w:p w14:paraId="6319A3FF" w14:textId="267B2606" w:rsidR="00E36CF7" w:rsidRPr="00A10FAD" w:rsidRDefault="00E36CF7"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MATERIALS AND METHODS</w:t>
      </w:r>
    </w:p>
    <w:p w14:paraId="35E53958" w14:textId="77777777" w:rsidR="00E36CF7" w:rsidRPr="00A10FAD" w:rsidRDefault="00E36CF7"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Test organisms and acclimatization: </w:t>
      </w:r>
      <w:r w:rsidRPr="00A10FAD">
        <w:rPr>
          <w:rFonts w:ascii="Times New Roman" w:hAnsi="Times New Roman" w:cs="Times New Roman"/>
          <w:i/>
          <w:iCs/>
          <w:color w:val="1A1A1A"/>
          <w:sz w:val="24"/>
          <w:szCs w:val="24"/>
        </w:rPr>
        <w:t>Danio rerio</w:t>
      </w:r>
      <w:r w:rsidRPr="00A10FAD">
        <w:rPr>
          <w:rFonts w:ascii="Times New Roman" w:hAnsi="Times New Roman" w:cs="Times New Roman"/>
          <w:color w:val="1A1A1A"/>
          <w:sz w:val="24"/>
          <w:szCs w:val="24"/>
        </w:rPr>
        <w:t xml:space="preserve">, commonly known as zebrafish, were selected for this study due to their significant genetic and cellular similarities with humans. </w:t>
      </w:r>
      <w:r w:rsidRPr="00A10FAD">
        <w:rPr>
          <w:rFonts w:ascii="Times New Roman" w:hAnsi="Times New Roman" w:cs="Times New Roman"/>
          <w:color w:val="1A1A1A"/>
          <w:sz w:val="24"/>
          <w:szCs w:val="24"/>
        </w:rPr>
        <w:lastRenderedPageBreak/>
        <w:t xml:space="preserve">Healthy adult zebrafish, both male and female, approximately 3–4 months of age, were procured from a certified aquarium, Ebenezer Christian Aquarium Store Ballari. All experimental protocols adhered to institutional guidelines for animal ethics and the OECD Guideline 215 for fish studies. The zebrafish underwent a two-week acclimation period in rectangular containers (16.5 cm × 7 cm × 14.7 cm × 14.1 cm) filled with dechlorinated tap water, maintained at 26 ± 1°C under a 14:10 hour light/dark photoperiod. The fish received commercial flake food pellets twice daily, and water quality parameters, including pH, were monitored daily to ensure they remained within acceptable limits. </w:t>
      </w:r>
    </w:p>
    <w:p w14:paraId="454916AD" w14:textId="77777777" w:rsidR="0052784E" w:rsidRPr="00A10FAD" w:rsidRDefault="00E36CF7"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Feed:</w:t>
      </w:r>
      <w:r w:rsidRPr="00A10FAD">
        <w:rPr>
          <w:rFonts w:ascii="Times New Roman" w:hAnsi="Times New Roman" w:cs="Times New Roman"/>
          <w:color w:val="1A1A1A"/>
          <w:sz w:val="24"/>
          <w:szCs w:val="24"/>
        </w:rPr>
        <w:t xml:space="preserve"> The diet provided consisted of fish meal, shrimp meal, astaxanthin, soybean meal, corn gluten meal, yellow corn, vitamins, and minerals, all of which contribute to the growth and development of the fish.</w:t>
      </w:r>
    </w:p>
    <w:p w14:paraId="483D4388" w14:textId="515F04D4" w:rsidR="00E36CF7" w:rsidRPr="00A10FAD" w:rsidRDefault="00E36CF7"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Chemical and dose preparation: </w:t>
      </w:r>
      <w:r w:rsidR="0052784E" w:rsidRPr="00A10FAD">
        <w:rPr>
          <w:rFonts w:ascii="Times New Roman" w:hAnsi="Times New Roman" w:cs="Times New Roman"/>
          <w:color w:val="1A1A1A"/>
          <w:sz w:val="24"/>
          <w:szCs w:val="24"/>
        </w:rPr>
        <w:t xml:space="preserve">Fluoxetine hydrochloride, sourced from Jyothi Medical and General Store, S.N. Pet Main Road, Ballari, was utilized in the form of </w:t>
      </w:r>
      <w:proofErr w:type="spellStart"/>
      <w:r w:rsidR="0052784E" w:rsidRPr="00A10FAD">
        <w:rPr>
          <w:rFonts w:ascii="Times New Roman" w:hAnsi="Times New Roman" w:cs="Times New Roman"/>
          <w:color w:val="1A1A1A"/>
          <w:sz w:val="24"/>
          <w:szCs w:val="24"/>
        </w:rPr>
        <w:t>Fludac</w:t>
      </w:r>
      <w:proofErr w:type="spellEnd"/>
      <w:r w:rsidR="0052784E" w:rsidRPr="00A10FAD">
        <w:rPr>
          <w:rFonts w:ascii="Times New Roman" w:hAnsi="Times New Roman" w:cs="Times New Roman"/>
          <w:color w:val="1A1A1A"/>
          <w:sz w:val="24"/>
          <w:szCs w:val="24"/>
        </w:rPr>
        <w:t xml:space="preserve"> 10 mg capsules manufactured by Cadila Pharmaceuticals. While the compound typically maintains a purity of at least 98%, the capsules contain additional inactive ingredients. For experimental preparation, 30 mg of fluoxetine was dissolved in 30 mL of ethanol, with magnetic stirring ensuring complete homogenization.</w:t>
      </w:r>
    </w:p>
    <w:p w14:paraId="5192C16D" w14:textId="78CFF50A" w:rsidR="00E36CF7" w:rsidRPr="00A10FAD" w:rsidRDefault="0052784E"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Selection of doses: </w:t>
      </w:r>
      <w:r w:rsidRPr="00A10FAD">
        <w:rPr>
          <w:rFonts w:ascii="Times New Roman" w:hAnsi="Times New Roman" w:cs="Times New Roman"/>
          <w:color w:val="1A1A1A"/>
          <w:sz w:val="24"/>
          <w:szCs w:val="24"/>
        </w:rPr>
        <w:t xml:space="preserve">Dose levels in zebrafish were established through preliminary investigations to identify the highest concentrations tolerated without inducing severe adverse effects (Faria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2018). Both male and female zebrafish were randomly allocated into three groups: a control group, a low-dose group, and a high-dose group, receiving doses of 0, 40, and 400 ng/L/day, respectively, as detailed in Table 1.</w:t>
      </w:r>
    </w:p>
    <w:p w14:paraId="2C6B41BE" w14:textId="338376CA" w:rsidR="00E36CF7" w:rsidRPr="00A10FAD" w:rsidRDefault="0097109C" w:rsidP="00A10FAD">
      <w:pPr>
        <w:spacing w:line="480" w:lineRule="auto"/>
        <w:jc w:val="both"/>
        <w:rPr>
          <w:rFonts w:ascii="Times New Roman" w:hAnsi="Times New Roman" w:cs="Times New Roman"/>
          <w:b/>
          <w:bCs/>
          <w:color w:val="1A1A1A"/>
          <w:sz w:val="24"/>
          <w:szCs w:val="24"/>
        </w:rPr>
      </w:pPr>
      <w:r w:rsidRPr="00A10FAD">
        <w:rPr>
          <w:rFonts w:ascii="Times New Roman" w:hAnsi="Times New Roman" w:cs="Times New Roman"/>
          <w:b/>
          <w:bCs/>
          <w:color w:val="1A1A1A"/>
          <w:sz w:val="24"/>
          <w:szCs w:val="24"/>
        </w:rPr>
        <w:t xml:space="preserve">Dose calculation: </w:t>
      </w:r>
    </w:p>
    <w:p w14:paraId="51A049C9" w14:textId="3D301FEA"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lastRenderedPageBreak/>
        <w:t>Stock Solution:</w:t>
      </w:r>
      <w:r w:rsidRPr="00A10FAD">
        <w:rPr>
          <w:rFonts w:ascii="Times New Roman" w:hAnsi="Times New Roman" w:cs="Times New Roman"/>
          <w:color w:val="1A1A1A"/>
          <w:sz w:val="24"/>
          <w:szCs w:val="24"/>
        </w:rPr>
        <w:t xml:space="preserve"> 30 mg of fluoxetine in 25 mL of ethanol</w:t>
      </w:r>
    </w:p>
    <w:p w14:paraId="31EFBF33" w14:textId="346FCD65"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Step 1:</w:t>
      </w:r>
      <w:r w:rsidRPr="00A10FAD">
        <w:rPr>
          <w:rFonts w:ascii="Times New Roman" w:hAnsi="Times New Roman" w:cs="Times New Roman"/>
          <w:color w:val="1A1A1A"/>
          <w:sz w:val="24"/>
          <w:szCs w:val="24"/>
        </w:rPr>
        <w:t xml:space="preserve"> Determining the stock solution concentration</w:t>
      </w:r>
    </w:p>
    <w:p w14:paraId="1D3669CB" w14:textId="77777777"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A stock solution was prepared by dissolving 30 mg of fluoxetine in 25 mL of ethanol. The concentration of this stock solution was determined by dividing the mass of fluoxetine (30,000,000 ng) by the volume of ethanol (25,000 µL), resulting in a concentration of 1200 ng/µL.</w:t>
      </w:r>
    </w:p>
    <w:p w14:paraId="2659A7F2" w14:textId="5685231D" w:rsidR="00E36CF7"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 xml:space="preserve">Concentration = 30 mg÷25 ml = 30,000,000 ng ÷ 25000 </w:t>
      </w:r>
      <w:proofErr w:type="spellStart"/>
      <w:r w:rsidRPr="00A10FAD">
        <w:rPr>
          <w:rFonts w:ascii="Times New Roman" w:hAnsi="Times New Roman" w:cs="Times New Roman"/>
          <w:color w:val="1A1A1A"/>
          <w:sz w:val="24"/>
          <w:szCs w:val="24"/>
        </w:rPr>
        <w:t>μl</w:t>
      </w:r>
      <w:proofErr w:type="spellEnd"/>
      <w:r w:rsidRPr="00A10FAD">
        <w:rPr>
          <w:rFonts w:ascii="Times New Roman" w:hAnsi="Times New Roman" w:cs="Times New Roman"/>
          <w:color w:val="1A1A1A"/>
          <w:sz w:val="24"/>
          <w:szCs w:val="24"/>
        </w:rPr>
        <w:t xml:space="preserve"> = 1200 ng/</w:t>
      </w:r>
      <w:proofErr w:type="spellStart"/>
      <w:r w:rsidRPr="00A10FAD">
        <w:rPr>
          <w:rFonts w:ascii="Times New Roman" w:hAnsi="Times New Roman" w:cs="Times New Roman"/>
          <w:color w:val="1A1A1A"/>
          <w:sz w:val="24"/>
          <w:szCs w:val="24"/>
        </w:rPr>
        <w:t>μl</w:t>
      </w:r>
      <w:proofErr w:type="spellEnd"/>
    </w:p>
    <w:p w14:paraId="5664BFAE" w14:textId="416B0F2F"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Step 2:</w:t>
      </w:r>
      <w:r w:rsidRPr="00A10FAD">
        <w:rPr>
          <w:rFonts w:ascii="Times New Roman" w:hAnsi="Times New Roman" w:cs="Times New Roman"/>
          <w:color w:val="1A1A1A"/>
          <w:sz w:val="24"/>
          <w:szCs w:val="24"/>
        </w:rPr>
        <w:t xml:space="preserve"> Calculate the volume required for each dose</w:t>
      </w:r>
    </w:p>
    <w:p w14:paraId="79637306" w14:textId="34826879"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 xml:space="preserve">To determine the required volume for each treatment, given a desired concentration, the following calculation is performed. For each treatment, 1 </w:t>
      </w:r>
      <w:proofErr w:type="spellStart"/>
      <w:r w:rsidRPr="00A10FAD">
        <w:rPr>
          <w:rFonts w:ascii="Times New Roman" w:hAnsi="Times New Roman" w:cs="Times New Roman"/>
          <w:color w:val="1A1A1A"/>
          <w:sz w:val="24"/>
          <w:szCs w:val="24"/>
        </w:rPr>
        <w:t>liter</w:t>
      </w:r>
      <w:proofErr w:type="spellEnd"/>
      <w:r w:rsidRPr="00A10FAD">
        <w:rPr>
          <w:rFonts w:ascii="Times New Roman" w:hAnsi="Times New Roman" w:cs="Times New Roman"/>
          <w:color w:val="1A1A1A"/>
          <w:sz w:val="24"/>
          <w:szCs w:val="24"/>
        </w:rPr>
        <w:t xml:space="preserve"> of water is prepared, aiming for final concentrations of 40 ng/L and 400 ng/</w:t>
      </w:r>
      <w:proofErr w:type="spellStart"/>
      <w:proofErr w:type="gramStart"/>
      <w:r w:rsidRPr="00A10FAD">
        <w:rPr>
          <w:rFonts w:ascii="Times New Roman" w:hAnsi="Times New Roman" w:cs="Times New Roman"/>
          <w:color w:val="1A1A1A"/>
          <w:sz w:val="24"/>
          <w:szCs w:val="24"/>
        </w:rPr>
        <w:t>L.The</w:t>
      </w:r>
      <w:proofErr w:type="spellEnd"/>
      <w:proofErr w:type="gramEnd"/>
      <w:r w:rsidRPr="00A10FAD">
        <w:rPr>
          <w:rFonts w:ascii="Times New Roman" w:hAnsi="Times New Roman" w:cs="Times New Roman"/>
          <w:color w:val="1A1A1A"/>
          <w:sz w:val="24"/>
          <w:szCs w:val="24"/>
        </w:rPr>
        <w:t xml:space="preserve"> formula for calculating the volume of stock solution to add is: Volume to add = / Stock concentration. Initially, the stock concentration of 1200 </w:t>
      </w:r>
      <w:proofErr w:type="spellStart"/>
      <w:r w:rsidRPr="00A10FAD">
        <w:rPr>
          <w:rFonts w:ascii="Times New Roman" w:hAnsi="Times New Roman" w:cs="Times New Roman"/>
          <w:color w:val="1A1A1A"/>
          <w:sz w:val="24"/>
          <w:szCs w:val="24"/>
        </w:rPr>
        <w:t>μg</w:t>
      </w:r>
      <w:proofErr w:type="spellEnd"/>
      <w:r w:rsidRPr="00A10FAD">
        <w:rPr>
          <w:rFonts w:ascii="Times New Roman" w:hAnsi="Times New Roman" w:cs="Times New Roman"/>
          <w:color w:val="1A1A1A"/>
          <w:sz w:val="24"/>
          <w:szCs w:val="24"/>
        </w:rPr>
        <w:t>/mL is converted to 1,200,000 ng/</w:t>
      </w:r>
      <w:proofErr w:type="spellStart"/>
      <w:r w:rsidRPr="00A10FAD">
        <w:rPr>
          <w:rFonts w:ascii="Times New Roman" w:hAnsi="Times New Roman" w:cs="Times New Roman"/>
          <w:color w:val="1A1A1A"/>
          <w:sz w:val="24"/>
          <w:szCs w:val="24"/>
        </w:rPr>
        <w:t>mL.</w:t>
      </w:r>
      <w:proofErr w:type="spellEnd"/>
    </w:p>
    <w:p w14:paraId="24B55EFF" w14:textId="4558CA16"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For low dose (40 ng/l): </w:t>
      </w:r>
      <w:r w:rsidRPr="00A10FAD">
        <w:rPr>
          <w:rFonts w:ascii="Times New Roman" w:hAnsi="Times New Roman" w:cs="Times New Roman"/>
          <w:color w:val="1A1A1A"/>
          <w:sz w:val="24"/>
          <w:szCs w:val="24"/>
        </w:rPr>
        <w:t xml:space="preserve">For the low-dose treatment, the volume required is (40 ng/L × 1 L) / 1,200,000 ng/mL = 0.0333 mL or 33.3 </w:t>
      </w:r>
      <w:proofErr w:type="spellStart"/>
      <w:r w:rsidRPr="00A10FAD">
        <w:rPr>
          <w:rFonts w:ascii="Times New Roman" w:hAnsi="Times New Roman" w:cs="Times New Roman"/>
          <w:color w:val="1A1A1A"/>
          <w:sz w:val="24"/>
          <w:szCs w:val="24"/>
        </w:rPr>
        <w:t>μL</w:t>
      </w:r>
      <w:proofErr w:type="spellEnd"/>
      <w:r w:rsidRPr="00A10FAD">
        <w:rPr>
          <w:rFonts w:ascii="Times New Roman" w:hAnsi="Times New Roman" w:cs="Times New Roman"/>
          <w:color w:val="1A1A1A"/>
          <w:sz w:val="24"/>
          <w:szCs w:val="24"/>
        </w:rPr>
        <w:t>.</w:t>
      </w:r>
    </w:p>
    <w:p w14:paraId="14F66C13" w14:textId="44CEB68D" w:rsidR="00981850"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 xml:space="preserve">Volume = (40 × 10,000) / 1,200,000 = 400,000 / 1,200,000 = 0.333 </w:t>
      </w:r>
      <w:commentRangeStart w:id="2"/>
      <w:r w:rsidRPr="00A10FAD">
        <w:rPr>
          <w:rFonts w:ascii="Times New Roman" w:hAnsi="Times New Roman" w:cs="Times New Roman"/>
          <w:color w:val="1A1A1A"/>
          <w:sz w:val="24"/>
          <w:szCs w:val="24"/>
        </w:rPr>
        <w:t>ml</w:t>
      </w:r>
      <w:commentRangeEnd w:id="2"/>
      <w:r w:rsidR="007230E8">
        <w:rPr>
          <w:rStyle w:val="ReferensiKomentar"/>
        </w:rPr>
        <w:commentReference w:id="2"/>
      </w:r>
      <w:r w:rsidRPr="00A10FAD">
        <w:rPr>
          <w:rFonts w:ascii="Times New Roman" w:hAnsi="Times New Roman" w:cs="Times New Roman"/>
          <w:color w:val="1A1A1A"/>
          <w:sz w:val="24"/>
          <w:szCs w:val="24"/>
        </w:rPr>
        <w:t xml:space="preserve"> or 333.33 </w:t>
      </w:r>
      <w:commentRangeStart w:id="3"/>
      <w:proofErr w:type="spellStart"/>
      <w:r w:rsidRPr="00A10FAD">
        <w:rPr>
          <w:rFonts w:ascii="Times New Roman" w:hAnsi="Times New Roman" w:cs="Times New Roman"/>
          <w:color w:val="1A1A1A"/>
          <w:sz w:val="24"/>
          <w:szCs w:val="24"/>
        </w:rPr>
        <w:t>μl</w:t>
      </w:r>
      <w:commentRangeEnd w:id="3"/>
      <w:proofErr w:type="spellEnd"/>
      <w:r w:rsidR="007230E8">
        <w:rPr>
          <w:rStyle w:val="ReferensiKomentar"/>
        </w:rPr>
        <w:commentReference w:id="3"/>
      </w:r>
    </w:p>
    <w:p w14:paraId="16CAC816" w14:textId="77777777"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 For high dose (400 ng/l): </w:t>
      </w:r>
      <w:r w:rsidRPr="00A10FAD">
        <w:rPr>
          <w:rFonts w:ascii="Times New Roman" w:hAnsi="Times New Roman" w:cs="Times New Roman"/>
          <w:color w:val="1A1A1A"/>
          <w:sz w:val="24"/>
          <w:szCs w:val="24"/>
        </w:rPr>
        <w:t xml:space="preserve">For the high-dose treatment, the volume required is (400 ng/L × 1 L) / 1,200,000 ng/mL = 0.333 </w:t>
      </w:r>
      <w:proofErr w:type="spellStart"/>
      <w:r w:rsidRPr="00A10FAD">
        <w:rPr>
          <w:rFonts w:ascii="Times New Roman" w:hAnsi="Times New Roman" w:cs="Times New Roman"/>
          <w:color w:val="1A1A1A"/>
          <w:sz w:val="24"/>
          <w:szCs w:val="24"/>
        </w:rPr>
        <w:t>mL.</w:t>
      </w:r>
      <w:proofErr w:type="spellEnd"/>
    </w:p>
    <w:p w14:paraId="2F20F278" w14:textId="265B474B" w:rsidR="0097109C" w:rsidRPr="00A10FAD" w:rsidRDefault="0097109C"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 xml:space="preserve">Volume = (400 × 10,000) / 1,200,000 = 4,000,000 / 1,200,000 = 3.33 </w:t>
      </w:r>
      <w:commentRangeStart w:id="4"/>
      <w:r w:rsidRPr="00A10FAD">
        <w:rPr>
          <w:rFonts w:ascii="Times New Roman" w:hAnsi="Times New Roman" w:cs="Times New Roman"/>
          <w:color w:val="1A1A1A"/>
          <w:sz w:val="24"/>
          <w:szCs w:val="24"/>
        </w:rPr>
        <w:t>ml</w:t>
      </w:r>
      <w:commentRangeEnd w:id="4"/>
      <w:r w:rsidR="00973A97">
        <w:rPr>
          <w:rStyle w:val="ReferensiKomentar"/>
        </w:rPr>
        <w:commentReference w:id="4"/>
      </w:r>
    </w:p>
    <w:p w14:paraId="4E31A3AC" w14:textId="5410475B" w:rsidR="0097109C" w:rsidRPr="00A10FAD" w:rsidRDefault="001074BF"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A stock solution was prepared by dissolving 30 mg of fluoxetine in 30 mL of ethanol, stirred until 5 mL of the solvent evaporated, yielding a final volume of 25 mL and a concentration of 1.2 mg/</w:t>
      </w:r>
      <w:proofErr w:type="spellStart"/>
      <w:r w:rsidRPr="00A10FAD">
        <w:rPr>
          <w:rFonts w:ascii="Times New Roman" w:hAnsi="Times New Roman" w:cs="Times New Roman"/>
          <w:color w:val="1A1A1A"/>
          <w:sz w:val="24"/>
          <w:szCs w:val="24"/>
        </w:rPr>
        <w:t>mL.</w:t>
      </w:r>
      <w:proofErr w:type="spellEnd"/>
      <w:r w:rsidRPr="00A10FAD">
        <w:rPr>
          <w:rFonts w:ascii="Times New Roman" w:hAnsi="Times New Roman" w:cs="Times New Roman"/>
          <w:color w:val="1A1A1A"/>
          <w:sz w:val="24"/>
          <w:szCs w:val="24"/>
        </w:rPr>
        <w:t xml:space="preserve"> From this concentrated solution, 1 mL was diluted into 999 mL of distilled water, </w:t>
      </w:r>
      <w:r w:rsidRPr="00A10FAD">
        <w:rPr>
          <w:rFonts w:ascii="Times New Roman" w:hAnsi="Times New Roman" w:cs="Times New Roman"/>
          <w:color w:val="1A1A1A"/>
          <w:sz w:val="24"/>
          <w:szCs w:val="24"/>
        </w:rPr>
        <w:lastRenderedPageBreak/>
        <w:t xml:space="preserve">resulting in a working stock solution of 1.2 µg/mL fluoxetine. To maintain stable concentrations throughout the exposure period, fresh solutions were prepared and replaced daily. Consequently, the low-dose treatment (40ng) required 0.03 mL (or 33.3 </w:t>
      </w:r>
      <w:proofErr w:type="spellStart"/>
      <w:r w:rsidRPr="00A10FAD">
        <w:rPr>
          <w:rFonts w:ascii="Times New Roman" w:hAnsi="Times New Roman" w:cs="Times New Roman"/>
          <w:color w:val="1A1A1A"/>
          <w:sz w:val="24"/>
          <w:szCs w:val="24"/>
        </w:rPr>
        <w:t>μL</w:t>
      </w:r>
      <w:proofErr w:type="spellEnd"/>
      <w:r w:rsidRPr="00A10FAD">
        <w:rPr>
          <w:rFonts w:ascii="Times New Roman" w:hAnsi="Times New Roman" w:cs="Times New Roman"/>
          <w:color w:val="1A1A1A"/>
          <w:sz w:val="24"/>
          <w:szCs w:val="24"/>
        </w:rPr>
        <w:t>), while the high-dose treatment(400ng) necessitated 3.3 mL of this stock solution.</w:t>
      </w:r>
    </w:p>
    <w:p w14:paraId="5D92C168" w14:textId="38C2D5C0" w:rsidR="0097109C" w:rsidRPr="00A10FAD" w:rsidRDefault="00F0216E"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Experimental design: </w:t>
      </w:r>
      <w:r w:rsidR="00AA2C8F" w:rsidRPr="00A10FAD">
        <w:rPr>
          <w:rFonts w:ascii="Times New Roman" w:hAnsi="Times New Roman" w:cs="Times New Roman"/>
          <w:color w:val="1A1A1A"/>
          <w:sz w:val="24"/>
          <w:szCs w:val="24"/>
        </w:rPr>
        <w:t xml:space="preserve">The experimental methodology adhered to OECD Guideline 215. A cohort comprising 60 adult zebrafish, all approximately 3 to 4 months of age and exhibiting comparable developmental stages, was utilized for the investigation. These fish were randomly assigned to three distinct experimental groups: a control group, a low-dose group, and a high-dose group. To maintain segregation, six individual tanks were employed, with specific allocations for control males, control females, low-dose males, low-dose females, high-dose males, and high-dose females, thereby ensuring an equivalent distribution of fish within each. Each experimental group was housed in its own aquarium, each equipped with an independent aeration system via an air pump. This rigorous separation minimized potential cross-contamination, ensuring that any observed effects could be directly attributed to the assigned treatment concentrations (Varshney </w:t>
      </w:r>
      <w:r w:rsidR="00AA2C8F" w:rsidRPr="00A10FAD">
        <w:rPr>
          <w:rFonts w:ascii="Times New Roman" w:hAnsi="Times New Roman" w:cs="Times New Roman"/>
          <w:i/>
          <w:iCs/>
          <w:color w:val="1A1A1A"/>
          <w:sz w:val="24"/>
          <w:szCs w:val="24"/>
        </w:rPr>
        <w:t>et al.,</w:t>
      </w:r>
      <w:r w:rsidR="00AA2C8F" w:rsidRPr="00A10FAD">
        <w:rPr>
          <w:rFonts w:ascii="Times New Roman" w:hAnsi="Times New Roman" w:cs="Times New Roman"/>
          <w:color w:val="1A1A1A"/>
          <w:sz w:val="24"/>
          <w:szCs w:val="24"/>
        </w:rPr>
        <w:t xml:space="preserve"> 2022).</w:t>
      </w:r>
    </w:p>
    <w:p w14:paraId="043DA917" w14:textId="63CFC13C" w:rsidR="0097109C" w:rsidRPr="00A10FAD" w:rsidRDefault="00AA2C8F"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Dosing procedure:</w:t>
      </w:r>
      <w:r w:rsidRPr="00A10FAD">
        <w:rPr>
          <w:rFonts w:ascii="Times New Roman" w:hAnsi="Times New Roman" w:cs="Times New Roman"/>
          <w:color w:val="1A1A1A"/>
          <w:sz w:val="24"/>
          <w:szCs w:val="24"/>
        </w:rPr>
        <w:t xml:space="preserve"> The experimental setup involved six tanks, each containing a 10-liter working volume of fresh, conditioned water. To minimize stress during cleaning, fish were carefully transferred via net to a separate container holding water from their original tank. Following the emptying and soap-free rinsing of the tanks, they were refilled to the 10-liter mark, and the fish were returned using the group-specific net. Continuous aeration via air </w:t>
      </w:r>
      <w:r w:rsidR="007D4817" w:rsidRPr="00A10FAD">
        <w:rPr>
          <w:rFonts w:ascii="Times New Roman" w:hAnsi="Times New Roman" w:cs="Times New Roman"/>
          <w:color w:val="1A1A1A"/>
          <w:sz w:val="24"/>
          <w:szCs w:val="24"/>
        </w:rPr>
        <w:t>pumps-maintained</w:t>
      </w:r>
      <w:r w:rsidRPr="00A10FAD">
        <w:rPr>
          <w:rFonts w:ascii="Times New Roman" w:hAnsi="Times New Roman" w:cs="Times New Roman"/>
          <w:color w:val="1A1A1A"/>
          <w:sz w:val="24"/>
          <w:szCs w:val="24"/>
        </w:rPr>
        <w:t xml:space="preserve"> water quality. Dosing was administered daily around 2 PM, with a permissible two-hour variation, ensuring consistent timing across all groups. To mitigate environmental harm, tank wastewater was disposed of externally, and both tanks and fish were kept in a pristine state throughout the experiment.</w:t>
      </w:r>
    </w:p>
    <w:p w14:paraId="49D7189D" w14:textId="044471A6" w:rsidR="007D4817" w:rsidRPr="00A10FAD" w:rsidRDefault="007D4817"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lastRenderedPageBreak/>
        <w:t xml:space="preserve">Histopathology: </w:t>
      </w:r>
      <w:r w:rsidRPr="00A10FAD">
        <w:rPr>
          <w:rFonts w:ascii="Times New Roman" w:hAnsi="Times New Roman" w:cs="Times New Roman"/>
          <w:color w:val="1A1A1A"/>
          <w:sz w:val="24"/>
          <w:szCs w:val="24"/>
        </w:rPr>
        <w:t xml:space="preserve">Following a 28-day exposure period, all 60 zebrafish underwent euthanasia via immersion in cold water. Subsequently, their reproductive organs were meticulously dissected and preserved in </w:t>
      </w:r>
      <w:proofErr w:type="spellStart"/>
      <w:r w:rsidRPr="00A10FAD">
        <w:rPr>
          <w:rFonts w:ascii="Times New Roman" w:hAnsi="Times New Roman" w:cs="Times New Roman"/>
          <w:color w:val="1A1A1A"/>
          <w:sz w:val="24"/>
          <w:szCs w:val="24"/>
        </w:rPr>
        <w:t>Bouin's</w:t>
      </w:r>
      <w:proofErr w:type="spellEnd"/>
      <w:r w:rsidRPr="00A10FAD">
        <w:rPr>
          <w:rFonts w:ascii="Times New Roman" w:hAnsi="Times New Roman" w:cs="Times New Roman"/>
          <w:color w:val="1A1A1A"/>
          <w:sz w:val="24"/>
          <w:szCs w:val="24"/>
        </w:rPr>
        <w:t xml:space="preserve"> fluid. The preserved samples then underwent a standard histological processing protocol, encompassing dehydration through a graded ethanol series, embedding in paraffin, and sectioning at a thickness of 5 </w:t>
      </w:r>
      <w:proofErr w:type="spellStart"/>
      <w:r w:rsidRPr="00A10FAD">
        <w:rPr>
          <w:rFonts w:ascii="Times New Roman" w:hAnsi="Times New Roman" w:cs="Times New Roman"/>
          <w:color w:val="1A1A1A"/>
          <w:sz w:val="24"/>
          <w:szCs w:val="24"/>
        </w:rPr>
        <w:t>μm</w:t>
      </w:r>
      <w:proofErr w:type="spellEnd"/>
      <w:r w:rsidRPr="00A10FAD">
        <w:rPr>
          <w:rFonts w:ascii="Times New Roman" w:hAnsi="Times New Roman" w:cs="Times New Roman"/>
          <w:color w:val="1A1A1A"/>
          <w:sz w:val="24"/>
          <w:szCs w:val="24"/>
        </w:rPr>
        <w:t xml:space="preserve">. For histopathological analysis, the sections were deparaffinized using xylene, rehydrated through a descending ethanol series, and stained with haematoxylin and eosin for subsequent light microscopic evaluation (Hegde </w:t>
      </w:r>
      <w:r w:rsidRPr="00A10FAD">
        <w:rPr>
          <w:rFonts w:ascii="Times New Roman" w:hAnsi="Times New Roman" w:cs="Times New Roman"/>
          <w:i/>
          <w:iCs/>
          <w:color w:val="1A1A1A"/>
          <w:sz w:val="24"/>
          <w:szCs w:val="24"/>
        </w:rPr>
        <w:t>et.al.,</w:t>
      </w:r>
      <w:r w:rsidRPr="00A10FAD">
        <w:rPr>
          <w:rFonts w:ascii="Times New Roman" w:hAnsi="Times New Roman" w:cs="Times New Roman"/>
          <w:color w:val="1A1A1A"/>
          <w:sz w:val="24"/>
          <w:szCs w:val="24"/>
        </w:rPr>
        <w:t xml:space="preserve"> 2024).</w:t>
      </w:r>
    </w:p>
    <w:p w14:paraId="4518F1AC" w14:textId="18DCBA21" w:rsidR="0097109C" w:rsidRPr="00A10FAD" w:rsidRDefault="00141FD3"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Behavioural analysis: </w:t>
      </w:r>
      <w:r w:rsidRPr="00A10FAD">
        <w:rPr>
          <w:rFonts w:ascii="Times New Roman" w:hAnsi="Times New Roman" w:cs="Times New Roman"/>
          <w:color w:val="1A1A1A"/>
          <w:sz w:val="24"/>
          <w:szCs w:val="24"/>
        </w:rPr>
        <w:t xml:space="preserve">The novel tank test is a </w:t>
      </w:r>
      <w:proofErr w:type="spellStart"/>
      <w:r w:rsidRPr="00A10FAD">
        <w:rPr>
          <w:rFonts w:ascii="Times New Roman" w:hAnsi="Times New Roman" w:cs="Times New Roman"/>
          <w:color w:val="1A1A1A"/>
          <w:sz w:val="24"/>
          <w:szCs w:val="24"/>
        </w:rPr>
        <w:t>behavioral</w:t>
      </w:r>
      <w:proofErr w:type="spellEnd"/>
      <w:r w:rsidRPr="00A10FAD">
        <w:rPr>
          <w:rFonts w:ascii="Times New Roman" w:hAnsi="Times New Roman" w:cs="Times New Roman"/>
          <w:color w:val="1A1A1A"/>
          <w:sz w:val="24"/>
          <w:szCs w:val="24"/>
        </w:rPr>
        <w:t xml:space="preserve"> assay employed to evaluate anxiety-like responses in zebrafish. When introduced to an unfamiliar environment, zebrafish typically exhibit avoidance </w:t>
      </w:r>
      <w:proofErr w:type="spellStart"/>
      <w:r w:rsidRPr="00A10FAD">
        <w:rPr>
          <w:rFonts w:ascii="Times New Roman" w:hAnsi="Times New Roman" w:cs="Times New Roman"/>
          <w:color w:val="1A1A1A"/>
          <w:sz w:val="24"/>
          <w:szCs w:val="24"/>
        </w:rPr>
        <w:t>behaviors</w:t>
      </w:r>
      <w:proofErr w:type="spellEnd"/>
      <w:r w:rsidRPr="00A10FAD">
        <w:rPr>
          <w:rFonts w:ascii="Times New Roman" w:hAnsi="Times New Roman" w:cs="Times New Roman"/>
          <w:color w:val="1A1A1A"/>
          <w:sz w:val="24"/>
          <w:szCs w:val="24"/>
        </w:rPr>
        <w:t xml:space="preserve">, preferring the bottom strata of the tank. As acclimation occurs, they gradually extend their exploration to the upper regions. By meticulously tracking the time allocated to different zones and the total distance traversed, researchers can ascertain the impact of various manipulations on zebrafish </w:t>
      </w:r>
      <w:proofErr w:type="spellStart"/>
      <w:r w:rsidRPr="00A10FAD">
        <w:rPr>
          <w:rFonts w:ascii="Times New Roman" w:hAnsi="Times New Roman" w:cs="Times New Roman"/>
          <w:color w:val="1A1A1A"/>
          <w:sz w:val="24"/>
          <w:szCs w:val="24"/>
        </w:rPr>
        <w:t>behavior</w:t>
      </w:r>
      <w:proofErr w:type="spellEnd"/>
      <w:r w:rsidRPr="00A10FAD">
        <w:rPr>
          <w:rFonts w:ascii="Times New Roman" w:hAnsi="Times New Roman" w:cs="Times New Roman"/>
          <w:color w:val="1A1A1A"/>
          <w:sz w:val="24"/>
          <w:szCs w:val="24"/>
        </w:rPr>
        <w:t xml:space="preserve">. To quantify changes in anxiety-related </w:t>
      </w:r>
      <w:proofErr w:type="spellStart"/>
      <w:r w:rsidRPr="00A10FAD">
        <w:rPr>
          <w:rFonts w:ascii="Times New Roman" w:hAnsi="Times New Roman" w:cs="Times New Roman"/>
          <w:color w:val="1A1A1A"/>
          <w:sz w:val="24"/>
          <w:szCs w:val="24"/>
        </w:rPr>
        <w:t>behaviors</w:t>
      </w:r>
      <w:proofErr w:type="spellEnd"/>
      <w:r w:rsidRPr="00A10FAD">
        <w:rPr>
          <w:rFonts w:ascii="Times New Roman" w:hAnsi="Times New Roman" w:cs="Times New Roman"/>
          <w:color w:val="1A1A1A"/>
          <w:sz w:val="24"/>
          <w:szCs w:val="24"/>
        </w:rPr>
        <w:t xml:space="preserve">, fish from both treated and control groups were exposed to a horizontal container during the novel tank diving test. Each fish was individually placed in a cylindrical tank (22 cm × 18.5 cm × 16 cm × 17 cm) filled with 5 </w:t>
      </w:r>
      <w:proofErr w:type="spellStart"/>
      <w:r w:rsidRPr="00A10FAD">
        <w:rPr>
          <w:rFonts w:ascii="Times New Roman" w:hAnsi="Times New Roman" w:cs="Times New Roman"/>
          <w:color w:val="1A1A1A"/>
          <w:sz w:val="24"/>
          <w:szCs w:val="24"/>
        </w:rPr>
        <w:t>liters</w:t>
      </w:r>
      <w:proofErr w:type="spellEnd"/>
      <w:r w:rsidRPr="00A10FAD">
        <w:rPr>
          <w:rFonts w:ascii="Times New Roman" w:hAnsi="Times New Roman" w:cs="Times New Roman"/>
          <w:color w:val="1A1A1A"/>
          <w:sz w:val="24"/>
          <w:szCs w:val="24"/>
        </w:rPr>
        <w:t xml:space="preserve"> of water. These novel tank tests were conducted following a 28-day exposure period. All video data were recorded using a Realme 9i 4G RMX3491 smartphone, equipped with a 50MP primary camera (f/1.8 aperture, 5P lens), positioned at a distance of 50 cm. This methodology allows for a quantitative assessment of geotaxis, freezing </w:t>
      </w:r>
      <w:proofErr w:type="spellStart"/>
      <w:r w:rsidRPr="00A10FAD">
        <w:rPr>
          <w:rFonts w:ascii="Times New Roman" w:hAnsi="Times New Roman" w:cs="Times New Roman"/>
          <w:color w:val="1A1A1A"/>
          <w:sz w:val="24"/>
          <w:szCs w:val="24"/>
        </w:rPr>
        <w:t>behavior</w:t>
      </w:r>
      <w:proofErr w:type="spellEnd"/>
      <w:r w:rsidRPr="00A10FAD">
        <w:rPr>
          <w:rFonts w:ascii="Times New Roman" w:hAnsi="Times New Roman" w:cs="Times New Roman"/>
          <w:color w:val="1A1A1A"/>
          <w:sz w:val="24"/>
          <w:szCs w:val="24"/>
        </w:rPr>
        <w:t xml:space="preserve">, and erratic movements, providing insights into stress responses and anxiolytic or anxiogenic effects of tested compounds (Glazer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2017; Faria </w:t>
      </w:r>
      <w:r w:rsidRPr="00A10FAD">
        <w:rPr>
          <w:rFonts w:ascii="Times New Roman" w:hAnsi="Times New Roman" w:cs="Times New Roman"/>
          <w:i/>
          <w:iCs/>
          <w:color w:val="1A1A1A"/>
          <w:sz w:val="24"/>
          <w:szCs w:val="24"/>
        </w:rPr>
        <w:t>et al.,</w:t>
      </w:r>
      <w:r w:rsidRPr="00A10FAD">
        <w:rPr>
          <w:rFonts w:ascii="Times New Roman" w:hAnsi="Times New Roman" w:cs="Times New Roman"/>
          <w:color w:val="1A1A1A"/>
          <w:sz w:val="24"/>
          <w:szCs w:val="24"/>
        </w:rPr>
        <w:t xml:space="preserve"> 2020; </w:t>
      </w:r>
      <w:proofErr w:type="spellStart"/>
      <w:r w:rsidRPr="00A10FAD">
        <w:rPr>
          <w:rFonts w:ascii="Times New Roman" w:hAnsi="Times New Roman" w:cs="Times New Roman"/>
          <w:color w:val="1A1A1A"/>
          <w:sz w:val="24"/>
          <w:szCs w:val="24"/>
        </w:rPr>
        <w:t>Jouannais</w:t>
      </w:r>
      <w:proofErr w:type="spellEnd"/>
      <w:r w:rsidRPr="00A10FAD">
        <w:rPr>
          <w:rFonts w:ascii="Times New Roman" w:hAnsi="Times New Roman" w:cs="Times New Roman"/>
          <w:color w:val="1A1A1A"/>
          <w:sz w:val="24"/>
          <w:szCs w:val="24"/>
        </w:rPr>
        <w:t xml:space="preserve"> &amp; </w:t>
      </w:r>
      <w:proofErr w:type="spellStart"/>
      <w:r w:rsidRPr="00A10FAD">
        <w:rPr>
          <w:rFonts w:ascii="Times New Roman" w:hAnsi="Times New Roman" w:cs="Times New Roman"/>
          <w:color w:val="1A1A1A"/>
          <w:sz w:val="24"/>
          <w:szCs w:val="24"/>
        </w:rPr>
        <w:t>Pizzol</w:t>
      </w:r>
      <w:proofErr w:type="spellEnd"/>
      <w:r w:rsidRPr="00A10FAD">
        <w:rPr>
          <w:rFonts w:ascii="Times New Roman" w:hAnsi="Times New Roman" w:cs="Times New Roman"/>
          <w:color w:val="1A1A1A"/>
          <w:sz w:val="24"/>
          <w:szCs w:val="24"/>
        </w:rPr>
        <w:t xml:space="preserve">, 2021; Correia </w:t>
      </w:r>
      <w:r w:rsidRPr="00A10FAD">
        <w:rPr>
          <w:rFonts w:ascii="Times New Roman" w:hAnsi="Times New Roman" w:cs="Times New Roman"/>
          <w:i/>
          <w:iCs/>
          <w:color w:val="1A1A1A"/>
          <w:sz w:val="24"/>
          <w:szCs w:val="24"/>
        </w:rPr>
        <w:t>et</w:t>
      </w:r>
      <w:r w:rsidR="00052A22" w:rsidRPr="00A10FAD">
        <w:rPr>
          <w:rFonts w:ascii="Times New Roman" w:hAnsi="Times New Roman" w:cs="Times New Roman"/>
          <w:i/>
          <w:iCs/>
          <w:color w:val="1A1A1A"/>
          <w:sz w:val="24"/>
          <w:szCs w:val="24"/>
        </w:rPr>
        <w:t xml:space="preserve"> </w:t>
      </w:r>
      <w:r w:rsidRPr="00A10FAD">
        <w:rPr>
          <w:rFonts w:ascii="Times New Roman" w:hAnsi="Times New Roman" w:cs="Times New Roman"/>
          <w:i/>
          <w:iCs/>
          <w:color w:val="1A1A1A"/>
          <w:sz w:val="24"/>
          <w:szCs w:val="24"/>
        </w:rPr>
        <w:t>al.,</w:t>
      </w:r>
      <w:r w:rsidRPr="00A10FAD">
        <w:rPr>
          <w:rFonts w:ascii="Times New Roman" w:hAnsi="Times New Roman" w:cs="Times New Roman"/>
          <w:color w:val="1A1A1A"/>
          <w:sz w:val="24"/>
          <w:szCs w:val="24"/>
        </w:rPr>
        <w:t xml:space="preserve"> 2022).</w:t>
      </w:r>
    </w:p>
    <w:p w14:paraId="5C6E49B1" w14:textId="0E0DE85D" w:rsidR="006670B8" w:rsidRPr="00A10FAD" w:rsidRDefault="00FB7A7A"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lastRenderedPageBreak/>
        <w:t xml:space="preserve">Statistical analysis: </w:t>
      </w:r>
      <w:r w:rsidRPr="00A10FAD">
        <w:rPr>
          <w:rFonts w:ascii="Times New Roman" w:hAnsi="Times New Roman" w:cs="Times New Roman"/>
          <w:color w:val="1A1A1A"/>
          <w:sz w:val="24"/>
          <w:szCs w:val="24"/>
        </w:rPr>
        <w:t xml:space="preserve">All experimental data are expressed as the mean ± standard </w:t>
      </w:r>
      <w:r w:rsidR="001A1AF4" w:rsidRPr="00A10FAD">
        <w:rPr>
          <w:rFonts w:ascii="Times New Roman" w:hAnsi="Times New Roman" w:cs="Times New Roman"/>
          <w:color w:val="1A1A1A"/>
          <w:sz w:val="24"/>
          <w:szCs w:val="24"/>
        </w:rPr>
        <w:t>deviation (</w:t>
      </w:r>
      <w:r w:rsidRPr="00A10FAD">
        <w:rPr>
          <w:rFonts w:ascii="Times New Roman" w:hAnsi="Times New Roman" w:cs="Times New Roman"/>
          <w:color w:val="1A1A1A"/>
          <w:sz w:val="24"/>
          <w:szCs w:val="24"/>
        </w:rPr>
        <w:t>SD). Behavioural parameters obtained from the novel tank test (NTT), specifically time spent in each zone and latency to enter the top zone, were analysed to assess the effects of drug treatment, exposure duration, and their interaction. A two-way analysis of variance (ANOVA) was performed to evaluate the main effects of treatment dose and exposure time, as well as any interaction between these factors. When significant effects were detected, Tukey’s multiple comparisons test was applied for post hoc pairwise analysis between groups. Statistica</w:t>
      </w:r>
      <w:r w:rsidR="001A1AF4" w:rsidRPr="00A10FAD">
        <w:rPr>
          <w:rFonts w:ascii="Times New Roman" w:hAnsi="Times New Roman" w:cs="Times New Roman"/>
          <w:color w:val="1A1A1A"/>
          <w:sz w:val="24"/>
          <w:szCs w:val="24"/>
        </w:rPr>
        <w:t xml:space="preserve">l </w:t>
      </w:r>
      <w:r w:rsidRPr="00A10FAD">
        <w:rPr>
          <w:rFonts w:ascii="Times New Roman" w:hAnsi="Times New Roman" w:cs="Times New Roman"/>
          <w:color w:val="1A1A1A"/>
          <w:sz w:val="24"/>
          <w:szCs w:val="24"/>
        </w:rPr>
        <w:t>signifi</w:t>
      </w:r>
      <w:r w:rsidR="001A1AF4" w:rsidRPr="00A10FAD">
        <w:rPr>
          <w:rFonts w:ascii="Times New Roman" w:hAnsi="Times New Roman" w:cs="Times New Roman"/>
          <w:color w:val="1A1A1A"/>
          <w:sz w:val="24"/>
          <w:szCs w:val="24"/>
        </w:rPr>
        <w:t xml:space="preserve">cance was set at p&lt;0.05. </w:t>
      </w:r>
      <w:r w:rsidRPr="00A10FAD">
        <w:rPr>
          <w:rFonts w:ascii="Times New Roman" w:hAnsi="Times New Roman" w:cs="Times New Roman"/>
          <w:color w:val="1A1A1A"/>
          <w:sz w:val="24"/>
          <w:szCs w:val="24"/>
        </w:rPr>
        <w:t>Data processing and statistical analysis were carried out using GraphPad Prism software.</w:t>
      </w:r>
    </w:p>
    <w:p w14:paraId="7F68147C" w14:textId="607ECC40" w:rsidR="00FB7A7A" w:rsidRPr="00A10FAD" w:rsidRDefault="00052A22" w:rsidP="00A10FAD">
      <w:pPr>
        <w:spacing w:line="480" w:lineRule="auto"/>
        <w:jc w:val="both"/>
        <w:rPr>
          <w:rFonts w:ascii="Times New Roman" w:hAnsi="Times New Roman" w:cs="Times New Roman"/>
          <w:b/>
          <w:bCs/>
          <w:color w:val="1A1A1A"/>
          <w:sz w:val="24"/>
          <w:szCs w:val="24"/>
        </w:rPr>
      </w:pPr>
      <w:r w:rsidRPr="00A10FAD">
        <w:rPr>
          <w:rFonts w:ascii="Times New Roman" w:hAnsi="Times New Roman" w:cs="Times New Roman"/>
          <w:b/>
          <w:bCs/>
          <w:color w:val="1A1A1A"/>
          <w:sz w:val="24"/>
          <w:szCs w:val="24"/>
        </w:rPr>
        <w:t xml:space="preserve">RESULTS </w:t>
      </w:r>
    </w:p>
    <w:p w14:paraId="08E030E2" w14:textId="31E8973A" w:rsidR="00052A22" w:rsidRPr="00A10FAD" w:rsidRDefault="00052A22"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Histological analysis of ovaries of zebra fish: </w:t>
      </w:r>
      <w:r w:rsidRPr="00A10FAD">
        <w:rPr>
          <w:rFonts w:ascii="Times New Roman" w:hAnsi="Times New Roman" w:cs="Times New Roman"/>
          <w:color w:val="1A1A1A"/>
          <w:sz w:val="24"/>
          <w:szCs w:val="24"/>
        </w:rPr>
        <w:t xml:space="preserve">Normal gametogenic progression was observed in the ovarian histology of control female zebrafish. Primary oocytes were characterized by their small diameter, partially formed follicular layers, and peripheral distribution of multiple nuclei. Follicular size consistently increased as development advanced. During the cortical alveoli stage (CAS), the ooplasm was filled with granular cortical alveoli, and the early formation of the zona radiata was evident. In the </w:t>
      </w:r>
      <w:proofErr w:type="spellStart"/>
      <w:r w:rsidRPr="00A10FAD">
        <w:rPr>
          <w:rFonts w:ascii="Times New Roman" w:hAnsi="Times New Roman" w:cs="Times New Roman"/>
          <w:color w:val="1A1A1A"/>
          <w:sz w:val="24"/>
          <w:szCs w:val="24"/>
        </w:rPr>
        <w:t>vitellogenic</w:t>
      </w:r>
      <w:proofErr w:type="spellEnd"/>
      <w:r w:rsidRPr="00A10FAD">
        <w:rPr>
          <w:rFonts w:ascii="Times New Roman" w:hAnsi="Times New Roman" w:cs="Times New Roman"/>
          <w:color w:val="1A1A1A"/>
          <w:sz w:val="24"/>
          <w:szCs w:val="24"/>
        </w:rPr>
        <w:t xml:space="preserve"> stage, follicles exhibited an intact vitelline membrane, a distinct zona radiata, and a well-organized outer follicular epithelium (Fig 1). Active vitellogenesis was apparent in developing follicles, while mature oocytes were fully developed, displaying extensive vitellogenesis and uniformly arranged nuclei within the surrounding follicular epithelial cells. Histological examination of female zebrafish ovaries exposed to fluoxetine at concentrations of 40 ng/L and 400 ng/L revealed a distinct separation of the zona radiata from the oocyte membrane specifically in </w:t>
      </w:r>
      <w:proofErr w:type="spellStart"/>
      <w:r w:rsidRPr="00A10FAD">
        <w:rPr>
          <w:rFonts w:ascii="Times New Roman" w:hAnsi="Times New Roman" w:cs="Times New Roman"/>
          <w:color w:val="1A1A1A"/>
          <w:sz w:val="24"/>
          <w:szCs w:val="24"/>
        </w:rPr>
        <w:t>vitellogenic</w:t>
      </w:r>
      <w:proofErr w:type="spellEnd"/>
      <w:r w:rsidRPr="00A10FAD">
        <w:rPr>
          <w:rFonts w:ascii="Times New Roman" w:hAnsi="Times New Roman" w:cs="Times New Roman"/>
          <w:color w:val="1A1A1A"/>
          <w:sz w:val="24"/>
          <w:szCs w:val="24"/>
        </w:rPr>
        <w:t>-stage oocytes (Fig. 1-B1 and</w:t>
      </w:r>
      <w:r w:rsidR="008227E9" w:rsidRPr="00A10FAD">
        <w:rPr>
          <w:rFonts w:ascii="Times New Roman" w:hAnsi="Times New Roman" w:cs="Times New Roman"/>
          <w:color w:val="1A1A1A"/>
          <w:sz w:val="24"/>
          <w:szCs w:val="24"/>
        </w:rPr>
        <w:t xml:space="preserve"> </w:t>
      </w:r>
      <w:r w:rsidRPr="00A10FAD">
        <w:rPr>
          <w:rFonts w:ascii="Times New Roman" w:hAnsi="Times New Roman" w:cs="Times New Roman"/>
          <w:color w:val="1A1A1A"/>
          <w:sz w:val="24"/>
          <w:szCs w:val="24"/>
        </w:rPr>
        <w:t xml:space="preserve">C). This detachment was not observed in primary or cortical alveolus stage oocytes across either treatment group. Moreover, atretic oocytes (AO) were predominantly found at the </w:t>
      </w:r>
      <w:r w:rsidRPr="00A10FAD">
        <w:rPr>
          <w:rFonts w:ascii="Times New Roman" w:hAnsi="Times New Roman" w:cs="Times New Roman"/>
          <w:color w:val="1A1A1A"/>
          <w:sz w:val="24"/>
          <w:szCs w:val="24"/>
        </w:rPr>
        <w:lastRenderedPageBreak/>
        <w:t xml:space="preserve">mature stage in the G2 group, while no atresia was noted at any developmental stage, including the </w:t>
      </w:r>
      <w:proofErr w:type="spellStart"/>
      <w:r w:rsidRPr="00A10FAD">
        <w:rPr>
          <w:rFonts w:ascii="Times New Roman" w:hAnsi="Times New Roman" w:cs="Times New Roman"/>
          <w:color w:val="1A1A1A"/>
          <w:sz w:val="24"/>
          <w:szCs w:val="24"/>
        </w:rPr>
        <w:t>vitellogenic</w:t>
      </w:r>
      <w:proofErr w:type="spellEnd"/>
      <w:r w:rsidRPr="00A10FAD">
        <w:rPr>
          <w:rFonts w:ascii="Times New Roman" w:hAnsi="Times New Roman" w:cs="Times New Roman"/>
          <w:color w:val="1A1A1A"/>
          <w:sz w:val="24"/>
          <w:szCs w:val="24"/>
        </w:rPr>
        <w:t xml:space="preserve"> stage, in the G3 group.</w:t>
      </w:r>
    </w:p>
    <w:p w14:paraId="77B3B7C4" w14:textId="77777777" w:rsidR="009D3AD9" w:rsidRPr="00A10FAD" w:rsidRDefault="008227E9"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Histological analysis of testes: </w:t>
      </w:r>
      <w:r w:rsidR="009D3AD9" w:rsidRPr="00A10FAD">
        <w:rPr>
          <w:rFonts w:ascii="Times New Roman" w:hAnsi="Times New Roman" w:cs="Times New Roman"/>
          <w:color w:val="1A1A1A"/>
          <w:sz w:val="24"/>
          <w:szCs w:val="24"/>
        </w:rPr>
        <w:t xml:space="preserve">Histological examination of control male zebrafish testes revealed a typical progression of spermatogenic development. Seminiferous tubules were enveloped by thin layers of interstitial connective tissue containing Leydig cells, which are the primary source of androgens secreted in response to pituitary gonadotropins. Along the basement membrane, large, solitary spermatogonia A cells were observed, subsequently forming clusters of spermatogonia B cells that matured into primary and secondary spermatocytes within well-defined spermatocytes. Sertoli cells, identifiable by their irregularly shaped nuclei and proximity to the basement membrane, played a crucial role in supporting </w:t>
      </w:r>
      <w:proofErr w:type="spellStart"/>
      <w:r w:rsidR="009D3AD9" w:rsidRPr="00A10FAD">
        <w:rPr>
          <w:rFonts w:ascii="Times New Roman" w:hAnsi="Times New Roman" w:cs="Times New Roman"/>
          <w:color w:val="1A1A1A"/>
          <w:sz w:val="24"/>
          <w:szCs w:val="24"/>
        </w:rPr>
        <w:t>spermatogonial</w:t>
      </w:r>
      <w:proofErr w:type="spellEnd"/>
      <w:r w:rsidR="009D3AD9" w:rsidRPr="00A10FAD">
        <w:rPr>
          <w:rFonts w:ascii="Times New Roman" w:hAnsi="Times New Roman" w:cs="Times New Roman"/>
          <w:color w:val="1A1A1A"/>
          <w:sz w:val="24"/>
          <w:szCs w:val="24"/>
        </w:rPr>
        <w:t xml:space="preserve"> proliferation. The intratubular space was densely populated with Leydig cells, further underscoring their involvement in hormonal regulation and testicular structural integrity. In contrast, male zebrafish exposed to 40 ng/L and 400 ng/L fluoxetine exhibited testicular histology with notable vacuole formation within the lumen of spermatozoa, potentially indicating a reduced sperm count. This finding suggests that fluoxetine may lead to diminished spermatozoa. </w:t>
      </w:r>
    </w:p>
    <w:p w14:paraId="7726D5A5" w14:textId="3635D6B1" w:rsidR="009D3AD9" w:rsidRPr="00A10FAD" w:rsidRDefault="009D3AD9"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Novel tank diving test: </w:t>
      </w:r>
      <w:r w:rsidR="001F41E0" w:rsidRPr="00A10FAD">
        <w:rPr>
          <w:rFonts w:ascii="Times New Roman" w:hAnsi="Times New Roman" w:cs="Times New Roman"/>
          <w:color w:val="1A1A1A"/>
          <w:sz w:val="24"/>
          <w:szCs w:val="24"/>
        </w:rPr>
        <w:t xml:space="preserve">The Novel Tank Diving Test (NTDT) is a well-established paradigm for assessing anxiety-like </w:t>
      </w:r>
      <w:proofErr w:type="spellStart"/>
      <w:r w:rsidR="001F41E0" w:rsidRPr="00A10FAD">
        <w:rPr>
          <w:rFonts w:ascii="Times New Roman" w:hAnsi="Times New Roman" w:cs="Times New Roman"/>
          <w:color w:val="1A1A1A"/>
          <w:sz w:val="24"/>
          <w:szCs w:val="24"/>
        </w:rPr>
        <w:t>behavior</w:t>
      </w:r>
      <w:proofErr w:type="spellEnd"/>
      <w:r w:rsidR="001F41E0" w:rsidRPr="00A10FAD">
        <w:rPr>
          <w:rFonts w:ascii="Times New Roman" w:hAnsi="Times New Roman" w:cs="Times New Roman"/>
          <w:color w:val="1A1A1A"/>
          <w:sz w:val="24"/>
          <w:szCs w:val="24"/>
        </w:rPr>
        <w:t xml:space="preserve"> in zebrafish, wherein vertical positioning and the latency to enter the upper tank half serve as indicators of stress response and exploratory drive. Fig 3 depicts the “Latency to the Top” parameter, which quantifies the temporal duration required for a zebrafish to reach the upper third of a novel tank environment upon introduction. This metric inversely correlates with anxiety levels; extended latencies suggest heightened anxiety, whereas reduced latencies indicate anxiolytic </w:t>
      </w:r>
      <w:proofErr w:type="spellStart"/>
      <w:r w:rsidR="001F41E0" w:rsidRPr="00A10FAD">
        <w:rPr>
          <w:rFonts w:ascii="Times New Roman" w:hAnsi="Times New Roman" w:cs="Times New Roman"/>
          <w:color w:val="1A1A1A"/>
          <w:sz w:val="24"/>
          <w:szCs w:val="24"/>
        </w:rPr>
        <w:t>behavior</w:t>
      </w:r>
      <w:proofErr w:type="spellEnd"/>
      <w:r w:rsidR="001F41E0" w:rsidRPr="00A10FAD">
        <w:rPr>
          <w:rFonts w:ascii="Times New Roman" w:hAnsi="Times New Roman" w:cs="Times New Roman"/>
          <w:color w:val="1A1A1A"/>
          <w:sz w:val="24"/>
          <w:szCs w:val="24"/>
        </w:rPr>
        <w:t xml:space="preserve"> (Singer </w:t>
      </w:r>
      <w:r w:rsidR="001F41E0" w:rsidRPr="00A10FAD">
        <w:rPr>
          <w:rFonts w:ascii="Times New Roman" w:hAnsi="Times New Roman" w:cs="Times New Roman"/>
          <w:i/>
          <w:iCs/>
          <w:color w:val="1A1A1A"/>
          <w:sz w:val="24"/>
          <w:szCs w:val="24"/>
        </w:rPr>
        <w:t>et.al.,</w:t>
      </w:r>
      <w:r w:rsidR="001F41E0" w:rsidRPr="00A10FAD">
        <w:rPr>
          <w:rFonts w:ascii="Times New Roman" w:hAnsi="Times New Roman" w:cs="Times New Roman"/>
          <w:color w:val="1A1A1A"/>
          <w:sz w:val="24"/>
          <w:szCs w:val="24"/>
        </w:rPr>
        <w:t xml:space="preserve"> 2016). The investigation compared three distinct groups exposed to varying concentrations of fluoxetine: a control group, a low-</w:t>
      </w:r>
      <w:r w:rsidR="001F41E0" w:rsidRPr="00A10FAD">
        <w:rPr>
          <w:rFonts w:ascii="Times New Roman" w:hAnsi="Times New Roman" w:cs="Times New Roman"/>
          <w:color w:val="1A1A1A"/>
          <w:sz w:val="24"/>
          <w:szCs w:val="24"/>
        </w:rPr>
        <w:lastRenderedPageBreak/>
        <w:t xml:space="preserve">dose group, and a high-dose group. Following relocation to novel tanks, the swimming </w:t>
      </w:r>
      <w:proofErr w:type="spellStart"/>
      <w:r w:rsidR="001F41E0" w:rsidRPr="00A10FAD">
        <w:rPr>
          <w:rFonts w:ascii="Times New Roman" w:hAnsi="Times New Roman" w:cs="Times New Roman"/>
          <w:color w:val="1A1A1A"/>
          <w:sz w:val="24"/>
          <w:szCs w:val="24"/>
        </w:rPr>
        <w:t>behavior</w:t>
      </w:r>
      <w:proofErr w:type="spellEnd"/>
      <w:r w:rsidR="001F41E0" w:rsidRPr="00A10FAD">
        <w:rPr>
          <w:rFonts w:ascii="Times New Roman" w:hAnsi="Times New Roman" w:cs="Times New Roman"/>
          <w:color w:val="1A1A1A"/>
          <w:sz w:val="24"/>
          <w:szCs w:val="24"/>
        </w:rPr>
        <w:t xml:space="preserve"> of each zebrafish was video-recorded for a 6-minute duration per trial. The mean latency to the top for each group was subsequently recorded, offering insight into the modulatory effects of different fluoxetine dosages on anxiety-related </w:t>
      </w:r>
      <w:proofErr w:type="spellStart"/>
      <w:r w:rsidR="001F41E0" w:rsidRPr="00A10FAD">
        <w:rPr>
          <w:rFonts w:ascii="Times New Roman" w:hAnsi="Times New Roman" w:cs="Times New Roman"/>
          <w:color w:val="1A1A1A"/>
          <w:sz w:val="24"/>
          <w:szCs w:val="24"/>
        </w:rPr>
        <w:t>behavior</w:t>
      </w:r>
      <w:proofErr w:type="spellEnd"/>
      <w:r w:rsidR="001F41E0" w:rsidRPr="00A10FAD">
        <w:rPr>
          <w:rFonts w:ascii="Times New Roman" w:hAnsi="Times New Roman" w:cs="Times New Roman"/>
          <w:color w:val="1A1A1A"/>
          <w:sz w:val="24"/>
          <w:szCs w:val="24"/>
        </w:rPr>
        <w:t>.</w:t>
      </w:r>
    </w:p>
    <w:p w14:paraId="2BC45E2B" w14:textId="2F2D4262" w:rsidR="001F41E0" w:rsidRPr="00A10FAD" w:rsidRDefault="001F41E0"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Latency:</w:t>
      </w:r>
      <w:r w:rsidRPr="00A10FAD">
        <w:rPr>
          <w:rFonts w:ascii="Times New Roman" w:hAnsi="Times New Roman" w:cs="Times New Roman"/>
          <w:color w:val="1A1A1A"/>
          <w:sz w:val="24"/>
          <w:szCs w:val="24"/>
        </w:rPr>
        <w:t xml:space="preserve">  </w:t>
      </w:r>
      <w:r w:rsidR="00351534" w:rsidRPr="00A10FAD">
        <w:rPr>
          <w:rFonts w:ascii="Times New Roman" w:hAnsi="Times New Roman" w:cs="Times New Roman"/>
          <w:color w:val="1A1A1A"/>
          <w:sz w:val="24"/>
          <w:szCs w:val="24"/>
        </w:rPr>
        <w:t xml:space="preserve">After 28 days of fluoxetine exposure, the latency to enter the top zone in a novel tank test (NTT)was evaluated. A two-way ANOVA, considering concentration and sex as factors, indicated no statistically significant effects attributable to fluoxetine concentration, sex, or their interaction. In the novel tank test, elevated latency values are indicative of a stronger preference for the bottom zone, reflecting heightened anxiety-like </w:t>
      </w:r>
      <w:proofErr w:type="spellStart"/>
      <w:r w:rsidR="00351534" w:rsidRPr="00A10FAD">
        <w:rPr>
          <w:rFonts w:ascii="Times New Roman" w:hAnsi="Times New Roman" w:cs="Times New Roman"/>
          <w:color w:val="1A1A1A"/>
          <w:sz w:val="24"/>
          <w:szCs w:val="24"/>
        </w:rPr>
        <w:t>behavior</w:t>
      </w:r>
      <w:proofErr w:type="spellEnd"/>
      <w:r w:rsidR="00351534" w:rsidRPr="00A10FAD">
        <w:rPr>
          <w:rFonts w:ascii="Times New Roman" w:hAnsi="Times New Roman" w:cs="Times New Roman"/>
          <w:color w:val="1A1A1A"/>
          <w:sz w:val="24"/>
          <w:szCs w:val="24"/>
        </w:rPr>
        <w:t xml:space="preserve">, while reduced latency suggests decreased anxiety. Although a trend toward diminished latency was observed at 40 ng/L in both sexes, followed by a partial increase at 400 ng/L, these alterations did not achieve statistical significance (Fig 3). The lack of significance may be attributed to substantial within-group variability, as evidenced by the large error bars. Overall, both male and female subjects displayed comparable behavioural patterns across all concentrations, suggesting that sex did not notably influence anxiety-related responses or other tested conditions (Singer </w:t>
      </w:r>
      <w:r w:rsidR="00351534" w:rsidRPr="00A10FAD">
        <w:rPr>
          <w:rFonts w:ascii="Times New Roman" w:hAnsi="Times New Roman" w:cs="Times New Roman"/>
          <w:i/>
          <w:iCs/>
          <w:color w:val="1A1A1A"/>
          <w:sz w:val="24"/>
          <w:szCs w:val="24"/>
        </w:rPr>
        <w:t>et al.,</w:t>
      </w:r>
      <w:r w:rsidR="00351534" w:rsidRPr="00A10FAD">
        <w:rPr>
          <w:rFonts w:ascii="Times New Roman" w:hAnsi="Times New Roman" w:cs="Times New Roman"/>
          <w:color w:val="1A1A1A"/>
          <w:sz w:val="24"/>
          <w:szCs w:val="24"/>
        </w:rPr>
        <w:t xml:space="preserve"> 2016).</w:t>
      </w:r>
      <w:r w:rsidRPr="00A10FAD">
        <w:rPr>
          <w:rFonts w:ascii="Times New Roman" w:hAnsi="Times New Roman" w:cs="Times New Roman"/>
          <w:color w:val="1A1A1A"/>
          <w:sz w:val="24"/>
          <w:szCs w:val="24"/>
        </w:rPr>
        <w:t xml:space="preserve"> </w:t>
      </w:r>
    </w:p>
    <w:p w14:paraId="6B980E29" w14:textId="05F4B626" w:rsidR="00954BE5" w:rsidRPr="00A10FAD" w:rsidRDefault="00351534" w:rsidP="00A10FAD">
      <w:pPr>
        <w:spacing w:line="480" w:lineRule="auto"/>
        <w:jc w:val="both"/>
        <w:rPr>
          <w:rFonts w:ascii="Times New Roman" w:hAnsi="Times New Roman" w:cs="Times New Roman"/>
          <w:color w:val="1A1A1A"/>
          <w:sz w:val="24"/>
          <w:szCs w:val="24"/>
        </w:rPr>
      </w:pPr>
      <w:r w:rsidRPr="00A10FAD">
        <w:rPr>
          <w:rFonts w:ascii="Times New Roman" w:hAnsi="Times New Roman" w:cs="Times New Roman"/>
          <w:b/>
          <w:bCs/>
          <w:color w:val="1A1A1A"/>
          <w:sz w:val="24"/>
          <w:szCs w:val="24"/>
        </w:rPr>
        <w:t xml:space="preserve">Time spent in each zone: </w:t>
      </w:r>
      <w:r w:rsidRPr="00A10FAD">
        <w:rPr>
          <w:rFonts w:ascii="Times New Roman" w:hAnsi="Times New Roman" w:cs="Times New Roman"/>
          <w:color w:val="1A1A1A"/>
          <w:sz w:val="24"/>
          <w:szCs w:val="24"/>
        </w:rPr>
        <w:t xml:space="preserve">Analysis of the novel tank test after 28 days of fluoxetine exposure revealed the time spent in both the bottom and top zones. A two-way ANOVA indicated no significant main effect of fluoxetine concentration on zone preferences; however, a highly significant difference was observed between zones </w:t>
      </w:r>
      <w:commentRangeStart w:id="5"/>
      <w:r w:rsidRPr="00A10FAD">
        <w:rPr>
          <w:rFonts w:ascii="Times New Roman" w:hAnsi="Times New Roman" w:cs="Times New Roman"/>
          <w:color w:val="1A1A1A"/>
          <w:sz w:val="24"/>
          <w:szCs w:val="24"/>
        </w:rPr>
        <w:t>(***p &lt;0.001)</w:t>
      </w:r>
      <w:commentRangeEnd w:id="5"/>
      <w:r w:rsidR="00A55C93">
        <w:rPr>
          <w:rStyle w:val="ReferensiKomentar"/>
        </w:rPr>
        <w:commentReference w:id="5"/>
      </w:r>
      <w:r w:rsidRPr="00A10FAD">
        <w:rPr>
          <w:rFonts w:ascii="Times New Roman" w:hAnsi="Times New Roman" w:cs="Times New Roman"/>
          <w:color w:val="1A1A1A"/>
          <w:sz w:val="24"/>
          <w:szCs w:val="24"/>
        </w:rPr>
        <w:t xml:space="preserve">, with fish spending considerably more time in the bottom than in the top zone. A significant interaction between concentration and zone suggested that fluoxetine modified the temporal distribution across these zones. Specifically, fish exposed to 40 ng/L exhibited increased time in the top zone and reduced time in the bottom zone compared to controls, whereas the 400 ng/L group demonstrated a partial reversal towards the control pattern, as depicted in Figure 4. These results </w:t>
      </w:r>
      <w:r w:rsidRPr="00A10FAD">
        <w:rPr>
          <w:rFonts w:ascii="Times New Roman" w:hAnsi="Times New Roman" w:cs="Times New Roman"/>
          <w:color w:val="1A1A1A"/>
          <w:sz w:val="24"/>
          <w:szCs w:val="24"/>
        </w:rPr>
        <w:lastRenderedPageBreak/>
        <w:t xml:space="preserve">imply that low-dose fluoxetine mitigates anxiety-like </w:t>
      </w:r>
      <w:proofErr w:type="spellStart"/>
      <w:r w:rsidRPr="00A10FAD">
        <w:rPr>
          <w:rFonts w:ascii="Times New Roman" w:hAnsi="Times New Roman" w:cs="Times New Roman"/>
          <w:color w:val="1A1A1A"/>
          <w:sz w:val="24"/>
          <w:szCs w:val="24"/>
        </w:rPr>
        <w:t>behavior</w:t>
      </w:r>
      <w:proofErr w:type="spellEnd"/>
      <w:r w:rsidRPr="00A10FAD">
        <w:rPr>
          <w:rFonts w:ascii="Times New Roman" w:hAnsi="Times New Roman" w:cs="Times New Roman"/>
          <w:color w:val="1A1A1A"/>
          <w:sz w:val="24"/>
          <w:szCs w:val="24"/>
        </w:rPr>
        <w:t xml:space="preserve"> by encouraging exploration of the top zone, while higher doses may diminish this anxiolytic effect.</w:t>
      </w:r>
      <w:r w:rsidR="0097173C" w:rsidRPr="00A10FAD">
        <w:rPr>
          <w:rFonts w:ascii="Times New Roman" w:hAnsi="Times New Roman" w:cs="Times New Roman"/>
          <w:color w:val="1A1A1A"/>
          <w:sz w:val="24"/>
          <w:szCs w:val="24"/>
        </w:rPr>
        <w:t xml:space="preserve"> </w:t>
      </w:r>
      <w:r w:rsidR="009D3AD9" w:rsidRPr="00A10FAD">
        <w:rPr>
          <w:rFonts w:ascii="Times New Roman" w:hAnsi="Times New Roman" w:cs="Times New Roman"/>
          <w:color w:val="1A1A1A"/>
          <w:sz w:val="24"/>
          <w:szCs w:val="24"/>
        </w:rPr>
        <w:t>However, the testicular observations were less significant compared to the ovarian results, which distinctly showed atretic oocytes and detachment of the zona radiata, whereas the testes did not display such pronounced alterations.</w:t>
      </w:r>
    </w:p>
    <w:p w14:paraId="533EA314" w14:textId="05CEDA44" w:rsidR="00FB7A7A" w:rsidRPr="00A10FAD" w:rsidRDefault="00023CFD" w:rsidP="00A10FAD">
      <w:pPr>
        <w:spacing w:line="480" w:lineRule="auto"/>
        <w:jc w:val="both"/>
        <w:rPr>
          <w:rFonts w:ascii="Times New Roman" w:hAnsi="Times New Roman" w:cs="Times New Roman"/>
          <w:b/>
          <w:bCs/>
          <w:color w:val="1A1A1A"/>
          <w:sz w:val="24"/>
          <w:szCs w:val="24"/>
        </w:rPr>
      </w:pPr>
      <w:r w:rsidRPr="00A10FAD">
        <w:rPr>
          <w:rFonts w:ascii="Times New Roman" w:hAnsi="Times New Roman" w:cs="Times New Roman"/>
          <w:b/>
          <w:bCs/>
          <w:color w:val="1A1A1A"/>
          <w:sz w:val="24"/>
          <w:szCs w:val="24"/>
        </w:rPr>
        <w:t xml:space="preserve">DISCUSSION </w:t>
      </w:r>
    </w:p>
    <w:p w14:paraId="03B2B4C8" w14:textId="362A06A4" w:rsidR="00FB7A7A" w:rsidRPr="00A10FAD" w:rsidRDefault="00023CFD" w:rsidP="00A10FAD">
      <w:pPr>
        <w:spacing w:line="480" w:lineRule="auto"/>
        <w:ind w:firstLine="720"/>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 xml:space="preserve">In the current investigation, female zebrafish exposed to fluoxetine at concentrations of 40 ng/L and 400 ng/L exhibited ovarian histological changes, specifically the detachment of the zona radiata from </w:t>
      </w:r>
      <w:proofErr w:type="spellStart"/>
      <w:r w:rsidRPr="00A10FAD">
        <w:rPr>
          <w:rFonts w:ascii="Times New Roman" w:hAnsi="Times New Roman" w:cs="Times New Roman"/>
          <w:color w:val="1A1A1A"/>
          <w:sz w:val="24"/>
          <w:szCs w:val="24"/>
        </w:rPr>
        <w:t>vitellogenic</w:t>
      </w:r>
      <w:proofErr w:type="spellEnd"/>
      <w:r w:rsidRPr="00A10FAD">
        <w:rPr>
          <w:rFonts w:ascii="Times New Roman" w:hAnsi="Times New Roman" w:cs="Times New Roman"/>
          <w:color w:val="1A1A1A"/>
          <w:sz w:val="24"/>
          <w:szCs w:val="24"/>
        </w:rPr>
        <w:t xml:space="preserve"> oocytes; this alteration was not observed in earlier developmental stages. Atretic oocytes were predominantly identified at the mature stage within the 40 ng/L group, yet were absent across all developmental stages, including </w:t>
      </w:r>
      <w:proofErr w:type="spellStart"/>
      <w:r w:rsidRPr="00A10FAD">
        <w:rPr>
          <w:rFonts w:ascii="Times New Roman" w:hAnsi="Times New Roman" w:cs="Times New Roman"/>
          <w:color w:val="1A1A1A"/>
          <w:sz w:val="24"/>
          <w:szCs w:val="24"/>
        </w:rPr>
        <w:t>vitellogenic</w:t>
      </w:r>
      <w:proofErr w:type="spellEnd"/>
      <w:r w:rsidRPr="00A10FAD">
        <w:rPr>
          <w:rFonts w:ascii="Times New Roman" w:hAnsi="Times New Roman" w:cs="Times New Roman"/>
          <w:color w:val="1A1A1A"/>
          <w:sz w:val="24"/>
          <w:szCs w:val="24"/>
        </w:rPr>
        <w:t xml:space="preserve"> oocytes, in the 400 ng/L group. These findings indicate dose-dependent structural and developmental disruptions in oocyte maturation. Complementary observations by </w:t>
      </w:r>
      <w:r w:rsidR="00A15505" w:rsidRPr="00A10FAD">
        <w:rPr>
          <w:rFonts w:ascii="Times New Roman" w:hAnsi="Times New Roman" w:cs="Times New Roman"/>
          <w:color w:val="1A1A1A"/>
          <w:sz w:val="24"/>
          <w:szCs w:val="24"/>
        </w:rPr>
        <w:t xml:space="preserve">(Khaled </w:t>
      </w:r>
      <w:r w:rsidR="00A15505" w:rsidRPr="00A10FAD">
        <w:rPr>
          <w:rFonts w:ascii="Times New Roman" w:hAnsi="Times New Roman" w:cs="Times New Roman"/>
          <w:i/>
          <w:iCs/>
          <w:color w:val="1A1A1A"/>
          <w:sz w:val="24"/>
          <w:szCs w:val="24"/>
        </w:rPr>
        <w:t>et.al,</w:t>
      </w:r>
      <w:r w:rsidR="00A15505" w:rsidRPr="00A10FAD">
        <w:rPr>
          <w:rFonts w:ascii="Times New Roman" w:hAnsi="Times New Roman" w:cs="Times New Roman"/>
          <w:color w:val="1A1A1A"/>
          <w:sz w:val="24"/>
          <w:szCs w:val="24"/>
        </w:rPr>
        <w:t xml:space="preserve"> 2023) </w:t>
      </w:r>
      <w:r w:rsidRPr="00A10FAD">
        <w:rPr>
          <w:rFonts w:ascii="Times New Roman" w:hAnsi="Times New Roman" w:cs="Times New Roman"/>
          <w:color w:val="1A1A1A"/>
          <w:sz w:val="24"/>
          <w:szCs w:val="24"/>
        </w:rPr>
        <w:t xml:space="preserve">demonstrated significant ovarian damage in duloxetine-treated female Wistar rats, including degeneration of egg cells, disorganization and necrosis of granulosa cells, loss of the </w:t>
      </w:r>
      <w:proofErr w:type="spellStart"/>
      <w:r w:rsidRPr="00A10FAD">
        <w:rPr>
          <w:rFonts w:ascii="Times New Roman" w:hAnsi="Times New Roman" w:cs="Times New Roman"/>
          <w:color w:val="1A1A1A"/>
          <w:sz w:val="24"/>
          <w:szCs w:val="24"/>
        </w:rPr>
        <w:t>periovular</w:t>
      </w:r>
      <w:proofErr w:type="spellEnd"/>
      <w:r w:rsidRPr="00A10FAD">
        <w:rPr>
          <w:rFonts w:ascii="Times New Roman" w:hAnsi="Times New Roman" w:cs="Times New Roman"/>
          <w:color w:val="1A1A1A"/>
          <w:sz w:val="24"/>
          <w:szCs w:val="24"/>
        </w:rPr>
        <w:t xml:space="preserve"> protective layer, reduced follicular count, intracellular vacuolation, ovarian </w:t>
      </w:r>
      <w:proofErr w:type="spellStart"/>
      <w:r w:rsidRPr="00A10FAD">
        <w:rPr>
          <w:rFonts w:ascii="Times New Roman" w:hAnsi="Times New Roman" w:cs="Times New Roman"/>
          <w:color w:val="1A1A1A"/>
          <w:sz w:val="24"/>
          <w:szCs w:val="24"/>
        </w:rPr>
        <w:t>hemorrhage</w:t>
      </w:r>
      <w:proofErr w:type="spellEnd"/>
      <w:r w:rsidRPr="00A10FAD">
        <w:rPr>
          <w:rFonts w:ascii="Times New Roman" w:hAnsi="Times New Roman" w:cs="Times New Roman"/>
          <w:color w:val="1A1A1A"/>
          <w:sz w:val="24"/>
          <w:szCs w:val="24"/>
        </w:rPr>
        <w:t>, and congested blood vessels. These alterations suggest that duloxetine exposure can compromise normal ovarian structure and function. While both studies highlight drug-induced disturbances to ovarian morphology, the current study identified specific stage-dependent structural changes attributable to fluoxetine, whereas duloxetine induced broad tissue degeneration and vascular anomalies in female Wistar rats. Conversely, no significant alterations were detected in the testes in the present study, with the exception of a speculative reduction in spermatozoa.</w:t>
      </w:r>
    </w:p>
    <w:p w14:paraId="10984D67" w14:textId="5122D8BE" w:rsidR="00954BE5" w:rsidRPr="00A10FAD" w:rsidRDefault="00A15505" w:rsidP="00A10FAD">
      <w:pPr>
        <w:spacing w:line="480" w:lineRule="auto"/>
        <w:ind w:firstLine="720"/>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t xml:space="preserve">The latency to enter the upper zone of the novel tank test was significantly altered following exposure to the test compound, with the low-dose group exhibiting a notably shorter </w:t>
      </w:r>
      <w:r w:rsidRPr="00A10FAD">
        <w:rPr>
          <w:rFonts w:ascii="Times New Roman" w:hAnsi="Times New Roman" w:cs="Times New Roman"/>
          <w:color w:val="1A1A1A"/>
          <w:sz w:val="24"/>
          <w:szCs w:val="24"/>
        </w:rPr>
        <w:lastRenderedPageBreak/>
        <w:t xml:space="preserve">latency compared to controls. This finding is consistent with observations by (Singer </w:t>
      </w:r>
      <w:r w:rsidRPr="00A10FAD">
        <w:rPr>
          <w:rFonts w:ascii="Times New Roman" w:hAnsi="Times New Roman" w:cs="Times New Roman"/>
          <w:i/>
          <w:iCs/>
          <w:color w:val="1A1A1A"/>
          <w:sz w:val="24"/>
          <w:szCs w:val="24"/>
        </w:rPr>
        <w:t>et.al.,</w:t>
      </w:r>
      <w:r w:rsidRPr="00A10FAD">
        <w:rPr>
          <w:rFonts w:ascii="Times New Roman" w:hAnsi="Times New Roman" w:cs="Times New Roman"/>
          <w:color w:val="1A1A1A"/>
          <w:sz w:val="24"/>
          <w:szCs w:val="24"/>
        </w:rPr>
        <w:t xml:space="preserve"> 2016) who similarly found that drug treatment significantly influenced the latency to enter the top half of the tank, independent of sex and sex-by-drug interaction effects. This suggests that pharmacological exposure is the primary factor driving changes in latency, rather than sex-related </w:t>
      </w:r>
      <w:proofErr w:type="spellStart"/>
      <w:r w:rsidRPr="00A10FAD">
        <w:rPr>
          <w:rFonts w:ascii="Times New Roman" w:hAnsi="Times New Roman" w:cs="Times New Roman"/>
          <w:color w:val="1A1A1A"/>
          <w:sz w:val="24"/>
          <w:szCs w:val="24"/>
        </w:rPr>
        <w:t>behavioral</w:t>
      </w:r>
      <w:proofErr w:type="spellEnd"/>
      <w:r w:rsidRPr="00A10FAD">
        <w:rPr>
          <w:rFonts w:ascii="Times New Roman" w:hAnsi="Times New Roman" w:cs="Times New Roman"/>
          <w:color w:val="1A1A1A"/>
          <w:sz w:val="24"/>
          <w:szCs w:val="24"/>
        </w:rPr>
        <w:t xml:space="preserve"> differences. Our results corroborate this pattern, as we also observed that compound exposure primarily modulated latency, with the most pronounced effect occurring in the low-dose group, which displayed a shorter latency compared to controls. Both our study and the referenced work indicate that latency is a sensitive </w:t>
      </w:r>
      <w:proofErr w:type="spellStart"/>
      <w:r w:rsidRPr="00A10FAD">
        <w:rPr>
          <w:rFonts w:ascii="Times New Roman" w:hAnsi="Times New Roman" w:cs="Times New Roman"/>
          <w:color w:val="1A1A1A"/>
          <w:sz w:val="24"/>
          <w:szCs w:val="24"/>
        </w:rPr>
        <w:t>behavioral</w:t>
      </w:r>
      <w:proofErr w:type="spellEnd"/>
      <w:r w:rsidRPr="00A10FAD">
        <w:rPr>
          <w:rFonts w:ascii="Times New Roman" w:hAnsi="Times New Roman" w:cs="Times New Roman"/>
          <w:color w:val="1A1A1A"/>
          <w:sz w:val="24"/>
          <w:szCs w:val="24"/>
        </w:rPr>
        <w:t xml:space="preserve"> endpoint for detecting drug-induced changes in horizontal exploration, and that these effects are consistent across sexes. The agreement between these studies reinforces the interpretation that reductions in latency, particularly due to fluoxetine exposure, may signify anxiolytic-like responses mediated through neurochemical modulation, rather than being attributable to sex-specific </w:t>
      </w:r>
      <w:proofErr w:type="spellStart"/>
      <w:r w:rsidRPr="00A10FAD">
        <w:rPr>
          <w:rFonts w:ascii="Times New Roman" w:hAnsi="Times New Roman" w:cs="Times New Roman"/>
          <w:color w:val="1A1A1A"/>
          <w:sz w:val="24"/>
          <w:szCs w:val="24"/>
        </w:rPr>
        <w:t>behavioral</w:t>
      </w:r>
      <w:proofErr w:type="spellEnd"/>
      <w:r w:rsidRPr="00A10FAD">
        <w:rPr>
          <w:rFonts w:ascii="Times New Roman" w:hAnsi="Times New Roman" w:cs="Times New Roman"/>
          <w:color w:val="1A1A1A"/>
          <w:sz w:val="24"/>
          <w:szCs w:val="24"/>
        </w:rPr>
        <w:t xml:space="preserve"> tendencies. In a standard novel tank test, zebrafish typically exhibit a strong geotactic response, initially occupying the bottom zone for the majority of the period. As acclimatization progresses, they gradually explore the middle zone before eventually entering the top zone, where the duration of time spent is generally less than in the bottom zone (Correia </w:t>
      </w:r>
      <w:r w:rsidRPr="00A10FAD">
        <w:rPr>
          <w:rFonts w:ascii="Times New Roman" w:hAnsi="Times New Roman" w:cs="Times New Roman"/>
          <w:i/>
          <w:iCs/>
          <w:color w:val="1A1A1A"/>
          <w:sz w:val="24"/>
          <w:szCs w:val="24"/>
        </w:rPr>
        <w:t xml:space="preserve">et.al., </w:t>
      </w:r>
      <w:r w:rsidRPr="00A10FAD">
        <w:rPr>
          <w:rFonts w:ascii="Times New Roman" w:hAnsi="Times New Roman" w:cs="Times New Roman"/>
          <w:color w:val="1A1A1A"/>
          <w:sz w:val="24"/>
          <w:szCs w:val="24"/>
        </w:rPr>
        <w:t xml:space="preserve">2022). In the current study, control group zebrafish predominantly inhabited the bottom zone, reflecting characteristic geotactic </w:t>
      </w:r>
      <w:proofErr w:type="spellStart"/>
      <w:r w:rsidRPr="00A10FAD">
        <w:rPr>
          <w:rFonts w:ascii="Times New Roman" w:hAnsi="Times New Roman" w:cs="Times New Roman"/>
          <w:color w:val="1A1A1A"/>
          <w:sz w:val="24"/>
          <w:szCs w:val="24"/>
        </w:rPr>
        <w:t>behavior</w:t>
      </w:r>
      <w:proofErr w:type="spellEnd"/>
      <w:r w:rsidRPr="00A10FAD">
        <w:rPr>
          <w:rFonts w:ascii="Times New Roman" w:hAnsi="Times New Roman" w:cs="Times New Roman"/>
          <w:color w:val="1A1A1A"/>
          <w:sz w:val="24"/>
          <w:szCs w:val="24"/>
        </w:rPr>
        <w:t xml:space="preserve">. Low-dose exposure to fluoxetine shifted this </w:t>
      </w:r>
      <w:proofErr w:type="spellStart"/>
      <w:r w:rsidRPr="00A10FAD">
        <w:rPr>
          <w:rFonts w:ascii="Times New Roman" w:hAnsi="Times New Roman" w:cs="Times New Roman"/>
          <w:color w:val="1A1A1A"/>
          <w:sz w:val="24"/>
          <w:szCs w:val="24"/>
        </w:rPr>
        <w:t>behavioral</w:t>
      </w:r>
      <w:proofErr w:type="spellEnd"/>
      <w:r w:rsidRPr="00A10FAD">
        <w:rPr>
          <w:rFonts w:ascii="Times New Roman" w:hAnsi="Times New Roman" w:cs="Times New Roman"/>
          <w:color w:val="1A1A1A"/>
          <w:sz w:val="24"/>
          <w:szCs w:val="24"/>
        </w:rPr>
        <w:t xml:space="preserve"> pattern, with the fish spending an increased amount of time in the top zone, suggesting a reduction in anxiety-like responses. Conversely, the high-dose group displayed a renewed preference for the bottom zone, indicating that elevated exposure levels may attenuate exploratory activity.</w:t>
      </w:r>
    </w:p>
    <w:p w14:paraId="765B9234" w14:textId="21B3FA5C" w:rsidR="00954BE5" w:rsidRPr="00A10FAD" w:rsidRDefault="00954BE5" w:rsidP="00A10FAD">
      <w:pPr>
        <w:spacing w:line="480" w:lineRule="auto"/>
        <w:jc w:val="both"/>
        <w:rPr>
          <w:rFonts w:ascii="Times New Roman" w:hAnsi="Times New Roman" w:cs="Times New Roman"/>
          <w:b/>
          <w:bCs/>
          <w:color w:val="1A1A1A"/>
          <w:sz w:val="24"/>
          <w:szCs w:val="24"/>
        </w:rPr>
      </w:pPr>
      <w:commentRangeStart w:id="6"/>
      <w:r w:rsidRPr="00A10FAD">
        <w:rPr>
          <w:rFonts w:ascii="Times New Roman" w:hAnsi="Times New Roman" w:cs="Times New Roman"/>
          <w:b/>
          <w:bCs/>
          <w:color w:val="1A1A1A"/>
          <w:sz w:val="24"/>
          <w:szCs w:val="24"/>
        </w:rPr>
        <w:t>CONCLUSION</w:t>
      </w:r>
      <w:commentRangeEnd w:id="6"/>
      <w:r w:rsidR="00EC360C">
        <w:rPr>
          <w:rStyle w:val="ReferensiKomentar"/>
        </w:rPr>
        <w:commentReference w:id="6"/>
      </w:r>
      <w:r w:rsidRPr="00A10FAD">
        <w:rPr>
          <w:rFonts w:ascii="Times New Roman" w:hAnsi="Times New Roman" w:cs="Times New Roman"/>
          <w:b/>
          <w:bCs/>
          <w:color w:val="1A1A1A"/>
          <w:sz w:val="24"/>
          <w:szCs w:val="24"/>
        </w:rPr>
        <w:t xml:space="preserve"> </w:t>
      </w:r>
    </w:p>
    <w:p w14:paraId="74027ADA" w14:textId="40E1C817" w:rsidR="00FB7A7A" w:rsidRDefault="00954BE5" w:rsidP="00A10FAD">
      <w:pPr>
        <w:spacing w:line="480" w:lineRule="auto"/>
        <w:ind w:firstLine="720"/>
        <w:jc w:val="both"/>
        <w:rPr>
          <w:rFonts w:ascii="Times New Roman" w:hAnsi="Times New Roman" w:cs="Times New Roman"/>
          <w:color w:val="1A1A1A"/>
          <w:sz w:val="24"/>
          <w:szCs w:val="24"/>
        </w:rPr>
      </w:pPr>
      <w:r w:rsidRPr="00A10FAD">
        <w:rPr>
          <w:rFonts w:ascii="Times New Roman" w:hAnsi="Times New Roman" w:cs="Times New Roman"/>
          <w:color w:val="1A1A1A"/>
          <w:sz w:val="24"/>
          <w:szCs w:val="24"/>
        </w:rPr>
        <w:lastRenderedPageBreak/>
        <w:t xml:space="preserve">The escalating presence of pharmaceutical residues in aquatic environments has become a substantial public, political, and scientific concern. Neuroactive compounds, such as selective serotonin reuptake inhibitors like fluoxetine, may adversely affect non-target organisms due to the conservation of serotonergic signalling mechanisms across various species. The current investigation reveals that exposure to the antidepressant fluoxetine induced dose-dependent alterations in zebrafish </w:t>
      </w:r>
      <w:proofErr w:type="spellStart"/>
      <w:r w:rsidRPr="00A10FAD">
        <w:rPr>
          <w:rFonts w:ascii="Times New Roman" w:hAnsi="Times New Roman" w:cs="Times New Roman"/>
          <w:color w:val="1A1A1A"/>
          <w:sz w:val="24"/>
          <w:szCs w:val="24"/>
        </w:rPr>
        <w:t>behavior</w:t>
      </w:r>
      <w:proofErr w:type="spellEnd"/>
      <w:r w:rsidRPr="00A10FAD">
        <w:rPr>
          <w:rFonts w:ascii="Times New Roman" w:hAnsi="Times New Roman" w:cs="Times New Roman"/>
          <w:color w:val="1A1A1A"/>
          <w:sz w:val="24"/>
          <w:szCs w:val="24"/>
        </w:rPr>
        <w:t xml:space="preserve"> and reproductive health. Specifically, fluoxetine exposure led to considerable reproductive tissue damage in both male and female zebrafish. In males, observations included Sertoli cell vacuolization, a reduction in spermatozoa, and a general disorganization of seminiferous tubules, indicative of disrupted spermatogenesis. In females, fluoxetine caused the separation of the zona radiata in </w:t>
      </w:r>
      <w:proofErr w:type="spellStart"/>
      <w:r w:rsidRPr="00A10FAD">
        <w:rPr>
          <w:rFonts w:ascii="Times New Roman" w:hAnsi="Times New Roman" w:cs="Times New Roman"/>
          <w:color w:val="1A1A1A"/>
          <w:sz w:val="24"/>
          <w:szCs w:val="24"/>
        </w:rPr>
        <w:t>vitellogenic</w:t>
      </w:r>
      <w:proofErr w:type="spellEnd"/>
      <w:r w:rsidRPr="00A10FAD">
        <w:rPr>
          <w:rFonts w:ascii="Times New Roman" w:hAnsi="Times New Roman" w:cs="Times New Roman"/>
          <w:color w:val="1A1A1A"/>
          <w:sz w:val="24"/>
          <w:szCs w:val="24"/>
        </w:rPr>
        <w:t xml:space="preserve"> oocytes and the presence of atretic oocytes. Collectively, these findings suggest that fluoxetine can detrimentally impact reproductive functions in zebrafish. In novel tank tests, low doses of fluoxetine decreased the latency to enter the top zone and increased the time spent in the upper region, signifying reduced anxiety-like </w:t>
      </w:r>
      <w:proofErr w:type="spellStart"/>
      <w:r w:rsidRPr="00A10FAD">
        <w:rPr>
          <w:rFonts w:ascii="Times New Roman" w:hAnsi="Times New Roman" w:cs="Times New Roman"/>
          <w:color w:val="1A1A1A"/>
          <w:sz w:val="24"/>
          <w:szCs w:val="24"/>
        </w:rPr>
        <w:t>behavior</w:t>
      </w:r>
      <w:proofErr w:type="spellEnd"/>
      <w:r w:rsidRPr="00A10FAD">
        <w:rPr>
          <w:rFonts w:ascii="Times New Roman" w:hAnsi="Times New Roman" w:cs="Times New Roman"/>
          <w:color w:val="1A1A1A"/>
          <w:sz w:val="24"/>
          <w:szCs w:val="24"/>
        </w:rPr>
        <w:t xml:space="preserve">; conversely, higher doses produced the opposite effect. Although no statistically significant difference in latency times was observed between groups and sexes, the low-dose group exhibited the most rapid adaptation to the novel environment. These </w:t>
      </w:r>
      <w:proofErr w:type="spellStart"/>
      <w:r w:rsidRPr="00A10FAD">
        <w:rPr>
          <w:rFonts w:ascii="Times New Roman" w:hAnsi="Times New Roman" w:cs="Times New Roman"/>
          <w:color w:val="1A1A1A"/>
          <w:sz w:val="24"/>
          <w:szCs w:val="24"/>
        </w:rPr>
        <w:t>behavioral</w:t>
      </w:r>
      <w:proofErr w:type="spellEnd"/>
      <w:r w:rsidRPr="00A10FAD">
        <w:rPr>
          <w:rFonts w:ascii="Times New Roman" w:hAnsi="Times New Roman" w:cs="Times New Roman"/>
          <w:color w:val="1A1A1A"/>
          <w:sz w:val="24"/>
          <w:szCs w:val="24"/>
        </w:rPr>
        <w:t xml:space="preserve"> responses are attributed to the regulation of serotonergic pathways, which modulate both mood and motor activity. The novel tank test also demonstrated that control fish spent minimal time in the top zone, preferring the bottom. Low-dose exposure increased time in the top zone and decreased bottom occupancy, suggesting diminished anxiety-like </w:t>
      </w:r>
      <w:proofErr w:type="spellStart"/>
      <w:r w:rsidRPr="00A10FAD">
        <w:rPr>
          <w:rFonts w:ascii="Times New Roman" w:hAnsi="Times New Roman" w:cs="Times New Roman"/>
          <w:color w:val="1A1A1A"/>
          <w:sz w:val="24"/>
          <w:szCs w:val="24"/>
        </w:rPr>
        <w:t>behavior</w:t>
      </w:r>
      <w:proofErr w:type="spellEnd"/>
      <w:r w:rsidRPr="00A10FAD">
        <w:rPr>
          <w:rFonts w:ascii="Times New Roman" w:hAnsi="Times New Roman" w:cs="Times New Roman"/>
          <w:color w:val="1A1A1A"/>
          <w:sz w:val="24"/>
          <w:szCs w:val="24"/>
        </w:rPr>
        <w:t>. In contrast, high-dose exposure significantly reduced top zone time and increased bottom zone time, indicating heightened stress or a reduced exploratory drive.</w:t>
      </w:r>
    </w:p>
    <w:p w14:paraId="26FCF040" w14:textId="77777777" w:rsidR="0059428B" w:rsidRDefault="0059428B" w:rsidP="00A10FAD">
      <w:pPr>
        <w:spacing w:line="480" w:lineRule="auto"/>
        <w:ind w:firstLine="720"/>
        <w:jc w:val="both"/>
        <w:rPr>
          <w:rFonts w:ascii="Times New Roman" w:hAnsi="Times New Roman" w:cs="Times New Roman"/>
          <w:color w:val="1A1A1A"/>
          <w:sz w:val="24"/>
          <w:szCs w:val="24"/>
        </w:rPr>
      </w:pPr>
    </w:p>
    <w:p w14:paraId="59BB02BD" w14:textId="77777777" w:rsidR="0059428B" w:rsidRDefault="0059428B" w:rsidP="0059428B">
      <w:pPr>
        <w:tabs>
          <w:tab w:val="left" w:pos="0"/>
        </w:tabs>
        <w:spacing w:line="360" w:lineRule="auto"/>
        <w:rPr>
          <w:rFonts w:ascii="Times New Roman" w:hAnsi="Times New Roman"/>
          <w:b/>
          <w:bCs/>
          <w:sz w:val="24"/>
          <w:szCs w:val="28"/>
        </w:rPr>
      </w:pPr>
    </w:p>
    <w:p w14:paraId="7664E4C6" w14:textId="77777777" w:rsidR="0059428B" w:rsidRPr="00D171EB" w:rsidRDefault="0059428B" w:rsidP="0059428B">
      <w:pPr>
        <w:tabs>
          <w:tab w:val="left" w:pos="0"/>
        </w:tabs>
        <w:spacing w:line="360" w:lineRule="auto"/>
        <w:rPr>
          <w:rFonts w:ascii="Times New Roman" w:hAnsi="Times New Roman" w:cs="Times New Roman"/>
          <w:sz w:val="24"/>
          <w:szCs w:val="24"/>
        </w:rPr>
      </w:pPr>
      <w:r w:rsidRPr="00F94272">
        <w:rPr>
          <w:rFonts w:ascii="Times New Roman" w:hAnsi="Times New Roman"/>
          <w:b/>
          <w:bCs/>
          <w:sz w:val="24"/>
          <w:szCs w:val="28"/>
        </w:rPr>
        <w:lastRenderedPageBreak/>
        <w:t>Abbreviations</w:t>
      </w:r>
    </w:p>
    <w:p w14:paraId="17A97126"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 xml:space="preserve">g: Gram </w:t>
      </w:r>
    </w:p>
    <w:p w14:paraId="5A6683F6"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ng: Nanogram</w:t>
      </w:r>
    </w:p>
    <w:p w14:paraId="29E1674F"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L: Litre</w:t>
      </w:r>
    </w:p>
    <w:p w14:paraId="47450D9A"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Kg: Kilogram</w:t>
      </w:r>
    </w:p>
    <w:p w14:paraId="3F27A6DC"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mg: Milligram</w:t>
      </w:r>
    </w:p>
    <w:p w14:paraId="6F391E8F"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mL: Millilitre</w:t>
      </w:r>
    </w:p>
    <w:p w14:paraId="7D564F94"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AO: A</w:t>
      </w:r>
      <w:r w:rsidRPr="009278F2">
        <w:rPr>
          <w:rFonts w:ascii="Times New Roman" w:hAnsi="Times New Roman" w:cs="Times New Roman"/>
          <w:sz w:val="24"/>
          <w:szCs w:val="24"/>
        </w:rPr>
        <w:t>tretic oocytes</w:t>
      </w:r>
    </w:p>
    <w:p w14:paraId="7337D5E0"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OCD: O</w:t>
      </w:r>
      <w:r w:rsidRPr="009278F2">
        <w:rPr>
          <w:rFonts w:ascii="Times New Roman" w:hAnsi="Times New Roman" w:cs="Times New Roman"/>
          <w:sz w:val="24"/>
          <w:szCs w:val="24"/>
        </w:rPr>
        <w:t xml:space="preserve">bsessive-compulsive disorder </w:t>
      </w:r>
    </w:p>
    <w:p w14:paraId="4014EEFB"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SSRI: S</w:t>
      </w:r>
      <w:r w:rsidRPr="009278F2">
        <w:rPr>
          <w:rFonts w:ascii="Times New Roman" w:hAnsi="Times New Roman" w:cs="Times New Roman"/>
          <w:sz w:val="24"/>
          <w:szCs w:val="24"/>
        </w:rPr>
        <w:t>elective serotonin reuptake inhibitors</w:t>
      </w:r>
    </w:p>
    <w:p w14:paraId="7E20EFB7" w14:textId="77777777" w:rsidR="0059428B" w:rsidRDefault="0059428B" w:rsidP="0059428B">
      <w:pPr>
        <w:rPr>
          <w:rFonts w:ascii="Times New Roman" w:hAnsi="Times New Roman" w:cs="Times New Roman"/>
          <w:sz w:val="24"/>
          <w:szCs w:val="24"/>
        </w:rPr>
      </w:pPr>
      <w:r w:rsidRPr="009278F2">
        <w:rPr>
          <w:rFonts w:ascii="Times New Roman" w:hAnsi="Times New Roman" w:cs="Times New Roman"/>
          <w:sz w:val="24"/>
          <w:szCs w:val="24"/>
        </w:rPr>
        <w:t>OECD</w:t>
      </w:r>
      <w:r>
        <w:rPr>
          <w:rFonts w:ascii="Times New Roman" w:hAnsi="Times New Roman" w:cs="Times New Roman"/>
          <w:sz w:val="24"/>
          <w:szCs w:val="24"/>
        </w:rPr>
        <w:t>: Organization for Economic cooperation and Development</w:t>
      </w:r>
    </w:p>
    <w:p w14:paraId="50994C32"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 xml:space="preserve">NTDT: </w:t>
      </w:r>
      <w:r w:rsidRPr="009278F2">
        <w:rPr>
          <w:rFonts w:ascii="Times New Roman" w:hAnsi="Times New Roman" w:cs="Times New Roman"/>
          <w:sz w:val="24"/>
          <w:szCs w:val="24"/>
        </w:rPr>
        <w:t>Novel Tank Diving Test</w:t>
      </w:r>
    </w:p>
    <w:p w14:paraId="240CF8CD" w14:textId="77777777" w:rsidR="0059428B" w:rsidRDefault="0059428B" w:rsidP="0059428B">
      <w:pPr>
        <w:rPr>
          <w:rFonts w:ascii="Times New Roman" w:hAnsi="Times New Roman" w:cs="Times New Roman"/>
          <w:sz w:val="24"/>
          <w:szCs w:val="24"/>
        </w:rPr>
      </w:pPr>
      <w:r>
        <w:rPr>
          <w:rFonts w:ascii="Times New Roman" w:hAnsi="Times New Roman" w:cs="Times New Roman"/>
          <w:sz w:val="24"/>
          <w:szCs w:val="24"/>
        </w:rPr>
        <w:t>ANOVA: Analysis of Variance</w:t>
      </w:r>
    </w:p>
    <w:p w14:paraId="30CB80C5" w14:textId="77777777" w:rsidR="0059428B" w:rsidRPr="00A10FAD" w:rsidRDefault="0059428B" w:rsidP="00A10FAD">
      <w:pPr>
        <w:spacing w:line="480" w:lineRule="auto"/>
        <w:ind w:firstLine="720"/>
        <w:jc w:val="both"/>
        <w:rPr>
          <w:rFonts w:ascii="Times New Roman" w:hAnsi="Times New Roman" w:cs="Times New Roman"/>
          <w:color w:val="1A1A1A"/>
          <w:sz w:val="24"/>
          <w:szCs w:val="24"/>
        </w:rPr>
      </w:pPr>
    </w:p>
    <w:p w14:paraId="3597AF71" w14:textId="77777777" w:rsidR="00954BE5" w:rsidRPr="00A10FAD" w:rsidRDefault="00954BE5" w:rsidP="00A10FAD">
      <w:pPr>
        <w:spacing w:line="480" w:lineRule="auto"/>
        <w:ind w:firstLine="720"/>
        <w:jc w:val="both"/>
        <w:rPr>
          <w:rFonts w:ascii="Times New Roman" w:hAnsi="Times New Roman" w:cs="Times New Roman"/>
          <w:color w:val="1A1A1A"/>
          <w:sz w:val="24"/>
          <w:szCs w:val="24"/>
        </w:rPr>
      </w:pPr>
    </w:p>
    <w:p w14:paraId="4CF268D6" w14:textId="207A7565" w:rsidR="00981850" w:rsidRPr="00A10FAD" w:rsidRDefault="00981850" w:rsidP="00A10FAD">
      <w:pPr>
        <w:spacing w:line="480" w:lineRule="auto"/>
        <w:rPr>
          <w:rFonts w:ascii="Times New Roman" w:hAnsi="Times New Roman" w:cs="Times New Roman"/>
          <w:b/>
          <w:bCs/>
          <w:color w:val="1A1A1A"/>
          <w:sz w:val="24"/>
          <w:szCs w:val="24"/>
        </w:rPr>
      </w:pPr>
      <w:commentRangeStart w:id="7"/>
      <w:r w:rsidRPr="00A10FAD">
        <w:rPr>
          <w:rFonts w:ascii="Times New Roman" w:hAnsi="Times New Roman" w:cs="Times New Roman"/>
          <w:b/>
          <w:bCs/>
          <w:color w:val="1A1A1A"/>
          <w:sz w:val="24"/>
          <w:szCs w:val="24"/>
        </w:rPr>
        <w:t>References:</w:t>
      </w:r>
      <w:commentRangeEnd w:id="7"/>
      <w:r w:rsidR="003706BE">
        <w:rPr>
          <w:rStyle w:val="ReferensiKomentar"/>
        </w:rPr>
        <w:commentReference w:id="7"/>
      </w:r>
    </w:p>
    <w:p w14:paraId="4B283026"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Correia, D., Domingues, I., Faria, M., &amp; Oliveira, M. (2022). Chronic effects of fluoxetine on Danio rerio: a biochemical and </w:t>
      </w:r>
      <w:proofErr w:type="spellStart"/>
      <w:r w:rsidRPr="00A10FAD">
        <w:rPr>
          <w:rFonts w:ascii="Times New Roman" w:hAnsi="Times New Roman" w:cs="Times New Roman"/>
          <w:sz w:val="24"/>
          <w:szCs w:val="24"/>
        </w:rPr>
        <w:t>behavioral</w:t>
      </w:r>
      <w:proofErr w:type="spellEnd"/>
      <w:r w:rsidRPr="00A10FAD">
        <w:rPr>
          <w:rFonts w:ascii="Times New Roman" w:hAnsi="Times New Roman" w:cs="Times New Roman"/>
          <w:sz w:val="24"/>
          <w:szCs w:val="24"/>
        </w:rPr>
        <w:t xml:space="preserve"> perspective. Applied Sciences, 12(4), 2256. </w:t>
      </w:r>
      <w:bookmarkStart w:id="8" w:name="_GoBack"/>
      <w:bookmarkEnd w:id="8"/>
    </w:p>
    <w:p w14:paraId="5FCBFD4A"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Cui, F., Zhu, Y., Di, S., Wang, X., Zhang, Y., &amp; Chai, T. (2021). Toxicological study on chiral fluoxetine exposure to adult zebrafish (Danio rerio): Enantioselective and sexual mechanism on disruption of the brain serotonergic system. Environmental Science &amp; Technology, 55(11), 7479– 7490. </w:t>
      </w:r>
      <w:hyperlink r:id="rId12" w:history="1">
        <w:r w:rsidRPr="00A10FAD">
          <w:rPr>
            <w:rStyle w:val="Hyperlink"/>
            <w:rFonts w:ascii="Times New Roman" w:hAnsi="Times New Roman" w:cs="Times New Roman"/>
            <w:sz w:val="24"/>
            <w:szCs w:val="24"/>
          </w:rPr>
          <w:t>https://doi.org/10.1021/acs.est.1c01397</w:t>
        </w:r>
      </w:hyperlink>
    </w:p>
    <w:p w14:paraId="2FC0F7C5" w14:textId="77777777" w:rsidR="00A10FAD" w:rsidRPr="00A10FAD" w:rsidRDefault="00A10FAD" w:rsidP="00A10FAD">
      <w:pPr>
        <w:spacing w:after="0" w:line="480" w:lineRule="auto"/>
        <w:jc w:val="both"/>
        <w:rPr>
          <w:rFonts w:ascii="Times New Roman" w:eastAsia="Times New Roman" w:hAnsi="Times New Roman" w:cs="Times New Roman"/>
          <w:kern w:val="0"/>
          <w:sz w:val="24"/>
          <w:szCs w:val="24"/>
          <w:lang w:eastAsia="en-IN"/>
          <w14:ligatures w14:val="none"/>
        </w:rPr>
      </w:pPr>
      <w:r w:rsidRPr="00A10FAD">
        <w:rPr>
          <w:rFonts w:ascii="Times New Roman" w:eastAsia="Times New Roman" w:hAnsi="Times New Roman" w:cs="Times New Roman"/>
          <w:kern w:val="0"/>
          <w:sz w:val="24"/>
          <w:szCs w:val="24"/>
          <w:lang w:eastAsia="en-IN"/>
          <w14:ligatures w14:val="none"/>
        </w:rPr>
        <w:t xml:space="preserve">Eaton, D. L., &amp; Gallagher, E. P. (2010). General Overview of Toxicology. In </w:t>
      </w:r>
      <w:r w:rsidRPr="00A10FAD">
        <w:rPr>
          <w:rFonts w:ascii="Times New Roman" w:eastAsia="Times New Roman" w:hAnsi="Times New Roman" w:cs="Times New Roman"/>
          <w:i/>
          <w:iCs/>
          <w:kern w:val="0"/>
          <w:sz w:val="24"/>
          <w:szCs w:val="24"/>
          <w:lang w:eastAsia="en-IN"/>
          <w14:ligatures w14:val="none"/>
        </w:rPr>
        <w:t>Elsevier eBooks</w:t>
      </w:r>
      <w:r w:rsidRPr="00A10FAD">
        <w:rPr>
          <w:rFonts w:ascii="Times New Roman" w:eastAsia="Times New Roman" w:hAnsi="Times New Roman" w:cs="Times New Roman"/>
          <w:kern w:val="0"/>
          <w:sz w:val="24"/>
          <w:szCs w:val="24"/>
          <w:lang w:eastAsia="en-IN"/>
          <w14:ligatures w14:val="none"/>
        </w:rPr>
        <w:t xml:space="preserve"> (p. 1). Elsevier BV. </w:t>
      </w:r>
      <w:hyperlink r:id="rId13" w:tgtFrame="_blank" w:history="1">
        <w:r w:rsidRPr="00A10FAD">
          <w:rPr>
            <w:rFonts w:ascii="Times New Roman" w:eastAsia="Times New Roman" w:hAnsi="Times New Roman" w:cs="Times New Roman"/>
            <w:color w:val="0000FF"/>
            <w:kern w:val="0"/>
            <w:sz w:val="24"/>
            <w:szCs w:val="24"/>
            <w:u w:val="single"/>
            <w:lang w:eastAsia="en-IN"/>
            <w14:ligatures w14:val="none"/>
          </w:rPr>
          <w:t>https://doi.org/10.1016/b978-0-08-046884-6.00101-9</w:t>
        </w:r>
      </w:hyperlink>
    </w:p>
    <w:p w14:paraId="18EE0C06"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lastRenderedPageBreak/>
        <w:t xml:space="preserve">Faria, M., Ziv, T., Gómez‐Canela, C., Ben-Lulu, S., Prats, E., Novoa-Luna, K. A., Admon, A., Piña, B., Tauler, R., Gómez‐Oliván, L. M., &amp; </w:t>
      </w:r>
      <w:proofErr w:type="spellStart"/>
      <w:r w:rsidRPr="00A10FAD">
        <w:rPr>
          <w:rFonts w:ascii="Times New Roman" w:hAnsi="Times New Roman" w:cs="Times New Roman"/>
          <w:sz w:val="24"/>
          <w:szCs w:val="24"/>
        </w:rPr>
        <w:t>Raldúa</w:t>
      </w:r>
      <w:proofErr w:type="spellEnd"/>
      <w:r w:rsidRPr="00A10FAD">
        <w:rPr>
          <w:rFonts w:ascii="Times New Roman" w:hAnsi="Times New Roman" w:cs="Times New Roman"/>
          <w:sz w:val="24"/>
          <w:szCs w:val="24"/>
        </w:rPr>
        <w:t xml:space="preserve">, D. (2018). Acrylamide acute neurotoxicity in adult zebrafish. Scientific Reports, 8(1). </w:t>
      </w:r>
      <w:hyperlink r:id="rId14" w:history="1">
        <w:r w:rsidRPr="00A10FAD">
          <w:rPr>
            <w:rStyle w:val="Hyperlink"/>
            <w:rFonts w:ascii="Times New Roman" w:hAnsi="Times New Roman" w:cs="Times New Roman"/>
            <w:sz w:val="24"/>
            <w:szCs w:val="24"/>
          </w:rPr>
          <w:t>https://doi.org/10.1038/s41598-018-26343-2</w:t>
        </w:r>
      </w:hyperlink>
    </w:p>
    <w:p w14:paraId="7F4FF248"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 Glazer, L., Wells, C. N., </w:t>
      </w:r>
      <w:proofErr w:type="spellStart"/>
      <w:r w:rsidRPr="00A10FAD">
        <w:rPr>
          <w:rFonts w:ascii="Times New Roman" w:hAnsi="Times New Roman" w:cs="Times New Roman"/>
          <w:sz w:val="24"/>
          <w:szCs w:val="24"/>
        </w:rPr>
        <w:t>Drastal</w:t>
      </w:r>
      <w:proofErr w:type="spellEnd"/>
      <w:r w:rsidRPr="00A10FAD">
        <w:rPr>
          <w:rFonts w:ascii="Times New Roman" w:hAnsi="Times New Roman" w:cs="Times New Roman"/>
          <w:sz w:val="24"/>
          <w:szCs w:val="24"/>
        </w:rPr>
        <w:t xml:space="preserve">, M., Odamah, K., Galat, R. E., Behl, M., &amp; Levin, E. D. (2017). Developmental exposure to low concentrations of two brominated flame retardants, BDE-47 and BDE-99, causes life-long </w:t>
      </w:r>
      <w:proofErr w:type="spellStart"/>
      <w:r w:rsidRPr="00A10FAD">
        <w:rPr>
          <w:rFonts w:ascii="Times New Roman" w:hAnsi="Times New Roman" w:cs="Times New Roman"/>
          <w:sz w:val="24"/>
          <w:szCs w:val="24"/>
        </w:rPr>
        <w:t>behavioral</w:t>
      </w:r>
      <w:proofErr w:type="spellEnd"/>
      <w:r w:rsidRPr="00A10FAD">
        <w:rPr>
          <w:rFonts w:ascii="Times New Roman" w:hAnsi="Times New Roman" w:cs="Times New Roman"/>
          <w:sz w:val="24"/>
          <w:szCs w:val="24"/>
        </w:rPr>
        <w:t xml:space="preserve"> alterations in zebrafish. </w:t>
      </w:r>
      <w:proofErr w:type="spellStart"/>
      <w:r w:rsidRPr="00A10FAD">
        <w:rPr>
          <w:rFonts w:ascii="Times New Roman" w:hAnsi="Times New Roman" w:cs="Times New Roman"/>
          <w:sz w:val="24"/>
          <w:szCs w:val="24"/>
        </w:rPr>
        <w:t>NeuroToxicology</w:t>
      </w:r>
      <w:proofErr w:type="spellEnd"/>
      <w:r w:rsidRPr="00A10FAD">
        <w:rPr>
          <w:rFonts w:ascii="Times New Roman" w:hAnsi="Times New Roman" w:cs="Times New Roman"/>
          <w:sz w:val="24"/>
          <w:szCs w:val="24"/>
        </w:rPr>
        <w:t xml:space="preserve">, 66, 221. </w:t>
      </w:r>
      <w:hyperlink r:id="rId15" w:history="1">
        <w:r w:rsidRPr="00A10FAD">
          <w:rPr>
            <w:rStyle w:val="Hyperlink"/>
            <w:rFonts w:ascii="Times New Roman" w:hAnsi="Times New Roman" w:cs="Times New Roman"/>
            <w:sz w:val="24"/>
            <w:szCs w:val="24"/>
          </w:rPr>
          <w:t>https://doi.org/10.1016/j.neuro.2017.09.007</w:t>
        </w:r>
      </w:hyperlink>
      <w:r w:rsidRPr="00A10FAD">
        <w:rPr>
          <w:rFonts w:ascii="Times New Roman" w:hAnsi="Times New Roman" w:cs="Times New Roman"/>
          <w:sz w:val="24"/>
          <w:szCs w:val="24"/>
        </w:rPr>
        <w:t xml:space="preserve"> </w:t>
      </w:r>
    </w:p>
    <w:p w14:paraId="390EA586"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Hegde, S. S., &amp; </w:t>
      </w:r>
      <w:proofErr w:type="spellStart"/>
      <w:r w:rsidRPr="00A10FAD">
        <w:rPr>
          <w:rFonts w:ascii="Times New Roman" w:hAnsi="Times New Roman" w:cs="Times New Roman"/>
          <w:sz w:val="24"/>
          <w:szCs w:val="24"/>
        </w:rPr>
        <w:t>Malashetty</w:t>
      </w:r>
      <w:proofErr w:type="spellEnd"/>
      <w:r w:rsidRPr="00A10FAD">
        <w:rPr>
          <w:rFonts w:ascii="Times New Roman" w:hAnsi="Times New Roman" w:cs="Times New Roman"/>
          <w:sz w:val="24"/>
          <w:szCs w:val="24"/>
        </w:rPr>
        <w:t xml:space="preserve">, V. B. (2025). Reproductive and developmental toxicity of α-terpineol in Wistar rats. Drug and Chemical Toxicology, 48(3), 488–505. </w:t>
      </w:r>
    </w:p>
    <w:p w14:paraId="01F0D8C7" w14:textId="77777777" w:rsidR="00A10FAD" w:rsidRPr="00A10FAD" w:rsidRDefault="00A10FAD" w:rsidP="00A10FAD">
      <w:pPr>
        <w:spacing w:line="480" w:lineRule="auto"/>
        <w:jc w:val="both"/>
        <w:rPr>
          <w:rFonts w:ascii="Times New Roman" w:hAnsi="Times New Roman" w:cs="Times New Roman"/>
          <w:sz w:val="24"/>
          <w:szCs w:val="24"/>
        </w:rPr>
      </w:pPr>
      <w:proofErr w:type="spellStart"/>
      <w:r w:rsidRPr="00A10FAD">
        <w:rPr>
          <w:rFonts w:ascii="Times New Roman" w:hAnsi="Times New Roman" w:cs="Times New Roman"/>
          <w:sz w:val="24"/>
          <w:szCs w:val="24"/>
        </w:rPr>
        <w:t>Jouannais</w:t>
      </w:r>
      <w:proofErr w:type="spellEnd"/>
      <w:r w:rsidRPr="00A10FAD">
        <w:rPr>
          <w:rFonts w:ascii="Times New Roman" w:hAnsi="Times New Roman" w:cs="Times New Roman"/>
          <w:sz w:val="24"/>
          <w:szCs w:val="24"/>
        </w:rPr>
        <w:t xml:space="preserve">, P., &amp; Pizzol, M. (2021). Ex-Ante LCA for Microalgae-Based Veterinary Molecules in Finfish Aquaculture: How to Assess the Environmental Performance of Unknown Molecules? Abstract from </w:t>
      </w:r>
      <w:proofErr w:type="spellStart"/>
      <w:r w:rsidRPr="00A10FAD">
        <w:rPr>
          <w:rFonts w:ascii="Times New Roman" w:hAnsi="Times New Roman" w:cs="Times New Roman"/>
          <w:sz w:val="24"/>
          <w:szCs w:val="24"/>
        </w:rPr>
        <w:t>Setac</w:t>
      </w:r>
      <w:proofErr w:type="spellEnd"/>
      <w:r w:rsidRPr="00A10FAD">
        <w:rPr>
          <w:rFonts w:ascii="Times New Roman" w:hAnsi="Times New Roman" w:cs="Times New Roman"/>
          <w:sz w:val="24"/>
          <w:szCs w:val="24"/>
        </w:rPr>
        <w:t xml:space="preserve"> Europe 31st annual meeting, Sevilla, Spain.</w:t>
      </w:r>
    </w:p>
    <w:p w14:paraId="0FB90EA1"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Khaled, R., El-Sherif, A. A., El Ghareeb, A. E. W., &amp; Abd El-Rahman, H. A. (2023). The biochemical, genotoxic, and oxidative effects of duloxetine hydrochloride drug on the reproductive </w:t>
      </w:r>
      <w:proofErr w:type="gramStart"/>
      <w:r w:rsidRPr="00A10FAD">
        <w:rPr>
          <w:rFonts w:ascii="Times New Roman" w:hAnsi="Times New Roman" w:cs="Times New Roman"/>
          <w:sz w:val="24"/>
          <w:szCs w:val="24"/>
        </w:rPr>
        <w:t>organs</w:t>
      </w:r>
      <w:proofErr w:type="gramEnd"/>
      <w:r w:rsidRPr="00A10FAD">
        <w:rPr>
          <w:rFonts w:ascii="Times New Roman" w:hAnsi="Times New Roman" w:cs="Times New Roman"/>
          <w:sz w:val="24"/>
          <w:szCs w:val="24"/>
        </w:rPr>
        <w:t xml:space="preserve"> health of female Wistar rats. Egyptian Journal of Chemistry, 66(12), 279–289. </w:t>
      </w:r>
    </w:p>
    <w:p w14:paraId="49730324"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Kreke, N., &amp; Dietrich, D. R. (2008). Physiological endpoints for potential SSRI interactions in fish. Critical Reviews in Toxicology, 38(3), 215–247. </w:t>
      </w:r>
      <w:hyperlink r:id="rId16" w:history="1">
        <w:r w:rsidRPr="00A10FAD">
          <w:rPr>
            <w:rStyle w:val="Hyperlink"/>
            <w:rFonts w:ascii="Times New Roman" w:hAnsi="Times New Roman" w:cs="Times New Roman"/>
            <w:sz w:val="24"/>
            <w:szCs w:val="24"/>
          </w:rPr>
          <w:t>https://doi.org/10.1080/10408440801891057</w:t>
        </w:r>
      </w:hyperlink>
    </w:p>
    <w:p w14:paraId="5C4C65F3" w14:textId="77777777" w:rsidR="00A10FAD" w:rsidRPr="00A10FAD" w:rsidRDefault="00A10FAD" w:rsidP="00A10FAD">
      <w:pPr>
        <w:spacing w:after="0" w:line="480" w:lineRule="auto"/>
        <w:jc w:val="both"/>
        <w:rPr>
          <w:rFonts w:ascii="Times New Roman" w:eastAsia="Times New Roman" w:hAnsi="Times New Roman" w:cs="Times New Roman"/>
          <w:kern w:val="0"/>
          <w:sz w:val="24"/>
          <w:szCs w:val="24"/>
          <w:lang w:eastAsia="en-IN"/>
          <w14:ligatures w14:val="none"/>
        </w:rPr>
      </w:pPr>
      <w:r w:rsidRPr="00A10FAD">
        <w:rPr>
          <w:rFonts w:ascii="Times New Roman" w:eastAsia="Times New Roman" w:hAnsi="Times New Roman" w:cs="Times New Roman"/>
          <w:kern w:val="0"/>
          <w:sz w:val="24"/>
          <w:szCs w:val="24"/>
          <w:lang w:eastAsia="en-IN"/>
          <w14:ligatures w14:val="none"/>
        </w:rPr>
        <w:t xml:space="preserve">Langman, L. J., &amp; Kapur, B. (2006). Toxicology: Then and now [Review of </w:t>
      </w:r>
      <w:r w:rsidRPr="00A10FAD">
        <w:rPr>
          <w:rFonts w:ascii="Times New Roman" w:eastAsia="Times New Roman" w:hAnsi="Times New Roman" w:cs="Times New Roman"/>
          <w:i/>
          <w:iCs/>
          <w:kern w:val="0"/>
          <w:sz w:val="24"/>
          <w:szCs w:val="24"/>
          <w:lang w:eastAsia="en-IN"/>
          <w14:ligatures w14:val="none"/>
        </w:rPr>
        <w:t>Toxicology: Then and now</w:t>
      </w:r>
      <w:r w:rsidRPr="00A10FAD">
        <w:rPr>
          <w:rFonts w:ascii="Times New Roman" w:eastAsia="Times New Roman" w:hAnsi="Times New Roman" w:cs="Times New Roman"/>
          <w:kern w:val="0"/>
          <w:sz w:val="24"/>
          <w:szCs w:val="24"/>
          <w:lang w:eastAsia="en-IN"/>
          <w14:ligatures w14:val="none"/>
        </w:rPr>
        <w:t xml:space="preserve">]. </w:t>
      </w:r>
      <w:r w:rsidRPr="00A10FAD">
        <w:rPr>
          <w:rFonts w:ascii="Times New Roman" w:eastAsia="Times New Roman" w:hAnsi="Times New Roman" w:cs="Times New Roman"/>
          <w:i/>
          <w:iCs/>
          <w:kern w:val="0"/>
          <w:sz w:val="24"/>
          <w:szCs w:val="24"/>
          <w:lang w:eastAsia="en-IN"/>
          <w14:ligatures w14:val="none"/>
        </w:rPr>
        <w:t>Clinical Biochemistry</w:t>
      </w:r>
      <w:r w:rsidRPr="00A10FAD">
        <w:rPr>
          <w:rFonts w:ascii="Times New Roman" w:eastAsia="Times New Roman" w:hAnsi="Times New Roman" w:cs="Times New Roman"/>
          <w:kern w:val="0"/>
          <w:sz w:val="24"/>
          <w:szCs w:val="24"/>
          <w:lang w:eastAsia="en-IN"/>
          <w14:ligatures w14:val="none"/>
        </w:rPr>
        <w:t xml:space="preserve">, </w:t>
      </w:r>
      <w:r w:rsidRPr="00A10FAD">
        <w:rPr>
          <w:rFonts w:ascii="Times New Roman" w:eastAsia="Times New Roman" w:hAnsi="Times New Roman" w:cs="Times New Roman"/>
          <w:i/>
          <w:iCs/>
          <w:kern w:val="0"/>
          <w:sz w:val="24"/>
          <w:szCs w:val="24"/>
          <w:lang w:eastAsia="en-IN"/>
          <w14:ligatures w14:val="none"/>
        </w:rPr>
        <w:t>39</w:t>
      </w:r>
      <w:r w:rsidRPr="00A10FAD">
        <w:rPr>
          <w:rFonts w:ascii="Times New Roman" w:eastAsia="Times New Roman" w:hAnsi="Times New Roman" w:cs="Times New Roman"/>
          <w:kern w:val="0"/>
          <w:sz w:val="24"/>
          <w:szCs w:val="24"/>
          <w:lang w:eastAsia="en-IN"/>
          <w14:ligatures w14:val="none"/>
        </w:rPr>
        <w:t xml:space="preserve">(5), 498. Elsevier BV. </w:t>
      </w:r>
      <w:hyperlink r:id="rId17" w:tgtFrame="_blank" w:history="1">
        <w:r w:rsidRPr="00A10FAD">
          <w:rPr>
            <w:rFonts w:ascii="Times New Roman" w:eastAsia="Times New Roman" w:hAnsi="Times New Roman" w:cs="Times New Roman"/>
            <w:color w:val="0000FF"/>
            <w:kern w:val="0"/>
            <w:sz w:val="24"/>
            <w:szCs w:val="24"/>
            <w:u w:val="single"/>
            <w:lang w:eastAsia="en-IN"/>
            <w14:ligatures w14:val="none"/>
          </w:rPr>
          <w:t>https://doi.org/10.1016/j.clinbiochem.2006.03.004</w:t>
        </w:r>
      </w:hyperlink>
    </w:p>
    <w:p w14:paraId="79F00E5D" w14:textId="77777777" w:rsidR="00A10FAD" w:rsidRPr="00A10FAD" w:rsidRDefault="00A10FAD" w:rsidP="00A10FAD">
      <w:pPr>
        <w:spacing w:after="0" w:line="480" w:lineRule="auto"/>
        <w:jc w:val="both"/>
        <w:rPr>
          <w:rFonts w:ascii="Times New Roman" w:eastAsia="Times New Roman" w:hAnsi="Times New Roman" w:cs="Times New Roman"/>
          <w:kern w:val="0"/>
          <w:sz w:val="24"/>
          <w:szCs w:val="24"/>
          <w:lang w:eastAsia="en-IN"/>
          <w14:ligatures w14:val="none"/>
        </w:rPr>
      </w:pPr>
      <w:r w:rsidRPr="00A10FAD">
        <w:rPr>
          <w:rFonts w:ascii="Times New Roman" w:eastAsia="Times New Roman" w:hAnsi="Times New Roman" w:cs="Times New Roman"/>
          <w:kern w:val="0"/>
          <w:sz w:val="24"/>
          <w:szCs w:val="24"/>
          <w:lang w:eastAsia="en-IN"/>
          <w14:ligatures w14:val="none"/>
        </w:rPr>
        <w:lastRenderedPageBreak/>
        <w:t xml:space="preserve">Lehmann, A., Rieke, S., </w:t>
      </w:r>
      <w:proofErr w:type="spellStart"/>
      <w:r w:rsidRPr="00A10FAD">
        <w:rPr>
          <w:rFonts w:ascii="Times New Roman" w:eastAsia="Times New Roman" w:hAnsi="Times New Roman" w:cs="Times New Roman"/>
          <w:kern w:val="0"/>
          <w:sz w:val="24"/>
          <w:szCs w:val="24"/>
          <w:lang w:eastAsia="en-IN"/>
          <w14:ligatures w14:val="none"/>
        </w:rPr>
        <w:t>Dâbrowski</w:t>
      </w:r>
      <w:proofErr w:type="spellEnd"/>
      <w:r w:rsidRPr="00A10FAD">
        <w:rPr>
          <w:rFonts w:ascii="Times New Roman" w:eastAsia="Times New Roman" w:hAnsi="Times New Roman" w:cs="Times New Roman"/>
          <w:kern w:val="0"/>
          <w:sz w:val="24"/>
          <w:szCs w:val="24"/>
          <w:lang w:eastAsia="en-IN"/>
          <w14:ligatures w14:val="none"/>
        </w:rPr>
        <w:t xml:space="preserve">, A., Heise, T., Niemann, L., Pfeil, R., Marx-Stölting, P., &amp; Kneuer, C. (2016). Vitamin D metabolism – Involved in triazole fungicide toxicity? </w:t>
      </w:r>
      <w:r w:rsidRPr="00A10FAD">
        <w:rPr>
          <w:rFonts w:ascii="Times New Roman" w:eastAsia="Times New Roman" w:hAnsi="Times New Roman" w:cs="Times New Roman"/>
          <w:i/>
          <w:iCs/>
          <w:kern w:val="0"/>
          <w:sz w:val="24"/>
          <w:szCs w:val="24"/>
          <w:lang w:eastAsia="en-IN"/>
          <w14:ligatures w14:val="none"/>
        </w:rPr>
        <w:t>Europe PMC (PubMed Central)</w:t>
      </w:r>
      <w:r w:rsidRPr="00A10FAD">
        <w:rPr>
          <w:rFonts w:ascii="Times New Roman" w:eastAsia="Times New Roman" w:hAnsi="Times New Roman" w:cs="Times New Roman"/>
          <w:kern w:val="0"/>
          <w:sz w:val="24"/>
          <w:szCs w:val="24"/>
          <w:lang w:eastAsia="en-IN"/>
          <w14:ligatures w14:val="none"/>
        </w:rPr>
        <w:t xml:space="preserve">. </w:t>
      </w:r>
      <w:hyperlink r:id="rId18" w:tgtFrame="_blank" w:history="1">
        <w:r w:rsidRPr="00A10FAD">
          <w:rPr>
            <w:rFonts w:ascii="Times New Roman" w:eastAsia="Times New Roman" w:hAnsi="Times New Roman" w:cs="Times New Roman"/>
            <w:color w:val="0000FF"/>
            <w:kern w:val="0"/>
            <w:sz w:val="24"/>
            <w:szCs w:val="24"/>
            <w:u w:val="single"/>
            <w:lang w:eastAsia="en-IN"/>
            <w14:ligatures w14:val="none"/>
          </w:rPr>
          <w:t>http://europepmc.org/articles/pmc7100641</w:t>
        </w:r>
      </w:hyperlink>
    </w:p>
    <w:p w14:paraId="096405FE"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Martin, J. M., Bertram, M. G., </w:t>
      </w:r>
      <w:proofErr w:type="spellStart"/>
      <w:r w:rsidRPr="00A10FAD">
        <w:rPr>
          <w:rFonts w:ascii="Times New Roman" w:hAnsi="Times New Roman" w:cs="Times New Roman"/>
          <w:sz w:val="24"/>
          <w:szCs w:val="24"/>
        </w:rPr>
        <w:t>Saaristo</w:t>
      </w:r>
      <w:proofErr w:type="spellEnd"/>
      <w:r w:rsidRPr="00A10FAD">
        <w:rPr>
          <w:rFonts w:ascii="Times New Roman" w:hAnsi="Times New Roman" w:cs="Times New Roman"/>
          <w:sz w:val="24"/>
          <w:szCs w:val="24"/>
        </w:rPr>
        <w:t xml:space="preserve">, M., Ecker, T. E., Hannington, S. L., Tanner, J. L., </w:t>
      </w:r>
      <w:proofErr w:type="spellStart"/>
      <w:r w:rsidRPr="00A10FAD">
        <w:rPr>
          <w:rFonts w:ascii="Times New Roman" w:hAnsi="Times New Roman" w:cs="Times New Roman"/>
          <w:sz w:val="24"/>
          <w:szCs w:val="24"/>
        </w:rPr>
        <w:t>Michelangeli</w:t>
      </w:r>
      <w:proofErr w:type="spellEnd"/>
      <w:r w:rsidRPr="00A10FAD">
        <w:rPr>
          <w:rFonts w:ascii="Times New Roman" w:hAnsi="Times New Roman" w:cs="Times New Roman"/>
          <w:sz w:val="24"/>
          <w:szCs w:val="24"/>
        </w:rPr>
        <w:t xml:space="preserve">, M., O'Bryan, M. K., &amp; Wong, B. B. M. (2019). Impact of the widespread pharmaceutical pollutant fluoxetine on behaviour and sperm traits in a freshwater fish. The Science of the Total Environment, 650(Pt 2), 1771–1778. </w:t>
      </w:r>
      <w:hyperlink r:id="rId19" w:history="1">
        <w:r w:rsidRPr="00A10FAD">
          <w:rPr>
            <w:rStyle w:val="Hyperlink"/>
            <w:rFonts w:ascii="Times New Roman" w:hAnsi="Times New Roman" w:cs="Times New Roman"/>
            <w:sz w:val="24"/>
            <w:szCs w:val="24"/>
          </w:rPr>
          <w:t>https://doi.org/10.1016/j.scitotenv.2018.09.294</w:t>
        </w:r>
      </w:hyperlink>
    </w:p>
    <w:p w14:paraId="5D468CA8" w14:textId="77777777" w:rsidR="00A10FAD" w:rsidRPr="00A10FAD" w:rsidRDefault="00A10FAD" w:rsidP="00A10FAD">
      <w:pPr>
        <w:spacing w:line="480" w:lineRule="auto"/>
        <w:jc w:val="both"/>
        <w:rPr>
          <w:rFonts w:ascii="Times New Roman" w:hAnsi="Times New Roman" w:cs="Times New Roman"/>
          <w:sz w:val="24"/>
          <w:szCs w:val="24"/>
        </w:rPr>
      </w:pPr>
      <w:proofErr w:type="spellStart"/>
      <w:r w:rsidRPr="00A10FAD">
        <w:rPr>
          <w:rFonts w:ascii="Times New Roman" w:hAnsi="Times New Roman" w:cs="Times New Roman"/>
          <w:sz w:val="24"/>
          <w:szCs w:val="24"/>
        </w:rPr>
        <w:t>Mennigen</w:t>
      </w:r>
      <w:proofErr w:type="spellEnd"/>
      <w:r w:rsidRPr="00A10FAD">
        <w:rPr>
          <w:rFonts w:ascii="Times New Roman" w:hAnsi="Times New Roman" w:cs="Times New Roman"/>
          <w:sz w:val="24"/>
          <w:szCs w:val="24"/>
        </w:rPr>
        <w:t xml:space="preserve">, J. A., Zamora, J. M., Chang, J. P., &amp; Trudeau, V. L. (2017). Endocrine disrupting effects of waterborne fluoxetine exposure on the reproductive axis of female goldfish, Carassius auratus. Comparative Biochemistry and Physiology. Toxicology &amp; Pharmacology: CBP, 202, 70– 78. </w:t>
      </w:r>
      <w:hyperlink r:id="rId20" w:history="1">
        <w:r w:rsidRPr="00A10FAD">
          <w:rPr>
            <w:rStyle w:val="Hyperlink"/>
            <w:rFonts w:ascii="Times New Roman" w:hAnsi="Times New Roman" w:cs="Times New Roman"/>
            <w:sz w:val="24"/>
            <w:szCs w:val="24"/>
          </w:rPr>
          <w:t>https://doi.org/10.1016/j.cbpc.2017.08.003</w:t>
        </w:r>
      </w:hyperlink>
    </w:p>
    <w:p w14:paraId="768EE963" w14:textId="77777777" w:rsidR="00A10FAD" w:rsidRPr="00A10FAD" w:rsidRDefault="00A10FAD" w:rsidP="00A10FAD">
      <w:pPr>
        <w:spacing w:after="0" w:line="480" w:lineRule="auto"/>
        <w:jc w:val="both"/>
        <w:rPr>
          <w:rFonts w:ascii="Times New Roman" w:eastAsia="Times New Roman" w:hAnsi="Times New Roman" w:cs="Times New Roman"/>
          <w:kern w:val="0"/>
          <w:sz w:val="24"/>
          <w:szCs w:val="24"/>
          <w:lang w:eastAsia="en-IN"/>
          <w14:ligatures w14:val="none"/>
        </w:rPr>
      </w:pPr>
      <w:r w:rsidRPr="00A10FAD">
        <w:rPr>
          <w:rFonts w:ascii="Times New Roman" w:eastAsia="Times New Roman" w:hAnsi="Times New Roman" w:cs="Times New Roman"/>
          <w:kern w:val="0"/>
          <w:sz w:val="24"/>
          <w:szCs w:val="24"/>
          <w:lang w:eastAsia="en-IN"/>
          <w14:ligatures w14:val="none"/>
        </w:rPr>
        <w:t xml:space="preserve">Sauvé, S. (2024). Toxicology, environmental chemistry, ecotoxicology, and One Health: definitions and paths for future research. </w:t>
      </w:r>
      <w:r w:rsidRPr="00A10FAD">
        <w:rPr>
          <w:rFonts w:ascii="Times New Roman" w:eastAsia="Times New Roman" w:hAnsi="Times New Roman" w:cs="Times New Roman"/>
          <w:i/>
          <w:iCs/>
          <w:kern w:val="0"/>
          <w:sz w:val="24"/>
          <w:szCs w:val="24"/>
          <w:lang w:eastAsia="en-IN"/>
          <w14:ligatures w14:val="none"/>
        </w:rPr>
        <w:t>Frontiers in Environmental Science</w:t>
      </w:r>
      <w:r w:rsidRPr="00A10FAD">
        <w:rPr>
          <w:rFonts w:ascii="Times New Roman" w:eastAsia="Times New Roman" w:hAnsi="Times New Roman" w:cs="Times New Roman"/>
          <w:kern w:val="0"/>
          <w:sz w:val="24"/>
          <w:szCs w:val="24"/>
          <w:lang w:eastAsia="en-IN"/>
          <w14:ligatures w14:val="none"/>
        </w:rPr>
        <w:t xml:space="preserve">, </w:t>
      </w:r>
      <w:r w:rsidRPr="00A10FAD">
        <w:rPr>
          <w:rFonts w:ascii="Times New Roman" w:eastAsia="Times New Roman" w:hAnsi="Times New Roman" w:cs="Times New Roman"/>
          <w:i/>
          <w:iCs/>
          <w:kern w:val="0"/>
          <w:sz w:val="24"/>
          <w:szCs w:val="24"/>
          <w:lang w:eastAsia="en-IN"/>
          <w14:ligatures w14:val="none"/>
        </w:rPr>
        <w:t>12</w:t>
      </w:r>
      <w:r w:rsidRPr="00A10FAD">
        <w:rPr>
          <w:rFonts w:ascii="Times New Roman" w:eastAsia="Times New Roman" w:hAnsi="Times New Roman" w:cs="Times New Roman"/>
          <w:kern w:val="0"/>
          <w:sz w:val="24"/>
          <w:szCs w:val="24"/>
          <w:lang w:eastAsia="en-IN"/>
          <w14:ligatures w14:val="none"/>
        </w:rPr>
        <w:t xml:space="preserve">. </w:t>
      </w:r>
      <w:hyperlink r:id="rId21" w:tgtFrame="_blank" w:history="1">
        <w:r w:rsidRPr="00A10FAD">
          <w:rPr>
            <w:rFonts w:ascii="Times New Roman" w:eastAsia="Times New Roman" w:hAnsi="Times New Roman" w:cs="Times New Roman"/>
            <w:color w:val="0000FF"/>
            <w:kern w:val="0"/>
            <w:sz w:val="24"/>
            <w:szCs w:val="24"/>
            <w:u w:val="single"/>
            <w:lang w:eastAsia="en-IN"/>
            <w14:ligatures w14:val="none"/>
          </w:rPr>
          <w:t>https://doi.org/10.3389/fenvs.2024.1303705</w:t>
        </w:r>
      </w:hyperlink>
    </w:p>
    <w:p w14:paraId="639C6B6E" w14:textId="77777777" w:rsidR="00A10FAD" w:rsidRPr="00A10FAD" w:rsidRDefault="00A10FAD" w:rsidP="00A10FAD">
      <w:pPr>
        <w:spacing w:line="480" w:lineRule="auto"/>
        <w:jc w:val="both"/>
        <w:rPr>
          <w:rFonts w:ascii="Times New Roman" w:eastAsia="Times New Roman" w:hAnsi="Times New Roman" w:cs="Times New Roman"/>
          <w:kern w:val="0"/>
          <w:sz w:val="24"/>
          <w:szCs w:val="24"/>
          <w:lang w:eastAsia="en-IN"/>
          <w14:ligatures w14:val="none"/>
        </w:rPr>
      </w:pPr>
      <w:r w:rsidRPr="00A10FAD">
        <w:rPr>
          <w:rFonts w:ascii="Times New Roman" w:eastAsia="Times New Roman" w:hAnsi="Times New Roman" w:cs="Times New Roman"/>
          <w:kern w:val="0"/>
          <w:sz w:val="24"/>
          <w:szCs w:val="24"/>
          <w:lang w:eastAsia="en-IN"/>
          <w14:ligatures w14:val="none"/>
        </w:rPr>
        <w:t xml:space="preserve">Schlenk, D., &amp; Benson, W.H. (Eds.). (2001). Target Organ Toxicity in Marine and Freshwater </w:t>
      </w:r>
      <w:proofErr w:type="spellStart"/>
      <w:r w:rsidRPr="00A10FAD">
        <w:rPr>
          <w:rFonts w:ascii="Times New Roman" w:eastAsia="Times New Roman" w:hAnsi="Times New Roman" w:cs="Times New Roman"/>
          <w:kern w:val="0"/>
          <w:sz w:val="24"/>
          <w:szCs w:val="24"/>
          <w:lang w:eastAsia="en-IN"/>
          <w14:ligatures w14:val="none"/>
        </w:rPr>
        <w:t>Teleosts</w:t>
      </w:r>
      <w:proofErr w:type="spellEnd"/>
      <w:r w:rsidRPr="00A10FAD">
        <w:rPr>
          <w:rFonts w:ascii="Times New Roman" w:eastAsia="Times New Roman" w:hAnsi="Times New Roman" w:cs="Times New Roman"/>
          <w:kern w:val="0"/>
          <w:sz w:val="24"/>
          <w:szCs w:val="24"/>
          <w:lang w:eastAsia="en-IN"/>
          <w14:ligatures w14:val="none"/>
        </w:rPr>
        <w:t xml:space="preserve">: Organs (1st ed.). CRC Press. </w:t>
      </w:r>
      <w:hyperlink r:id="rId22" w:history="1">
        <w:r w:rsidRPr="00A10FAD">
          <w:rPr>
            <w:rStyle w:val="Hyperlink"/>
            <w:rFonts w:ascii="Times New Roman" w:eastAsia="Times New Roman" w:hAnsi="Times New Roman" w:cs="Times New Roman"/>
            <w:kern w:val="0"/>
            <w:sz w:val="24"/>
            <w:szCs w:val="24"/>
            <w:lang w:eastAsia="en-IN"/>
            <w14:ligatures w14:val="none"/>
          </w:rPr>
          <w:t>https://doi.org/10.1201/9781315109244</w:t>
        </w:r>
      </w:hyperlink>
    </w:p>
    <w:p w14:paraId="02D24D88"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Sehonova, P., </w:t>
      </w:r>
      <w:proofErr w:type="spellStart"/>
      <w:r w:rsidRPr="00A10FAD">
        <w:rPr>
          <w:rFonts w:ascii="Times New Roman" w:hAnsi="Times New Roman" w:cs="Times New Roman"/>
          <w:sz w:val="24"/>
          <w:szCs w:val="24"/>
        </w:rPr>
        <w:t>Svobodova</w:t>
      </w:r>
      <w:proofErr w:type="spellEnd"/>
      <w:r w:rsidRPr="00A10FAD">
        <w:rPr>
          <w:rFonts w:ascii="Times New Roman" w:hAnsi="Times New Roman" w:cs="Times New Roman"/>
          <w:sz w:val="24"/>
          <w:szCs w:val="24"/>
        </w:rPr>
        <w:t xml:space="preserve">, Z., </w:t>
      </w:r>
      <w:proofErr w:type="spellStart"/>
      <w:r w:rsidRPr="00A10FAD">
        <w:rPr>
          <w:rFonts w:ascii="Times New Roman" w:hAnsi="Times New Roman" w:cs="Times New Roman"/>
          <w:sz w:val="24"/>
          <w:szCs w:val="24"/>
        </w:rPr>
        <w:t>Dolezelova</w:t>
      </w:r>
      <w:proofErr w:type="spellEnd"/>
      <w:r w:rsidRPr="00A10FAD">
        <w:rPr>
          <w:rFonts w:ascii="Times New Roman" w:hAnsi="Times New Roman" w:cs="Times New Roman"/>
          <w:sz w:val="24"/>
          <w:szCs w:val="24"/>
        </w:rPr>
        <w:t xml:space="preserve">, P., Vosmerova, P., &amp; </w:t>
      </w:r>
      <w:proofErr w:type="spellStart"/>
      <w:r w:rsidRPr="00A10FAD">
        <w:rPr>
          <w:rFonts w:ascii="Times New Roman" w:hAnsi="Times New Roman" w:cs="Times New Roman"/>
          <w:sz w:val="24"/>
          <w:szCs w:val="24"/>
        </w:rPr>
        <w:t>Faggio</w:t>
      </w:r>
      <w:proofErr w:type="spellEnd"/>
      <w:r w:rsidRPr="00A10FAD">
        <w:rPr>
          <w:rFonts w:ascii="Times New Roman" w:hAnsi="Times New Roman" w:cs="Times New Roman"/>
          <w:sz w:val="24"/>
          <w:szCs w:val="24"/>
        </w:rPr>
        <w:t xml:space="preserve">, C. (2018). Effects of waterborne antidepressants on non-target animals living in the aquatic environment: A review. The Science </w:t>
      </w:r>
      <w:r w:rsidRPr="00A10FAD">
        <w:rPr>
          <w:rFonts w:ascii="Times New Roman" w:hAnsi="Times New Roman" w:cs="Times New Roman"/>
          <w:sz w:val="24"/>
          <w:szCs w:val="24"/>
        </w:rPr>
        <w:tab/>
        <w:t xml:space="preserve">of </w:t>
      </w:r>
      <w:r w:rsidRPr="00A10FAD">
        <w:rPr>
          <w:rFonts w:ascii="Times New Roman" w:hAnsi="Times New Roman" w:cs="Times New Roman"/>
          <w:sz w:val="24"/>
          <w:szCs w:val="24"/>
        </w:rPr>
        <w:tab/>
        <w:t xml:space="preserve">the </w:t>
      </w:r>
      <w:r w:rsidRPr="00A10FAD">
        <w:rPr>
          <w:rFonts w:ascii="Times New Roman" w:hAnsi="Times New Roman" w:cs="Times New Roman"/>
          <w:sz w:val="24"/>
          <w:szCs w:val="24"/>
        </w:rPr>
        <w:tab/>
        <w:t xml:space="preserve">Total </w:t>
      </w:r>
      <w:r w:rsidRPr="00A10FAD">
        <w:rPr>
          <w:rFonts w:ascii="Times New Roman" w:hAnsi="Times New Roman" w:cs="Times New Roman"/>
          <w:sz w:val="24"/>
          <w:szCs w:val="24"/>
        </w:rPr>
        <w:tab/>
        <w:t xml:space="preserve">Environment, </w:t>
      </w:r>
      <w:r w:rsidRPr="00A10FAD">
        <w:rPr>
          <w:rFonts w:ascii="Times New Roman" w:hAnsi="Times New Roman" w:cs="Times New Roman"/>
          <w:sz w:val="24"/>
          <w:szCs w:val="24"/>
        </w:rPr>
        <w:tab/>
        <w:t xml:space="preserve">631–632, </w:t>
      </w:r>
      <w:r w:rsidRPr="00A10FAD">
        <w:rPr>
          <w:rFonts w:ascii="Times New Roman" w:hAnsi="Times New Roman" w:cs="Times New Roman"/>
          <w:sz w:val="24"/>
          <w:szCs w:val="24"/>
        </w:rPr>
        <w:tab/>
        <w:t xml:space="preserve">789–794. </w:t>
      </w:r>
      <w:hyperlink r:id="rId23" w:history="1">
        <w:r w:rsidRPr="00A10FAD">
          <w:rPr>
            <w:rStyle w:val="Hyperlink"/>
            <w:rFonts w:ascii="Times New Roman" w:hAnsi="Times New Roman" w:cs="Times New Roman"/>
            <w:sz w:val="24"/>
            <w:szCs w:val="24"/>
          </w:rPr>
          <w:t>https://doi.org/10.1016/j.scitotenv.2018.03.076</w:t>
        </w:r>
      </w:hyperlink>
    </w:p>
    <w:p w14:paraId="58F50377"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Singer, M. L., </w:t>
      </w:r>
      <w:proofErr w:type="spellStart"/>
      <w:r w:rsidRPr="00A10FAD">
        <w:rPr>
          <w:rFonts w:ascii="Times New Roman" w:hAnsi="Times New Roman" w:cs="Times New Roman"/>
          <w:sz w:val="24"/>
          <w:szCs w:val="24"/>
        </w:rPr>
        <w:t>Oreschak</w:t>
      </w:r>
      <w:proofErr w:type="spellEnd"/>
      <w:r w:rsidRPr="00A10FAD">
        <w:rPr>
          <w:rFonts w:ascii="Times New Roman" w:hAnsi="Times New Roman" w:cs="Times New Roman"/>
          <w:sz w:val="24"/>
          <w:szCs w:val="24"/>
        </w:rPr>
        <w:t xml:space="preserve">, K., Rhinehart, Z., &amp; Robison, B. D. (2016). Anxiolytic effects of fluoxetine and nicotine exposure on exploratory </w:t>
      </w:r>
      <w:proofErr w:type="spellStart"/>
      <w:r w:rsidRPr="00A10FAD">
        <w:rPr>
          <w:rFonts w:ascii="Times New Roman" w:hAnsi="Times New Roman" w:cs="Times New Roman"/>
          <w:sz w:val="24"/>
          <w:szCs w:val="24"/>
        </w:rPr>
        <w:t>behavior</w:t>
      </w:r>
      <w:proofErr w:type="spellEnd"/>
      <w:r w:rsidRPr="00A10FAD">
        <w:rPr>
          <w:rFonts w:ascii="Times New Roman" w:hAnsi="Times New Roman" w:cs="Times New Roman"/>
          <w:sz w:val="24"/>
          <w:szCs w:val="24"/>
        </w:rPr>
        <w:t xml:space="preserve"> in zebrafish. </w:t>
      </w:r>
      <w:proofErr w:type="spellStart"/>
      <w:r w:rsidRPr="00A10FAD">
        <w:rPr>
          <w:rFonts w:ascii="Times New Roman" w:hAnsi="Times New Roman" w:cs="Times New Roman"/>
          <w:sz w:val="24"/>
          <w:szCs w:val="24"/>
        </w:rPr>
        <w:t>PeerJ</w:t>
      </w:r>
      <w:proofErr w:type="spellEnd"/>
      <w:r w:rsidRPr="00A10FAD">
        <w:rPr>
          <w:rFonts w:ascii="Times New Roman" w:hAnsi="Times New Roman" w:cs="Times New Roman"/>
          <w:sz w:val="24"/>
          <w:szCs w:val="24"/>
        </w:rPr>
        <w:t xml:space="preserve">, 4, e2352. </w:t>
      </w:r>
    </w:p>
    <w:p w14:paraId="4A92DAC0"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lastRenderedPageBreak/>
        <w:t xml:space="preserve">Stewart, A., Grossman, L., Nguyen, M., Maximino, C., Rosemberg, D., Echevarria, D., </w:t>
      </w:r>
      <w:proofErr w:type="spellStart"/>
      <w:r w:rsidRPr="00A10FAD">
        <w:rPr>
          <w:rFonts w:ascii="Times New Roman" w:hAnsi="Times New Roman" w:cs="Times New Roman"/>
          <w:sz w:val="24"/>
          <w:szCs w:val="24"/>
        </w:rPr>
        <w:t>Kalueff</w:t>
      </w:r>
      <w:proofErr w:type="spellEnd"/>
      <w:r w:rsidRPr="00A10FAD">
        <w:rPr>
          <w:rFonts w:ascii="Times New Roman" w:hAnsi="Times New Roman" w:cs="Times New Roman"/>
          <w:sz w:val="24"/>
          <w:szCs w:val="24"/>
        </w:rPr>
        <w:t xml:space="preserve">, A. (2014). Aquatic Toxicology of Fluoxetine: Understanding the Knowns and the Unknowns. Aquatic Toxicology, 156, 269-273. </w:t>
      </w:r>
      <w:hyperlink r:id="rId24" w:history="1">
        <w:r w:rsidRPr="00A10FAD">
          <w:rPr>
            <w:rStyle w:val="Hyperlink"/>
            <w:rFonts w:ascii="Times New Roman" w:hAnsi="Times New Roman" w:cs="Times New Roman"/>
            <w:sz w:val="24"/>
            <w:szCs w:val="24"/>
          </w:rPr>
          <w:t>https://aquila.usm.edu/fac_pubs/19868</w:t>
        </w:r>
      </w:hyperlink>
    </w:p>
    <w:p w14:paraId="7EDEE584"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Varshney, S., Gora, A. H., Kiron, V., </w:t>
      </w:r>
      <w:proofErr w:type="spellStart"/>
      <w:r w:rsidRPr="00A10FAD">
        <w:rPr>
          <w:rFonts w:ascii="Times New Roman" w:hAnsi="Times New Roman" w:cs="Times New Roman"/>
          <w:sz w:val="24"/>
          <w:szCs w:val="24"/>
        </w:rPr>
        <w:t>Siriyappagouder</w:t>
      </w:r>
      <w:proofErr w:type="spellEnd"/>
      <w:r w:rsidRPr="00A10FAD">
        <w:rPr>
          <w:rFonts w:ascii="Times New Roman" w:hAnsi="Times New Roman" w:cs="Times New Roman"/>
          <w:sz w:val="24"/>
          <w:szCs w:val="24"/>
        </w:rPr>
        <w:t xml:space="preserve">, P., Dahle, D., Kögel, T., </w:t>
      </w:r>
      <w:proofErr w:type="spellStart"/>
      <w:r w:rsidRPr="00A10FAD">
        <w:rPr>
          <w:rFonts w:ascii="Times New Roman" w:hAnsi="Times New Roman" w:cs="Times New Roman"/>
          <w:sz w:val="24"/>
          <w:szCs w:val="24"/>
        </w:rPr>
        <w:t>Ørnsrud</w:t>
      </w:r>
      <w:proofErr w:type="spellEnd"/>
      <w:r w:rsidRPr="00A10FAD">
        <w:rPr>
          <w:rFonts w:ascii="Times New Roman" w:hAnsi="Times New Roman" w:cs="Times New Roman"/>
          <w:sz w:val="24"/>
          <w:szCs w:val="24"/>
        </w:rPr>
        <w:t xml:space="preserve">, R., &amp; Olsvik, P. A. (2022). Polystyrene </w:t>
      </w:r>
      <w:proofErr w:type="spellStart"/>
      <w:r w:rsidRPr="00A10FAD">
        <w:rPr>
          <w:rFonts w:ascii="Times New Roman" w:hAnsi="Times New Roman" w:cs="Times New Roman"/>
          <w:sz w:val="24"/>
          <w:szCs w:val="24"/>
        </w:rPr>
        <w:t>nanoplastics</w:t>
      </w:r>
      <w:proofErr w:type="spellEnd"/>
      <w:r w:rsidRPr="00A10FAD">
        <w:rPr>
          <w:rFonts w:ascii="Times New Roman" w:hAnsi="Times New Roman" w:cs="Times New Roman"/>
          <w:sz w:val="24"/>
          <w:szCs w:val="24"/>
        </w:rPr>
        <w:t xml:space="preserve"> enhance the toxicological effects of DDE in zebrafish (Danio rerio) larvae. The Science of The Total Environment, 859, 160457. </w:t>
      </w:r>
      <w:hyperlink r:id="rId25" w:history="1">
        <w:r w:rsidRPr="00A10FAD">
          <w:rPr>
            <w:rStyle w:val="Hyperlink"/>
            <w:rFonts w:ascii="Times New Roman" w:hAnsi="Times New Roman" w:cs="Times New Roman"/>
            <w:sz w:val="24"/>
            <w:szCs w:val="24"/>
          </w:rPr>
          <w:t>https://doi.org/10.1016/j.scitotenv.2022.160457</w:t>
        </w:r>
      </w:hyperlink>
    </w:p>
    <w:p w14:paraId="4817FD20"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Venkatachalam, A.B., Levesque, B., Achenbach, J.C., Pappas, J.J., Ellis, L.D. (2023) Long and Short Duration Exposures to the Selective Serotonin Reuptake Inhibitors (SSRIs) Fluoxetine, Paroxetine and Sertraline at Environmentally Relevant Concentrations Lead to Adverse Effects on Zebrafish Behaviour and Reproduction. Toxics. 11(2):</w:t>
      </w:r>
    </w:p>
    <w:p w14:paraId="5B569E59" w14:textId="77777777" w:rsidR="00A10FAD" w:rsidRPr="00A10FAD" w:rsidRDefault="00A10FAD" w:rsidP="00A10FAD">
      <w:pPr>
        <w:spacing w:line="480" w:lineRule="auto"/>
        <w:jc w:val="both"/>
        <w:rPr>
          <w:rFonts w:ascii="Times New Roman" w:hAnsi="Times New Roman" w:cs="Times New Roman"/>
          <w:sz w:val="24"/>
          <w:szCs w:val="24"/>
        </w:rPr>
      </w:pPr>
      <w:r w:rsidRPr="00A10FAD">
        <w:rPr>
          <w:rFonts w:ascii="Times New Roman" w:hAnsi="Times New Roman" w:cs="Times New Roman"/>
          <w:sz w:val="24"/>
          <w:szCs w:val="24"/>
        </w:rPr>
        <w:t xml:space="preserve">Wong, R. Y., Oxendine, S. E., &amp; Godwin, J. (2013). </w:t>
      </w:r>
      <w:proofErr w:type="spellStart"/>
      <w:r w:rsidRPr="00A10FAD">
        <w:rPr>
          <w:rFonts w:ascii="Times New Roman" w:hAnsi="Times New Roman" w:cs="Times New Roman"/>
          <w:sz w:val="24"/>
          <w:szCs w:val="24"/>
        </w:rPr>
        <w:t>Behavioral</w:t>
      </w:r>
      <w:proofErr w:type="spellEnd"/>
      <w:r w:rsidRPr="00A10FAD">
        <w:rPr>
          <w:rFonts w:ascii="Times New Roman" w:hAnsi="Times New Roman" w:cs="Times New Roman"/>
          <w:sz w:val="24"/>
          <w:szCs w:val="24"/>
        </w:rPr>
        <w:t xml:space="preserve"> and </w:t>
      </w:r>
      <w:proofErr w:type="spellStart"/>
      <w:r w:rsidRPr="00A10FAD">
        <w:rPr>
          <w:rFonts w:ascii="Times New Roman" w:hAnsi="Times New Roman" w:cs="Times New Roman"/>
          <w:sz w:val="24"/>
          <w:szCs w:val="24"/>
        </w:rPr>
        <w:t>neurogenomic</w:t>
      </w:r>
      <w:proofErr w:type="spellEnd"/>
      <w:r w:rsidRPr="00A10FAD">
        <w:rPr>
          <w:rFonts w:ascii="Times New Roman" w:hAnsi="Times New Roman" w:cs="Times New Roman"/>
          <w:sz w:val="24"/>
          <w:szCs w:val="24"/>
        </w:rPr>
        <w:t xml:space="preserve"> transcriptome changes in wild-derived zebrafish with fluoxetine treatment. BMC genomics, 14(1), 348. </w:t>
      </w:r>
    </w:p>
    <w:p w14:paraId="57FC95D4" w14:textId="77777777" w:rsidR="00AC19FD" w:rsidRDefault="00AC19FD" w:rsidP="00915A47">
      <w:pPr>
        <w:jc w:val="center"/>
        <w:rPr>
          <w:rFonts w:ascii="Times New Roman" w:hAnsi="Times New Roman" w:cs="Times New Roman"/>
          <w:sz w:val="24"/>
          <w:szCs w:val="24"/>
        </w:rPr>
      </w:pPr>
    </w:p>
    <w:p w14:paraId="0A5804D5" w14:textId="3FF839D3" w:rsidR="00A10FAD" w:rsidRPr="00A10FAD" w:rsidRDefault="00A10FAD" w:rsidP="00A10FAD">
      <w:pPr>
        <w:spacing w:after="85" w:line="259" w:lineRule="auto"/>
        <w:ind w:left="-5" w:right="1425" w:hanging="10"/>
        <w:jc w:val="center"/>
        <w:rPr>
          <w:rFonts w:ascii="Times New Roman" w:eastAsia="Times New Roman" w:hAnsi="Times New Roman" w:cs="Times New Roman"/>
          <w:color w:val="000000"/>
          <w:sz w:val="24"/>
          <w:szCs w:val="24"/>
          <w:lang w:eastAsia="en-GB"/>
        </w:rPr>
      </w:pPr>
      <w:r w:rsidRPr="00A10FAD">
        <w:rPr>
          <w:rFonts w:ascii="Times New Roman" w:eastAsia="Times New Roman" w:hAnsi="Times New Roman" w:cs="Times New Roman"/>
          <w:b/>
          <w:color w:val="000000"/>
          <w:sz w:val="24"/>
          <w:szCs w:val="24"/>
          <w:lang w:eastAsia="en-GB"/>
        </w:rPr>
        <w:t>Table 1</w:t>
      </w:r>
      <w:r w:rsidRPr="00A10FAD">
        <w:rPr>
          <w:rFonts w:ascii="Times New Roman" w:eastAsia="Times New Roman" w:hAnsi="Times New Roman" w:cs="Times New Roman"/>
          <w:color w:val="000000"/>
          <w:sz w:val="24"/>
          <w:szCs w:val="24"/>
          <w:lang w:eastAsia="en-GB"/>
        </w:rPr>
        <w:t>: Division of groups, dose and number of animals</w:t>
      </w:r>
    </w:p>
    <w:tbl>
      <w:tblPr>
        <w:tblStyle w:val="TableGrid"/>
        <w:tblW w:w="9062" w:type="dxa"/>
        <w:tblInd w:w="5" w:type="dxa"/>
        <w:tblCellMar>
          <w:top w:w="257" w:type="dxa"/>
          <w:right w:w="27" w:type="dxa"/>
        </w:tblCellMar>
        <w:tblLook w:val="04A0" w:firstRow="1" w:lastRow="0" w:firstColumn="1" w:lastColumn="0" w:noHBand="0" w:noVBand="1"/>
      </w:tblPr>
      <w:tblGrid>
        <w:gridCol w:w="1228"/>
        <w:gridCol w:w="2023"/>
        <w:gridCol w:w="1996"/>
        <w:gridCol w:w="2263"/>
        <w:gridCol w:w="1552"/>
      </w:tblGrid>
      <w:tr w:rsidR="00A10FAD" w:rsidRPr="00A10FAD" w14:paraId="146F27B5" w14:textId="77777777" w:rsidTr="00DA42A0">
        <w:trPr>
          <w:trHeight w:hRule="exact" w:val="593"/>
        </w:trPr>
        <w:tc>
          <w:tcPr>
            <w:tcW w:w="1228" w:type="dxa"/>
            <w:tcBorders>
              <w:top w:val="single" w:sz="4" w:space="0" w:color="000000"/>
              <w:left w:val="single" w:sz="4" w:space="0" w:color="000000"/>
              <w:bottom w:val="single" w:sz="4" w:space="0" w:color="000000"/>
              <w:right w:val="single" w:sz="4" w:space="0" w:color="000000"/>
            </w:tcBorders>
            <w:vAlign w:val="center"/>
          </w:tcPr>
          <w:p w14:paraId="6DBE1F11" w14:textId="77777777" w:rsidR="00A10FAD" w:rsidRPr="00A10FAD" w:rsidRDefault="00A10FAD" w:rsidP="00A10FAD">
            <w:pPr>
              <w:spacing w:line="259" w:lineRule="auto"/>
              <w:ind w:left="103"/>
              <w:jc w:val="center"/>
              <w:rPr>
                <w:rFonts w:ascii="Times New Roman" w:hAnsi="Times New Roman" w:cs="Times New Roman"/>
                <w:b/>
                <w:color w:val="000000"/>
              </w:rPr>
            </w:pPr>
            <w:r w:rsidRPr="00A10FAD">
              <w:rPr>
                <w:rFonts w:ascii="Times New Roman" w:hAnsi="Times New Roman" w:cs="Times New Roman"/>
                <w:b/>
                <w:color w:val="000000"/>
              </w:rPr>
              <w:t>Group No.</w:t>
            </w:r>
          </w:p>
        </w:tc>
        <w:tc>
          <w:tcPr>
            <w:tcW w:w="2023" w:type="dxa"/>
            <w:tcBorders>
              <w:top w:val="single" w:sz="4" w:space="0" w:color="000000"/>
              <w:left w:val="single" w:sz="4" w:space="0" w:color="000000"/>
              <w:bottom w:val="single" w:sz="4" w:space="0" w:color="000000"/>
              <w:right w:val="single" w:sz="4" w:space="0" w:color="000000"/>
            </w:tcBorders>
            <w:vAlign w:val="center"/>
          </w:tcPr>
          <w:p w14:paraId="31BAB827" w14:textId="77777777" w:rsidR="00A10FAD" w:rsidRPr="00A10FAD" w:rsidRDefault="00A10FAD" w:rsidP="00A10FAD">
            <w:pPr>
              <w:spacing w:line="259" w:lineRule="auto"/>
              <w:ind w:left="21"/>
              <w:jc w:val="center"/>
              <w:rPr>
                <w:rFonts w:ascii="Times New Roman" w:hAnsi="Times New Roman" w:cs="Times New Roman"/>
                <w:b/>
                <w:color w:val="000000"/>
              </w:rPr>
            </w:pPr>
            <w:r w:rsidRPr="00A10FAD">
              <w:rPr>
                <w:rFonts w:ascii="Times New Roman" w:hAnsi="Times New Roman" w:cs="Times New Roman"/>
                <w:b/>
                <w:color w:val="000000"/>
              </w:rPr>
              <w:t>Group</w:t>
            </w:r>
          </w:p>
        </w:tc>
        <w:tc>
          <w:tcPr>
            <w:tcW w:w="1996" w:type="dxa"/>
            <w:tcBorders>
              <w:top w:val="single" w:sz="4" w:space="0" w:color="000000"/>
              <w:left w:val="single" w:sz="4" w:space="0" w:color="000000"/>
              <w:bottom w:val="single" w:sz="4" w:space="0" w:color="000000"/>
              <w:right w:val="single" w:sz="4" w:space="0" w:color="000000"/>
            </w:tcBorders>
            <w:vAlign w:val="center"/>
          </w:tcPr>
          <w:p w14:paraId="63377613" w14:textId="77777777" w:rsidR="00A10FAD" w:rsidRPr="00A10FAD" w:rsidRDefault="00A10FAD" w:rsidP="00A10FAD">
            <w:pPr>
              <w:spacing w:line="259" w:lineRule="auto"/>
              <w:ind w:left="126"/>
              <w:jc w:val="center"/>
              <w:rPr>
                <w:rFonts w:ascii="Times New Roman" w:hAnsi="Times New Roman" w:cs="Times New Roman"/>
                <w:b/>
                <w:color w:val="000000"/>
              </w:rPr>
            </w:pPr>
            <w:r w:rsidRPr="00A10FAD">
              <w:rPr>
                <w:rFonts w:ascii="Times New Roman" w:hAnsi="Times New Roman" w:cs="Times New Roman"/>
                <w:b/>
                <w:color w:val="000000"/>
              </w:rPr>
              <w:t>Dose (ng/L)/day</w:t>
            </w:r>
          </w:p>
        </w:tc>
        <w:tc>
          <w:tcPr>
            <w:tcW w:w="2263" w:type="dxa"/>
            <w:tcBorders>
              <w:top w:val="single" w:sz="4" w:space="0" w:color="000000"/>
              <w:left w:val="single" w:sz="4" w:space="0" w:color="000000"/>
              <w:bottom w:val="single" w:sz="4" w:space="0" w:color="000000"/>
              <w:right w:val="single" w:sz="4" w:space="0" w:color="000000"/>
            </w:tcBorders>
            <w:vAlign w:val="center"/>
          </w:tcPr>
          <w:p w14:paraId="61B9A2CC" w14:textId="77777777" w:rsidR="00A10FAD" w:rsidRPr="00A10FAD" w:rsidRDefault="00A10FAD" w:rsidP="00A10FAD">
            <w:pPr>
              <w:spacing w:after="112" w:line="259" w:lineRule="auto"/>
              <w:ind w:left="19"/>
              <w:jc w:val="center"/>
              <w:rPr>
                <w:rFonts w:ascii="Times New Roman" w:hAnsi="Times New Roman" w:cs="Times New Roman"/>
                <w:b/>
                <w:color w:val="000000"/>
              </w:rPr>
            </w:pPr>
            <w:r w:rsidRPr="00A10FAD">
              <w:rPr>
                <w:rFonts w:ascii="Times New Roman" w:hAnsi="Times New Roman" w:cs="Times New Roman"/>
                <w:b/>
                <w:color w:val="000000"/>
              </w:rPr>
              <w:t>Concentration (ng/L)</w:t>
            </w:r>
          </w:p>
        </w:tc>
        <w:tc>
          <w:tcPr>
            <w:tcW w:w="1552" w:type="dxa"/>
            <w:tcBorders>
              <w:top w:val="single" w:sz="4" w:space="0" w:color="000000"/>
              <w:left w:val="single" w:sz="4" w:space="0" w:color="000000"/>
              <w:bottom w:val="single" w:sz="4" w:space="0" w:color="000000"/>
              <w:right w:val="single" w:sz="4" w:space="0" w:color="000000"/>
            </w:tcBorders>
            <w:vAlign w:val="center"/>
          </w:tcPr>
          <w:p w14:paraId="29A75B88" w14:textId="77777777" w:rsidR="00A10FAD" w:rsidRPr="00A10FAD" w:rsidRDefault="00A10FAD" w:rsidP="00A10FAD">
            <w:pPr>
              <w:spacing w:line="259" w:lineRule="auto"/>
              <w:ind w:left="19"/>
              <w:jc w:val="center"/>
              <w:rPr>
                <w:rFonts w:ascii="Times New Roman" w:hAnsi="Times New Roman" w:cs="Times New Roman"/>
                <w:b/>
                <w:color w:val="000000"/>
              </w:rPr>
            </w:pPr>
            <w:r w:rsidRPr="00A10FAD">
              <w:rPr>
                <w:rFonts w:ascii="Times New Roman" w:hAnsi="Times New Roman" w:cs="Times New Roman"/>
                <w:b/>
                <w:color w:val="000000"/>
              </w:rPr>
              <w:t>No. of fishes</w:t>
            </w:r>
          </w:p>
        </w:tc>
      </w:tr>
      <w:tr w:rsidR="00A10FAD" w:rsidRPr="00A10FAD" w14:paraId="39617145" w14:textId="77777777" w:rsidTr="00DA42A0">
        <w:trPr>
          <w:trHeight w:hRule="exact" w:val="857"/>
        </w:trPr>
        <w:tc>
          <w:tcPr>
            <w:tcW w:w="1228" w:type="dxa"/>
            <w:tcBorders>
              <w:top w:val="single" w:sz="4" w:space="0" w:color="000000"/>
              <w:left w:val="single" w:sz="4" w:space="0" w:color="000000"/>
              <w:bottom w:val="single" w:sz="4" w:space="0" w:color="000000"/>
              <w:right w:val="single" w:sz="4" w:space="0" w:color="000000"/>
            </w:tcBorders>
            <w:vAlign w:val="center"/>
          </w:tcPr>
          <w:p w14:paraId="0753002E" w14:textId="77777777" w:rsidR="00A10FAD" w:rsidRPr="00A10FAD" w:rsidRDefault="00A10FAD" w:rsidP="00A10FAD">
            <w:pPr>
              <w:spacing w:line="259" w:lineRule="auto"/>
              <w:ind w:left="25"/>
              <w:jc w:val="center"/>
              <w:rPr>
                <w:rFonts w:ascii="Times New Roman" w:hAnsi="Times New Roman" w:cs="Times New Roman"/>
                <w:color w:val="000000"/>
              </w:rPr>
            </w:pPr>
            <w:r w:rsidRPr="00A10FAD">
              <w:rPr>
                <w:rFonts w:ascii="Times New Roman" w:hAnsi="Times New Roman" w:cs="Times New Roman"/>
                <w:color w:val="000000"/>
              </w:rPr>
              <w:t>01.</w:t>
            </w:r>
          </w:p>
        </w:tc>
        <w:tc>
          <w:tcPr>
            <w:tcW w:w="2023" w:type="dxa"/>
            <w:tcBorders>
              <w:top w:val="single" w:sz="4" w:space="0" w:color="000000"/>
              <w:left w:val="single" w:sz="4" w:space="0" w:color="000000"/>
              <w:bottom w:val="single" w:sz="4" w:space="0" w:color="000000"/>
              <w:right w:val="single" w:sz="4" w:space="0" w:color="000000"/>
            </w:tcBorders>
            <w:vAlign w:val="center"/>
          </w:tcPr>
          <w:p w14:paraId="163AABBF" w14:textId="77777777" w:rsidR="00A10FAD" w:rsidRPr="00A10FAD" w:rsidRDefault="00A10FAD" w:rsidP="00A10FAD">
            <w:pPr>
              <w:spacing w:line="259" w:lineRule="auto"/>
              <w:rPr>
                <w:rFonts w:ascii="Times New Roman" w:hAnsi="Times New Roman" w:cs="Times New Roman"/>
                <w:color w:val="000000"/>
              </w:rPr>
            </w:pPr>
            <w:r w:rsidRPr="00A10FAD">
              <w:rPr>
                <w:rFonts w:ascii="Times New Roman" w:hAnsi="Times New Roman" w:cs="Times New Roman"/>
                <w:color w:val="000000"/>
              </w:rPr>
              <w:t>Control group (G1)</w:t>
            </w:r>
          </w:p>
        </w:tc>
        <w:tc>
          <w:tcPr>
            <w:tcW w:w="1996" w:type="dxa"/>
            <w:tcBorders>
              <w:top w:val="single" w:sz="4" w:space="0" w:color="000000"/>
              <w:left w:val="single" w:sz="4" w:space="0" w:color="000000"/>
              <w:bottom w:val="single" w:sz="4" w:space="0" w:color="000000"/>
              <w:right w:val="single" w:sz="4" w:space="0" w:color="000000"/>
            </w:tcBorders>
            <w:vAlign w:val="center"/>
          </w:tcPr>
          <w:p w14:paraId="63DB795A" w14:textId="77777777" w:rsidR="00A10FAD" w:rsidRPr="00A10FAD" w:rsidRDefault="00A10FAD" w:rsidP="00A10FAD">
            <w:pPr>
              <w:spacing w:line="259" w:lineRule="auto"/>
              <w:ind w:left="28"/>
              <w:jc w:val="center"/>
              <w:rPr>
                <w:rFonts w:ascii="Times New Roman" w:hAnsi="Times New Roman" w:cs="Times New Roman"/>
                <w:color w:val="000000"/>
              </w:rPr>
            </w:pPr>
            <w:r w:rsidRPr="00A10FAD">
              <w:rPr>
                <w:rFonts w:ascii="Times New Roman" w:hAnsi="Times New Roman" w:cs="Times New Roman"/>
                <w:color w:val="000000"/>
              </w:rPr>
              <w:t>0</w:t>
            </w:r>
          </w:p>
        </w:tc>
        <w:tc>
          <w:tcPr>
            <w:tcW w:w="2263" w:type="dxa"/>
            <w:tcBorders>
              <w:top w:val="single" w:sz="4" w:space="0" w:color="000000"/>
              <w:left w:val="single" w:sz="4" w:space="0" w:color="000000"/>
              <w:bottom w:val="single" w:sz="4" w:space="0" w:color="000000"/>
              <w:right w:val="single" w:sz="4" w:space="0" w:color="000000"/>
            </w:tcBorders>
            <w:vAlign w:val="center"/>
          </w:tcPr>
          <w:p w14:paraId="75CB7005" w14:textId="77777777" w:rsidR="00A10FAD" w:rsidRPr="00A10FAD" w:rsidRDefault="00A10FAD" w:rsidP="00A10FAD">
            <w:pPr>
              <w:spacing w:line="259" w:lineRule="auto"/>
              <w:ind w:left="19"/>
              <w:jc w:val="center"/>
              <w:rPr>
                <w:rFonts w:ascii="Times New Roman" w:hAnsi="Times New Roman" w:cs="Times New Roman"/>
                <w:color w:val="000000"/>
              </w:rPr>
            </w:pPr>
            <w:r w:rsidRPr="00A10FAD">
              <w:rPr>
                <w:rFonts w:ascii="Times New Roman" w:hAnsi="Times New Roman" w:cs="Times New Roman"/>
                <w:color w:val="000000"/>
              </w:rPr>
              <w:t>0</w:t>
            </w:r>
          </w:p>
        </w:tc>
        <w:tc>
          <w:tcPr>
            <w:tcW w:w="1552" w:type="dxa"/>
            <w:tcBorders>
              <w:top w:val="single" w:sz="4" w:space="0" w:color="000000"/>
              <w:left w:val="single" w:sz="4" w:space="0" w:color="000000"/>
              <w:bottom w:val="single" w:sz="4" w:space="0" w:color="000000"/>
              <w:right w:val="single" w:sz="4" w:space="0" w:color="000000"/>
            </w:tcBorders>
            <w:vAlign w:val="center"/>
          </w:tcPr>
          <w:p w14:paraId="18957976" w14:textId="77777777" w:rsidR="00A10FAD" w:rsidRPr="00A10FAD" w:rsidRDefault="00A10FAD" w:rsidP="00A10FAD">
            <w:pPr>
              <w:spacing w:line="259" w:lineRule="auto"/>
              <w:ind w:left="19"/>
              <w:jc w:val="center"/>
              <w:rPr>
                <w:rFonts w:ascii="Times New Roman" w:hAnsi="Times New Roman" w:cs="Times New Roman"/>
                <w:color w:val="000000"/>
              </w:rPr>
            </w:pPr>
            <w:r w:rsidRPr="00A10FAD">
              <w:rPr>
                <w:rFonts w:ascii="Times New Roman" w:hAnsi="Times New Roman" w:cs="Times New Roman"/>
                <w:color w:val="000000"/>
              </w:rPr>
              <w:t>10</w:t>
            </w:r>
          </w:p>
        </w:tc>
      </w:tr>
      <w:tr w:rsidR="00A10FAD" w:rsidRPr="00A10FAD" w14:paraId="380FC548" w14:textId="77777777" w:rsidTr="00DA42A0">
        <w:trPr>
          <w:trHeight w:hRule="exact" w:val="981"/>
        </w:trPr>
        <w:tc>
          <w:tcPr>
            <w:tcW w:w="1228" w:type="dxa"/>
            <w:tcBorders>
              <w:top w:val="single" w:sz="4" w:space="0" w:color="000000"/>
              <w:left w:val="single" w:sz="4" w:space="0" w:color="000000"/>
              <w:bottom w:val="single" w:sz="4" w:space="0" w:color="000000"/>
              <w:right w:val="single" w:sz="4" w:space="0" w:color="000000"/>
            </w:tcBorders>
            <w:vAlign w:val="center"/>
          </w:tcPr>
          <w:p w14:paraId="6A432FE4" w14:textId="77777777" w:rsidR="00A10FAD" w:rsidRPr="00A10FAD" w:rsidRDefault="00A10FAD" w:rsidP="00A10FAD">
            <w:pPr>
              <w:spacing w:line="259" w:lineRule="auto"/>
              <w:ind w:left="25"/>
              <w:jc w:val="center"/>
              <w:rPr>
                <w:rFonts w:ascii="Times New Roman" w:hAnsi="Times New Roman" w:cs="Times New Roman"/>
                <w:color w:val="000000"/>
              </w:rPr>
            </w:pPr>
            <w:r w:rsidRPr="00A10FAD">
              <w:rPr>
                <w:rFonts w:ascii="Times New Roman" w:hAnsi="Times New Roman" w:cs="Times New Roman"/>
                <w:color w:val="000000"/>
              </w:rPr>
              <w:t>02.</w:t>
            </w:r>
          </w:p>
        </w:tc>
        <w:tc>
          <w:tcPr>
            <w:tcW w:w="2023" w:type="dxa"/>
            <w:tcBorders>
              <w:top w:val="single" w:sz="4" w:space="0" w:color="000000"/>
              <w:left w:val="single" w:sz="4" w:space="0" w:color="000000"/>
              <w:bottom w:val="single" w:sz="4" w:space="0" w:color="000000"/>
              <w:right w:val="single" w:sz="4" w:space="0" w:color="000000"/>
            </w:tcBorders>
            <w:vAlign w:val="center"/>
          </w:tcPr>
          <w:p w14:paraId="2E913723" w14:textId="77777777" w:rsidR="00A10FAD" w:rsidRPr="00A10FAD" w:rsidRDefault="00A10FAD" w:rsidP="00A10FAD">
            <w:pPr>
              <w:spacing w:line="259" w:lineRule="auto"/>
              <w:ind w:left="96"/>
              <w:rPr>
                <w:rFonts w:ascii="Times New Roman" w:hAnsi="Times New Roman" w:cs="Times New Roman"/>
                <w:color w:val="000000"/>
              </w:rPr>
            </w:pPr>
            <w:r w:rsidRPr="00A10FAD">
              <w:rPr>
                <w:rFonts w:ascii="Times New Roman" w:hAnsi="Times New Roman" w:cs="Times New Roman"/>
                <w:color w:val="000000"/>
              </w:rPr>
              <w:t>Low dose (G2)</w:t>
            </w:r>
          </w:p>
        </w:tc>
        <w:tc>
          <w:tcPr>
            <w:tcW w:w="1996" w:type="dxa"/>
            <w:tcBorders>
              <w:top w:val="single" w:sz="4" w:space="0" w:color="000000"/>
              <w:left w:val="single" w:sz="4" w:space="0" w:color="000000"/>
              <w:bottom w:val="single" w:sz="4" w:space="0" w:color="000000"/>
              <w:right w:val="single" w:sz="4" w:space="0" w:color="000000"/>
            </w:tcBorders>
            <w:vAlign w:val="center"/>
          </w:tcPr>
          <w:p w14:paraId="13FD167B" w14:textId="77777777" w:rsidR="00A10FAD" w:rsidRPr="00A10FAD" w:rsidRDefault="00A10FAD" w:rsidP="00A10FAD">
            <w:pPr>
              <w:tabs>
                <w:tab w:val="center" w:pos="886"/>
              </w:tabs>
              <w:spacing w:line="259" w:lineRule="auto"/>
              <w:ind w:left="-27"/>
              <w:jc w:val="center"/>
              <w:rPr>
                <w:rFonts w:ascii="Times New Roman" w:hAnsi="Times New Roman" w:cs="Times New Roman"/>
                <w:color w:val="000000"/>
              </w:rPr>
            </w:pPr>
            <w:r w:rsidRPr="00A10FAD">
              <w:rPr>
                <w:rFonts w:ascii="Times New Roman" w:hAnsi="Times New Roman" w:cs="Times New Roman"/>
                <w:color w:val="000000"/>
              </w:rPr>
              <w:t>40</w:t>
            </w:r>
          </w:p>
        </w:tc>
        <w:tc>
          <w:tcPr>
            <w:tcW w:w="2263" w:type="dxa"/>
            <w:tcBorders>
              <w:top w:val="single" w:sz="4" w:space="0" w:color="000000"/>
              <w:left w:val="single" w:sz="4" w:space="0" w:color="000000"/>
              <w:bottom w:val="single" w:sz="4" w:space="0" w:color="000000"/>
              <w:right w:val="single" w:sz="4" w:space="0" w:color="000000"/>
            </w:tcBorders>
            <w:vAlign w:val="center"/>
          </w:tcPr>
          <w:p w14:paraId="6F541B36" w14:textId="77777777" w:rsidR="00A10FAD" w:rsidRPr="00A10FAD" w:rsidRDefault="00A10FAD" w:rsidP="00A10FAD">
            <w:pPr>
              <w:spacing w:line="259" w:lineRule="auto"/>
              <w:ind w:left="96"/>
              <w:jc w:val="center"/>
              <w:rPr>
                <w:rFonts w:ascii="Times New Roman" w:hAnsi="Times New Roman" w:cs="Times New Roman"/>
                <w:color w:val="000000"/>
              </w:rPr>
            </w:pPr>
            <w:r w:rsidRPr="00A10FAD">
              <w:rPr>
                <w:rFonts w:ascii="Times New Roman" w:hAnsi="Times New Roman" w:cs="Times New Roman"/>
                <w:color w:val="000000"/>
              </w:rPr>
              <w:t>4</w:t>
            </w:r>
          </w:p>
        </w:tc>
        <w:tc>
          <w:tcPr>
            <w:tcW w:w="1552" w:type="dxa"/>
            <w:tcBorders>
              <w:top w:val="single" w:sz="4" w:space="0" w:color="000000"/>
              <w:left w:val="single" w:sz="4" w:space="0" w:color="000000"/>
              <w:bottom w:val="single" w:sz="4" w:space="0" w:color="000000"/>
              <w:right w:val="single" w:sz="4" w:space="0" w:color="000000"/>
            </w:tcBorders>
            <w:vAlign w:val="center"/>
          </w:tcPr>
          <w:p w14:paraId="08A4DF1B" w14:textId="77777777" w:rsidR="00A10FAD" w:rsidRPr="00A10FAD" w:rsidRDefault="00A10FAD" w:rsidP="00A10FAD">
            <w:pPr>
              <w:spacing w:line="259" w:lineRule="auto"/>
              <w:ind w:left="96"/>
              <w:jc w:val="center"/>
              <w:rPr>
                <w:rFonts w:ascii="Times New Roman" w:hAnsi="Times New Roman" w:cs="Times New Roman"/>
                <w:color w:val="000000"/>
              </w:rPr>
            </w:pPr>
            <w:r w:rsidRPr="00A10FAD">
              <w:rPr>
                <w:rFonts w:ascii="Times New Roman" w:hAnsi="Times New Roman" w:cs="Times New Roman"/>
                <w:color w:val="000000"/>
              </w:rPr>
              <w:t>10</w:t>
            </w:r>
          </w:p>
        </w:tc>
      </w:tr>
      <w:tr w:rsidR="00A10FAD" w:rsidRPr="00A10FAD" w14:paraId="4A63578D" w14:textId="77777777" w:rsidTr="00DA42A0">
        <w:trPr>
          <w:trHeight w:hRule="exact" w:val="995"/>
        </w:trPr>
        <w:tc>
          <w:tcPr>
            <w:tcW w:w="1228" w:type="dxa"/>
            <w:tcBorders>
              <w:top w:val="single" w:sz="4" w:space="0" w:color="000000"/>
              <w:left w:val="single" w:sz="4" w:space="0" w:color="000000"/>
              <w:bottom w:val="single" w:sz="4" w:space="0" w:color="000000"/>
              <w:right w:val="single" w:sz="4" w:space="0" w:color="000000"/>
            </w:tcBorders>
            <w:vAlign w:val="center"/>
          </w:tcPr>
          <w:p w14:paraId="50103705" w14:textId="77777777" w:rsidR="00A10FAD" w:rsidRPr="00A10FAD" w:rsidRDefault="00A10FAD" w:rsidP="00A10FAD">
            <w:pPr>
              <w:spacing w:line="259" w:lineRule="auto"/>
              <w:ind w:left="101"/>
              <w:jc w:val="center"/>
              <w:rPr>
                <w:rFonts w:ascii="Times New Roman" w:hAnsi="Times New Roman" w:cs="Times New Roman"/>
                <w:color w:val="000000"/>
              </w:rPr>
            </w:pPr>
            <w:r w:rsidRPr="00A10FAD">
              <w:rPr>
                <w:rFonts w:ascii="Times New Roman" w:hAnsi="Times New Roman" w:cs="Times New Roman"/>
                <w:color w:val="000000"/>
              </w:rPr>
              <w:t>03.</w:t>
            </w:r>
          </w:p>
        </w:tc>
        <w:tc>
          <w:tcPr>
            <w:tcW w:w="2023" w:type="dxa"/>
            <w:tcBorders>
              <w:top w:val="single" w:sz="4" w:space="0" w:color="000000"/>
              <w:left w:val="single" w:sz="4" w:space="0" w:color="000000"/>
              <w:bottom w:val="single" w:sz="4" w:space="0" w:color="000000"/>
              <w:right w:val="single" w:sz="4" w:space="0" w:color="000000"/>
            </w:tcBorders>
            <w:vAlign w:val="center"/>
          </w:tcPr>
          <w:p w14:paraId="191B88D2" w14:textId="77777777" w:rsidR="00A10FAD" w:rsidRPr="00A10FAD" w:rsidRDefault="00A10FAD" w:rsidP="00A10FAD">
            <w:pPr>
              <w:spacing w:line="259" w:lineRule="auto"/>
              <w:rPr>
                <w:rFonts w:ascii="Times New Roman" w:hAnsi="Times New Roman" w:cs="Times New Roman"/>
                <w:color w:val="000000"/>
              </w:rPr>
            </w:pPr>
            <w:r w:rsidRPr="00A10FAD">
              <w:rPr>
                <w:rFonts w:ascii="Times New Roman" w:hAnsi="Times New Roman" w:cs="Times New Roman"/>
                <w:color w:val="000000"/>
              </w:rPr>
              <w:t>High dose (G3)</w:t>
            </w:r>
          </w:p>
        </w:tc>
        <w:tc>
          <w:tcPr>
            <w:tcW w:w="1996" w:type="dxa"/>
            <w:tcBorders>
              <w:top w:val="single" w:sz="4" w:space="0" w:color="000000"/>
              <w:left w:val="single" w:sz="4" w:space="0" w:color="000000"/>
              <w:bottom w:val="single" w:sz="4" w:space="0" w:color="000000"/>
              <w:right w:val="single" w:sz="4" w:space="0" w:color="000000"/>
            </w:tcBorders>
            <w:vAlign w:val="center"/>
          </w:tcPr>
          <w:p w14:paraId="505C9723" w14:textId="77777777" w:rsidR="00A10FAD" w:rsidRPr="00A10FAD" w:rsidRDefault="00A10FAD" w:rsidP="00A10FAD">
            <w:pPr>
              <w:spacing w:line="259" w:lineRule="auto"/>
              <w:ind w:left="28"/>
              <w:jc w:val="center"/>
              <w:rPr>
                <w:rFonts w:ascii="Times New Roman" w:hAnsi="Times New Roman" w:cs="Times New Roman"/>
                <w:color w:val="000000"/>
              </w:rPr>
            </w:pPr>
            <w:r w:rsidRPr="00A10FAD">
              <w:rPr>
                <w:rFonts w:ascii="Times New Roman" w:hAnsi="Times New Roman" w:cs="Times New Roman"/>
                <w:color w:val="000000"/>
              </w:rPr>
              <w:t>400</w:t>
            </w:r>
          </w:p>
        </w:tc>
        <w:tc>
          <w:tcPr>
            <w:tcW w:w="2263" w:type="dxa"/>
            <w:tcBorders>
              <w:top w:val="single" w:sz="4" w:space="0" w:color="000000"/>
              <w:left w:val="single" w:sz="4" w:space="0" w:color="000000"/>
              <w:bottom w:val="single" w:sz="4" w:space="0" w:color="000000"/>
              <w:right w:val="single" w:sz="4" w:space="0" w:color="000000"/>
            </w:tcBorders>
            <w:vAlign w:val="center"/>
          </w:tcPr>
          <w:p w14:paraId="0B1EF20F" w14:textId="77777777" w:rsidR="00A10FAD" w:rsidRPr="00A10FAD" w:rsidRDefault="00A10FAD" w:rsidP="00A10FAD">
            <w:pPr>
              <w:spacing w:line="259" w:lineRule="auto"/>
              <w:ind w:left="96"/>
              <w:jc w:val="center"/>
              <w:rPr>
                <w:rFonts w:ascii="Times New Roman" w:hAnsi="Times New Roman" w:cs="Times New Roman"/>
                <w:color w:val="000000"/>
              </w:rPr>
            </w:pPr>
            <w:r w:rsidRPr="00A10FAD">
              <w:rPr>
                <w:rFonts w:ascii="Times New Roman" w:hAnsi="Times New Roman" w:cs="Times New Roman"/>
                <w:color w:val="000000"/>
              </w:rPr>
              <w:t>40</w:t>
            </w:r>
          </w:p>
        </w:tc>
        <w:tc>
          <w:tcPr>
            <w:tcW w:w="1552" w:type="dxa"/>
            <w:tcBorders>
              <w:top w:val="single" w:sz="4" w:space="0" w:color="000000"/>
              <w:left w:val="single" w:sz="4" w:space="0" w:color="000000"/>
              <w:bottom w:val="single" w:sz="4" w:space="0" w:color="000000"/>
              <w:right w:val="single" w:sz="4" w:space="0" w:color="000000"/>
            </w:tcBorders>
            <w:vAlign w:val="center"/>
          </w:tcPr>
          <w:p w14:paraId="3D38E2D8" w14:textId="77777777" w:rsidR="00A10FAD" w:rsidRPr="00A10FAD" w:rsidRDefault="00A10FAD" w:rsidP="00A10FAD">
            <w:pPr>
              <w:spacing w:line="259" w:lineRule="auto"/>
              <w:ind w:left="96"/>
              <w:jc w:val="center"/>
              <w:rPr>
                <w:rFonts w:ascii="Times New Roman" w:hAnsi="Times New Roman" w:cs="Times New Roman"/>
                <w:color w:val="000000"/>
              </w:rPr>
            </w:pPr>
            <w:r w:rsidRPr="00A10FAD">
              <w:rPr>
                <w:rFonts w:ascii="Times New Roman" w:hAnsi="Times New Roman" w:cs="Times New Roman"/>
                <w:color w:val="000000"/>
              </w:rPr>
              <w:t>10</w:t>
            </w:r>
          </w:p>
        </w:tc>
      </w:tr>
    </w:tbl>
    <w:p w14:paraId="478DAA53" w14:textId="343138C7" w:rsidR="00AD79AC" w:rsidRDefault="00AD79AC"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r>
        <w:rPr>
          <w:noProof/>
        </w:rPr>
        <w:lastRenderedPageBreak/>
        <w:drawing>
          <wp:inline distT="0" distB="0" distL="0" distR="0" wp14:anchorId="5F5BF97E" wp14:editId="1314873A">
            <wp:extent cx="4285174" cy="4730496"/>
            <wp:effectExtent l="0" t="0" r="1270" b="0"/>
            <wp:docPr id="1930445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445256" name=""/>
                    <pic:cNvPicPr/>
                  </pic:nvPicPr>
                  <pic:blipFill>
                    <a:blip r:embed="rId26"/>
                    <a:stretch>
                      <a:fillRect/>
                    </a:stretch>
                  </pic:blipFill>
                  <pic:spPr>
                    <a:xfrm>
                      <a:off x="0" y="0"/>
                      <a:ext cx="4286988" cy="4732498"/>
                    </a:xfrm>
                    <a:prstGeom prst="rect">
                      <a:avLst/>
                    </a:prstGeom>
                  </pic:spPr>
                </pic:pic>
              </a:graphicData>
            </a:graphic>
          </wp:inline>
        </w:drawing>
      </w:r>
    </w:p>
    <w:p w14:paraId="79DA6FD8" w14:textId="77777777" w:rsidR="0004200E" w:rsidRPr="0004200E" w:rsidRDefault="0004200E" w:rsidP="0004200E">
      <w:pPr>
        <w:rPr>
          <w:rFonts w:ascii="Times New Roman" w:eastAsia="Times New Roman" w:hAnsi="Times New Roman" w:cs="Times New Roman"/>
          <w:color w:val="000000"/>
          <w:sz w:val="20"/>
          <w:szCs w:val="20"/>
          <w:lang w:eastAsia="en-GB"/>
        </w:rPr>
      </w:pPr>
      <w:r w:rsidRPr="0004200E">
        <w:rPr>
          <w:rFonts w:ascii="Times New Roman" w:eastAsia="Times New Roman" w:hAnsi="Times New Roman" w:cs="Times New Roman"/>
          <w:color w:val="000000"/>
          <w:sz w:val="20"/>
          <w:szCs w:val="20"/>
          <w:lang w:eastAsia="en-GB"/>
        </w:rPr>
        <w:t>Figure 1. Photomicrograph of a transverse section of zebrafish ovaries reveals normal ovarian oocyte types encompassing the primary oocyte (PO), cortical alveolar stage (</w:t>
      </w:r>
      <w:proofErr w:type="spellStart"/>
      <w:r w:rsidRPr="0004200E">
        <w:rPr>
          <w:rFonts w:ascii="Times New Roman" w:eastAsia="Times New Roman" w:hAnsi="Times New Roman" w:cs="Times New Roman"/>
          <w:color w:val="000000"/>
          <w:sz w:val="20"/>
          <w:szCs w:val="20"/>
          <w:lang w:eastAsia="en-GB"/>
        </w:rPr>
        <w:t>Coc</w:t>
      </w:r>
      <w:proofErr w:type="spellEnd"/>
      <w:r w:rsidRPr="0004200E">
        <w:rPr>
          <w:rFonts w:ascii="Times New Roman" w:eastAsia="Times New Roman" w:hAnsi="Times New Roman" w:cs="Times New Roman"/>
          <w:color w:val="000000"/>
          <w:sz w:val="20"/>
          <w:szCs w:val="20"/>
          <w:lang w:eastAsia="en-GB"/>
        </w:rPr>
        <w:t xml:space="preserve">), </w:t>
      </w:r>
      <w:proofErr w:type="spellStart"/>
      <w:r w:rsidRPr="0004200E">
        <w:rPr>
          <w:rFonts w:ascii="Times New Roman" w:eastAsia="Times New Roman" w:hAnsi="Times New Roman" w:cs="Times New Roman"/>
          <w:color w:val="000000"/>
          <w:sz w:val="20"/>
          <w:szCs w:val="20"/>
          <w:lang w:eastAsia="en-GB"/>
        </w:rPr>
        <w:t>vitellogenic</w:t>
      </w:r>
      <w:proofErr w:type="spellEnd"/>
      <w:r w:rsidRPr="0004200E">
        <w:rPr>
          <w:rFonts w:ascii="Times New Roman" w:eastAsia="Times New Roman" w:hAnsi="Times New Roman" w:cs="Times New Roman"/>
          <w:color w:val="000000"/>
          <w:sz w:val="20"/>
          <w:szCs w:val="20"/>
          <w:lang w:eastAsia="en-GB"/>
        </w:rPr>
        <w:t xml:space="preserve"> stage (VS), and mature stage (MS) in the control group (A1 andA2).Ovaries of zebrafish treated with 40 ng/L of fluoxetine showed marked detachment of the zona radiata from the oocyte membrane in oocytes at the </w:t>
      </w:r>
      <w:proofErr w:type="spellStart"/>
      <w:r w:rsidRPr="0004200E">
        <w:rPr>
          <w:rFonts w:ascii="Times New Roman" w:eastAsia="Times New Roman" w:hAnsi="Times New Roman" w:cs="Times New Roman"/>
          <w:color w:val="000000"/>
          <w:sz w:val="20"/>
          <w:szCs w:val="20"/>
          <w:lang w:eastAsia="en-GB"/>
        </w:rPr>
        <w:t>vitellogenic</w:t>
      </w:r>
      <w:proofErr w:type="spellEnd"/>
      <w:r w:rsidRPr="0004200E">
        <w:rPr>
          <w:rFonts w:ascii="Times New Roman" w:eastAsia="Times New Roman" w:hAnsi="Times New Roman" w:cs="Times New Roman"/>
          <w:color w:val="000000"/>
          <w:sz w:val="20"/>
          <w:szCs w:val="20"/>
          <w:lang w:eastAsia="en-GB"/>
        </w:rPr>
        <w:t xml:space="preserve"> stage( indicated by the black arrows in the B1). Red arrows indicate atretic oocytes in the mature stage (B2). Zebrafish treated with 400 ng/L of fluoxetine showed marked detachment of the zona radiata from the oocyte membrane in oocytes at the </w:t>
      </w:r>
      <w:proofErr w:type="spellStart"/>
      <w:r w:rsidRPr="0004200E">
        <w:rPr>
          <w:rFonts w:ascii="Times New Roman" w:eastAsia="Times New Roman" w:hAnsi="Times New Roman" w:cs="Times New Roman"/>
          <w:color w:val="000000"/>
          <w:sz w:val="20"/>
          <w:szCs w:val="20"/>
          <w:lang w:eastAsia="en-GB"/>
        </w:rPr>
        <w:t>vitellogenic</w:t>
      </w:r>
      <w:proofErr w:type="spellEnd"/>
      <w:r w:rsidRPr="0004200E">
        <w:rPr>
          <w:rFonts w:ascii="Times New Roman" w:eastAsia="Times New Roman" w:hAnsi="Times New Roman" w:cs="Times New Roman"/>
          <w:color w:val="000000"/>
          <w:sz w:val="20"/>
          <w:szCs w:val="20"/>
          <w:lang w:eastAsia="en-GB"/>
        </w:rPr>
        <w:t xml:space="preserve"> stage (indicated by the green arrow in the C). PO: primary oocyte, Coc: cortical alveolar stage, VS: </w:t>
      </w:r>
      <w:proofErr w:type="spellStart"/>
      <w:r w:rsidRPr="0004200E">
        <w:rPr>
          <w:rFonts w:ascii="Times New Roman" w:eastAsia="Times New Roman" w:hAnsi="Times New Roman" w:cs="Times New Roman"/>
          <w:color w:val="000000"/>
          <w:sz w:val="20"/>
          <w:szCs w:val="20"/>
          <w:lang w:eastAsia="en-GB"/>
        </w:rPr>
        <w:t>vitellogenic</w:t>
      </w:r>
      <w:proofErr w:type="spellEnd"/>
      <w:r w:rsidRPr="0004200E">
        <w:rPr>
          <w:rFonts w:ascii="Times New Roman" w:eastAsia="Times New Roman" w:hAnsi="Times New Roman" w:cs="Times New Roman"/>
          <w:color w:val="000000"/>
          <w:sz w:val="20"/>
          <w:szCs w:val="20"/>
          <w:lang w:eastAsia="en-GB"/>
        </w:rPr>
        <w:t xml:space="preserve"> stage, MS: mature oocyte stage, AO: atretic oocyte (10x and 40x magnification). </w:t>
      </w:r>
    </w:p>
    <w:p w14:paraId="42B64972" w14:textId="77777777" w:rsidR="0004200E" w:rsidRPr="00A35A21" w:rsidRDefault="0004200E"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20B968B2" w14:textId="76FCE4E3" w:rsidR="00A35A21" w:rsidRPr="00A35A21" w:rsidRDefault="00AD79AC"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r>
        <w:rPr>
          <w:noProof/>
        </w:rPr>
        <w:lastRenderedPageBreak/>
        <w:drawing>
          <wp:inline distT="0" distB="0" distL="0" distR="0" wp14:anchorId="5EE5C6E8" wp14:editId="300CA898">
            <wp:extent cx="5162550" cy="4038600"/>
            <wp:effectExtent l="0" t="0" r="0" b="0"/>
            <wp:docPr id="473906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06547" name=""/>
                    <pic:cNvPicPr/>
                  </pic:nvPicPr>
                  <pic:blipFill>
                    <a:blip r:embed="rId27"/>
                    <a:stretch>
                      <a:fillRect/>
                    </a:stretch>
                  </pic:blipFill>
                  <pic:spPr>
                    <a:xfrm>
                      <a:off x="0" y="0"/>
                      <a:ext cx="5162550" cy="4038600"/>
                    </a:xfrm>
                    <a:prstGeom prst="rect">
                      <a:avLst/>
                    </a:prstGeom>
                  </pic:spPr>
                </pic:pic>
              </a:graphicData>
            </a:graphic>
          </wp:inline>
        </w:drawing>
      </w:r>
    </w:p>
    <w:p w14:paraId="03F22931"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r w:rsidRPr="00A35A21">
        <w:rPr>
          <w:rFonts w:ascii="Times New Roman" w:eastAsia="Times New Roman" w:hAnsi="Times New Roman" w:cs="Times New Roman"/>
          <w:b/>
          <w:bCs/>
          <w:color w:val="000000"/>
          <w:sz w:val="20"/>
          <w:szCs w:val="20"/>
          <w:lang w:eastAsia="en-GB"/>
        </w:rPr>
        <w:t>Figure 2.</w:t>
      </w:r>
      <w:r w:rsidRPr="00A35A21">
        <w:rPr>
          <w:rFonts w:ascii="Times New Roman" w:eastAsia="Times New Roman" w:hAnsi="Times New Roman" w:cs="Times New Roman"/>
          <w:color w:val="000000"/>
          <w:sz w:val="20"/>
          <w:szCs w:val="20"/>
          <w:lang w:eastAsia="en-GB"/>
        </w:rPr>
        <w:t xml:space="preserve"> Photomicrograph of a transverse section of zebrafish testis reveals normal seminiferous tubules (black border) with active spermatogenesis. The seminiferous tubules are lined by many layers of spermatogenic cells arranged in the form of spermatogonia, spermatogonium A (SGA), spermatogonium B (SGB), primary spermatocytes (PS), secondary spermatocytes (SS), and spermatozoa (SZ) in the control group(A). (B)Testis of zebrafish treated with 40 ng/L of fluoxetine showed marked reduced spermatozoa (black arrow). (C)Testis treated with 400 ng/L of fluoxetine showed marked reduced spermatozoa (black arrow). SGA: spermatogonia A, SGB: spermatogonia B, PS: primary spermatocyte, SS: secondary spermatocyte, SZ: spermatozoa, CT: connective tissue, RSZ: reduced spermatozoa (40x magnification). </w:t>
      </w:r>
    </w:p>
    <w:p w14:paraId="7C22FCF0"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654E6F9B"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0D1C8738"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1A7C3721"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2A5BA0EA" w14:textId="77777777" w:rsidR="00A35A21" w:rsidRPr="00A35A21" w:rsidRDefault="00A35A21" w:rsidP="00A35A21">
      <w:pPr>
        <w:spacing w:after="239" w:line="359" w:lineRule="auto"/>
        <w:ind w:left="10" w:right="2" w:hanging="10"/>
        <w:jc w:val="both"/>
        <w:rPr>
          <w:rFonts w:ascii="Times New Roman" w:eastAsia="Times New Roman" w:hAnsi="Times New Roman" w:cs="Times New Roman"/>
          <w:color w:val="000000"/>
          <w:sz w:val="20"/>
          <w:szCs w:val="20"/>
          <w:lang w:eastAsia="en-GB"/>
        </w:rPr>
      </w:pPr>
    </w:p>
    <w:p w14:paraId="18390621" w14:textId="13D71B69" w:rsidR="00A35A21" w:rsidRPr="00A35A21" w:rsidRDefault="00AD79AC" w:rsidP="00A35A21">
      <w:pPr>
        <w:spacing w:after="239" w:line="359" w:lineRule="auto"/>
        <w:ind w:left="10" w:right="2" w:hanging="10"/>
        <w:jc w:val="center"/>
        <w:rPr>
          <w:rFonts w:ascii="Times New Roman" w:eastAsia="Times New Roman" w:hAnsi="Times New Roman" w:cs="Times New Roman"/>
          <w:color w:val="000000"/>
          <w:sz w:val="20"/>
          <w:szCs w:val="20"/>
          <w:lang w:eastAsia="en-GB"/>
        </w:rPr>
      </w:pPr>
      <w:r>
        <w:rPr>
          <w:noProof/>
        </w:rPr>
        <w:lastRenderedPageBreak/>
        <w:drawing>
          <wp:inline distT="0" distB="0" distL="0" distR="0" wp14:anchorId="3E433C26" wp14:editId="34674FB4">
            <wp:extent cx="5143500" cy="3867150"/>
            <wp:effectExtent l="0" t="0" r="0" b="0"/>
            <wp:docPr id="1624050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50282" name=""/>
                    <pic:cNvPicPr/>
                  </pic:nvPicPr>
                  <pic:blipFill>
                    <a:blip r:embed="rId28"/>
                    <a:stretch>
                      <a:fillRect/>
                    </a:stretch>
                  </pic:blipFill>
                  <pic:spPr>
                    <a:xfrm>
                      <a:off x="0" y="0"/>
                      <a:ext cx="5143500" cy="3867150"/>
                    </a:xfrm>
                    <a:prstGeom prst="rect">
                      <a:avLst/>
                    </a:prstGeom>
                  </pic:spPr>
                </pic:pic>
              </a:graphicData>
            </a:graphic>
          </wp:inline>
        </w:drawing>
      </w:r>
    </w:p>
    <w:p w14:paraId="5EACE0A6" w14:textId="77777777" w:rsidR="00A35A21" w:rsidRPr="00A35A21" w:rsidRDefault="00A35A21" w:rsidP="00A35A21">
      <w:pPr>
        <w:spacing w:after="0" w:line="359" w:lineRule="auto"/>
        <w:ind w:right="2"/>
        <w:jc w:val="both"/>
        <w:rPr>
          <w:rFonts w:ascii="Times New Roman" w:eastAsia="Times New Roman" w:hAnsi="Times New Roman" w:cs="Times New Roman"/>
          <w:color w:val="000000"/>
          <w:sz w:val="20"/>
          <w:szCs w:val="20"/>
          <w:lang w:eastAsia="en-GB"/>
        </w:rPr>
      </w:pPr>
      <w:r w:rsidRPr="00A35A21">
        <w:rPr>
          <w:rFonts w:ascii="Times New Roman" w:eastAsia="Times New Roman" w:hAnsi="Times New Roman" w:cs="Times New Roman"/>
          <w:b/>
          <w:bCs/>
          <w:color w:val="000000"/>
          <w:sz w:val="20"/>
          <w:szCs w:val="20"/>
          <w:lang w:eastAsia="en-GB"/>
        </w:rPr>
        <w:t>Figure 3.</w:t>
      </w:r>
      <w:r w:rsidRPr="00A35A21">
        <w:rPr>
          <w:rFonts w:ascii="Times New Roman" w:eastAsia="Times New Roman" w:hAnsi="Times New Roman" w:cs="Times New Roman"/>
          <w:color w:val="000000"/>
          <w:sz w:val="20"/>
          <w:szCs w:val="20"/>
          <w:lang w:eastAsia="en-GB"/>
        </w:rPr>
        <w:t xml:space="preserve"> Mean latency of male and female zebrafish treated with fluoxetine at varying dose.</w:t>
      </w:r>
    </w:p>
    <w:p w14:paraId="29333725" w14:textId="77777777" w:rsidR="00A35A21" w:rsidRPr="00A35A21" w:rsidRDefault="00A35A21" w:rsidP="00A35A21">
      <w:pPr>
        <w:spacing w:after="0" w:line="359" w:lineRule="auto"/>
        <w:ind w:left="10" w:right="2" w:hanging="10"/>
        <w:jc w:val="both"/>
        <w:rPr>
          <w:rFonts w:ascii="Times New Roman" w:eastAsia="Times New Roman" w:hAnsi="Times New Roman" w:cs="Times New Roman"/>
          <w:color w:val="000000"/>
          <w:sz w:val="20"/>
          <w:szCs w:val="20"/>
          <w:lang w:eastAsia="en-GB"/>
        </w:rPr>
      </w:pPr>
      <w:r w:rsidRPr="00A35A21">
        <w:rPr>
          <w:rFonts w:ascii="Times New Roman" w:eastAsia="Times New Roman" w:hAnsi="Times New Roman" w:cs="Times New Roman"/>
          <w:color w:val="000000"/>
          <w:sz w:val="20"/>
          <w:szCs w:val="20"/>
          <w:lang w:eastAsia="en-GB"/>
        </w:rPr>
        <w:t>Data represented as mean ± SD (N = 5 fishes).</w:t>
      </w:r>
    </w:p>
    <w:p w14:paraId="584E789C" w14:textId="77777777" w:rsidR="00A35A21" w:rsidRPr="00A35A21" w:rsidRDefault="00A35A21" w:rsidP="00A35A21">
      <w:pPr>
        <w:spacing w:after="0" w:line="359" w:lineRule="auto"/>
        <w:ind w:left="10" w:right="2" w:hanging="10"/>
        <w:jc w:val="both"/>
        <w:rPr>
          <w:rFonts w:ascii="Times New Roman" w:eastAsia="Times New Roman" w:hAnsi="Times New Roman" w:cs="Times New Roman"/>
          <w:color w:val="000000"/>
          <w:sz w:val="20"/>
          <w:szCs w:val="20"/>
          <w:lang w:eastAsia="en-GB"/>
        </w:rPr>
      </w:pPr>
    </w:p>
    <w:p w14:paraId="5575E4CB" w14:textId="1F848E57" w:rsidR="00A35A21" w:rsidRPr="00A35A21" w:rsidRDefault="00AD79AC" w:rsidP="00A35A21">
      <w:pPr>
        <w:spacing w:after="0" w:line="359" w:lineRule="auto"/>
        <w:ind w:left="10" w:right="2" w:hanging="10"/>
        <w:jc w:val="center"/>
        <w:rPr>
          <w:rFonts w:ascii="Times New Roman" w:eastAsia="Times New Roman" w:hAnsi="Times New Roman" w:cs="Times New Roman"/>
          <w:color w:val="000000"/>
          <w:sz w:val="20"/>
          <w:szCs w:val="20"/>
          <w:lang w:eastAsia="en-GB"/>
        </w:rPr>
      </w:pPr>
      <w:r>
        <w:rPr>
          <w:noProof/>
        </w:rPr>
        <w:drawing>
          <wp:inline distT="0" distB="0" distL="0" distR="0" wp14:anchorId="3B555B40" wp14:editId="0ED944B3">
            <wp:extent cx="5347462" cy="3110415"/>
            <wp:effectExtent l="0" t="0" r="5715" b="0"/>
            <wp:docPr id="1210731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31520" name=""/>
                    <pic:cNvPicPr/>
                  </pic:nvPicPr>
                  <pic:blipFill>
                    <a:blip r:embed="rId29"/>
                    <a:stretch>
                      <a:fillRect/>
                    </a:stretch>
                  </pic:blipFill>
                  <pic:spPr>
                    <a:xfrm>
                      <a:off x="0" y="0"/>
                      <a:ext cx="5352410" cy="3113293"/>
                    </a:xfrm>
                    <a:prstGeom prst="rect">
                      <a:avLst/>
                    </a:prstGeom>
                  </pic:spPr>
                </pic:pic>
              </a:graphicData>
            </a:graphic>
          </wp:inline>
        </w:drawing>
      </w:r>
    </w:p>
    <w:p w14:paraId="26D71DB5" w14:textId="77777777" w:rsidR="00A35A21" w:rsidRPr="00A35A21" w:rsidRDefault="00A35A21" w:rsidP="00A35A21">
      <w:pPr>
        <w:spacing w:after="0" w:line="359" w:lineRule="auto"/>
        <w:ind w:left="10" w:right="2" w:hanging="10"/>
        <w:rPr>
          <w:rFonts w:ascii="Times New Roman" w:eastAsia="Times New Roman" w:hAnsi="Times New Roman" w:cs="Times New Roman"/>
          <w:color w:val="000000"/>
          <w:sz w:val="20"/>
          <w:szCs w:val="20"/>
          <w:lang w:eastAsia="en-GB"/>
        </w:rPr>
      </w:pPr>
      <w:r w:rsidRPr="00A35A21">
        <w:rPr>
          <w:rFonts w:ascii="Times New Roman" w:eastAsia="Times New Roman" w:hAnsi="Times New Roman" w:cs="Times New Roman"/>
          <w:b/>
          <w:bCs/>
          <w:color w:val="000000"/>
          <w:sz w:val="20"/>
          <w:szCs w:val="20"/>
          <w:lang w:eastAsia="en-GB"/>
        </w:rPr>
        <w:t>Figure 4.</w:t>
      </w:r>
      <w:r w:rsidRPr="00A35A21">
        <w:rPr>
          <w:rFonts w:ascii="Times New Roman" w:eastAsia="Times New Roman" w:hAnsi="Times New Roman" w:cs="Times New Roman"/>
          <w:color w:val="000000"/>
          <w:sz w:val="20"/>
          <w:szCs w:val="20"/>
          <w:lang w:eastAsia="en-GB"/>
        </w:rPr>
        <w:t xml:space="preserve">  Effects of fluoxetine concentrations on zebrafish exploratory </w:t>
      </w:r>
      <w:proofErr w:type="spellStart"/>
      <w:r w:rsidRPr="00A35A21">
        <w:rPr>
          <w:rFonts w:ascii="Times New Roman" w:eastAsia="Times New Roman" w:hAnsi="Times New Roman" w:cs="Times New Roman"/>
          <w:color w:val="000000"/>
          <w:sz w:val="20"/>
          <w:szCs w:val="20"/>
          <w:lang w:eastAsia="en-GB"/>
        </w:rPr>
        <w:t>behavior</w:t>
      </w:r>
      <w:proofErr w:type="spellEnd"/>
      <w:r w:rsidRPr="00A35A21">
        <w:rPr>
          <w:rFonts w:ascii="Times New Roman" w:eastAsia="Times New Roman" w:hAnsi="Times New Roman" w:cs="Times New Roman"/>
          <w:color w:val="000000"/>
          <w:sz w:val="20"/>
          <w:szCs w:val="20"/>
          <w:lang w:eastAsia="en-GB"/>
        </w:rPr>
        <w:t xml:space="preserve"> (swimming </w:t>
      </w:r>
      <w:proofErr w:type="spellStart"/>
      <w:r w:rsidRPr="00A35A21">
        <w:rPr>
          <w:rFonts w:ascii="Times New Roman" w:eastAsia="Times New Roman" w:hAnsi="Times New Roman" w:cs="Times New Roman"/>
          <w:color w:val="000000"/>
          <w:sz w:val="20"/>
          <w:szCs w:val="20"/>
          <w:lang w:eastAsia="en-GB"/>
        </w:rPr>
        <w:t>behavior</w:t>
      </w:r>
      <w:proofErr w:type="spellEnd"/>
      <w:r w:rsidRPr="00A35A21">
        <w:rPr>
          <w:rFonts w:ascii="Times New Roman" w:eastAsia="Times New Roman" w:hAnsi="Times New Roman" w:cs="Times New Roman"/>
          <w:color w:val="000000"/>
          <w:sz w:val="20"/>
          <w:szCs w:val="20"/>
          <w:lang w:eastAsia="en-GB"/>
        </w:rPr>
        <w:t xml:space="preserve"> at top and bottom zones of tank). </w:t>
      </w:r>
    </w:p>
    <w:p w14:paraId="259B7A0E" w14:textId="77777777" w:rsidR="00A35A21" w:rsidRPr="00A35A21" w:rsidRDefault="00A35A21" w:rsidP="00A35A21">
      <w:pPr>
        <w:spacing w:after="0" w:line="359" w:lineRule="auto"/>
        <w:ind w:left="10" w:right="2" w:hanging="10"/>
        <w:rPr>
          <w:rFonts w:ascii="Times New Roman" w:eastAsia="Times New Roman" w:hAnsi="Times New Roman" w:cs="Times New Roman"/>
          <w:color w:val="000000"/>
          <w:sz w:val="20"/>
          <w:szCs w:val="20"/>
          <w:lang w:eastAsia="en-GB"/>
        </w:rPr>
      </w:pPr>
      <w:r w:rsidRPr="00A35A21">
        <w:rPr>
          <w:rFonts w:ascii="Times New Roman" w:eastAsia="Times New Roman" w:hAnsi="Times New Roman" w:cs="Times New Roman"/>
          <w:color w:val="000000"/>
          <w:sz w:val="20"/>
          <w:szCs w:val="20"/>
          <w:lang w:eastAsia="en-GB"/>
        </w:rPr>
        <w:t xml:space="preserve">Data is presented as mean ± SD (n=10 fishes). </w:t>
      </w:r>
    </w:p>
    <w:sectPr w:rsidR="00A35A21" w:rsidRPr="00A35A21" w:rsidSect="005D72BD">
      <w:headerReference w:type="even" r:id="rId30"/>
      <w:headerReference w:type="default" r:id="rId31"/>
      <w:footerReference w:type="even" r:id="rId32"/>
      <w:footerReference w:type="default" r:id="rId33"/>
      <w:headerReference w:type="first" r:id="rId34"/>
      <w:footerReference w:type="first" r:id="rId35"/>
      <w:pgSz w:w="11910" w:h="16840"/>
      <w:pgMar w:top="1418" w:right="1418" w:bottom="1418" w:left="1418" w:header="1429" w:footer="992"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F" w:date="2026-01-11T11:59:00Z" w:initials="MAF">
    <w:p w14:paraId="6ED14664" w14:textId="2F547542" w:rsidR="00ED46FA" w:rsidRDefault="00ED46FA">
      <w:pPr>
        <w:pStyle w:val="TeksKomentar"/>
      </w:pPr>
      <w:r>
        <w:rPr>
          <w:rStyle w:val="ReferensiKomentar"/>
        </w:rPr>
        <w:annotationRef/>
      </w:r>
      <w:r>
        <w:t>It would be more appropriate to utilize relevant and up-to-date references published within the last decade (2015–2025)</w:t>
      </w:r>
    </w:p>
  </w:comment>
  <w:comment w:id="1" w:author="MAF" w:date="2026-01-11T12:06:00Z" w:initials="MAF">
    <w:p w14:paraId="4616CF43" w14:textId="6A0A2B2A" w:rsidR="00266FBB" w:rsidRDefault="00266FBB">
      <w:pPr>
        <w:pStyle w:val="TeksKomentar"/>
      </w:pPr>
      <w:r>
        <w:rPr>
          <w:rStyle w:val="ReferensiKomentar"/>
        </w:rPr>
        <w:annotationRef/>
      </w:r>
      <w:r>
        <w:t>It would be better if arguments were added with references to more recent research articles (2015-2025)</w:t>
      </w:r>
    </w:p>
  </w:comment>
  <w:comment w:id="2" w:author="MAF" w:date="2026-01-11T12:19:00Z" w:initials="MAF">
    <w:p w14:paraId="05BA1E3D" w14:textId="17A6B160" w:rsidR="007230E8" w:rsidRDefault="007230E8">
      <w:pPr>
        <w:pStyle w:val="TeksKomentar"/>
      </w:pPr>
      <w:r>
        <w:rPr>
          <w:rStyle w:val="ReferensiKomentar"/>
        </w:rPr>
        <w:annotationRef/>
      </w:r>
      <w:r>
        <w:t>Please ensure consistent notation of units.</w:t>
      </w:r>
    </w:p>
  </w:comment>
  <w:comment w:id="3" w:author="MAF" w:date="2026-01-11T12:19:00Z" w:initials="MAF">
    <w:p w14:paraId="70EF6FB6" w14:textId="0FAB0CD3" w:rsidR="007230E8" w:rsidRDefault="007230E8">
      <w:pPr>
        <w:pStyle w:val="TeksKomentar"/>
      </w:pPr>
      <w:r>
        <w:rPr>
          <w:rStyle w:val="ReferensiKomentar"/>
        </w:rPr>
        <w:annotationRef/>
      </w:r>
      <w:r>
        <w:t>Please ensure consistent notation of units.</w:t>
      </w:r>
    </w:p>
  </w:comment>
  <w:comment w:id="4" w:author="MAF" w:date="2026-01-11T12:19:00Z" w:initials="MAF">
    <w:p w14:paraId="69F5A470" w14:textId="0011A1F3" w:rsidR="00973A97" w:rsidRDefault="00973A97">
      <w:pPr>
        <w:pStyle w:val="TeksKomentar"/>
      </w:pPr>
      <w:r>
        <w:rPr>
          <w:rStyle w:val="ReferensiKomentar"/>
        </w:rPr>
        <w:annotationRef/>
      </w:r>
      <w:r>
        <w:t>Please ensure consistent notation of units.</w:t>
      </w:r>
    </w:p>
  </w:comment>
  <w:comment w:id="5" w:author="MAF" w:date="2026-01-11T12:27:00Z" w:initials="MAF">
    <w:p w14:paraId="1D95F521" w14:textId="77777777" w:rsidR="00A55C93" w:rsidRPr="00A55C93" w:rsidRDefault="00A55C93" w:rsidP="00A55C93">
      <w:pPr>
        <w:pStyle w:val="NormalWeb"/>
        <w:rPr>
          <w:lang w:val="id-ID" w:eastAsia="id-ID"/>
        </w:rPr>
      </w:pPr>
      <w:r>
        <w:rPr>
          <w:rStyle w:val="ReferensiKomentar"/>
        </w:rPr>
        <w:annotationRef/>
      </w:r>
      <w:r w:rsidRPr="00A55C93">
        <w:rPr>
          <w:lang w:val="id-ID" w:eastAsia="id-ID"/>
        </w:rPr>
        <w:t xml:space="preserve">The </w:t>
      </w:r>
      <w:proofErr w:type="spellStart"/>
      <w:r w:rsidRPr="00A55C93">
        <w:rPr>
          <w:lang w:val="id-ID" w:eastAsia="id-ID"/>
        </w:rPr>
        <w:t>notation</w:t>
      </w:r>
      <w:proofErr w:type="spellEnd"/>
      <w:r w:rsidRPr="00A55C93">
        <w:rPr>
          <w:lang w:val="id-ID" w:eastAsia="id-ID"/>
        </w:rPr>
        <w:t xml:space="preserve"> </w:t>
      </w:r>
      <w:proofErr w:type="spellStart"/>
      <w:r w:rsidRPr="00A55C93">
        <w:rPr>
          <w:lang w:val="id-ID" w:eastAsia="id-ID"/>
        </w:rPr>
        <w:t>should</w:t>
      </w:r>
      <w:proofErr w:type="spellEnd"/>
      <w:r w:rsidRPr="00A55C93">
        <w:rPr>
          <w:lang w:val="id-ID" w:eastAsia="id-ID"/>
        </w:rPr>
        <w:t xml:space="preserve"> </w:t>
      </w:r>
      <w:proofErr w:type="spellStart"/>
      <w:r w:rsidRPr="00A55C93">
        <w:rPr>
          <w:lang w:val="id-ID" w:eastAsia="id-ID"/>
        </w:rPr>
        <w:t>be</w:t>
      </w:r>
      <w:proofErr w:type="spellEnd"/>
      <w:r w:rsidRPr="00A55C93">
        <w:rPr>
          <w:lang w:val="id-ID" w:eastAsia="id-ID"/>
        </w:rPr>
        <w:t xml:space="preserve"> </w:t>
      </w:r>
      <w:proofErr w:type="spellStart"/>
      <w:r w:rsidRPr="00A55C93">
        <w:rPr>
          <w:lang w:val="id-ID" w:eastAsia="id-ID"/>
        </w:rPr>
        <w:t>written</w:t>
      </w:r>
      <w:proofErr w:type="spellEnd"/>
      <w:r w:rsidRPr="00A55C93">
        <w:rPr>
          <w:lang w:val="id-ID" w:eastAsia="id-ID"/>
        </w:rPr>
        <w:t xml:space="preserve"> </w:t>
      </w:r>
      <w:proofErr w:type="spellStart"/>
      <w:r w:rsidRPr="00A55C93">
        <w:rPr>
          <w:lang w:val="id-ID" w:eastAsia="id-ID"/>
        </w:rPr>
        <w:t>without</w:t>
      </w:r>
      <w:proofErr w:type="spellEnd"/>
      <w:r w:rsidRPr="00A55C93">
        <w:rPr>
          <w:lang w:val="id-ID" w:eastAsia="id-ID"/>
        </w:rPr>
        <w:t xml:space="preserve"> </w:t>
      </w:r>
      <w:proofErr w:type="spellStart"/>
      <w:r w:rsidRPr="00A55C93">
        <w:rPr>
          <w:lang w:val="id-ID" w:eastAsia="id-ID"/>
        </w:rPr>
        <w:t>spacing</w:t>
      </w:r>
      <w:proofErr w:type="spellEnd"/>
      <w:r w:rsidRPr="00A55C93">
        <w:rPr>
          <w:lang w:val="id-ID" w:eastAsia="id-ID"/>
        </w:rPr>
        <w:t xml:space="preserve"> (*</w:t>
      </w:r>
      <w:r w:rsidRPr="00A55C93">
        <w:rPr>
          <w:b/>
          <w:bCs/>
          <w:lang w:val="id-ID" w:eastAsia="id-ID"/>
        </w:rPr>
        <w:t>p&lt;0.001)</w:t>
      </w:r>
    </w:p>
    <w:p w14:paraId="459268BC" w14:textId="1CC8DCE6" w:rsidR="00A55C93" w:rsidRDefault="00A55C93">
      <w:pPr>
        <w:pStyle w:val="TeksKomentar"/>
      </w:pPr>
    </w:p>
  </w:comment>
  <w:comment w:id="6" w:author="MAF" w:date="2026-01-11T12:32:00Z" w:initials="MAF">
    <w:p w14:paraId="2328EDE7" w14:textId="26A13013" w:rsidR="00EC360C" w:rsidRPr="00EC360C" w:rsidRDefault="00EC360C">
      <w:pPr>
        <w:pStyle w:val="TeksKomentar"/>
        <w:rPr>
          <w:lang w:val="id-ID"/>
        </w:rPr>
      </w:pPr>
      <w:r>
        <w:rPr>
          <w:rStyle w:val="ReferensiKomentar"/>
        </w:rPr>
        <w:annotationRef/>
      </w:r>
      <w:r>
        <w:t>It would be preferable for the conclusion section to be more concise, so that it does not appear overly lengthy</w:t>
      </w:r>
      <w:r>
        <w:rPr>
          <w:lang w:val="id-ID"/>
        </w:rPr>
        <w:t>.</w:t>
      </w:r>
    </w:p>
  </w:comment>
  <w:comment w:id="7" w:author="MAF" w:date="2026-01-11T12:33:00Z" w:initials="MAF">
    <w:p w14:paraId="5BC13726" w14:textId="2CDC4408" w:rsidR="003706BE" w:rsidRPr="003706BE" w:rsidRDefault="003706BE">
      <w:pPr>
        <w:pStyle w:val="TeksKomentar"/>
        <w:rPr>
          <w:lang w:val="id-ID"/>
        </w:rPr>
      </w:pPr>
      <w:r>
        <w:rPr>
          <w:rStyle w:val="ReferensiKomentar"/>
        </w:rPr>
        <w:annotationRef/>
      </w:r>
      <w:r>
        <w:t>It would be more appropriate to utilize relevant and up-to-date references published within the last decade (2015–2025)</w:t>
      </w:r>
      <w:r>
        <w:rPr>
          <w:lang w:val="id-ID"/>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D14664" w15:done="1"/>
  <w15:commentEx w15:paraId="4616CF43" w15:done="1"/>
  <w15:commentEx w15:paraId="05BA1E3D" w15:done="1"/>
  <w15:commentEx w15:paraId="70EF6FB6" w15:done="1"/>
  <w15:commentEx w15:paraId="69F5A470" w15:done="1"/>
  <w15:commentEx w15:paraId="459268BC" w15:done="1"/>
  <w15:commentEx w15:paraId="2328EDE7" w15:done="1"/>
  <w15:commentEx w15:paraId="5BC13726"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D14664" w16cid:durableId="2D0E0F07"/>
  <w16cid:commentId w16cid:paraId="4616CF43" w16cid:durableId="2D0E10D4"/>
  <w16cid:commentId w16cid:paraId="05BA1E3D" w16cid:durableId="2D0E13CB"/>
  <w16cid:commentId w16cid:paraId="70EF6FB6" w16cid:durableId="2D0E13DA"/>
  <w16cid:commentId w16cid:paraId="69F5A470" w16cid:durableId="2D0E13EE"/>
  <w16cid:commentId w16cid:paraId="459268BC" w16cid:durableId="2D0E15C7"/>
  <w16cid:commentId w16cid:paraId="2328EDE7" w16cid:durableId="2D0E16C4"/>
  <w16cid:commentId w16cid:paraId="5BC13726" w16cid:durableId="2D0E17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AFFF" w14:textId="77777777" w:rsidR="00B47CE6" w:rsidRDefault="00B47CE6" w:rsidP="00A10FAD">
      <w:pPr>
        <w:spacing w:after="0" w:line="240" w:lineRule="auto"/>
      </w:pPr>
      <w:r>
        <w:separator/>
      </w:r>
    </w:p>
  </w:endnote>
  <w:endnote w:type="continuationSeparator" w:id="0">
    <w:p w14:paraId="60E6F6DE" w14:textId="77777777" w:rsidR="00B47CE6" w:rsidRDefault="00B47CE6" w:rsidP="00A1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4CC2C" w14:textId="77777777" w:rsidR="005107CE" w:rsidRDefault="00510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1451333"/>
      <w:docPartObj>
        <w:docPartGallery w:val="Page Numbers (Bottom of Page)"/>
        <w:docPartUnique/>
      </w:docPartObj>
    </w:sdtPr>
    <w:sdtEndPr>
      <w:rPr>
        <w:noProof/>
      </w:rPr>
    </w:sdtEndPr>
    <w:sdtContent>
      <w:p w14:paraId="5ED568F1" w14:textId="5F390AB8" w:rsidR="00A10FAD" w:rsidRDefault="00A10FAD">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8C59336" w14:textId="77777777" w:rsidR="00A10FAD" w:rsidRDefault="00A10F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A0068" w14:textId="77777777" w:rsidR="005107CE" w:rsidRDefault="00510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2927E" w14:textId="77777777" w:rsidR="00B47CE6" w:rsidRDefault="00B47CE6" w:rsidP="00A10FAD">
      <w:pPr>
        <w:spacing w:after="0" w:line="240" w:lineRule="auto"/>
      </w:pPr>
      <w:r>
        <w:separator/>
      </w:r>
    </w:p>
  </w:footnote>
  <w:footnote w:type="continuationSeparator" w:id="0">
    <w:p w14:paraId="09F1738A" w14:textId="77777777" w:rsidR="00B47CE6" w:rsidRDefault="00B47CE6" w:rsidP="00A10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4F992" w14:textId="2CAB747F" w:rsidR="005107CE" w:rsidRDefault="00B47CE6">
    <w:pPr>
      <w:pStyle w:val="Header"/>
    </w:pPr>
    <w:r>
      <w:rPr>
        <w:noProof/>
      </w:rPr>
      <w:pict w14:anchorId="56D10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07672" o:spid="_x0000_s2050" type="#_x0000_t136" style="position:absolute;margin-left:0;margin-top:0;width:538.15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C6415" w14:textId="7DB4154D" w:rsidR="00A10FAD" w:rsidRDefault="00B47CE6" w:rsidP="00A10FAD">
    <w:pPr>
      <w:pStyle w:val="Header"/>
      <w:jc w:val="right"/>
    </w:pPr>
    <w:r>
      <w:rPr>
        <w:noProof/>
      </w:rPr>
      <w:pict w14:anchorId="51F6A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07673" o:spid="_x0000_s2051" type="#_x0000_t136" style="position:absolute;left:0;text-align:left;margin-left:0;margin-top:0;width:538.15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CCEA1" w14:textId="140F85D7" w:rsidR="005107CE" w:rsidRDefault="00B47CE6">
    <w:pPr>
      <w:pStyle w:val="Header"/>
    </w:pPr>
    <w:r>
      <w:rPr>
        <w:noProof/>
      </w:rPr>
      <w:pict w14:anchorId="64CC7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07671" o:spid="_x0000_s2049" type="#_x0000_t136" style="position:absolute;margin-left:0;margin-top:0;width:538.15pt;height: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F">
    <w15:presenceInfo w15:providerId="Windows Live" w15:userId="93d2e0b7afaa5a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47"/>
    <w:rsid w:val="00023CFD"/>
    <w:rsid w:val="0004200E"/>
    <w:rsid w:val="00052A22"/>
    <w:rsid w:val="000A7C30"/>
    <w:rsid w:val="000B2C38"/>
    <w:rsid w:val="000B7D94"/>
    <w:rsid w:val="001009DA"/>
    <w:rsid w:val="001074BF"/>
    <w:rsid w:val="00126856"/>
    <w:rsid w:val="0013083C"/>
    <w:rsid w:val="00141FD3"/>
    <w:rsid w:val="001A1AF4"/>
    <w:rsid w:val="001F41E0"/>
    <w:rsid w:val="00247D95"/>
    <w:rsid w:val="00266FBB"/>
    <w:rsid w:val="00277366"/>
    <w:rsid w:val="002B74E2"/>
    <w:rsid w:val="00351534"/>
    <w:rsid w:val="003706BE"/>
    <w:rsid w:val="00427860"/>
    <w:rsid w:val="00456444"/>
    <w:rsid w:val="004A4FDD"/>
    <w:rsid w:val="005107CE"/>
    <w:rsid w:val="0052784E"/>
    <w:rsid w:val="0059428B"/>
    <w:rsid w:val="005B2159"/>
    <w:rsid w:val="005D72BD"/>
    <w:rsid w:val="00663FB2"/>
    <w:rsid w:val="006670B8"/>
    <w:rsid w:val="006706B2"/>
    <w:rsid w:val="007230E8"/>
    <w:rsid w:val="00726E4C"/>
    <w:rsid w:val="007D4817"/>
    <w:rsid w:val="008227E9"/>
    <w:rsid w:val="008D7BD7"/>
    <w:rsid w:val="00915A47"/>
    <w:rsid w:val="009278F2"/>
    <w:rsid w:val="00927BC9"/>
    <w:rsid w:val="00954BE5"/>
    <w:rsid w:val="00960AFA"/>
    <w:rsid w:val="0097109C"/>
    <w:rsid w:val="0097173C"/>
    <w:rsid w:val="00973A97"/>
    <w:rsid w:val="00981850"/>
    <w:rsid w:val="009951FB"/>
    <w:rsid w:val="009A4D36"/>
    <w:rsid w:val="009D3AD9"/>
    <w:rsid w:val="009D53FE"/>
    <w:rsid w:val="00A10FAD"/>
    <w:rsid w:val="00A1338C"/>
    <w:rsid w:val="00A15505"/>
    <w:rsid w:val="00A23851"/>
    <w:rsid w:val="00A35A21"/>
    <w:rsid w:val="00A55C93"/>
    <w:rsid w:val="00A830C8"/>
    <w:rsid w:val="00AA2C8F"/>
    <w:rsid w:val="00AC19FD"/>
    <w:rsid w:val="00AD79AC"/>
    <w:rsid w:val="00AE2208"/>
    <w:rsid w:val="00AF706F"/>
    <w:rsid w:val="00B47CE6"/>
    <w:rsid w:val="00B57B7A"/>
    <w:rsid w:val="00B911A0"/>
    <w:rsid w:val="00C0215F"/>
    <w:rsid w:val="00C8292D"/>
    <w:rsid w:val="00CD1312"/>
    <w:rsid w:val="00CF1B90"/>
    <w:rsid w:val="00D171EB"/>
    <w:rsid w:val="00D344E0"/>
    <w:rsid w:val="00D64C39"/>
    <w:rsid w:val="00D7227F"/>
    <w:rsid w:val="00D723E8"/>
    <w:rsid w:val="00DB14E7"/>
    <w:rsid w:val="00DD083A"/>
    <w:rsid w:val="00DF1905"/>
    <w:rsid w:val="00DF4E4F"/>
    <w:rsid w:val="00E36CF7"/>
    <w:rsid w:val="00EC31A9"/>
    <w:rsid w:val="00EC360C"/>
    <w:rsid w:val="00ED0C34"/>
    <w:rsid w:val="00ED46FA"/>
    <w:rsid w:val="00EE3F1C"/>
    <w:rsid w:val="00F0216E"/>
    <w:rsid w:val="00F12B23"/>
    <w:rsid w:val="00F23B68"/>
    <w:rsid w:val="00FB7A7A"/>
    <w:rsid w:val="00FC3465"/>
    <w:rsid w:val="00FD03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9ECE30"/>
  <w15:chartTrackingRefBased/>
  <w15:docId w15:val="{E34E4C03-D6D9-4EC8-9F0A-51B83B4A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4E2"/>
  </w:style>
  <w:style w:type="paragraph" w:styleId="Judul1">
    <w:name w:val="heading 1"/>
    <w:basedOn w:val="Normal"/>
    <w:link w:val="Judul1KAR"/>
    <w:uiPriority w:val="9"/>
    <w:qFormat/>
    <w:rsid w:val="002B74E2"/>
    <w:pPr>
      <w:widowControl w:val="0"/>
      <w:autoSpaceDE w:val="0"/>
      <w:autoSpaceDN w:val="0"/>
      <w:spacing w:before="71" w:after="0" w:line="240" w:lineRule="auto"/>
      <w:ind w:left="2160" w:right="1865"/>
      <w:jc w:val="center"/>
      <w:outlineLvl w:val="0"/>
    </w:pPr>
    <w:rPr>
      <w:rFonts w:ascii="Cambria" w:eastAsia="Cambria" w:hAnsi="Cambria" w:cs="Cambria"/>
      <w:b/>
      <w:bCs/>
      <w:kern w:val="0"/>
      <w:sz w:val="44"/>
      <w:szCs w:val="44"/>
      <w:lang w:val="en-US"/>
      <w14:ligatures w14:val="none"/>
    </w:rPr>
  </w:style>
  <w:style w:type="paragraph" w:styleId="Judul2">
    <w:name w:val="heading 2"/>
    <w:basedOn w:val="Normal"/>
    <w:link w:val="Judul2KAR"/>
    <w:uiPriority w:val="9"/>
    <w:unhideWhenUsed/>
    <w:qFormat/>
    <w:rsid w:val="002B74E2"/>
    <w:pPr>
      <w:widowControl w:val="0"/>
      <w:autoSpaceDE w:val="0"/>
      <w:autoSpaceDN w:val="0"/>
      <w:spacing w:before="78" w:after="0" w:line="240" w:lineRule="auto"/>
      <w:ind w:left="354"/>
      <w:jc w:val="center"/>
      <w:outlineLvl w:val="1"/>
    </w:pPr>
    <w:rPr>
      <w:rFonts w:ascii="Times New Roman" w:eastAsia="Times New Roman" w:hAnsi="Times New Roman" w:cs="Times New Roman"/>
      <w:b/>
      <w:bCs/>
      <w:kern w:val="0"/>
      <w:sz w:val="28"/>
      <w:szCs w:val="28"/>
      <w:lang w:val="en-US"/>
      <w14:ligatures w14:val="none"/>
    </w:rPr>
  </w:style>
  <w:style w:type="paragraph" w:styleId="Judul3">
    <w:name w:val="heading 3"/>
    <w:basedOn w:val="Normal"/>
    <w:link w:val="Judul3KAR"/>
    <w:uiPriority w:val="9"/>
    <w:unhideWhenUsed/>
    <w:qFormat/>
    <w:rsid w:val="002B74E2"/>
    <w:pPr>
      <w:widowControl w:val="0"/>
      <w:autoSpaceDE w:val="0"/>
      <w:autoSpaceDN w:val="0"/>
      <w:spacing w:before="10" w:after="0" w:line="240" w:lineRule="auto"/>
      <w:ind w:left="20"/>
      <w:outlineLvl w:val="2"/>
    </w:pPr>
    <w:rPr>
      <w:rFonts w:ascii="Times New Roman" w:eastAsia="Times New Roman" w:hAnsi="Times New Roman" w:cs="Times New Roman"/>
      <w:b/>
      <w:bCs/>
      <w:kern w:val="0"/>
      <w:sz w:val="26"/>
      <w:szCs w:val="26"/>
      <w:lang w:val="en-US"/>
      <w14:ligatures w14:val="none"/>
    </w:rPr>
  </w:style>
  <w:style w:type="paragraph" w:styleId="Judul4">
    <w:name w:val="heading 4"/>
    <w:basedOn w:val="Normal"/>
    <w:link w:val="Judul4KAR"/>
    <w:uiPriority w:val="9"/>
    <w:unhideWhenUsed/>
    <w:qFormat/>
    <w:rsid w:val="002B74E2"/>
    <w:pPr>
      <w:widowControl w:val="0"/>
      <w:autoSpaceDE w:val="0"/>
      <w:autoSpaceDN w:val="0"/>
      <w:spacing w:after="0" w:line="240" w:lineRule="auto"/>
      <w:ind w:left="455"/>
      <w:jc w:val="center"/>
      <w:outlineLvl w:val="3"/>
    </w:pPr>
    <w:rPr>
      <w:rFonts w:ascii="Times New Roman" w:eastAsia="Times New Roman" w:hAnsi="Times New Roman" w:cs="Times New Roman"/>
      <w:b/>
      <w:bCs/>
      <w:kern w:val="0"/>
      <w:sz w:val="24"/>
      <w:szCs w:val="24"/>
      <w:lang w:val="en-US"/>
      <w14:ligatures w14:val="none"/>
    </w:rPr>
  </w:style>
  <w:style w:type="paragraph" w:styleId="Judul5">
    <w:name w:val="heading 5"/>
    <w:basedOn w:val="Normal"/>
    <w:link w:val="Judul5KAR"/>
    <w:uiPriority w:val="9"/>
    <w:unhideWhenUsed/>
    <w:qFormat/>
    <w:rsid w:val="002B74E2"/>
    <w:pPr>
      <w:widowControl w:val="0"/>
      <w:autoSpaceDE w:val="0"/>
      <w:autoSpaceDN w:val="0"/>
      <w:spacing w:after="0" w:line="240" w:lineRule="auto"/>
      <w:ind w:left="815" w:hanging="360"/>
      <w:jc w:val="both"/>
      <w:outlineLvl w:val="4"/>
    </w:pPr>
    <w:rPr>
      <w:rFonts w:ascii="Times New Roman" w:eastAsia="Times New Roman" w:hAnsi="Times New Roman" w:cs="Times New Roman"/>
      <w:b/>
      <w:bCs/>
      <w:i/>
      <w:iCs/>
      <w:kern w:val="0"/>
      <w:sz w:val="24"/>
      <w:szCs w:val="24"/>
      <w:lang w:val="en-US"/>
      <w14:ligatures w14:val="none"/>
    </w:rPr>
  </w:style>
  <w:style w:type="paragraph" w:styleId="Judul6">
    <w:name w:val="heading 6"/>
    <w:basedOn w:val="Normal"/>
    <w:next w:val="Normal"/>
    <w:link w:val="Judul6KAR"/>
    <w:uiPriority w:val="9"/>
    <w:semiHidden/>
    <w:unhideWhenUsed/>
    <w:qFormat/>
    <w:rsid w:val="00915A47"/>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915A47"/>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915A47"/>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915A47"/>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TableParagraph">
    <w:name w:val="Table Paragraph"/>
    <w:basedOn w:val="Normal"/>
    <w:uiPriority w:val="1"/>
    <w:qFormat/>
    <w:rsid w:val="002B74E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Judul1KAR">
    <w:name w:val="Judul 1 KAR"/>
    <w:basedOn w:val="FontParagrafDefault"/>
    <w:link w:val="Judul1"/>
    <w:uiPriority w:val="9"/>
    <w:rsid w:val="002B74E2"/>
    <w:rPr>
      <w:rFonts w:ascii="Cambria" w:eastAsia="Cambria" w:hAnsi="Cambria" w:cs="Cambria"/>
      <w:b/>
      <w:bCs/>
      <w:kern w:val="0"/>
      <w:sz w:val="44"/>
      <w:szCs w:val="44"/>
      <w:lang w:val="en-US"/>
      <w14:ligatures w14:val="none"/>
    </w:rPr>
  </w:style>
  <w:style w:type="character" w:customStyle="1" w:styleId="Judul2KAR">
    <w:name w:val="Judul 2 KAR"/>
    <w:basedOn w:val="FontParagrafDefault"/>
    <w:link w:val="Judul2"/>
    <w:uiPriority w:val="9"/>
    <w:rsid w:val="002B74E2"/>
    <w:rPr>
      <w:rFonts w:ascii="Times New Roman" w:eastAsia="Times New Roman" w:hAnsi="Times New Roman" w:cs="Times New Roman"/>
      <w:b/>
      <w:bCs/>
      <w:kern w:val="0"/>
      <w:sz w:val="28"/>
      <w:szCs w:val="28"/>
      <w:lang w:val="en-US"/>
      <w14:ligatures w14:val="none"/>
    </w:rPr>
  </w:style>
  <w:style w:type="character" w:customStyle="1" w:styleId="Judul3KAR">
    <w:name w:val="Judul 3 KAR"/>
    <w:basedOn w:val="FontParagrafDefault"/>
    <w:link w:val="Judul3"/>
    <w:uiPriority w:val="9"/>
    <w:rsid w:val="002B74E2"/>
    <w:rPr>
      <w:rFonts w:ascii="Times New Roman" w:eastAsia="Times New Roman" w:hAnsi="Times New Roman" w:cs="Times New Roman"/>
      <w:b/>
      <w:bCs/>
      <w:kern w:val="0"/>
      <w:sz w:val="26"/>
      <w:szCs w:val="26"/>
      <w:lang w:val="en-US"/>
      <w14:ligatures w14:val="none"/>
    </w:rPr>
  </w:style>
  <w:style w:type="character" w:customStyle="1" w:styleId="Judul4KAR">
    <w:name w:val="Judul 4 KAR"/>
    <w:basedOn w:val="FontParagrafDefault"/>
    <w:link w:val="Judul4"/>
    <w:uiPriority w:val="9"/>
    <w:rsid w:val="002B74E2"/>
    <w:rPr>
      <w:rFonts w:ascii="Times New Roman" w:eastAsia="Times New Roman" w:hAnsi="Times New Roman" w:cs="Times New Roman"/>
      <w:b/>
      <w:bCs/>
      <w:kern w:val="0"/>
      <w:sz w:val="24"/>
      <w:szCs w:val="24"/>
      <w:lang w:val="en-US"/>
      <w14:ligatures w14:val="none"/>
    </w:rPr>
  </w:style>
  <w:style w:type="character" w:customStyle="1" w:styleId="Judul5KAR">
    <w:name w:val="Judul 5 KAR"/>
    <w:basedOn w:val="FontParagrafDefault"/>
    <w:link w:val="Judul5"/>
    <w:uiPriority w:val="9"/>
    <w:rsid w:val="002B74E2"/>
    <w:rPr>
      <w:rFonts w:ascii="Times New Roman" w:eastAsia="Times New Roman" w:hAnsi="Times New Roman" w:cs="Times New Roman"/>
      <w:b/>
      <w:bCs/>
      <w:i/>
      <w:iCs/>
      <w:kern w:val="0"/>
      <w:sz w:val="24"/>
      <w:szCs w:val="24"/>
      <w:lang w:val="en-US"/>
      <w14:ligatures w14:val="none"/>
    </w:rPr>
  </w:style>
  <w:style w:type="paragraph" w:styleId="TeksIsi">
    <w:name w:val="Body Text"/>
    <w:basedOn w:val="Normal"/>
    <w:link w:val="TeksIsiKAR"/>
    <w:uiPriority w:val="1"/>
    <w:unhideWhenUsed/>
    <w:qFormat/>
    <w:rsid w:val="002B74E2"/>
    <w:pPr>
      <w:spacing w:after="120"/>
    </w:pPr>
  </w:style>
  <w:style w:type="character" w:customStyle="1" w:styleId="TeksIsiKAR">
    <w:name w:val="Teks Isi KAR"/>
    <w:basedOn w:val="FontParagrafDefault"/>
    <w:link w:val="TeksIsi"/>
    <w:uiPriority w:val="1"/>
    <w:rsid w:val="002B74E2"/>
  </w:style>
  <w:style w:type="paragraph" w:styleId="DaftarParagraf">
    <w:name w:val="List Paragraph"/>
    <w:basedOn w:val="Normal"/>
    <w:uiPriority w:val="1"/>
    <w:qFormat/>
    <w:rsid w:val="002B74E2"/>
    <w:pPr>
      <w:spacing w:after="200" w:line="276" w:lineRule="auto"/>
      <w:ind w:left="720"/>
      <w:contextualSpacing/>
    </w:pPr>
    <w:rPr>
      <w:kern w:val="0"/>
      <w14:ligatures w14:val="none"/>
    </w:rPr>
  </w:style>
  <w:style w:type="character" w:customStyle="1" w:styleId="Judul6KAR">
    <w:name w:val="Judul 6 KAR"/>
    <w:basedOn w:val="FontParagrafDefault"/>
    <w:link w:val="Judul6"/>
    <w:uiPriority w:val="9"/>
    <w:semiHidden/>
    <w:rsid w:val="00915A47"/>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915A47"/>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915A47"/>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915A47"/>
    <w:rPr>
      <w:rFonts w:eastAsiaTheme="majorEastAsia" w:cstheme="majorBidi"/>
      <w:color w:val="272727" w:themeColor="text1" w:themeTint="D8"/>
    </w:rPr>
  </w:style>
  <w:style w:type="paragraph" w:styleId="Judul">
    <w:name w:val="Title"/>
    <w:basedOn w:val="Normal"/>
    <w:next w:val="Normal"/>
    <w:link w:val="JudulKAR"/>
    <w:uiPriority w:val="10"/>
    <w:qFormat/>
    <w:rsid w:val="00915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915A47"/>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915A47"/>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915A47"/>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915A47"/>
    <w:pPr>
      <w:spacing w:before="160"/>
      <w:jc w:val="center"/>
    </w:pPr>
    <w:rPr>
      <w:i/>
      <w:iCs/>
      <w:color w:val="404040" w:themeColor="text1" w:themeTint="BF"/>
    </w:rPr>
  </w:style>
  <w:style w:type="character" w:customStyle="1" w:styleId="KutipanKAR">
    <w:name w:val="Kutipan KAR"/>
    <w:basedOn w:val="FontParagrafDefault"/>
    <w:link w:val="Kutipan"/>
    <w:uiPriority w:val="29"/>
    <w:rsid w:val="00915A47"/>
    <w:rPr>
      <w:i/>
      <w:iCs/>
      <w:color w:val="404040" w:themeColor="text1" w:themeTint="BF"/>
    </w:rPr>
  </w:style>
  <w:style w:type="character" w:styleId="PenekananKeras">
    <w:name w:val="Intense Emphasis"/>
    <w:basedOn w:val="FontParagrafDefault"/>
    <w:uiPriority w:val="21"/>
    <w:qFormat/>
    <w:rsid w:val="00915A47"/>
    <w:rPr>
      <w:i/>
      <w:iCs/>
      <w:color w:val="2F5496" w:themeColor="accent1" w:themeShade="BF"/>
    </w:rPr>
  </w:style>
  <w:style w:type="paragraph" w:styleId="KutipanyangSering">
    <w:name w:val="Intense Quote"/>
    <w:basedOn w:val="Normal"/>
    <w:next w:val="Normal"/>
    <w:link w:val="KutipanyangSeringKAR"/>
    <w:uiPriority w:val="30"/>
    <w:qFormat/>
    <w:rsid w:val="00915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915A47"/>
    <w:rPr>
      <w:i/>
      <w:iCs/>
      <w:color w:val="2F5496" w:themeColor="accent1" w:themeShade="BF"/>
    </w:rPr>
  </w:style>
  <w:style w:type="character" w:styleId="ReferensiyangSering">
    <w:name w:val="Intense Reference"/>
    <w:basedOn w:val="FontParagrafDefault"/>
    <w:uiPriority w:val="32"/>
    <w:qFormat/>
    <w:rsid w:val="00915A47"/>
    <w:rPr>
      <w:b/>
      <w:bCs/>
      <w:smallCaps/>
      <w:color w:val="2F5496" w:themeColor="accent1" w:themeShade="BF"/>
      <w:spacing w:val="5"/>
    </w:rPr>
  </w:style>
  <w:style w:type="paragraph" w:styleId="NormalWeb">
    <w:name w:val="Normal (Web)"/>
    <w:basedOn w:val="Normal"/>
    <w:uiPriority w:val="99"/>
    <w:unhideWhenUsed/>
    <w:rsid w:val="00915A4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FontParagrafDefault"/>
    <w:uiPriority w:val="99"/>
    <w:unhideWhenUsed/>
    <w:rsid w:val="00915A47"/>
    <w:rPr>
      <w:color w:val="0563C1" w:themeColor="hyperlink"/>
      <w:u w:val="single"/>
    </w:rPr>
  </w:style>
  <w:style w:type="character" w:styleId="SebutanYangBelumTerselesaikan">
    <w:name w:val="Unresolved Mention"/>
    <w:basedOn w:val="FontParagrafDefault"/>
    <w:uiPriority w:val="99"/>
    <w:semiHidden/>
    <w:unhideWhenUsed/>
    <w:rsid w:val="00915A47"/>
    <w:rPr>
      <w:color w:val="605E5C"/>
      <w:shd w:val="clear" w:color="auto" w:fill="E1DFDD"/>
    </w:rPr>
  </w:style>
  <w:style w:type="paragraph" w:styleId="Header">
    <w:name w:val="header"/>
    <w:basedOn w:val="Normal"/>
    <w:link w:val="HeaderKAR"/>
    <w:uiPriority w:val="99"/>
    <w:unhideWhenUsed/>
    <w:rsid w:val="00A10FAD"/>
    <w:pPr>
      <w:tabs>
        <w:tab w:val="center" w:pos="4513"/>
        <w:tab w:val="right" w:pos="9026"/>
      </w:tabs>
      <w:spacing w:after="0" w:line="240" w:lineRule="auto"/>
    </w:pPr>
  </w:style>
  <w:style w:type="character" w:customStyle="1" w:styleId="HeaderKAR">
    <w:name w:val="Header KAR"/>
    <w:basedOn w:val="FontParagrafDefault"/>
    <w:link w:val="Header"/>
    <w:uiPriority w:val="99"/>
    <w:rsid w:val="00A10FAD"/>
  </w:style>
  <w:style w:type="paragraph" w:styleId="Footer">
    <w:name w:val="footer"/>
    <w:basedOn w:val="Normal"/>
    <w:link w:val="FooterKAR"/>
    <w:uiPriority w:val="99"/>
    <w:unhideWhenUsed/>
    <w:rsid w:val="00A10FAD"/>
    <w:pPr>
      <w:tabs>
        <w:tab w:val="center" w:pos="4513"/>
        <w:tab w:val="right" w:pos="9026"/>
      </w:tabs>
      <w:spacing w:after="0" w:line="240" w:lineRule="auto"/>
    </w:pPr>
  </w:style>
  <w:style w:type="character" w:customStyle="1" w:styleId="FooterKAR">
    <w:name w:val="Footer KAR"/>
    <w:basedOn w:val="FontParagrafDefault"/>
    <w:link w:val="Footer"/>
    <w:uiPriority w:val="99"/>
    <w:rsid w:val="00A10FAD"/>
  </w:style>
  <w:style w:type="table" w:customStyle="1" w:styleId="TableGrid">
    <w:name w:val="TableGrid"/>
    <w:rsid w:val="00A10FAD"/>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styleId="ReferensiKomentar">
    <w:name w:val="annotation reference"/>
    <w:basedOn w:val="FontParagrafDefault"/>
    <w:uiPriority w:val="99"/>
    <w:semiHidden/>
    <w:unhideWhenUsed/>
    <w:rsid w:val="00ED46FA"/>
    <w:rPr>
      <w:sz w:val="16"/>
      <w:szCs w:val="16"/>
    </w:rPr>
  </w:style>
  <w:style w:type="paragraph" w:styleId="TeksKomentar">
    <w:name w:val="annotation text"/>
    <w:basedOn w:val="Normal"/>
    <w:link w:val="TeksKomentarKAR"/>
    <w:uiPriority w:val="99"/>
    <w:semiHidden/>
    <w:unhideWhenUsed/>
    <w:rsid w:val="00ED46FA"/>
    <w:pPr>
      <w:spacing w:line="240" w:lineRule="auto"/>
    </w:pPr>
    <w:rPr>
      <w:sz w:val="20"/>
      <w:szCs w:val="20"/>
    </w:rPr>
  </w:style>
  <w:style w:type="character" w:customStyle="1" w:styleId="TeksKomentarKAR">
    <w:name w:val="Teks Komentar KAR"/>
    <w:basedOn w:val="FontParagrafDefault"/>
    <w:link w:val="TeksKomentar"/>
    <w:uiPriority w:val="99"/>
    <w:semiHidden/>
    <w:rsid w:val="00ED46FA"/>
    <w:rPr>
      <w:sz w:val="20"/>
      <w:szCs w:val="20"/>
    </w:rPr>
  </w:style>
  <w:style w:type="paragraph" w:styleId="SubjekKomentar">
    <w:name w:val="annotation subject"/>
    <w:basedOn w:val="TeksKomentar"/>
    <w:next w:val="TeksKomentar"/>
    <w:link w:val="SubjekKomentarKAR"/>
    <w:uiPriority w:val="99"/>
    <w:semiHidden/>
    <w:unhideWhenUsed/>
    <w:rsid w:val="00ED46FA"/>
    <w:rPr>
      <w:b/>
      <w:bCs/>
    </w:rPr>
  </w:style>
  <w:style w:type="character" w:customStyle="1" w:styleId="SubjekKomentarKAR">
    <w:name w:val="Subjek Komentar KAR"/>
    <w:basedOn w:val="TeksKomentarKAR"/>
    <w:link w:val="SubjekKomentar"/>
    <w:uiPriority w:val="99"/>
    <w:semiHidden/>
    <w:rsid w:val="00ED46FA"/>
    <w:rPr>
      <w:b/>
      <w:bCs/>
      <w:sz w:val="20"/>
      <w:szCs w:val="20"/>
    </w:rPr>
  </w:style>
  <w:style w:type="paragraph" w:styleId="TeksBalon">
    <w:name w:val="Balloon Text"/>
    <w:basedOn w:val="Normal"/>
    <w:link w:val="TeksBalonKAR"/>
    <w:uiPriority w:val="99"/>
    <w:semiHidden/>
    <w:unhideWhenUsed/>
    <w:rsid w:val="00ED46FA"/>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ED46FA"/>
    <w:rPr>
      <w:rFonts w:ascii="Segoe UI" w:hAnsi="Segoe UI" w:cs="Segoe UI"/>
      <w:sz w:val="18"/>
      <w:szCs w:val="18"/>
    </w:rPr>
  </w:style>
  <w:style w:type="character" w:styleId="Kuat">
    <w:name w:val="Strong"/>
    <w:basedOn w:val="FontParagrafDefault"/>
    <w:uiPriority w:val="22"/>
    <w:qFormat/>
    <w:rsid w:val="00A55C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663131">
      <w:bodyDiv w:val="1"/>
      <w:marLeft w:val="0"/>
      <w:marRight w:val="0"/>
      <w:marTop w:val="0"/>
      <w:marBottom w:val="0"/>
      <w:divBdr>
        <w:top w:val="none" w:sz="0" w:space="0" w:color="auto"/>
        <w:left w:val="none" w:sz="0" w:space="0" w:color="auto"/>
        <w:bottom w:val="none" w:sz="0" w:space="0" w:color="auto"/>
        <w:right w:val="none" w:sz="0" w:space="0" w:color="auto"/>
      </w:divBdr>
    </w:div>
    <w:div w:id="189387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b978-0-08-046884-6.00101-9" TargetMode="External"/><Relationship Id="rId18" Type="http://schemas.openxmlformats.org/officeDocument/2006/relationships/hyperlink" Target="http://europepmc.org/articles/pmc7100641" TargetMode="External"/><Relationship Id="rId26" Type="http://schemas.openxmlformats.org/officeDocument/2006/relationships/image" Target="media/image1.png"/><Relationship Id="rId21" Type="http://schemas.openxmlformats.org/officeDocument/2006/relationships/hyperlink" Target="https://doi.org/10.3389/fenvs.2024.1303705" TargetMode="External"/><Relationship Id="rId34" Type="http://schemas.openxmlformats.org/officeDocument/2006/relationships/header" Target="header3.xml"/><Relationship Id="rId7" Type="http://schemas.microsoft.com/office/2011/relationships/commentsExtended" Target="commentsExtended.xml"/><Relationship Id="rId12" Type="http://schemas.openxmlformats.org/officeDocument/2006/relationships/hyperlink" Target="https://doi.org/10.1021/acs.est.1c01397" TargetMode="External"/><Relationship Id="rId17" Type="http://schemas.openxmlformats.org/officeDocument/2006/relationships/hyperlink" Target="https://doi.org/10.1016/j.clinbiochem.2006.03.004" TargetMode="External"/><Relationship Id="rId25" Type="http://schemas.openxmlformats.org/officeDocument/2006/relationships/hyperlink" Target="https://doi.org/10.1016/j.scitotenv.2022.160457"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080/10408440801891057" TargetMode="External"/><Relationship Id="rId20" Type="http://schemas.openxmlformats.org/officeDocument/2006/relationships/hyperlink" Target="https://doi.org/10.1016/j.cbpc.2017.08.003" TargetMode="External"/><Relationship Id="rId29" Type="http://schemas.openxmlformats.org/officeDocument/2006/relationships/image" Target="media/image4.png"/><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et.al" TargetMode="External"/><Relationship Id="rId24" Type="http://schemas.openxmlformats.org/officeDocument/2006/relationships/hyperlink" Target="https://aquila.usm.edu/fac_pubs/19868"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endnotes" Target="endnotes.xml"/><Relationship Id="rId15" Type="http://schemas.openxmlformats.org/officeDocument/2006/relationships/hyperlink" Target="https://doi.org/10.1016/j.neuro.2017.09.007" TargetMode="External"/><Relationship Id="rId23" Type="http://schemas.openxmlformats.org/officeDocument/2006/relationships/hyperlink" Target="https://doi.org/10.1016/j.scitotenv.2018.03.076" TargetMode="External"/><Relationship Id="rId28" Type="http://schemas.openxmlformats.org/officeDocument/2006/relationships/image" Target="media/image3.png"/><Relationship Id="rId36" Type="http://schemas.openxmlformats.org/officeDocument/2006/relationships/fontTable" Target="fontTable.xml"/><Relationship Id="rId10" Type="http://schemas.openxmlformats.org/officeDocument/2006/relationships/hyperlink" Target="http://et.al" TargetMode="External"/><Relationship Id="rId19" Type="http://schemas.openxmlformats.org/officeDocument/2006/relationships/hyperlink" Target="https://doi.org/10.1016/j.scitotenv.2018.09.294"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et.al" TargetMode="External"/><Relationship Id="rId14" Type="http://schemas.openxmlformats.org/officeDocument/2006/relationships/hyperlink" Target="https://doi.org/10.1038/s41598-018-26343-2" TargetMode="External"/><Relationship Id="rId22" Type="http://schemas.openxmlformats.org/officeDocument/2006/relationships/hyperlink" Target="https://doi.org/10.1201/9781315109244" TargetMode="External"/><Relationship Id="rId27" Type="http://schemas.openxmlformats.org/officeDocument/2006/relationships/image" Target="media/image2.png"/><Relationship Id="rId30" Type="http://schemas.openxmlformats.org/officeDocument/2006/relationships/header" Target="header1.xml"/><Relationship Id="rId35" Type="http://schemas.openxmlformats.org/officeDocument/2006/relationships/footer" Target="footer3.xml"/><Relationship Id="rId8" Type="http://schemas.microsoft.com/office/2016/09/relationships/commentsIds" Target="commentsIds.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20</Pages>
  <Words>5171</Words>
  <Characters>29475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SNEHASUMA HEGDE</dc:creator>
  <cp:keywords/>
  <dc:description/>
  <cp:lastModifiedBy>MAF</cp:lastModifiedBy>
  <cp:revision>12</cp:revision>
  <dcterms:created xsi:type="dcterms:W3CDTF">2026-01-11T04:58:00Z</dcterms:created>
  <dcterms:modified xsi:type="dcterms:W3CDTF">2026-01-11T05:50:00Z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f0fbea2e-834d-4a19-b66d-4234a9434bb7</vt:lpwstr>
  </property>
</Properties>
</file>