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B1479" w14:textId="5BFAD7D5" w:rsidR="00E94F2F" w:rsidRDefault="00755CD4" w:rsidP="007B1180">
      <w:pPr>
        <w:spacing w:after="0" w:line="360" w:lineRule="auto"/>
        <w:jc w:val="center"/>
        <w:rPr>
          <w:rFonts w:ascii="Times New Roman" w:hAnsi="Times New Roman" w:cs="Times New Roman"/>
          <w:b/>
          <w:bCs/>
          <w:sz w:val="28"/>
          <w:szCs w:val="28"/>
        </w:rPr>
      </w:pPr>
      <w:r w:rsidRPr="006921A7">
        <w:rPr>
          <w:rFonts w:ascii="Times New Roman" w:hAnsi="Times New Roman" w:cs="Times New Roman"/>
          <w:b/>
          <w:bCs/>
          <w:sz w:val="28"/>
          <w:szCs w:val="28"/>
        </w:rPr>
        <w:t>Ecosite</w:t>
      </w:r>
      <w:r w:rsidR="00997463" w:rsidRPr="006921A7">
        <w:rPr>
          <w:rFonts w:ascii="Times New Roman" w:hAnsi="Times New Roman" w:cs="Times New Roman"/>
          <w:b/>
          <w:bCs/>
          <w:sz w:val="28"/>
          <w:szCs w:val="28"/>
        </w:rPr>
        <w:t xml:space="preserve"> </w:t>
      </w:r>
      <w:r w:rsidRPr="006921A7">
        <w:rPr>
          <w:rFonts w:ascii="Times New Roman" w:hAnsi="Times New Roman" w:cs="Times New Roman"/>
          <w:b/>
          <w:bCs/>
          <w:sz w:val="28"/>
          <w:szCs w:val="28"/>
        </w:rPr>
        <w:t xml:space="preserve">level </w:t>
      </w:r>
      <w:r w:rsidR="00237B6B">
        <w:rPr>
          <w:rFonts w:ascii="Times New Roman" w:hAnsi="Times New Roman" w:cs="Times New Roman"/>
          <w:b/>
          <w:bCs/>
          <w:sz w:val="28"/>
          <w:szCs w:val="28"/>
        </w:rPr>
        <w:t>B</w:t>
      </w:r>
      <w:r w:rsidRPr="006921A7">
        <w:rPr>
          <w:rFonts w:ascii="Times New Roman" w:hAnsi="Times New Roman" w:cs="Times New Roman"/>
          <w:b/>
          <w:bCs/>
          <w:sz w:val="28"/>
          <w:szCs w:val="28"/>
        </w:rPr>
        <w:t xml:space="preserve">ioassessment and </w:t>
      </w:r>
      <w:r w:rsidR="00237B6B">
        <w:rPr>
          <w:rFonts w:ascii="Times New Roman" w:hAnsi="Times New Roman" w:cs="Times New Roman"/>
          <w:b/>
          <w:bCs/>
          <w:sz w:val="28"/>
          <w:szCs w:val="28"/>
        </w:rPr>
        <w:t>D</w:t>
      </w:r>
      <w:r w:rsidRPr="006921A7">
        <w:rPr>
          <w:rFonts w:ascii="Times New Roman" w:hAnsi="Times New Roman" w:cs="Times New Roman"/>
          <w:b/>
          <w:bCs/>
          <w:sz w:val="28"/>
          <w:szCs w:val="28"/>
        </w:rPr>
        <w:t xml:space="preserve">igital </w:t>
      </w:r>
      <w:r w:rsidR="00237B6B">
        <w:rPr>
          <w:rFonts w:ascii="Times New Roman" w:hAnsi="Times New Roman" w:cs="Times New Roman"/>
          <w:b/>
          <w:bCs/>
          <w:sz w:val="28"/>
          <w:szCs w:val="28"/>
        </w:rPr>
        <w:t>M</w:t>
      </w:r>
      <w:r w:rsidRPr="006921A7">
        <w:rPr>
          <w:rFonts w:ascii="Times New Roman" w:hAnsi="Times New Roman" w:cs="Times New Roman"/>
          <w:b/>
          <w:bCs/>
          <w:sz w:val="28"/>
          <w:szCs w:val="28"/>
        </w:rPr>
        <w:t xml:space="preserve">odelling of </w:t>
      </w:r>
      <w:proofErr w:type="spellStart"/>
      <w:r w:rsidRPr="006921A7">
        <w:rPr>
          <w:rFonts w:ascii="Times New Roman" w:hAnsi="Times New Roman" w:cs="Times New Roman"/>
          <w:b/>
          <w:bCs/>
          <w:sz w:val="28"/>
          <w:szCs w:val="28"/>
        </w:rPr>
        <w:t>Ashtamudi</w:t>
      </w:r>
      <w:proofErr w:type="spellEnd"/>
      <w:r w:rsidRPr="006921A7">
        <w:rPr>
          <w:rFonts w:ascii="Times New Roman" w:hAnsi="Times New Roman" w:cs="Times New Roman"/>
          <w:b/>
          <w:bCs/>
          <w:sz w:val="28"/>
          <w:szCs w:val="28"/>
        </w:rPr>
        <w:t xml:space="preserve"> Wetland: A </w:t>
      </w:r>
      <w:r w:rsidR="00237B6B">
        <w:rPr>
          <w:rFonts w:ascii="Times New Roman" w:hAnsi="Times New Roman" w:cs="Times New Roman"/>
          <w:b/>
          <w:bCs/>
          <w:sz w:val="28"/>
          <w:szCs w:val="28"/>
        </w:rPr>
        <w:t>M</w:t>
      </w:r>
      <w:r w:rsidRPr="006921A7">
        <w:rPr>
          <w:rFonts w:ascii="Times New Roman" w:hAnsi="Times New Roman" w:cs="Times New Roman"/>
          <w:b/>
          <w:bCs/>
          <w:sz w:val="28"/>
          <w:szCs w:val="28"/>
        </w:rPr>
        <w:t xml:space="preserve">esoecosystem </w:t>
      </w:r>
      <w:r w:rsidR="00237B6B">
        <w:rPr>
          <w:rFonts w:ascii="Times New Roman" w:hAnsi="Times New Roman" w:cs="Times New Roman"/>
          <w:b/>
          <w:bCs/>
          <w:sz w:val="28"/>
          <w:szCs w:val="28"/>
        </w:rPr>
        <w:t>A</w:t>
      </w:r>
      <w:r w:rsidRPr="006921A7">
        <w:rPr>
          <w:rFonts w:ascii="Times New Roman" w:hAnsi="Times New Roman" w:cs="Times New Roman"/>
          <w:b/>
          <w:bCs/>
          <w:sz w:val="28"/>
          <w:szCs w:val="28"/>
        </w:rPr>
        <w:t xml:space="preserve">pproach to </w:t>
      </w:r>
      <w:r w:rsidR="00237B6B">
        <w:rPr>
          <w:rFonts w:ascii="Times New Roman" w:hAnsi="Times New Roman" w:cs="Times New Roman"/>
          <w:b/>
          <w:bCs/>
          <w:sz w:val="28"/>
          <w:szCs w:val="28"/>
        </w:rPr>
        <w:t>E</w:t>
      </w:r>
      <w:r w:rsidRPr="006921A7">
        <w:rPr>
          <w:rFonts w:ascii="Times New Roman" w:hAnsi="Times New Roman" w:cs="Times New Roman"/>
          <w:b/>
          <w:bCs/>
          <w:sz w:val="28"/>
          <w:szCs w:val="28"/>
        </w:rPr>
        <w:t xml:space="preserve">cological </w:t>
      </w:r>
      <w:r w:rsidR="00237B6B">
        <w:rPr>
          <w:rFonts w:ascii="Times New Roman" w:hAnsi="Times New Roman" w:cs="Times New Roman"/>
          <w:b/>
          <w:bCs/>
          <w:sz w:val="28"/>
          <w:szCs w:val="28"/>
        </w:rPr>
        <w:t>Z</w:t>
      </w:r>
      <w:r w:rsidRPr="006921A7">
        <w:rPr>
          <w:rFonts w:ascii="Times New Roman" w:hAnsi="Times New Roman" w:cs="Times New Roman"/>
          <w:b/>
          <w:bCs/>
          <w:sz w:val="28"/>
          <w:szCs w:val="28"/>
        </w:rPr>
        <w:t>onation</w:t>
      </w:r>
    </w:p>
    <w:p w14:paraId="7E5DC18B" w14:textId="77777777" w:rsidR="00B46A6A" w:rsidRPr="006921A7" w:rsidRDefault="00B46A6A" w:rsidP="007B1180">
      <w:pPr>
        <w:spacing w:after="0" w:line="360" w:lineRule="auto"/>
        <w:jc w:val="center"/>
        <w:rPr>
          <w:rFonts w:ascii="Times New Roman" w:hAnsi="Times New Roman" w:cs="Times New Roman"/>
          <w:b/>
          <w:bCs/>
          <w:sz w:val="28"/>
          <w:szCs w:val="28"/>
        </w:rPr>
      </w:pPr>
    </w:p>
    <w:p w14:paraId="0918FF83" w14:textId="4149E417" w:rsidR="000502A0" w:rsidRDefault="000502A0" w:rsidP="0090102B">
      <w:pPr>
        <w:spacing w:after="0" w:line="360" w:lineRule="auto"/>
        <w:jc w:val="center"/>
        <w:rPr>
          <w:rFonts w:ascii="Times New Roman" w:hAnsi="Times New Roman" w:cs="Times New Roman"/>
        </w:rPr>
      </w:pPr>
    </w:p>
    <w:p w14:paraId="4AC01C26" w14:textId="77777777" w:rsidR="005F5766" w:rsidRDefault="005F5766" w:rsidP="0090102B">
      <w:pPr>
        <w:spacing w:after="0" w:line="360" w:lineRule="auto"/>
        <w:jc w:val="center"/>
        <w:rPr>
          <w:rFonts w:ascii="Times New Roman" w:hAnsi="Times New Roman" w:cs="Times New Roman"/>
        </w:rPr>
      </w:pPr>
    </w:p>
    <w:p w14:paraId="19EE1144" w14:textId="77777777" w:rsidR="000502A0" w:rsidRPr="001A7B2B" w:rsidRDefault="000502A0" w:rsidP="0090102B">
      <w:pPr>
        <w:spacing w:after="0" w:line="360" w:lineRule="auto"/>
        <w:jc w:val="center"/>
        <w:rPr>
          <w:rFonts w:ascii="Times New Roman" w:hAnsi="Times New Roman" w:cs="Times New Roman"/>
          <w:b/>
          <w:bCs/>
        </w:rPr>
      </w:pPr>
    </w:p>
    <w:p w14:paraId="40E9AE82" w14:textId="5E6B2E70" w:rsidR="0090102B" w:rsidRPr="001A7B2B" w:rsidRDefault="00803F39" w:rsidP="007B1180">
      <w:pPr>
        <w:spacing w:after="0" w:line="360" w:lineRule="auto"/>
        <w:jc w:val="center"/>
        <w:rPr>
          <w:rFonts w:ascii="Times New Roman" w:hAnsi="Times New Roman" w:cs="Times New Roman"/>
          <w:b/>
          <w:bCs/>
        </w:rPr>
      </w:pPr>
      <w:r w:rsidRPr="001A7B2B">
        <w:rPr>
          <w:rFonts w:ascii="Times New Roman" w:hAnsi="Times New Roman" w:cs="Times New Roman"/>
          <w:b/>
          <w:bCs/>
        </w:rPr>
        <w:t>Abstract</w:t>
      </w:r>
    </w:p>
    <w:p w14:paraId="63B53117" w14:textId="757C9323" w:rsidR="00F70B09" w:rsidRPr="001A7B2B" w:rsidRDefault="00F70B09"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This study presents an integrated bioassessment and </w:t>
      </w:r>
      <w:r w:rsidR="0058259A" w:rsidRPr="001A7B2B">
        <w:rPr>
          <w:rFonts w:ascii="Times New Roman" w:hAnsi="Times New Roman" w:cs="Times New Roman"/>
        </w:rPr>
        <w:t>digital</w:t>
      </w:r>
      <w:r w:rsidRPr="001A7B2B">
        <w:rPr>
          <w:rFonts w:ascii="Times New Roman" w:hAnsi="Times New Roman" w:cs="Times New Roman"/>
        </w:rPr>
        <w:t xml:space="preserve"> modelling framework for five distinct ecosites within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a Ramsar</w:t>
      </w:r>
      <w:r w:rsidR="001B54D3" w:rsidRPr="001A7B2B">
        <w:rPr>
          <w:rFonts w:ascii="Times New Roman" w:hAnsi="Times New Roman" w:cs="Times New Roman"/>
        </w:rPr>
        <w:t xml:space="preserve"> </w:t>
      </w:r>
      <w:r w:rsidRPr="001A7B2B">
        <w:rPr>
          <w:rFonts w:ascii="Times New Roman" w:hAnsi="Times New Roman" w:cs="Times New Roman"/>
        </w:rPr>
        <w:t xml:space="preserve">designated estuarine ecosystem in Kerala, India. Emphasizing the mesoecosystem scale, the research evaluates ecological heterogeneity through water quality analysis, phytoplankton diversity, and vegetation structure. Physico-chemical profiling revealed pronounced gradients in salinity, nutrient availability, and dissolved gases, shaping site-specific ecological conditions. Phytoplankton communities, dominated by diatoms and </w:t>
      </w:r>
      <w:proofErr w:type="spellStart"/>
      <w:r w:rsidRPr="001A7B2B">
        <w:rPr>
          <w:rFonts w:ascii="Times New Roman" w:hAnsi="Times New Roman" w:cs="Times New Roman"/>
        </w:rPr>
        <w:t>cyanophyceae</w:t>
      </w:r>
      <w:proofErr w:type="spellEnd"/>
      <w:r w:rsidRPr="001A7B2B">
        <w:rPr>
          <w:rFonts w:ascii="Times New Roman" w:hAnsi="Times New Roman" w:cs="Times New Roman"/>
        </w:rPr>
        <w:t xml:space="preserve">, exhibited the highest diversity at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indicating elevated productivity in freshwater-influenced zones. </w:t>
      </w:r>
      <w:r w:rsidR="006D0D18" w:rsidRPr="001A7B2B">
        <w:rPr>
          <w:rFonts w:ascii="Times New Roman" w:hAnsi="Times New Roman" w:cs="Times New Roman"/>
        </w:rPr>
        <w:t>Multivariate analysis (PCA) captured 78.6% of the ecological variance across ecosites</w:t>
      </w:r>
      <w:r w:rsidR="00B06C0C" w:rsidRPr="001A7B2B">
        <w:rPr>
          <w:rFonts w:ascii="Times New Roman" w:hAnsi="Times New Roman" w:cs="Times New Roman"/>
        </w:rPr>
        <w:t xml:space="preserve">. </w:t>
      </w:r>
      <w:r w:rsidRPr="001A7B2B">
        <w:rPr>
          <w:rFonts w:ascii="Times New Roman" w:hAnsi="Times New Roman" w:cs="Times New Roman"/>
        </w:rPr>
        <w:t>Indicator Species Analysis identified taxa uniquely associated with specific ecosites, providing bioindicators for environmental health assessment. A key outcome of this study is the development of conceptual ecosite models using Adobe Photoshop CS2, which spatially illustrate shoreline, marsh, riparian, and upland vegetation zones based on field-verified species and habitat features. These models offer a practical visualization tool for ecosystem planning, zoning, and wetland restoration. The study demonstrates that ecosite-based classification, combined with ecological indicators, can effectively support adaptive management, land-use planning and biodiversity conservation in complex wetland systems.</w:t>
      </w:r>
      <w:r w:rsidR="00BC5046" w:rsidRPr="001A7B2B">
        <w:rPr>
          <w:rFonts w:ascii="Times New Roman" w:hAnsi="Times New Roman" w:cs="Times New Roman"/>
        </w:rPr>
        <w:t xml:space="preserve"> The abstract is graphically illustrated in figure 1.</w:t>
      </w:r>
    </w:p>
    <w:p w14:paraId="52BAC419" w14:textId="50C2250E" w:rsidR="00F70B09" w:rsidRPr="001A7B2B" w:rsidRDefault="00F70B09" w:rsidP="007B1180">
      <w:pPr>
        <w:spacing w:after="0" w:line="360" w:lineRule="auto"/>
        <w:jc w:val="both"/>
        <w:rPr>
          <w:rFonts w:ascii="Times New Roman" w:hAnsi="Times New Roman" w:cs="Times New Roman"/>
        </w:rPr>
      </w:pPr>
      <w:r w:rsidRPr="001A7B2B">
        <w:rPr>
          <w:rFonts w:ascii="Times New Roman" w:hAnsi="Times New Roman" w:cs="Times New Roman"/>
          <w:b/>
          <w:bCs/>
        </w:rPr>
        <w:t>Key Words:</w:t>
      </w:r>
      <w:r w:rsidRPr="001A7B2B">
        <w:rPr>
          <w:rFonts w:ascii="Times New Roman" w:hAnsi="Times New Roman" w:cs="Times New Roman"/>
        </w:rPr>
        <w:t xml:space="preserv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Ecosite Modelling, Indicator Species, Phytoplankton Diversity, Wetland Zonation</w:t>
      </w:r>
    </w:p>
    <w:p w14:paraId="374E66DF" w14:textId="48C65EA6" w:rsidR="00F70B09" w:rsidRPr="001A7B2B" w:rsidRDefault="00EF4E8F" w:rsidP="007B1180">
      <w:pPr>
        <w:spacing w:after="0" w:line="360" w:lineRule="auto"/>
        <w:jc w:val="center"/>
        <w:rPr>
          <w:rFonts w:ascii="Times New Roman" w:hAnsi="Times New Roman" w:cs="Times New Roman"/>
          <w:b/>
          <w:bCs/>
        </w:rPr>
      </w:pPr>
      <w:r>
        <w:rPr>
          <w:noProof/>
        </w:rPr>
        <w:lastRenderedPageBreak/>
        <w:drawing>
          <wp:inline distT="0" distB="0" distL="0" distR="0" wp14:anchorId="7D29EB3B" wp14:editId="4C3229F9">
            <wp:extent cx="4905375" cy="4933950"/>
            <wp:effectExtent l="0" t="0" r="9525" b="0"/>
            <wp:docPr id="85888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4512" name=""/>
                    <pic:cNvPicPr/>
                  </pic:nvPicPr>
                  <pic:blipFill>
                    <a:blip r:embed="rId7"/>
                    <a:stretch>
                      <a:fillRect/>
                    </a:stretch>
                  </pic:blipFill>
                  <pic:spPr>
                    <a:xfrm>
                      <a:off x="0" y="0"/>
                      <a:ext cx="4905375" cy="4933950"/>
                    </a:xfrm>
                    <a:prstGeom prst="rect">
                      <a:avLst/>
                    </a:prstGeom>
                  </pic:spPr>
                </pic:pic>
              </a:graphicData>
            </a:graphic>
          </wp:inline>
        </w:drawing>
      </w:r>
    </w:p>
    <w:p w14:paraId="31FC09C2" w14:textId="132CFE55" w:rsidR="00A952E8" w:rsidRPr="001A7B2B" w:rsidRDefault="00A952E8" w:rsidP="007B1180">
      <w:pPr>
        <w:spacing w:after="0" w:line="360" w:lineRule="auto"/>
        <w:jc w:val="center"/>
        <w:rPr>
          <w:rFonts w:ascii="Times New Roman" w:hAnsi="Times New Roman" w:cs="Times New Roman"/>
        </w:rPr>
      </w:pPr>
      <w:r w:rsidRPr="001A7B2B">
        <w:rPr>
          <w:rFonts w:ascii="Times New Roman" w:hAnsi="Times New Roman" w:cs="Times New Roman"/>
        </w:rPr>
        <w:t>Figure1. Graphical Abstract</w:t>
      </w:r>
    </w:p>
    <w:p w14:paraId="15A0135B" w14:textId="53312F17" w:rsidR="00547B59" w:rsidRDefault="00547B59" w:rsidP="00547B59">
      <w:pPr>
        <w:spacing w:after="0" w:line="360" w:lineRule="auto"/>
        <w:jc w:val="both"/>
        <w:rPr>
          <w:rFonts w:ascii="Times New Roman" w:hAnsi="Times New Roman" w:cs="Times New Roman"/>
          <w:b/>
          <w:bCs/>
        </w:rPr>
      </w:pPr>
      <w:r>
        <w:rPr>
          <w:rFonts w:ascii="Times New Roman" w:hAnsi="Times New Roman" w:cs="Times New Roman"/>
          <w:b/>
          <w:bCs/>
        </w:rPr>
        <w:t>Introduction</w:t>
      </w:r>
    </w:p>
    <w:p w14:paraId="34034184" w14:textId="150B909D" w:rsidR="00547B59" w:rsidRPr="00547B59" w:rsidRDefault="00547B59" w:rsidP="00547B59">
      <w:pPr>
        <w:spacing w:after="0" w:line="360" w:lineRule="auto"/>
        <w:jc w:val="both"/>
        <w:rPr>
          <w:rFonts w:ascii="Times New Roman" w:hAnsi="Times New Roman" w:cs="Times New Roman"/>
        </w:rPr>
      </w:pPr>
      <w:r w:rsidRPr="00547B59">
        <w:rPr>
          <w:rFonts w:ascii="Times New Roman" w:hAnsi="Times New Roman" w:cs="Times New Roman"/>
        </w:rPr>
        <w:t xml:space="preserve">Wetlands are among the most productive ecosystems on Earth, delivering essential ecosystem services such as water purification, flood regulation, carbon sequestration, and biodiversity support (Ramsar Convention Secretariat, 2021). In tropical estuarine settings such as Kerala’s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Lake, wetlands sustain diverse plant and animal communities, support fisheries-based livelihoods, and buffer landscapes against climatic extremes (</w:t>
      </w:r>
      <w:proofErr w:type="spellStart"/>
      <w:r w:rsidRPr="00547B59">
        <w:rPr>
          <w:rFonts w:ascii="Times New Roman" w:hAnsi="Times New Roman" w:cs="Times New Roman"/>
        </w:rPr>
        <w:t>Sreekumari</w:t>
      </w:r>
      <w:proofErr w:type="spellEnd"/>
      <w:r w:rsidRPr="00547B59">
        <w:rPr>
          <w:rFonts w:ascii="Times New Roman" w:hAnsi="Times New Roman" w:cs="Times New Roman"/>
        </w:rPr>
        <w:t xml:space="preserve"> et al., 2016; Ravinesh et al., 2021). Despite their ecological and socio-economic importance, wetlands are increasingly threatened by habitat degradation, pollution, and unsustainable land-use practices driven by rapid urbanization and agricultural intensification (Devi et al., 2022; Nitin Bassi et al., 2014).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Wetland, designated as a Ramsar site in 2002, encompasses a complex mosaic of freshwater, brackish and estuarine habitats, making it an ideal system for ecosystem-level ecological assessments (Jayakumar &amp; </w:t>
      </w:r>
      <w:proofErr w:type="spellStart"/>
      <w:r w:rsidRPr="00547B59">
        <w:rPr>
          <w:rFonts w:ascii="Times New Roman" w:hAnsi="Times New Roman" w:cs="Times New Roman"/>
        </w:rPr>
        <w:t>Chackacherry</w:t>
      </w:r>
      <w:proofErr w:type="spellEnd"/>
      <w:r w:rsidRPr="00547B59">
        <w:rPr>
          <w:rFonts w:ascii="Times New Roman" w:hAnsi="Times New Roman" w:cs="Times New Roman"/>
        </w:rPr>
        <w:t>, 2011</w:t>
      </w:r>
      <w:r w:rsidR="00DD1847">
        <w:rPr>
          <w:rFonts w:ascii="Times New Roman" w:hAnsi="Times New Roman" w:cs="Times New Roman"/>
        </w:rPr>
        <w:t>; Alexander, 2025</w:t>
      </w:r>
      <w:r w:rsidRPr="00547B59">
        <w:rPr>
          <w:rFonts w:ascii="Times New Roman" w:hAnsi="Times New Roman" w:cs="Times New Roman"/>
        </w:rPr>
        <w:t xml:space="preserve">). However, conventional large-scale environmental evaluations often fail to capture mesoecosystem </w:t>
      </w:r>
      <w:r w:rsidRPr="00547B59">
        <w:rPr>
          <w:rFonts w:ascii="Times New Roman" w:hAnsi="Times New Roman" w:cs="Times New Roman"/>
        </w:rPr>
        <w:lastRenderedPageBreak/>
        <w:t>dynamics operating at intermediate spatial scales</w:t>
      </w:r>
      <w:r>
        <w:rPr>
          <w:rFonts w:ascii="Times New Roman" w:hAnsi="Times New Roman" w:cs="Times New Roman"/>
        </w:rPr>
        <w:t xml:space="preserve"> - </w:t>
      </w:r>
      <w:r w:rsidRPr="00547B59">
        <w:rPr>
          <w:rFonts w:ascii="Times New Roman" w:hAnsi="Times New Roman" w:cs="Times New Roman"/>
        </w:rPr>
        <w:t>such as forest patches, marshes, and coastal riparian zones</w:t>
      </w:r>
      <w:r>
        <w:rPr>
          <w:rFonts w:ascii="Times New Roman" w:hAnsi="Times New Roman" w:cs="Times New Roman"/>
        </w:rPr>
        <w:t xml:space="preserve"> - </w:t>
      </w:r>
      <w:r w:rsidRPr="00547B59">
        <w:rPr>
          <w:rFonts w:ascii="Times New Roman" w:hAnsi="Times New Roman" w:cs="Times New Roman"/>
        </w:rPr>
        <w:t>where critical biotic and abiotic interactions occur (Levin, 1992). Consequently, mesoecosystem-scale studies are increasingly recognized as essential for understanding ecological heterogeneity, threshold responses, and fine-scale impacts of anthropogenic pressure in coastal wetlands (Xu et al., 2020).</w:t>
      </w:r>
    </w:p>
    <w:p w14:paraId="7BF53772" w14:textId="24ABAE89" w:rsidR="00547B59" w:rsidRPr="00547B59" w:rsidRDefault="00547B59" w:rsidP="00547B59">
      <w:pPr>
        <w:spacing w:after="0" w:line="360" w:lineRule="auto"/>
        <w:jc w:val="both"/>
        <w:rPr>
          <w:rFonts w:ascii="Times New Roman" w:hAnsi="Times New Roman" w:cs="Times New Roman"/>
          <w:b/>
          <w:bCs/>
        </w:rPr>
      </w:pPr>
      <w:r w:rsidRPr="00547B59">
        <w:rPr>
          <w:rFonts w:ascii="Times New Roman" w:hAnsi="Times New Roman" w:cs="Times New Roman"/>
        </w:rPr>
        <w:t>To address these limitations, the concept of the ecosite has emerged as a robust unit of ecological classification, defined as a land area characterized by relatively homogeneous soil, vegetation, and hydrological conditions (</w:t>
      </w:r>
      <w:proofErr w:type="spellStart"/>
      <w:r w:rsidRPr="00547B59">
        <w:rPr>
          <w:rFonts w:ascii="Times New Roman" w:hAnsi="Times New Roman" w:cs="Times New Roman"/>
        </w:rPr>
        <w:t>Wolfslehner</w:t>
      </w:r>
      <w:proofErr w:type="spellEnd"/>
      <w:r w:rsidRPr="00547B59">
        <w:rPr>
          <w:rFonts w:ascii="Times New Roman" w:hAnsi="Times New Roman" w:cs="Times New Roman"/>
        </w:rPr>
        <w:t xml:space="preserve"> &amp; </w:t>
      </w:r>
      <w:proofErr w:type="spellStart"/>
      <w:r w:rsidRPr="00547B59">
        <w:rPr>
          <w:rFonts w:ascii="Times New Roman" w:hAnsi="Times New Roman" w:cs="Times New Roman"/>
        </w:rPr>
        <w:t>Vacik</w:t>
      </w:r>
      <w:proofErr w:type="spellEnd"/>
      <w:r w:rsidRPr="00547B59">
        <w:rPr>
          <w:rFonts w:ascii="Times New Roman" w:hAnsi="Times New Roman" w:cs="Times New Roman"/>
        </w:rPr>
        <w:t xml:space="preserve">, 2011). Ecosite-based approaches have been widely applied in ecological modelling, forest planning and ecosystem service assessment, enabling the linkage of spatial ecological patterns with ecosystem functions and adaptive management strategies (Grima et al., 2023). Although several studies have documented water quality and biodiversity patterns in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Lake, ecosite-level ecological modelling integrating phytoplankton indicators remains largely unexplored, particularly within Indian wetland systems. To bridge this gap, the present study adopts a mesoecosystem-scale framework that integrates phytoplankton diversity, </w:t>
      </w:r>
      <w:proofErr w:type="spellStart"/>
      <w:r w:rsidRPr="00547B59">
        <w:rPr>
          <w:rFonts w:ascii="Times New Roman" w:hAnsi="Times New Roman" w:cs="Times New Roman"/>
        </w:rPr>
        <w:t>physico</w:t>
      </w:r>
      <w:proofErr w:type="spellEnd"/>
      <w:r w:rsidRPr="00547B59">
        <w:rPr>
          <w:rFonts w:ascii="Times New Roman" w:hAnsi="Times New Roman" w:cs="Times New Roman"/>
        </w:rPr>
        <w:t xml:space="preserve">-chemical water quality parameters, and vegetation structure to delineate distinct ecosites within the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Wetland. The resulting conceptual ecosite models capture ecological gradients, species assemblages, and habitat transitions across the wetland landscape, offering practical tools for wetland zoning, ecological restoration, and sustainable land-use planning aligned with ecosystem-based management principles</w:t>
      </w:r>
      <w:r w:rsidRPr="00547B59">
        <w:rPr>
          <w:rFonts w:ascii="Times New Roman" w:hAnsi="Times New Roman" w:cs="Times New Roman"/>
          <w:b/>
          <w:bCs/>
        </w:rPr>
        <w:t>.</w:t>
      </w:r>
    </w:p>
    <w:p w14:paraId="76A08E88" w14:textId="095D1018" w:rsidR="00175237" w:rsidRPr="001A7B2B" w:rsidRDefault="00755CD4" w:rsidP="00547B59">
      <w:pPr>
        <w:spacing w:after="0" w:line="360" w:lineRule="auto"/>
        <w:jc w:val="both"/>
        <w:rPr>
          <w:rFonts w:ascii="Times New Roman" w:hAnsi="Times New Roman" w:cs="Times New Roman"/>
          <w:b/>
          <w:bCs/>
        </w:rPr>
      </w:pPr>
      <w:r w:rsidRPr="001A7B2B">
        <w:rPr>
          <w:rFonts w:ascii="Times New Roman" w:hAnsi="Times New Roman" w:cs="Times New Roman"/>
          <w:b/>
          <w:bCs/>
        </w:rPr>
        <w:t>2. Materials and methods</w:t>
      </w:r>
    </w:p>
    <w:p w14:paraId="24A59D28" w14:textId="05B6004A" w:rsidR="004C3381" w:rsidRPr="001A7B2B" w:rsidRDefault="004C3381" w:rsidP="004C3381">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The study was conducted in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a Ramsar-designated estuarine ecosystem located in Kollam district, Kerala, India. Five representative ecosites such as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(N 08°56′7.2″, E 76°32′24.0″),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(N 08°55′55.6″, E 76°33′10.1″),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(N 08°53′39.9″, E 76°35′09.2″),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(N 08°59′57.7″, E 76°36′07.3″),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(N 08°59′43.0″, E 76°35′06.1″), were selected based on their variation in topography, vegetation, hydrology, and anthropogenic influence. Each ecosite represents a mesoecosystem unit with relatively homogeneous biophysical characteristics. Seasonal ecological assessments, including phytoplankton diversity, vegetation analysis, and water quality monitoring, were carried out across these locations to capture spatial and temporal ecological variability.</w:t>
      </w:r>
    </w:p>
    <w:p w14:paraId="147A2ECC" w14:textId="26C74AF4" w:rsidR="00216FF9" w:rsidRPr="001A7B2B" w:rsidRDefault="00216FF9"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Water quality analysis was performed at each ecosite following standard protocols outlined by the American Public Health Association (APHA, </w:t>
      </w:r>
      <w:r w:rsidR="00F64F9F">
        <w:rPr>
          <w:rFonts w:ascii="Times New Roman" w:hAnsi="Times New Roman" w:cs="Times New Roman"/>
        </w:rPr>
        <w:t>2007</w:t>
      </w:r>
      <w:r w:rsidRPr="001A7B2B">
        <w:rPr>
          <w:rFonts w:ascii="Times New Roman" w:hAnsi="Times New Roman" w:cs="Times New Roman"/>
        </w:rPr>
        <w:t xml:space="preserve">). Key parameters measured included temperature, pH, salinity, dissolved oxygen (DO), carbon dioxide (CO₂), nitrate, and </w:t>
      </w:r>
      <w:r w:rsidRPr="001A7B2B">
        <w:rPr>
          <w:rFonts w:ascii="Times New Roman" w:hAnsi="Times New Roman" w:cs="Times New Roman"/>
        </w:rPr>
        <w:lastRenderedPageBreak/>
        <w:t xml:space="preserve">phosphate using field probes and laboratory titrimetric and spectrophotometric methods. Phytoplankton and zooplankton samples were collected using plankton nets (20 µm mesh) and preserved in Lugol’s iodine. Identification and enumeration were done using a compound microscope following standard taxonomic keys. Diversity indices such as Shannon-Wiener, Simpson’s Index, and Pielou’s Evenness were calculated. In addition, a </w:t>
      </w:r>
      <w:r w:rsidR="00B06C0C" w:rsidRPr="001A7B2B">
        <w:rPr>
          <w:rFonts w:ascii="Times New Roman" w:hAnsi="Times New Roman" w:cs="Times New Roman"/>
        </w:rPr>
        <w:t xml:space="preserve">Principal Component Analysis (PCA) was conducted using standardized phytoplankton group data in PAST version 4.3 to identify major gradients and visualize ecosite-level ecological variation. </w:t>
      </w:r>
      <w:r w:rsidRPr="001A7B2B">
        <w:rPr>
          <w:rFonts w:ascii="Times New Roman" w:hAnsi="Times New Roman" w:cs="Times New Roman"/>
        </w:rPr>
        <w:t xml:space="preserve">Dominant phytoplankton groups were encoded for PCA input using binary and </w:t>
      </w:r>
      <w:r w:rsidR="006A05A6" w:rsidRPr="001A7B2B">
        <w:rPr>
          <w:rFonts w:ascii="Times New Roman" w:hAnsi="Times New Roman" w:cs="Times New Roman"/>
        </w:rPr>
        <w:t>abundance-based</w:t>
      </w:r>
      <w:r w:rsidRPr="001A7B2B">
        <w:rPr>
          <w:rFonts w:ascii="Times New Roman" w:hAnsi="Times New Roman" w:cs="Times New Roman"/>
        </w:rPr>
        <w:t xml:space="preserve"> presence</w:t>
      </w:r>
      <w:r w:rsidR="006A05A6" w:rsidRPr="001A7B2B">
        <w:rPr>
          <w:rFonts w:ascii="Times New Roman" w:hAnsi="Times New Roman" w:cs="Times New Roman"/>
        </w:rPr>
        <w:t xml:space="preserve"> and </w:t>
      </w:r>
      <w:r w:rsidRPr="001A7B2B">
        <w:rPr>
          <w:rFonts w:ascii="Times New Roman" w:hAnsi="Times New Roman" w:cs="Times New Roman"/>
        </w:rPr>
        <w:t>absence matrices.</w:t>
      </w:r>
    </w:p>
    <w:p w14:paraId="2E61FBD0" w14:textId="4C665FF4" w:rsidR="00216FF9" w:rsidRPr="001A7B2B" w:rsidRDefault="00216FF9"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Ecosite models were developed to visually depict the ecological structure and species distribution within each site. These conceptual models were generated using Adobe Photoshop CS2, integrating field observations, vegetation profiles and hydrological gradients. Native and indicator plant species were digitally rendered in spatial zones</w:t>
      </w:r>
      <w:r w:rsidR="003B03C0" w:rsidRPr="001A7B2B">
        <w:rPr>
          <w:rFonts w:ascii="Times New Roman" w:hAnsi="Times New Roman" w:cs="Times New Roman"/>
        </w:rPr>
        <w:t xml:space="preserve"> like </w:t>
      </w:r>
      <w:r w:rsidRPr="001A7B2B">
        <w:rPr>
          <w:rFonts w:ascii="Times New Roman" w:hAnsi="Times New Roman" w:cs="Times New Roman"/>
        </w:rPr>
        <w:t>shoreline, riparian, marsh, and upland</w:t>
      </w:r>
      <w:r w:rsidR="003B03C0" w:rsidRPr="001A7B2B">
        <w:rPr>
          <w:rFonts w:ascii="Times New Roman" w:hAnsi="Times New Roman" w:cs="Times New Roman"/>
        </w:rPr>
        <w:t xml:space="preserve">, </w:t>
      </w:r>
      <w:r w:rsidRPr="001A7B2B">
        <w:rPr>
          <w:rFonts w:ascii="Times New Roman" w:hAnsi="Times New Roman" w:cs="Times New Roman"/>
        </w:rPr>
        <w:t>based on their ecological roles, salinity tolerance, and soil moisture preferences. Each model reflects the hierarchical layering of vegetation, habitat connectivity, and landscape transitions. The models served as tools for visual ecosystem zoning, highlighting interactions between plant communities, water regimes, and land use. These ecosite illustrations were validated against field data to ensure ecological accuracy and functionality, enabling their application in restoration planning and adaptive wetland management.</w:t>
      </w:r>
    </w:p>
    <w:p w14:paraId="7694BF32" w14:textId="66B34874" w:rsidR="000E707F" w:rsidRPr="001A7B2B" w:rsidRDefault="00803F39" w:rsidP="007B1180">
      <w:pPr>
        <w:spacing w:after="0" w:line="360" w:lineRule="auto"/>
        <w:jc w:val="both"/>
        <w:rPr>
          <w:rFonts w:ascii="Times New Roman" w:hAnsi="Times New Roman" w:cs="Times New Roman"/>
          <w:b/>
          <w:bCs/>
        </w:rPr>
      </w:pPr>
      <w:r w:rsidRPr="001A7B2B">
        <w:rPr>
          <w:rFonts w:ascii="Times New Roman" w:hAnsi="Times New Roman" w:cs="Times New Roman"/>
          <w:b/>
          <w:bCs/>
        </w:rPr>
        <w:t xml:space="preserve">3. </w:t>
      </w:r>
      <w:r w:rsidR="00755CD4" w:rsidRPr="001A7B2B">
        <w:rPr>
          <w:rFonts w:ascii="Times New Roman" w:hAnsi="Times New Roman" w:cs="Times New Roman"/>
          <w:b/>
          <w:bCs/>
        </w:rPr>
        <w:t>Results</w:t>
      </w:r>
    </w:p>
    <w:p w14:paraId="1FE5EE7E" w14:textId="77777777" w:rsidR="00113547" w:rsidRPr="001A7B2B" w:rsidRDefault="00113547"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3.1 Water Quality Across Ecosites</w:t>
      </w:r>
    </w:p>
    <w:p w14:paraId="52FB081A" w14:textId="5809C733"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Water quality analysis revealed notable spatial variations among the five ecosites of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w:t>
      </w:r>
      <w:r w:rsidR="0070010A" w:rsidRPr="001A7B2B">
        <w:rPr>
          <w:rFonts w:ascii="Times New Roman" w:hAnsi="Times New Roman" w:cs="Times New Roman"/>
        </w:rPr>
        <w:t xml:space="preserve"> (Table 1)</w:t>
      </w:r>
      <w:r w:rsidRPr="001A7B2B">
        <w:rPr>
          <w:rFonts w:ascii="Times New Roman" w:hAnsi="Times New Roman" w:cs="Times New Roman"/>
        </w:rPr>
        <w:t xml:space="preserve">. Surface water temperature ranged from 27.08°C at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to 29.12°C at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reflecting localized differences in solar exposure and hydrological exchange. pH values were generally neutral to slightly alkaline across all sites, with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showing the highest value (7.91), suggesting moderate buffering capacity and low acidification risk. Salinity exhibited a clear estuarine gradient, peaking at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(35.69%)</w:t>
      </w:r>
      <w:r w:rsidR="007B1180" w:rsidRPr="001A7B2B">
        <w:rPr>
          <w:rFonts w:ascii="Times New Roman" w:hAnsi="Times New Roman" w:cs="Times New Roman"/>
        </w:rPr>
        <w:t xml:space="preserve">, </w:t>
      </w:r>
      <w:r w:rsidRPr="001A7B2B">
        <w:rPr>
          <w:rFonts w:ascii="Times New Roman" w:hAnsi="Times New Roman" w:cs="Times New Roman"/>
        </w:rPr>
        <w:t>a marine-influenced site</w:t>
      </w:r>
      <w:r w:rsidR="007B1180" w:rsidRPr="001A7B2B">
        <w:rPr>
          <w:rFonts w:ascii="Times New Roman" w:hAnsi="Times New Roman" w:cs="Times New Roman"/>
        </w:rPr>
        <w:t xml:space="preserve">, </w:t>
      </w:r>
      <w:r w:rsidRPr="001A7B2B">
        <w:rPr>
          <w:rFonts w:ascii="Times New Roman" w:hAnsi="Times New Roman" w:cs="Times New Roman"/>
        </w:rPr>
        <w:t xml:space="preserve">while the lowest was recorded at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(5.86%)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(6.98%), indicative of freshwater</w:t>
      </w:r>
      <w:r w:rsidR="007B1180" w:rsidRPr="001A7B2B">
        <w:rPr>
          <w:rFonts w:ascii="Times New Roman" w:hAnsi="Times New Roman" w:cs="Times New Roman"/>
        </w:rPr>
        <w:t xml:space="preserve"> </w:t>
      </w:r>
      <w:r w:rsidRPr="001A7B2B">
        <w:rPr>
          <w:rFonts w:ascii="Times New Roman" w:hAnsi="Times New Roman" w:cs="Times New Roman"/>
        </w:rPr>
        <w:t>dominated conditions.</w:t>
      </w:r>
    </w:p>
    <w:p w14:paraId="0372AD5C" w14:textId="23C8E3DA"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Dissolved oxygen (DO) levels were relatively stable across sites, ranging from 5.42 to 5.82 mg/L, supporting aerobic aquatic life. However, a sharp contrast was observed in carbon dioxide concentrations, with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showing a significantly elevated level (63.6 mg/L), likely due to high organic decomposition and tidal influx, while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recorded the lowest CO₂ (5.49 mg/L), indicating better gaseous exchange and photosynthetic activity. </w:t>
      </w:r>
      <w:r w:rsidRPr="001A7B2B">
        <w:rPr>
          <w:rFonts w:ascii="Times New Roman" w:hAnsi="Times New Roman" w:cs="Times New Roman"/>
        </w:rPr>
        <w:lastRenderedPageBreak/>
        <w:t xml:space="preserve">Nitrate concentrations were highest at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(5.84 mg/L)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(5.79 mg/L), reflecting possible agricultural runoff and nutrient input from catchment areas. Phosphate levels remained relatively low and consistent across all ecosites (0.052</w:t>
      </w:r>
      <w:r w:rsidR="007B1180" w:rsidRPr="001A7B2B">
        <w:rPr>
          <w:rFonts w:ascii="Times New Roman" w:hAnsi="Times New Roman" w:cs="Times New Roman"/>
        </w:rPr>
        <w:t>-</w:t>
      </w:r>
      <w:r w:rsidRPr="001A7B2B">
        <w:rPr>
          <w:rFonts w:ascii="Times New Roman" w:hAnsi="Times New Roman" w:cs="Times New Roman"/>
        </w:rPr>
        <w:t>0.059 mg/L), suggesting minimal risk of eutrophication at the time of sampling.</w:t>
      </w:r>
    </w:p>
    <w:p w14:paraId="617142B7" w14:textId="77777777"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These variations in </w:t>
      </w:r>
      <w:proofErr w:type="spellStart"/>
      <w:r w:rsidRPr="001A7B2B">
        <w:rPr>
          <w:rFonts w:ascii="Times New Roman" w:hAnsi="Times New Roman" w:cs="Times New Roman"/>
        </w:rPr>
        <w:t>physico</w:t>
      </w:r>
      <w:proofErr w:type="spellEnd"/>
      <w:r w:rsidRPr="001A7B2B">
        <w:rPr>
          <w:rFonts w:ascii="Times New Roman" w:hAnsi="Times New Roman" w:cs="Times New Roman"/>
        </w:rPr>
        <w:t>-chemical parameters highlight the diverse hydro-ecological conditions of the study sites, influenced by tidal dynamics, anthropogenic activity, and freshwater influx, which play critical roles in shaping the biological productivity and ecological health of each ecosite.</w:t>
      </w:r>
    </w:p>
    <w:p w14:paraId="3B9942CD" w14:textId="3E0261B2" w:rsidR="00E45748" w:rsidRPr="001A7B2B" w:rsidRDefault="00A14283" w:rsidP="007B1180">
      <w:pPr>
        <w:spacing w:after="0" w:line="360" w:lineRule="auto"/>
        <w:jc w:val="both"/>
        <w:rPr>
          <w:rFonts w:ascii="Times New Roman" w:hAnsi="Times New Roman" w:cs="Times New Roman"/>
        </w:rPr>
      </w:pPr>
      <w:r w:rsidRPr="001A7B2B">
        <w:rPr>
          <w:rFonts w:ascii="Times New Roman" w:hAnsi="Times New Roman" w:cs="Times New Roman"/>
          <w:b/>
          <w:bCs/>
        </w:rPr>
        <w:t>T</w:t>
      </w:r>
      <w:r w:rsidR="00621D58" w:rsidRPr="001A7B2B">
        <w:rPr>
          <w:rFonts w:ascii="Times New Roman" w:hAnsi="Times New Roman" w:cs="Times New Roman"/>
          <w:b/>
          <w:bCs/>
        </w:rPr>
        <w:t>able</w:t>
      </w:r>
      <w:r w:rsidR="00D03E73" w:rsidRPr="001A7B2B">
        <w:rPr>
          <w:rFonts w:ascii="Times New Roman" w:hAnsi="Times New Roman" w:cs="Times New Roman"/>
          <w:b/>
          <w:bCs/>
        </w:rPr>
        <w:t xml:space="preserve"> 1.</w:t>
      </w:r>
      <w:r w:rsidR="00621D58" w:rsidRPr="001A7B2B">
        <w:rPr>
          <w:rFonts w:ascii="Times New Roman" w:hAnsi="Times New Roman" w:cs="Times New Roman"/>
        </w:rPr>
        <w:t xml:space="preserve"> containing the </w:t>
      </w:r>
      <w:r w:rsidR="007B1180" w:rsidRPr="001A7B2B">
        <w:rPr>
          <w:rFonts w:ascii="Times New Roman" w:hAnsi="Times New Roman" w:cs="Times New Roman"/>
        </w:rPr>
        <w:t xml:space="preserve">average </w:t>
      </w:r>
      <w:r w:rsidR="00621D58" w:rsidRPr="001A7B2B">
        <w:rPr>
          <w:rFonts w:ascii="Times New Roman" w:hAnsi="Times New Roman" w:cs="Times New Roman"/>
        </w:rPr>
        <w:t>water quality parameters of the five ecosites</w:t>
      </w:r>
    </w:p>
    <w:tbl>
      <w:tblPr>
        <w:tblStyle w:val="TableGrid"/>
        <w:tblW w:w="8665" w:type="dxa"/>
        <w:tblLook w:val="04A0" w:firstRow="1" w:lastRow="0" w:firstColumn="1" w:lastColumn="0" w:noHBand="0" w:noVBand="1"/>
      </w:tblPr>
      <w:tblGrid>
        <w:gridCol w:w="1576"/>
        <w:gridCol w:w="1442"/>
        <w:gridCol w:w="636"/>
        <w:gridCol w:w="1098"/>
        <w:gridCol w:w="993"/>
        <w:gridCol w:w="896"/>
        <w:gridCol w:w="1134"/>
        <w:gridCol w:w="1203"/>
      </w:tblGrid>
      <w:tr w:rsidR="00584855" w:rsidRPr="001A7B2B" w14:paraId="6817FC98" w14:textId="77777777" w:rsidTr="00584855">
        <w:trPr>
          <w:trHeight w:val="290"/>
        </w:trPr>
        <w:tc>
          <w:tcPr>
            <w:tcW w:w="1486" w:type="dxa"/>
            <w:noWrap/>
            <w:hideMark/>
          </w:tcPr>
          <w:p w14:paraId="1AA8D453" w14:textId="59FE0309"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Ecosites</w:t>
            </w:r>
          </w:p>
        </w:tc>
        <w:tc>
          <w:tcPr>
            <w:tcW w:w="1339" w:type="dxa"/>
            <w:noWrap/>
            <w:hideMark/>
          </w:tcPr>
          <w:p w14:paraId="59E62514" w14:textId="75C67832"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Temperature (°C)</w:t>
            </w:r>
          </w:p>
        </w:tc>
        <w:tc>
          <w:tcPr>
            <w:tcW w:w="608" w:type="dxa"/>
            <w:noWrap/>
            <w:hideMark/>
          </w:tcPr>
          <w:p w14:paraId="6D29618E"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pH</w:t>
            </w:r>
          </w:p>
        </w:tc>
        <w:tc>
          <w:tcPr>
            <w:tcW w:w="1098" w:type="dxa"/>
            <w:noWrap/>
            <w:hideMark/>
          </w:tcPr>
          <w:p w14:paraId="67907700"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Salinity (%)</w:t>
            </w:r>
          </w:p>
        </w:tc>
        <w:tc>
          <w:tcPr>
            <w:tcW w:w="993" w:type="dxa"/>
            <w:noWrap/>
            <w:hideMark/>
          </w:tcPr>
          <w:p w14:paraId="2C3222ED"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DO (mg/L)</w:t>
            </w:r>
          </w:p>
        </w:tc>
        <w:tc>
          <w:tcPr>
            <w:tcW w:w="850" w:type="dxa"/>
            <w:noWrap/>
            <w:hideMark/>
          </w:tcPr>
          <w:p w14:paraId="1A72B57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CO2 (mg/L)</w:t>
            </w:r>
          </w:p>
        </w:tc>
        <w:tc>
          <w:tcPr>
            <w:tcW w:w="1134" w:type="dxa"/>
            <w:noWrap/>
            <w:hideMark/>
          </w:tcPr>
          <w:p w14:paraId="3DA8682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Nitrate (mg/L)</w:t>
            </w:r>
          </w:p>
        </w:tc>
        <w:tc>
          <w:tcPr>
            <w:tcW w:w="1157" w:type="dxa"/>
            <w:noWrap/>
            <w:hideMark/>
          </w:tcPr>
          <w:p w14:paraId="00AF81EC"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Phosphate (mg/L)</w:t>
            </w:r>
          </w:p>
        </w:tc>
      </w:tr>
      <w:tr w:rsidR="00584855" w:rsidRPr="001A7B2B" w14:paraId="5970E9DD" w14:textId="77777777" w:rsidTr="00584855">
        <w:trPr>
          <w:trHeight w:val="290"/>
        </w:trPr>
        <w:tc>
          <w:tcPr>
            <w:tcW w:w="1486" w:type="dxa"/>
            <w:noWrap/>
            <w:hideMark/>
          </w:tcPr>
          <w:p w14:paraId="7B424675"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Neendakara</w:t>
            </w:r>
            <w:proofErr w:type="spellEnd"/>
          </w:p>
        </w:tc>
        <w:tc>
          <w:tcPr>
            <w:tcW w:w="1339" w:type="dxa"/>
            <w:noWrap/>
            <w:hideMark/>
          </w:tcPr>
          <w:p w14:paraId="3895E9B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29.12</w:t>
            </w:r>
          </w:p>
        </w:tc>
        <w:tc>
          <w:tcPr>
            <w:tcW w:w="608" w:type="dxa"/>
            <w:noWrap/>
            <w:hideMark/>
          </w:tcPr>
          <w:p w14:paraId="6A3505F2"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7.07</w:t>
            </w:r>
          </w:p>
        </w:tc>
        <w:tc>
          <w:tcPr>
            <w:tcW w:w="1098" w:type="dxa"/>
            <w:noWrap/>
            <w:hideMark/>
          </w:tcPr>
          <w:p w14:paraId="0F3212A6"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35.69</w:t>
            </w:r>
          </w:p>
        </w:tc>
        <w:tc>
          <w:tcPr>
            <w:tcW w:w="993" w:type="dxa"/>
            <w:noWrap/>
            <w:hideMark/>
          </w:tcPr>
          <w:p w14:paraId="0F0215D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5.54</w:t>
            </w:r>
          </w:p>
        </w:tc>
        <w:tc>
          <w:tcPr>
            <w:tcW w:w="850" w:type="dxa"/>
            <w:noWrap/>
            <w:hideMark/>
          </w:tcPr>
          <w:p w14:paraId="5E0CA109"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63.6</w:t>
            </w:r>
          </w:p>
        </w:tc>
        <w:tc>
          <w:tcPr>
            <w:tcW w:w="1134" w:type="dxa"/>
            <w:noWrap/>
            <w:hideMark/>
          </w:tcPr>
          <w:p w14:paraId="258ABE7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4.99</w:t>
            </w:r>
          </w:p>
        </w:tc>
        <w:tc>
          <w:tcPr>
            <w:tcW w:w="1157" w:type="dxa"/>
            <w:noWrap/>
            <w:hideMark/>
          </w:tcPr>
          <w:p w14:paraId="56BADB03"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0.052</w:t>
            </w:r>
          </w:p>
        </w:tc>
      </w:tr>
      <w:tr w:rsidR="00584855" w:rsidRPr="001A7B2B" w14:paraId="4E41580E" w14:textId="77777777" w:rsidTr="00584855">
        <w:trPr>
          <w:trHeight w:val="290"/>
        </w:trPr>
        <w:tc>
          <w:tcPr>
            <w:tcW w:w="1486" w:type="dxa"/>
            <w:noWrap/>
            <w:hideMark/>
          </w:tcPr>
          <w:p w14:paraId="5BC8B314"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Puthenthuruth</w:t>
            </w:r>
            <w:proofErr w:type="spellEnd"/>
          </w:p>
        </w:tc>
        <w:tc>
          <w:tcPr>
            <w:tcW w:w="1339" w:type="dxa"/>
            <w:noWrap/>
            <w:hideMark/>
          </w:tcPr>
          <w:p w14:paraId="3D8AE068"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28.22</w:t>
            </w:r>
          </w:p>
        </w:tc>
        <w:tc>
          <w:tcPr>
            <w:tcW w:w="608" w:type="dxa"/>
            <w:noWrap/>
            <w:hideMark/>
          </w:tcPr>
          <w:p w14:paraId="13CFBCF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7.07</w:t>
            </w:r>
          </w:p>
        </w:tc>
        <w:tc>
          <w:tcPr>
            <w:tcW w:w="1098" w:type="dxa"/>
            <w:noWrap/>
            <w:hideMark/>
          </w:tcPr>
          <w:p w14:paraId="239118A3" w14:textId="3DAFFFB6"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26.73</w:t>
            </w:r>
          </w:p>
        </w:tc>
        <w:tc>
          <w:tcPr>
            <w:tcW w:w="993" w:type="dxa"/>
            <w:noWrap/>
            <w:hideMark/>
          </w:tcPr>
          <w:p w14:paraId="106AF4F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5.64</w:t>
            </w:r>
          </w:p>
        </w:tc>
        <w:tc>
          <w:tcPr>
            <w:tcW w:w="850" w:type="dxa"/>
            <w:noWrap/>
            <w:hideMark/>
          </w:tcPr>
          <w:p w14:paraId="72437F3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5.49</w:t>
            </w:r>
          </w:p>
        </w:tc>
        <w:tc>
          <w:tcPr>
            <w:tcW w:w="1134" w:type="dxa"/>
            <w:noWrap/>
            <w:hideMark/>
          </w:tcPr>
          <w:p w14:paraId="22744DA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4.93</w:t>
            </w:r>
          </w:p>
        </w:tc>
        <w:tc>
          <w:tcPr>
            <w:tcW w:w="1157" w:type="dxa"/>
            <w:noWrap/>
            <w:hideMark/>
          </w:tcPr>
          <w:p w14:paraId="62D2DBA6"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0.059</w:t>
            </w:r>
          </w:p>
        </w:tc>
      </w:tr>
      <w:tr w:rsidR="00584855" w:rsidRPr="001A7B2B" w14:paraId="13A9F07F" w14:textId="77777777" w:rsidTr="00584855">
        <w:trPr>
          <w:trHeight w:val="290"/>
        </w:trPr>
        <w:tc>
          <w:tcPr>
            <w:tcW w:w="1486" w:type="dxa"/>
            <w:noWrap/>
            <w:hideMark/>
          </w:tcPr>
          <w:p w14:paraId="3BDBE86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Asramam</w:t>
            </w:r>
            <w:proofErr w:type="spellEnd"/>
          </w:p>
        </w:tc>
        <w:tc>
          <w:tcPr>
            <w:tcW w:w="1339" w:type="dxa"/>
            <w:noWrap/>
            <w:hideMark/>
          </w:tcPr>
          <w:p w14:paraId="7E6E9C2A" w14:textId="7DCF0FF0"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28.71</w:t>
            </w:r>
          </w:p>
        </w:tc>
        <w:tc>
          <w:tcPr>
            <w:tcW w:w="608" w:type="dxa"/>
            <w:noWrap/>
            <w:hideMark/>
          </w:tcPr>
          <w:p w14:paraId="7469E9AC" w14:textId="7822853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7.91</w:t>
            </w:r>
          </w:p>
        </w:tc>
        <w:tc>
          <w:tcPr>
            <w:tcW w:w="1098" w:type="dxa"/>
            <w:noWrap/>
            <w:hideMark/>
          </w:tcPr>
          <w:p w14:paraId="1E36536A" w14:textId="12901CD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21.33</w:t>
            </w:r>
          </w:p>
        </w:tc>
        <w:tc>
          <w:tcPr>
            <w:tcW w:w="993" w:type="dxa"/>
            <w:noWrap/>
            <w:hideMark/>
          </w:tcPr>
          <w:p w14:paraId="252ABA96" w14:textId="2A56ADAF"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5.51</w:t>
            </w:r>
          </w:p>
        </w:tc>
        <w:tc>
          <w:tcPr>
            <w:tcW w:w="850" w:type="dxa"/>
            <w:noWrap/>
            <w:hideMark/>
          </w:tcPr>
          <w:p w14:paraId="7344E55B" w14:textId="6A9BC44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10.3</w:t>
            </w:r>
          </w:p>
        </w:tc>
        <w:tc>
          <w:tcPr>
            <w:tcW w:w="1134" w:type="dxa"/>
            <w:noWrap/>
            <w:hideMark/>
          </w:tcPr>
          <w:p w14:paraId="351FBE3C" w14:textId="09FF8324"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4.85</w:t>
            </w:r>
          </w:p>
        </w:tc>
        <w:tc>
          <w:tcPr>
            <w:tcW w:w="1157" w:type="dxa"/>
            <w:noWrap/>
            <w:hideMark/>
          </w:tcPr>
          <w:p w14:paraId="1DD1C61C" w14:textId="23F1B02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0.055</w:t>
            </w:r>
          </w:p>
        </w:tc>
      </w:tr>
      <w:tr w:rsidR="00584855" w:rsidRPr="001A7B2B" w14:paraId="4C121FF1" w14:textId="77777777" w:rsidTr="00584855">
        <w:trPr>
          <w:trHeight w:val="290"/>
        </w:trPr>
        <w:tc>
          <w:tcPr>
            <w:tcW w:w="1486" w:type="dxa"/>
            <w:noWrap/>
            <w:hideMark/>
          </w:tcPr>
          <w:p w14:paraId="797C072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Kidapram</w:t>
            </w:r>
            <w:proofErr w:type="spellEnd"/>
          </w:p>
        </w:tc>
        <w:tc>
          <w:tcPr>
            <w:tcW w:w="1339" w:type="dxa"/>
            <w:noWrap/>
            <w:hideMark/>
          </w:tcPr>
          <w:p w14:paraId="262C881E" w14:textId="1A4C31E3"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28.20</w:t>
            </w:r>
          </w:p>
        </w:tc>
        <w:tc>
          <w:tcPr>
            <w:tcW w:w="608" w:type="dxa"/>
            <w:noWrap/>
            <w:hideMark/>
          </w:tcPr>
          <w:p w14:paraId="156EAC0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7.21</w:t>
            </w:r>
          </w:p>
        </w:tc>
        <w:tc>
          <w:tcPr>
            <w:tcW w:w="1098" w:type="dxa"/>
            <w:noWrap/>
            <w:hideMark/>
          </w:tcPr>
          <w:p w14:paraId="51CB8806"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5.86</w:t>
            </w:r>
          </w:p>
        </w:tc>
        <w:tc>
          <w:tcPr>
            <w:tcW w:w="993" w:type="dxa"/>
            <w:noWrap/>
            <w:hideMark/>
          </w:tcPr>
          <w:p w14:paraId="082E4073" w14:textId="5A51CF7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5.42</w:t>
            </w:r>
          </w:p>
        </w:tc>
        <w:tc>
          <w:tcPr>
            <w:tcW w:w="850" w:type="dxa"/>
            <w:noWrap/>
            <w:hideMark/>
          </w:tcPr>
          <w:p w14:paraId="716B2F53" w14:textId="73C23C71"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20.21</w:t>
            </w:r>
          </w:p>
        </w:tc>
        <w:tc>
          <w:tcPr>
            <w:tcW w:w="1134" w:type="dxa"/>
            <w:noWrap/>
            <w:hideMark/>
          </w:tcPr>
          <w:p w14:paraId="38038228"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5.84</w:t>
            </w:r>
          </w:p>
        </w:tc>
        <w:tc>
          <w:tcPr>
            <w:tcW w:w="1157" w:type="dxa"/>
            <w:noWrap/>
            <w:hideMark/>
          </w:tcPr>
          <w:p w14:paraId="79A50DD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0.052</w:t>
            </w:r>
          </w:p>
        </w:tc>
      </w:tr>
      <w:tr w:rsidR="00584855" w:rsidRPr="001A7B2B" w14:paraId="70B71D22" w14:textId="77777777" w:rsidTr="00584855">
        <w:trPr>
          <w:trHeight w:val="290"/>
        </w:trPr>
        <w:tc>
          <w:tcPr>
            <w:tcW w:w="1486" w:type="dxa"/>
            <w:noWrap/>
            <w:hideMark/>
          </w:tcPr>
          <w:p w14:paraId="6E604B2C"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Cherikkadavu</w:t>
            </w:r>
            <w:proofErr w:type="spellEnd"/>
          </w:p>
        </w:tc>
        <w:tc>
          <w:tcPr>
            <w:tcW w:w="1339" w:type="dxa"/>
            <w:noWrap/>
            <w:hideMark/>
          </w:tcPr>
          <w:p w14:paraId="7F30C30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27.08</w:t>
            </w:r>
          </w:p>
        </w:tc>
        <w:tc>
          <w:tcPr>
            <w:tcW w:w="608" w:type="dxa"/>
            <w:noWrap/>
            <w:hideMark/>
          </w:tcPr>
          <w:p w14:paraId="0CB6E10D"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7.18</w:t>
            </w:r>
          </w:p>
        </w:tc>
        <w:tc>
          <w:tcPr>
            <w:tcW w:w="1098" w:type="dxa"/>
            <w:noWrap/>
            <w:hideMark/>
          </w:tcPr>
          <w:p w14:paraId="5EE46CCA"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6.98</w:t>
            </w:r>
          </w:p>
        </w:tc>
        <w:tc>
          <w:tcPr>
            <w:tcW w:w="993" w:type="dxa"/>
            <w:noWrap/>
            <w:hideMark/>
          </w:tcPr>
          <w:p w14:paraId="7C2E5CA4"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5.82</w:t>
            </w:r>
          </w:p>
        </w:tc>
        <w:tc>
          <w:tcPr>
            <w:tcW w:w="850" w:type="dxa"/>
            <w:noWrap/>
            <w:hideMark/>
          </w:tcPr>
          <w:p w14:paraId="19A508ED"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33.24</w:t>
            </w:r>
          </w:p>
        </w:tc>
        <w:tc>
          <w:tcPr>
            <w:tcW w:w="1134" w:type="dxa"/>
            <w:noWrap/>
            <w:hideMark/>
          </w:tcPr>
          <w:p w14:paraId="6B541D9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5.79</w:t>
            </w:r>
          </w:p>
        </w:tc>
        <w:tc>
          <w:tcPr>
            <w:tcW w:w="1157" w:type="dxa"/>
            <w:noWrap/>
            <w:hideMark/>
          </w:tcPr>
          <w:p w14:paraId="15015F7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0.052</w:t>
            </w:r>
          </w:p>
        </w:tc>
      </w:tr>
    </w:tbl>
    <w:p w14:paraId="127C24D5" w14:textId="77777777" w:rsidR="00113547" w:rsidRPr="001A7B2B" w:rsidRDefault="00113547"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3.2 Phytoplankton Diversity and Composition</w:t>
      </w:r>
    </w:p>
    <w:p w14:paraId="3F9DBC25" w14:textId="7BD1FB7E"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Phytoplankton diversity varied notably across the five ecosites, reflecting differences in nutrient availability, salinity, and hydrodynamic conditions. The highest phytoplankton richness was recorded at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with 70 species, followed by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(65 species) and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(55 species), indicating high primary productivity in these zones. In contrast,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exhibited the lowest diversity with only 13 recorded species, suggesting limited productivity or possible environmental stress</w:t>
      </w:r>
      <w:r w:rsidR="0070010A" w:rsidRPr="001A7B2B">
        <w:rPr>
          <w:rFonts w:ascii="Times New Roman" w:hAnsi="Times New Roman" w:cs="Times New Roman"/>
        </w:rPr>
        <w:t xml:space="preserve"> (Table 2)</w:t>
      </w:r>
      <w:r w:rsidRPr="001A7B2B">
        <w:rPr>
          <w:rFonts w:ascii="Times New Roman" w:hAnsi="Times New Roman" w:cs="Times New Roman"/>
        </w:rPr>
        <w:t>.</w:t>
      </w:r>
    </w:p>
    <w:p w14:paraId="2147BD32" w14:textId="369D2099"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Diatoms (Bacillariophyceae) dominated the phytoplankton community at all ecosites, with genera such as </w:t>
      </w:r>
      <w:proofErr w:type="spellStart"/>
      <w:r w:rsidRPr="001A7B2B">
        <w:rPr>
          <w:rFonts w:ascii="Times New Roman" w:hAnsi="Times New Roman" w:cs="Times New Roman"/>
          <w:i/>
          <w:iCs/>
        </w:rPr>
        <w:t>Thalassiosira</w:t>
      </w:r>
      <w:proofErr w:type="spellEnd"/>
      <w:r w:rsidRPr="001A7B2B">
        <w:rPr>
          <w:rFonts w:ascii="Times New Roman" w:hAnsi="Times New Roman" w:cs="Times New Roman"/>
        </w:rPr>
        <w:t xml:space="preserve">, </w:t>
      </w:r>
      <w:r w:rsidRPr="001A7B2B">
        <w:rPr>
          <w:rFonts w:ascii="Times New Roman" w:hAnsi="Times New Roman" w:cs="Times New Roman"/>
          <w:i/>
          <w:iCs/>
        </w:rPr>
        <w:t>Coscinodiscus</w:t>
      </w:r>
      <w:r w:rsidRPr="001A7B2B">
        <w:rPr>
          <w:rFonts w:ascii="Times New Roman" w:hAnsi="Times New Roman" w:cs="Times New Roman"/>
        </w:rPr>
        <w:t xml:space="preserve">, </w:t>
      </w:r>
      <w:proofErr w:type="spellStart"/>
      <w:r w:rsidRPr="001A7B2B">
        <w:rPr>
          <w:rFonts w:ascii="Times New Roman" w:hAnsi="Times New Roman" w:cs="Times New Roman"/>
          <w:i/>
          <w:iCs/>
        </w:rPr>
        <w:t>Navicula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Diatoma</w:t>
      </w:r>
      <w:proofErr w:type="spellEnd"/>
      <w:r w:rsidRPr="001A7B2B">
        <w:rPr>
          <w:rFonts w:ascii="Times New Roman" w:hAnsi="Times New Roman" w:cs="Times New Roman"/>
        </w:rPr>
        <w:t xml:space="preserve">, and </w:t>
      </w:r>
      <w:r w:rsidRPr="001A7B2B">
        <w:rPr>
          <w:rFonts w:ascii="Times New Roman" w:hAnsi="Times New Roman" w:cs="Times New Roman"/>
          <w:i/>
          <w:iCs/>
        </w:rPr>
        <w:t>Cyclotella</w:t>
      </w:r>
      <w:r w:rsidRPr="001A7B2B">
        <w:rPr>
          <w:rFonts w:ascii="Times New Roman" w:hAnsi="Times New Roman" w:cs="Times New Roman"/>
        </w:rPr>
        <w:t xml:space="preserve"> being widely distributed. </w:t>
      </w:r>
      <w:proofErr w:type="spellStart"/>
      <w:r w:rsidRPr="001A7B2B">
        <w:rPr>
          <w:rFonts w:ascii="Times New Roman" w:hAnsi="Times New Roman" w:cs="Times New Roman"/>
        </w:rPr>
        <w:t>Cyanophyceae</w:t>
      </w:r>
      <w:proofErr w:type="spellEnd"/>
      <w:r w:rsidRPr="001A7B2B">
        <w:rPr>
          <w:rFonts w:ascii="Times New Roman" w:hAnsi="Times New Roman" w:cs="Times New Roman"/>
        </w:rPr>
        <w:t xml:space="preserve"> (blue-green algae) were prominent at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represented by taxa like </w:t>
      </w:r>
      <w:r w:rsidRPr="001A7B2B">
        <w:rPr>
          <w:rFonts w:ascii="Times New Roman" w:hAnsi="Times New Roman" w:cs="Times New Roman"/>
          <w:i/>
          <w:iCs/>
        </w:rPr>
        <w:t>Trichodesmium</w:t>
      </w:r>
      <w:r w:rsidRPr="001A7B2B">
        <w:rPr>
          <w:rFonts w:ascii="Times New Roman" w:hAnsi="Times New Roman" w:cs="Times New Roman"/>
        </w:rPr>
        <w:t xml:space="preserve">, </w:t>
      </w:r>
      <w:r w:rsidRPr="001A7B2B">
        <w:rPr>
          <w:rFonts w:ascii="Times New Roman" w:hAnsi="Times New Roman" w:cs="Times New Roman"/>
          <w:i/>
          <w:iCs/>
        </w:rPr>
        <w:t>Microcystis</w:t>
      </w:r>
      <w:r w:rsidRPr="001A7B2B">
        <w:rPr>
          <w:rFonts w:ascii="Times New Roman" w:hAnsi="Times New Roman" w:cs="Times New Roman"/>
        </w:rPr>
        <w:t xml:space="preserve">, </w:t>
      </w:r>
      <w:r w:rsidRPr="001A7B2B">
        <w:rPr>
          <w:rFonts w:ascii="Times New Roman" w:hAnsi="Times New Roman" w:cs="Times New Roman"/>
          <w:i/>
          <w:iCs/>
        </w:rPr>
        <w:t>Anabaena</w:t>
      </w:r>
      <w:r w:rsidRPr="001A7B2B">
        <w:rPr>
          <w:rFonts w:ascii="Times New Roman" w:hAnsi="Times New Roman" w:cs="Times New Roman"/>
        </w:rPr>
        <w:t xml:space="preserve">, and </w:t>
      </w:r>
      <w:proofErr w:type="spellStart"/>
      <w:r w:rsidRPr="001A7B2B">
        <w:rPr>
          <w:rFonts w:ascii="Times New Roman" w:hAnsi="Times New Roman" w:cs="Times New Roman"/>
          <w:i/>
          <w:iCs/>
        </w:rPr>
        <w:t>Phormidium</w:t>
      </w:r>
      <w:proofErr w:type="spellEnd"/>
      <w:r w:rsidRPr="001A7B2B">
        <w:rPr>
          <w:rFonts w:ascii="Times New Roman" w:hAnsi="Times New Roman" w:cs="Times New Roman"/>
        </w:rPr>
        <w:t>, which are typically associated with nutrient</w:t>
      </w:r>
      <w:r w:rsidR="00D03E73" w:rsidRPr="001A7B2B">
        <w:rPr>
          <w:rFonts w:ascii="Times New Roman" w:hAnsi="Times New Roman" w:cs="Times New Roman"/>
        </w:rPr>
        <w:t xml:space="preserve"> </w:t>
      </w:r>
      <w:r w:rsidRPr="001A7B2B">
        <w:rPr>
          <w:rFonts w:ascii="Times New Roman" w:hAnsi="Times New Roman" w:cs="Times New Roman"/>
        </w:rPr>
        <w:t xml:space="preserve">rich or eutrophic waters. Additionally, Chlorophyceae (green algae), including </w:t>
      </w:r>
      <w:r w:rsidRPr="001A7B2B">
        <w:rPr>
          <w:rFonts w:ascii="Times New Roman" w:hAnsi="Times New Roman" w:cs="Times New Roman"/>
          <w:i/>
          <w:iCs/>
        </w:rPr>
        <w:t>Pediastrum</w:t>
      </w:r>
      <w:r w:rsidRPr="001A7B2B">
        <w:rPr>
          <w:rFonts w:ascii="Times New Roman" w:hAnsi="Times New Roman" w:cs="Times New Roman"/>
        </w:rPr>
        <w:t xml:space="preserve">, </w:t>
      </w:r>
      <w:r w:rsidRPr="001A7B2B">
        <w:rPr>
          <w:rFonts w:ascii="Times New Roman" w:hAnsi="Times New Roman" w:cs="Times New Roman"/>
          <w:i/>
          <w:iCs/>
        </w:rPr>
        <w:t>Chlorella</w:t>
      </w:r>
      <w:r w:rsidRPr="001A7B2B">
        <w:rPr>
          <w:rFonts w:ascii="Times New Roman" w:hAnsi="Times New Roman" w:cs="Times New Roman"/>
        </w:rPr>
        <w:t xml:space="preserve">, </w:t>
      </w:r>
      <w:proofErr w:type="spellStart"/>
      <w:r w:rsidRPr="001A7B2B">
        <w:rPr>
          <w:rFonts w:ascii="Times New Roman" w:hAnsi="Times New Roman" w:cs="Times New Roman"/>
          <w:i/>
          <w:iCs/>
        </w:rPr>
        <w:t>Cosmarium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i/>
          <w:iCs/>
        </w:rPr>
        <w:t>Zygnema</w:t>
      </w:r>
      <w:proofErr w:type="spellEnd"/>
      <w:r w:rsidRPr="001A7B2B">
        <w:rPr>
          <w:rFonts w:ascii="Times New Roman" w:hAnsi="Times New Roman" w:cs="Times New Roman"/>
        </w:rPr>
        <w:t>, were well represented in the freshwater</w:t>
      </w:r>
      <w:r w:rsidR="00D03E73" w:rsidRPr="001A7B2B">
        <w:rPr>
          <w:rFonts w:ascii="Times New Roman" w:hAnsi="Times New Roman" w:cs="Times New Roman"/>
        </w:rPr>
        <w:t xml:space="preserve"> </w:t>
      </w:r>
      <w:r w:rsidRPr="001A7B2B">
        <w:rPr>
          <w:rFonts w:ascii="Times New Roman" w:hAnsi="Times New Roman" w:cs="Times New Roman"/>
        </w:rPr>
        <w:t xml:space="preserve">influenced sites, particularly at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w:t>
      </w:r>
    </w:p>
    <w:p w14:paraId="5831F444" w14:textId="77777777"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The composition and abundance of these phytoplankton groups reflect site-specific environmental gradients and highlight the ecological heterogeneity of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w:t>
      </w:r>
      <w:r w:rsidRPr="001A7B2B">
        <w:rPr>
          <w:rFonts w:ascii="Times New Roman" w:hAnsi="Times New Roman" w:cs="Times New Roman"/>
        </w:rPr>
        <w:lastRenderedPageBreak/>
        <w:t>system. The presence of both marine and freshwater algal taxa across ecosites underscores the transitional estuarine nature of the lake.</w:t>
      </w:r>
    </w:p>
    <w:p w14:paraId="72B6A0AB" w14:textId="50E3BE43" w:rsidR="00584855" w:rsidRPr="001A7B2B" w:rsidRDefault="00656EB8" w:rsidP="007B1180">
      <w:pPr>
        <w:spacing w:after="0" w:line="360" w:lineRule="auto"/>
        <w:jc w:val="both"/>
        <w:rPr>
          <w:rFonts w:ascii="Times New Roman" w:hAnsi="Times New Roman" w:cs="Times New Roman"/>
        </w:rPr>
      </w:pPr>
      <w:r w:rsidRPr="001A7B2B">
        <w:rPr>
          <w:rFonts w:ascii="Times New Roman" w:hAnsi="Times New Roman" w:cs="Times New Roman"/>
          <w:b/>
          <w:bCs/>
        </w:rPr>
        <w:t xml:space="preserve">Table </w:t>
      </w:r>
      <w:r w:rsidR="0070010A" w:rsidRPr="001A7B2B">
        <w:rPr>
          <w:rFonts w:ascii="Times New Roman" w:hAnsi="Times New Roman" w:cs="Times New Roman"/>
          <w:b/>
          <w:bCs/>
        </w:rPr>
        <w:t>2</w:t>
      </w:r>
      <w:r w:rsidRPr="001A7B2B">
        <w:rPr>
          <w:rFonts w:ascii="Times New Roman" w:hAnsi="Times New Roman" w:cs="Times New Roman"/>
          <w:b/>
          <w:bCs/>
        </w:rPr>
        <w:t>.</w:t>
      </w:r>
      <w:r w:rsidRPr="001A7B2B">
        <w:rPr>
          <w:rFonts w:ascii="Times New Roman" w:hAnsi="Times New Roman" w:cs="Times New Roman"/>
        </w:rPr>
        <w:t xml:space="preserve"> M</w:t>
      </w:r>
      <w:r w:rsidR="00621D58" w:rsidRPr="001A7B2B">
        <w:rPr>
          <w:rFonts w:ascii="Times New Roman" w:hAnsi="Times New Roman" w:cs="Times New Roman"/>
        </w:rPr>
        <w:t>ajor phytoplankton groups across the five ecosites</w:t>
      </w:r>
    </w:p>
    <w:tbl>
      <w:tblPr>
        <w:tblStyle w:val="TableGrid"/>
        <w:tblW w:w="8642" w:type="dxa"/>
        <w:tblLook w:val="04A0" w:firstRow="1" w:lastRow="0" w:firstColumn="1" w:lastColumn="0" w:noHBand="0" w:noVBand="1"/>
      </w:tblPr>
      <w:tblGrid>
        <w:gridCol w:w="1576"/>
        <w:gridCol w:w="1628"/>
        <w:gridCol w:w="5528"/>
      </w:tblGrid>
      <w:tr w:rsidR="00621D58" w:rsidRPr="001A7B2B" w14:paraId="65E87ECD" w14:textId="77777777" w:rsidTr="00621D58">
        <w:trPr>
          <w:trHeight w:val="290"/>
        </w:trPr>
        <w:tc>
          <w:tcPr>
            <w:tcW w:w="1486" w:type="dxa"/>
            <w:noWrap/>
            <w:hideMark/>
          </w:tcPr>
          <w:p w14:paraId="0AA5C2D4"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Ecosite</w:t>
            </w:r>
          </w:p>
        </w:tc>
        <w:tc>
          <w:tcPr>
            <w:tcW w:w="1628" w:type="dxa"/>
            <w:noWrap/>
            <w:hideMark/>
          </w:tcPr>
          <w:p w14:paraId="142FEDB3"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Phytoplankton Diversity (No. of Species)</w:t>
            </w:r>
          </w:p>
        </w:tc>
        <w:tc>
          <w:tcPr>
            <w:tcW w:w="5528" w:type="dxa"/>
            <w:noWrap/>
            <w:hideMark/>
          </w:tcPr>
          <w:p w14:paraId="0DBEA5BA"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Dominant Groups</w:t>
            </w:r>
          </w:p>
        </w:tc>
      </w:tr>
      <w:tr w:rsidR="00621D58" w:rsidRPr="001A7B2B" w14:paraId="37CE0CAA" w14:textId="77777777" w:rsidTr="00621D58">
        <w:trPr>
          <w:trHeight w:val="290"/>
        </w:trPr>
        <w:tc>
          <w:tcPr>
            <w:tcW w:w="1486" w:type="dxa"/>
            <w:noWrap/>
            <w:hideMark/>
          </w:tcPr>
          <w:p w14:paraId="23555B16"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Neendakara</w:t>
            </w:r>
            <w:proofErr w:type="spellEnd"/>
          </w:p>
        </w:tc>
        <w:tc>
          <w:tcPr>
            <w:tcW w:w="1628" w:type="dxa"/>
            <w:noWrap/>
            <w:hideMark/>
          </w:tcPr>
          <w:p w14:paraId="1C9421F4"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w:t>
            </w:r>
          </w:p>
        </w:tc>
        <w:tc>
          <w:tcPr>
            <w:tcW w:w="5528" w:type="dxa"/>
            <w:noWrap/>
            <w:hideMark/>
          </w:tcPr>
          <w:p w14:paraId="79E741A3"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proofErr w:type="spellStart"/>
            <w:r w:rsidRPr="001A7B2B">
              <w:rPr>
                <w:rFonts w:ascii="Times New Roman" w:eastAsia="Times New Roman" w:hAnsi="Times New Roman" w:cs="Times New Roman"/>
                <w:i/>
                <w:iCs/>
                <w:color w:val="000000"/>
                <w:kern w:val="0"/>
                <w:lang w:eastAsia="en-IN"/>
                <w14:ligatures w14:val="none"/>
              </w:rPr>
              <w:t>Thalassiosira</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Coscinodiscus</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Biddulphia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Trichodesmium</w:t>
            </w:r>
            <w:r w:rsidRPr="001A7B2B">
              <w:rPr>
                <w:rFonts w:ascii="Times New Roman" w:eastAsia="Times New Roman" w:hAnsi="Times New Roman" w:cs="Times New Roman"/>
                <w:color w:val="000000"/>
                <w:kern w:val="0"/>
                <w:lang w:eastAsia="en-IN"/>
                <w14:ligatures w14:val="none"/>
              </w:rPr>
              <w:t>)</w:t>
            </w:r>
          </w:p>
        </w:tc>
      </w:tr>
      <w:tr w:rsidR="00621D58" w:rsidRPr="001A7B2B" w14:paraId="6AC16A53" w14:textId="77777777" w:rsidTr="00621D58">
        <w:trPr>
          <w:trHeight w:val="290"/>
        </w:trPr>
        <w:tc>
          <w:tcPr>
            <w:tcW w:w="1486" w:type="dxa"/>
            <w:noWrap/>
            <w:hideMark/>
          </w:tcPr>
          <w:p w14:paraId="76C8B8BC"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Puthenthuruth</w:t>
            </w:r>
            <w:proofErr w:type="spellEnd"/>
          </w:p>
        </w:tc>
        <w:tc>
          <w:tcPr>
            <w:tcW w:w="1628" w:type="dxa"/>
            <w:noWrap/>
            <w:hideMark/>
          </w:tcPr>
          <w:p w14:paraId="0D64027B"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w:t>
            </w:r>
          </w:p>
        </w:tc>
        <w:tc>
          <w:tcPr>
            <w:tcW w:w="5528" w:type="dxa"/>
            <w:noWrap/>
            <w:hideMark/>
          </w:tcPr>
          <w:p w14:paraId="50BFD7AA"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Microcystis</w:t>
            </w:r>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Oscillatoria</w:t>
            </w:r>
            <w:r w:rsidRPr="001A7B2B">
              <w:rPr>
                <w:rFonts w:ascii="Times New Roman" w:eastAsia="Times New Roman" w:hAnsi="Times New Roman" w:cs="Times New Roman"/>
                <w:color w:val="000000"/>
                <w:kern w:val="0"/>
                <w:lang w:eastAsia="en-IN"/>
                <w14:ligatures w14:val="none"/>
              </w:rPr>
              <w:t>), Diatoms (</w:t>
            </w:r>
            <w:proofErr w:type="spellStart"/>
            <w:r w:rsidRPr="001A7B2B">
              <w:rPr>
                <w:rFonts w:ascii="Times New Roman" w:eastAsia="Times New Roman" w:hAnsi="Times New Roman" w:cs="Times New Roman"/>
                <w:i/>
                <w:iCs/>
                <w:color w:val="000000"/>
                <w:kern w:val="0"/>
                <w:lang w:eastAsia="en-IN"/>
                <w14:ligatures w14:val="none"/>
              </w:rPr>
              <w:t>Chaetoceros</w:t>
            </w:r>
            <w:proofErr w:type="spellEnd"/>
            <w:r w:rsidRPr="001A7B2B">
              <w:rPr>
                <w:rFonts w:ascii="Times New Roman" w:eastAsia="Times New Roman" w:hAnsi="Times New Roman" w:cs="Times New Roman"/>
                <w:color w:val="000000"/>
                <w:kern w:val="0"/>
                <w:lang w:eastAsia="en-IN"/>
                <w14:ligatures w14:val="none"/>
              </w:rPr>
              <w:t>), Chlorophyceae (</w:t>
            </w:r>
            <w:proofErr w:type="spellStart"/>
            <w:r w:rsidRPr="001A7B2B">
              <w:rPr>
                <w:rFonts w:ascii="Times New Roman" w:eastAsia="Times New Roman" w:hAnsi="Times New Roman" w:cs="Times New Roman"/>
                <w:i/>
                <w:iCs/>
                <w:color w:val="000000"/>
                <w:kern w:val="0"/>
                <w:lang w:eastAsia="en-IN"/>
                <w14:ligatures w14:val="none"/>
              </w:rPr>
              <w:t>Stephanodiscus</w:t>
            </w:r>
            <w:proofErr w:type="spellEnd"/>
            <w:r w:rsidRPr="001A7B2B">
              <w:rPr>
                <w:rFonts w:ascii="Times New Roman" w:eastAsia="Times New Roman" w:hAnsi="Times New Roman" w:cs="Times New Roman"/>
                <w:color w:val="000000"/>
                <w:kern w:val="0"/>
                <w:lang w:eastAsia="en-IN"/>
                <w14:ligatures w14:val="none"/>
              </w:rPr>
              <w:t>)</w:t>
            </w:r>
          </w:p>
        </w:tc>
      </w:tr>
      <w:tr w:rsidR="00621D58" w:rsidRPr="001A7B2B" w14:paraId="198F3494" w14:textId="77777777" w:rsidTr="00621D58">
        <w:trPr>
          <w:trHeight w:val="290"/>
        </w:trPr>
        <w:tc>
          <w:tcPr>
            <w:tcW w:w="1486" w:type="dxa"/>
            <w:noWrap/>
            <w:hideMark/>
          </w:tcPr>
          <w:p w14:paraId="1918DCA1"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Asramam</w:t>
            </w:r>
            <w:proofErr w:type="spellEnd"/>
          </w:p>
        </w:tc>
        <w:tc>
          <w:tcPr>
            <w:tcW w:w="1628" w:type="dxa"/>
            <w:noWrap/>
            <w:hideMark/>
          </w:tcPr>
          <w:p w14:paraId="69D4C43C"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13</w:t>
            </w:r>
          </w:p>
        </w:tc>
        <w:tc>
          <w:tcPr>
            <w:tcW w:w="5528" w:type="dxa"/>
            <w:noWrap/>
            <w:hideMark/>
          </w:tcPr>
          <w:p w14:paraId="22791108"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r w:rsidRPr="001A7B2B">
              <w:rPr>
                <w:rFonts w:ascii="Times New Roman" w:eastAsia="Times New Roman" w:hAnsi="Times New Roman" w:cs="Times New Roman"/>
                <w:i/>
                <w:iCs/>
                <w:color w:val="000000"/>
                <w:kern w:val="0"/>
                <w:lang w:eastAsia="en-IN"/>
                <w14:ligatures w14:val="none"/>
              </w:rPr>
              <w:t>Coscinodiscus</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Navicula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Thalassiosira</w:t>
            </w:r>
            <w:proofErr w:type="spellEnd"/>
            <w:r w:rsidRPr="001A7B2B">
              <w:rPr>
                <w:rFonts w:ascii="Times New Roman" w:eastAsia="Times New Roman" w:hAnsi="Times New Roman" w:cs="Times New Roman"/>
                <w:color w:val="000000"/>
                <w:kern w:val="0"/>
                <w:lang w:eastAsia="en-IN"/>
                <w14:ligatures w14:val="none"/>
              </w:rPr>
              <w:t>)</w:t>
            </w:r>
          </w:p>
        </w:tc>
      </w:tr>
      <w:tr w:rsidR="00621D58" w:rsidRPr="001A7B2B" w14:paraId="5484402B" w14:textId="77777777" w:rsidTr="00621D58">
        <w:trPr>
          <w:trHeight w:val="290"/>
        </w:trPr>
        <w:tc>
          <w:tcPr>
            <w:tcW w:w="1486" w:type="dxa"/>
            <w:noWrap/>
            <w:hideMark/>
          </w:tcPr>
          <w:p w14:paraId="25E0CEFC"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Kidapram</w:t>
            </w:r>
            <w:proofErr w:type="spellEnd"/>
          </w:p>
        </w:tc>
        <w:tc>
          <w:tcPr>
            <w:tcW w:w="1628" w:type="dxa"/>
            <w:noWrap/>
            <w:hideMark/>
          </w:tcPr>
          <w:p w14:paraId="3C715C62"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65</w:t>
            </w:r>
          </w:p>
        </w:tc>
        <w:tc>
          <w:tcPr>
            <w:tcW w:w="5528" w:type="dxa"/>
            <w:noWrap/>
            <w:hideMark/>
          </w:tcPr>
          <w:p w14:paraId="63F1F656"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proofErr w:type="spellStart"/>
            <w:r w:rsidRPr="001A7B2B">
              <w:rPr>
                <w:rFonts w:ascii="Times New Roman" w:eastAsia="Times New Roman" w:hAnsi="Times New Roman" w:cs="Times New Roman"/>
                <w:i/>
                <w:iCs/>
                <w:color w:val="000000"/>
                <w:kern w:val="0"/>
                <w:lang w:eastAsia="en-IN"/>
                <w14:ligatures w14:val="none"/>
              </w:rPr>
              <w:t>Diatoma</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Cyclotella</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Navicula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Anabaena</w:t>
            </w:r>
            <w:r w:rsidRPr="001A7B2B">
              <w:rPr>
                <w:rFonts w:ascii="Times New Roman" w:eastAsia="Times New Roman" w:hAnsi="Times New Roman" w:cs="Times New Roman"/>
                <w:color w:val="000000"/>
                <w:kern w:val="0"/>
                <w:lang w:eastAsia="en-IN"/>
                <w14:ligatures w14:val="none"/>
              </w:rPr>
              <w:t>), Chlorophyceae (</w:t>
            </w:r>
            <w:r w:rsidRPr="001A7B2B">
              <w:rPr>
                <w:rFonts w:ascii="Times New Roman" w:eastAsia="Times New Roman" w:hAnsi="Times New Roman" w:cs="Times New Roman"/>
                <w:i/>
                <w:iCs/>
                <w:color w:val="000000"/>
                <w:kern w:val="0"/>
                <w:lang w:eastAsia="en-IN"/>
                <w14:ligatures w14:val="none"/>
              </w:rPr>
              <w:t>Pediastrum</w:t>
            </w:r>
            <w:r w:rsidRPr="001A7B2B">
              <w:rPr>
                <w:rFonts w:ascii="Times New Roman" w:eastAsia="Times New Roman" w:hAnsi="Times New Roman" w:cs="Times New Roman"/>
                <w:color w:val="000000"/>
                <w:kern w:val="0"/>
                <w:lang w:eastAsia="en-IN"/>
                <w14:ligatures w14:val="none"/>
              </w:rPr>
              <w:t>)</w:t>
            </w:r>
          </w:p>
        </w:tc>
      </w:tr>
      <w:tr w:rsidR="00621D58" w:rsidRPr="001A7B2B" w14:paraId="7D344D7E" w14:textId="77777777" w:rsidTr="00621D58">
        <w:trPr>
          <w:trHeight w:val="290"/>
        </w:trPr>
        <w:tc>
          <w:tcPr>
            <w:tcW w:w="1486" w:type="dxa"/>
            <w:noWrap/>
            <w:hideMark/>
          </w:tcPr>
          <w:p w14:paraId="709EA648"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Cherikkadavu</w:t>
            </w:r>
            <w:proofErr w:type="spellEnd"/>
          </w:p>
        </w:tc>
        <w:tc>
          <w:tcPr>
            <w:tcW w:w="1628" w:type="dxa"/>
            <w:noWrap/>
            <w:hideMark/>
          </w:tcPr>
          <w:p w14:paraId="115E113E"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70</w:t>
            </w:r>
          </w:p>
        </w:tc>
        <w:tc>
          <w:tcPr>
            <w:tcW w:w="5528" w:type="dxa"/>
            <w:noWrap/>
            <w:hideMark/>
          </w:tcPr>
          <w:p w14:paraId="60C83F61"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proofErr w:type="spellStart"/>
            <w:r w:rsidRPr="001A7B2B">
              <w:rPr>
                <w:rFonts w:ascii="Times New Roman" w:eastAsia="Times New Roman" w:hAnsi="Times New Roman" w:cs="Times New Roman"/>
                <w:i/>
                <w:iCs/>
                <w:color w:val="000000"/>
                <w:kern w:val="0"/>
                <w:lang w:eastAsia="en-IN"/>
                <w14:ligatures w14:val="none"/>
              </w:rPr>
              <w:t>Diatoma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Cymbella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Eunotia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Navicula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Phormidium</w:t>
            </w:r>
            <w:proofErr w:type="spellEnd"/>
            <w:r w:rsidRPr="001A7B2B">
              <w:rPr>
                <w:rFonts w:ascii="Times New Roman" w:eastAsia="Times New Roman" w:hAnsi="Times New Roman" w:cs="Times New Roman"/>
                <w:color w:val="000000"/>
                <w:kern w:val="0"/>
                <w:lang w:eastAsia="en-IN"/>
                <w14:ligatures w14:val="none"/>
              </w:rPr>
              <w:t>), Chlorophyceae (</w:t>
            </w:r>
            <w:r w:rsidRPr="001A7B2B">
              <w:rPr>
                <w:rFonts w:ascii="Times New Roman" w:eastAsia="Times New Roman" w:hAnsi="Times New Roman" w:cs="Times New Roman"/>
                <w:i/>
                <w:iCs/>
                <w:color w:val="000000"/>
                <w:kern w:val="0"/>
                <w:lang w:eastAsia="en-IN"/>
                <w14:ligatures w14:val="none"/>
              </w:rPr>
              <w:t>Chlorella</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Cosmarium</w:t>
            </w:r>
            <w:proofErr w:type="spellEnd"/>
            <w:r w:rsidRPr="001A7B2B">
              <w:rPr>
                <w:rFonts w:ascii="Times New Roman" w:eastAsia="Times New Roman" w:hAnsi="Times New Roman" w:cs="Times New Roman"/>
                <w:color w:val="000000"/>
                <w:kern w:val="0"/>
                <w:lang w:eastAsia="en-IN"/>
                <w14:ligatures w14:val="none"/>
              </w:rPr>
              <w:t>,</w:t>
            </w:r>
            <w:r w:rsidRPr="001A7B2B">
              <w:rPr>
                <w:rFonts w:ascii="Times New Roman" w:eastAsia="Times New Roman" w:hAnsi="Times New Roman" w:cs="Times New Roman"/>
                <w:i/>
                <w:iCs/>
                <w:color w:val="000000"/>
                <w:kern w:val="0"/>
                <w:lang w:eastAsia="en-IN"/>
                <w14:ligatures w14:val="none"/>
              </w:rPr>
              <w:t xml:space="preserve"> Pediastrum</w:t>
            </w:r>
            <w:r w:rsidRPr="001A7B2B">
              <w:rPr>
                <w:rFonts w:ascii="Times New Roman" w:eastAsia="Times New Roman" w:hAnsi="Times New Roman" w:cs="Times New Roman"/>
                <w:color w:val="000000"/>
                <w:kern w:val="0"/>
                <w:lang w:eastAsia="en-IN"/>
                <w14:ligatures w14:val="none"/>
              </w:rPr>
              <w:t>,</w:t>
            </w:r>
            <w:r w:rsidRPr="001A7B2B">
              <w:rPr>
                <w:rFonts w:ascii="Times New Roman" w:eastAsia="Times New Roman" w:hAnsi="Times New Roman" w:cs="Times New Roman"/>
                <w:i/>
                <w:iCs/>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Zygnema</w:t>
            </w:r>
            <w:proofErr w:type="spellEnd"/>
            <w:r w:rsidRPr="001A7B2B">
              <w:rPr>
                <w:rFonts w:ascii="Times New Roman" w:eastAsia="Times New Roman" w:hAnsi="Times New Roman" w:cs="Times New Roman"/>
                <w:color w:val="000000"/>
                <w:kern w:val="0"/>
                <w:lang w:eastAsia="en-IN"/>
                <w14:ligatures w14:val="none"/>
              </w:rPr>
              <w:t>)</w:t>
            </w:r>
          </w:p>
        </w:tc>
      </w:tr>
    </w:tbl>
    <w:p w14:paraId="5090132D" w14:textId="77777777" w:rsidR="00621D58" w:rsidRPr="001A7B2B" w:rsidRDefault="00621D58" w:rsidP="007B1180">
      <w:pPr>
        <w:spacing w:after="0" w:line="360" w:lineRule="auto"/>
        <w:jc w:val="both"/>
        <w:rPr>
          <w:rFonts w:ascii="Times New Roman" w:hAnsi="Times New Roman" w:cs="Times New Roman"/>
        </w:rPr>
      </w:pPr>
    </w:p>
    <w:p w14:paraId="32AEC55B" w14:textId="765F0DAA" w:rsidR="00073D9A" w:rsidRPr="001A7B2B" w:rsidRDefault="00073D9A" w:rsidP="00073D9A">
      <w:pPr>
        <w:spacing w:after="0" w:line="360" w:lineRule="auto"/>
        <w:jc w:val="both"/>
        <w:rPr>
          <w:rFonts w:ascii="Times New Roman" w:hAnsi="Times New Roman" w:cs="Times New Roman"/>
          <w:b/>
          <w:bCs/>
        </w:rPr>
      </w:pPr>
      <w:r w:rsidRPr="001A7B2B">
        <w:rPr>
          <w:rFonts w:ascii="Times New Roman" w:hAnsi="Times New Roman" w:cs="Times New Roman"/>
          <w:b/>
          <w:bCs/>
        </w:rPr>
        <w:t>3.</w:t>
      </w:r>
      <w:r w:rsidR="00803F39" w:rsidRPr="001A7B2B">
        <w:rPr>
          <w:rFonts w:ascii="Times New Roman" w:hAnsi="Times New Roman" w:cs="Times New Roman"/>
          <w:b/>
          <w:bCs/>
        </w:rPr>
        <w:t>3.</w:t>
      </w:r>
      <w:r w:rsidRPr="001A7B2B">
        <w:rPr>
          <w:rFonts w:ascii="Times New Roman" w:hAnsi="Times New Roman" w:cs="Times New Roman"/>
          <w:b/>
          <w:bCs/>
        </w:rPr>
        <w:t xml:space="preserve"> Principal Component Analysis (PCA)</w:t>
      </w:r>
    </w:p>
    <w:p w14:paraId="75D5F82A" w14:textId="56C377C9" w:rsidR="00073D9A" w:rsidRPr="001A7B2B" w:rsidRDefault="00073D9A"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Principal Component Analysis (PCA) was performed to explore the ecological relationships among the five ecosites based on phytoplankton group composition and </w:t>
      </w:r>
      <w:proofErr w:type="spellStart"/>
      <w:r w:rsidRPr="001A7B2B">
        <w:rPr>
          <w:rFonts w:ascii="Times New Roman" w:hAnsi="Times New Roman" w:cs="Times New Roman"/>
        </w:rPr>
        <w:t>physico</w:t>
      </w:r>
      <w:proofErr w:type="spellEnd"/>
      <w:r w:rsidRPr="001A7B2B">
        <w:rPr>
          <w:rFonts w:ascii="Times New Roman" w:hAnsi="Times New Roman" w:cs="Times New Roman"/>
        </w:rPr>
        <w:t xml:space="preserve">-chemical parameters. The first two principal components explained a substantial proportion of the variance, effectively separating the ecosites along environmental gradients such as salinity and nutrient concentration.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clustered along axes associated with high salinity and marine phytoplankton groups (</w:t>
      </w:r>
      <w:proofErr w:type="spellStart"/>
      <w:r w:rsidRPr="001A7B2B">
        <w:rPr>
          <w:rFonts w:ascii="Times New Roman" w:hAnsi="Times New Roman" w:cs="Times New Roman"/>
          <w:i/>
          <w:iCs/>
        </w:rPr>
        <w:t>Trichodesmium</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Thalassiosira</w:t>
      </w:r>
      <w:proofErr w:type="spellEnd"/>
      <w:r w:rsidRPr="001A7B2B">
        <w:rPr>
          <w:rFonts w:ascii="Times New Roman" w:hAnsi="Times New Roman" w:cs="Times New Roman"/>
        </w:rPr>
        <w:t xml:space="preserve">), while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aligned with freshwater indicators such as </w:t>
      </w:r>
      <w:r w:rsidRPr="001A7B2B">
        <w:rPr>
          <w:rFonts w:ascii="Times New Roman" w:hAnsi="Times New Roman" w:cs="Times New Roman"/>
          <w:i/>
          <w:iCs/>
        </w:rPr>
        <w:t>Anabaena</w:t>
      </w:r>
      <w:r w:rsidRPr="001A7B2B">
        <w:rPr>
          <w:rFonts w:ascii="Times New Roman" w:hAnsi="Times New Roman" w:cs="Times New Roman"/>
        </w:rPr>
        <w:t xml:space="preserve">, </w:t>
      </w:r>
      <w:r w:rsidRPr="001A7B2B">
        <w:rPr>
          <w:rFonts w:ascii="Times New Roman" w:hAnsi="Times New Roman" w:cs="Times New Roman"/>
          <w:i/>
          <w:iCs/>
        </w:rPr>
        <w:t>Pediastrum</w:t>
      </w:r>
      <w:r w:rsidRPr="001A7B2B">
        <w:rPr>
          <w:rFonts w:ascii="Times New Roman" w:hAnsi="Times New Roman" w:cs="Times New Roman"/>
        </w:rPr>
        <w:t xml:space="preserve">, and lower salinity values.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influenced by moderate estuarine conditions, occupied an intermediate position. The PCA biplot (Figure </w:t>
      </w:r>
      <w:r w:rsidR="000508BE" w:rsidRPr="001A7B2B">
        <w:rPr>
          <w:rFonts w:ascii="Times New Roman" w:hAnsi="Times New Roman" w:cs="Times New Roman"/>
        </w:rPr>
        <w:t>2</w:t>
      </w:r>
      <w:r w:rsidRPr="001A7B2B">
        <w:rPr>
          <w:rFonts w:ascii="Times New Roman" w:hAnsi="Times New Roman" w:cs="Times New Roman"/>
        </w:rPr>
        <w:t>) highlights distinct ecological signatures for each site, confirming the spatial heterogeneity and ecological zonation observed in field assessments and supporting the validity of the ecosite classification.</w:t>
      </w:r>
    </w:p>
    <w:p w14:paraId="3E056A5A" w14:textId="77777777" w:rsidR="00073D9A" w:rsidRPr="001A7B2B" w:rsidRDefault="00073D9A" w:rsidP="007B1180">
      <w:pPr>
        <w:spacing w:after="0" w:line="360" w:lineRule="auto"/>
        <w:jc w:val="both"/>
        <w:rPr>
          <w:rFonts w:ascii="Times New Roman" w:hAnsi="Times New Roman" w:cs="Times New Roman"/>
        </w:rPr>
      </w:pPr>
    </w:p>
    <w:p w14:paraId="29B5F1CB" w14:textId="63874748" w:rsidR="00FE660B" w:rsidRPr="001A7B2B" w:rsidRDefault="00EF4E8F" w:rsidP="009C4AEF">
      <w:pPr>
        <w:spacing w:after="0" w:line="360" w:lineRule="auto"/>
        <w:jc w:val="center"/>
        <w:rPr>
          <w:rFonts w:ascii="Times New Roman" w:hAnsi="Times New Roman" w:cs="Times New Roman"/>
        </w:rPr>
      </w:pPr>
      <w:r>
        <w:rPr>
          <w:noProof/>
        </w:rPr>
        <w:lastRenderedPageBreak/>
        <w:drawing>
          <wp:inline distT="0" distB="0" distL="0" distR="0" wp14:anchorId="57C68BC4" wp14:editId="0F24291E">
            <wp:extent cx="5731510" cy="3836035"/>
            <wp:effectExtent l="0" t="0" r="2540" b="0"/>
            <wp:docPr id="26210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6563" name=""/>
                    <pic:cNvPicPr/>
                  </pic:nvPicPr>
                  <pic:blipFill>
                    <a:blip r:embed="rId8"/>
                    <a:stretch>
                      <a:fillRect/>
                    </a:stretch>
                  </pic:blipFill>
                  <pic:spPr>
                    <a:xfrm>
                      <a:off x="0" y="0"/>
                      <a:ext cx="5731510" cy="3836035"/>
                    </a:xfrm>
                    <a:prstGeom prst="rect">
                      <a:avLst/>
                    </a:prstGeom>
                  </pic:spPr>
                </pic:pic>
              </a:graphicData>
            </a:graphic>
          </wp:inline>
        </w:drawing>
      </w:r>
    </w:p>
    <w:p w14:paraId="3A899615" w14:textId="057FFC0B" w:rsidR="00216FF9" w:rsidRPr="001A7B2B" w:rsidRDefault="009C4AEF" w:rsidP="007B1180">
      <w:pPr>
        <w:spacing w:after="0" w:line="360" w:lineRule="auto"/>
        <w:jc w:val="both"/>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2</w:t>
      </w:r>
      <w:r w:rsidRPr="001A7B2B">
        <w:rPr>
          <w:rFonts w:ascii="Times New Roman" w:hAnsi="Times New Roman" w:cs="Times New Roman"/>
          <w:b/>
          <w:bCs/>
        </w:rPr>
        <w:t>.</w:t>
      </w:r>
      <w:r w:rsidRPr="001A7B2B">
        <w:rPr>
          <w:rFonts w:ascii="Times New Roman" w:hAnsi="Times New Roman" w:cs="Times New Roman"/>
        </w:rPr>
        <w:t xml:space="preserve"> PCA Biplot Showing Ecosite Clustering and Phytoplankton Group Influence in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w:t>
      </w:r>
    </w:p>
    <w:p w14:paraId="389D262F" w14:textId="4098E718" w:rsidR="00865884" w:rsidRPr="001A7B2B" w:rsidRDefault="00865884"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w:t>
      </w:r>
      <w:r w:rsidR="00803F39" w:rsidRPr="001A7B2B">
        <w:rPr>
          <w:rFonts w:ascii="Times New Roman" w:hAnsi="Times New Roman" w:cs="Times New Roman"/>
          <w:b/>
          <w:bCs/>
        </w:rPr>
        <w:t>4.</w:t>
      </w:r>
      <w:r w:rsidRPr="001A7B2B">
        <w:rPr>
          <w:rFonts w:ascii="Times New Roman" w:hAnsi="Times New Roman" w:cs="Times New Roman"/>
          <w:b/>
          <w:bCs/>
        </w:rPr>
        <w:t xml:space="preserve"> Ecological Characterization of Five Ecosites</w:t>
      </w:r>
    </w:p>
    <w:p w14:paraId="7FCEA2A6" w14:textId="78F7307C" w:rsidR="00865884"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located at the estuarine mouth where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Lake opens into the Arabian Sea, represents a high-salinity marine-influenced ecosite with strong tidal interaction. The site supports diverse aquatic life, including a rich assemblage of 55 phytoplankton species dominated by diatoms (</w:t>
      </w:r>
      <w:proofErr w:type="spellStart"/>
      <w:r w:rsidRPr="001A7B2B">
        <w:rPr>
          <w:rFonts w:ascii="Times New Roman" w:hAnsi="Times New Roman" w:cs="Times New Roman"/>
          <w:i/>
          <w:iCs/>
        </w:rPr>
        <w:t>Thalassiosira</w:t>
      </w:r>
      <w:proofErr w:type="spellEnd"/>
      <w:r w:rsidRPr="001A7B2B">
        <w:rPr>
          <w:rFonts w:ascii="Times New Roman" w:hAnsi="Times New Roman" w:cs="Times New Roman"/>
        </w:rPr>
        <w:t xml:space="preserve">, </w:t>
      </w:r>
      <w:r w:rsidRPr="001A7B2B">
        <w:rPr>
          <w:rFonts w:ascii="Times New Roman" w:hAnsi="Times New Roman" w:cs="Times New Roman"/>
          <w:i/>
          <w:iCs/>
        </w:rPr>
        <w:t>Coscinodiscus</w:t>
      </w:r>
      <w:r w:rsidRPr="001A7B2B">
        <w:rPr>
          <w:rFonts w:ascii="Times New Roman" w:hAnsi="Times New Roman" w:cs="Times New Roman"/>
        </w:rPr>
        <w:t>) and cyanophytes (</w:t>
      </w:r>
      <w:r w:rsidRPr="001A7B2B">
        <w:rPr>
          <w:rFonts w:ascii="Times New Roman" w:hAnsi="Times New Roman" w:cs="Times New Roman"/>
          <w:i/>
          <w:iCs/>
        </w:rPr>
        <w:t>Trichodesmium</w:t>
      </w:r>
      <w:r w:rsidRPr="001A7B2B">
        <w:rPr>
          <w:rFonts w:ascii="Times New Roman" w:hAnsi="Times New Roman" w:cs="Times New Roman"/>
        </w:rPr>
        <w:t xml:space="preserve">), along with 32 species of zooplankton, benthic </w:t>
      </w:r>
      <w:r w:rsidR="00E94442" w:rsidRPr="001A7B2B">
        <w:rPr>
          <w:rFonts w:ascii="Times New Roman" w:hAnsi="Times New Roman" w:cs="Times New Roman"/>
        </w:rPr>
        <w:t>molluscs</w:t>
      </w:r>
      <w:r w:rsidRPr="001A7B2B">
        <w:rPr>
          <w:rFonts w:ascii="Times New Roman" w:hAnsi="Times New Roman" w:cs="Times New Roman"/>
        </w:rPr>
        <w:t xml:space="preserve">, and commercially significant fish such as </w:t>
      </w:r>
      <w:r w:rsidRPr="001A7B2B">
        <w:rPr>
          <w:rFonts w:ascii="Times New Roman" w:hAnsi="Times New Roman" w:cs="Times New Roman"/>
          <w:i/>
          <w:iCs/>
        </w:rPr>
        <w:t>Sardinella fimbriata</w:t>
      </w:r>
      <w:r w:rsidRPr="001A7B2B">
        <w:rPr>
          <w:rFonts w:ascii="Times New Roman" w:hAnsi="Times New Roman" w:cs="Times New Roman"/>
        </w:rPr>
        <w:t xml:space="preserve"> and </w:t>
      </w:r>
      <w:r w:rsidRPr="001A7B2B">
        <w:rPr>
          <w:rFonts w:ascii="Times New Roman" w:hAnsi="Times New Roman" w:cs="Times New Roman"/>
          <w:i/>
          <w:iCs/>
        </w:rPr>
        <w:t>Penaeus indicus</w:t>
      </w:r>
      <w:r w:rsidRPr="001A7B2B">
        <w:rPr>
          <w:rFonts w:ascii="Times New Roman" w:hAnsi="Times New Roman" w:cs="Times New Roman"/>
        </w:rPr>
        <w:t xml:space="preserve">. The shoreline is stabilized by pioneer coastal species like </w:t>
      </w:r>
      <w:r w:rsidRPr="001A7B2B">
        <w:rPr>
          <w:rFonts w:ascii="Times New Roman" w:hAnsi="Times New Roman" w:cs="Times New Roman"/>
          <w:i/>
          <w:iCs/>
        </w:rPr>
        <w:t>Ipomoea pes-</w:t>
      </w:r>
      <w:proofErr w:type="spellStart"/>
      <w:r w:rsidRPr="001A7B2B">
        <w:rPr>
          <w:rFonts w:ascii="Times New Roman" w:hAnsi="Times New Roman" w:cs="Times New Roman"/>
          <w:i/>
          <w:iCs/>
        </w:rPr>
        <w:t>caprae</w:t>
      </w:r>
      <w:proofErr w:type="spellEnd"/>
      <w:r w:rsidRPr="001A7B2B">
        <w:rPr>
          <w:rFonts w:ascii="Times New Roman" w:hAnsi="Times New Roman" w:cs="Times New Roman"/>
        </w:rPr>
        <w:t xml:space="preserve">, </w:t>
      </w:r>
      <w:r w:rsidRPr="001A7B2B">
        <w:rPr>
          <w:rFonts w:ascii="Times New Roman" w:hAnsi="Times New Roman" w:cs="Times New Roman"/>
          <w:i/>
          <w:iCs/>
        </w:rPr>
        <w:t xml:space="preserve">Spinifex </w:t>
      </w:r>
      <w:proofErr w:type="spellStart"/>
      <w:r w:rsidRPr="001A7B2B">
        <w:rPr>
          <w:rFonts w:ascii="Times New Roman" w:hAnsi="Times New Roman" w:cs="Times New Roman"/>
          <w:i/>
          <w:iCs/>
        </w:rPr>
        <w:t>littoreus</w:t>
      </w:r>
      <w:proofErr w:type="spellEnd"/>
      <w:r w:rsidRPr="001A7B2B">
        <w:rPr>
          <w:rFonts w:ascii="Times New Roman" w:hAnsi="Times New Roman" w:cs="Times New Roman"/>
        </w:rPr>
        <w:t>, and salt</w:t>
      </w:r>
      <w:r w:rsidR="009C4AEF" w:rsidRPr="001A7B2B">
        <w:rPr>
          <w:rFonts w:ascii="Times New Roman" w:hAnsi="Times New Roman" w:cs="Times New Roman"/>
        </w:rPr>
        <w:t xml:space="preserve"> </w:t>
      </w:r>
      <w:r w:rsidRPr="001A7B2B">
        <w:rPr>
          <w:rFonts w:ascii="Times New Roman" w:hAnsi="Times New Roman" w:cs="Times New Roman"/>
        </w:rPr>
        <w:t xml:space="preserve">tolerant mangrove associates such as </w:t>
      </w:r>
      <w:proofErr w:type="spellStart"/>
      <w:r w:rsidRPr="001A7B2B">
        <w:rPr>
          <w:rFonts w:ascii="Times New Roman" w:hAnsi="Times New Roman" w:cs="Times New Roman"/>
          <w:i/>
          <w:iCs/>
        </w:rPr>
        <w:t>Excoecaria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agallocha</w:t>
      </w:r>
      <w:proofErr w:type="spellEnd"/>
      <w:r w:rsidRPr="001A7B2B">
        <w:rPr>
          <w:rFonts w:ascii="Times New Roman" w:hAnsi="Times New Roman" w:cs="Times New Roman"/>
        </w:rPr>
        <w:t>. This zone functions as a productive ecological interface supporting fisheries, nutrient cycling, and shoreline stabilization.</w:t>
      </w:r>
    </w:p>
    <w:p w14:paraId="29FC94B9" w14:textId="77777777" w:rsidR="00EF4E8F" w:rsidRDefault="00EF4E8F" w:rsidP="00803F39">
      <w:pPr>
        <w:spacing w:after="0" w:line="360" w:lineRule="auto"/>
        <w:ind w:firstLine="720"/>
        <w:jc w:val="both"/>
        <w:rPr>
          <w:rFonts w:ascii="Times New Roman" w:hAnsi="Times New Roman" w:cs="Times New Roman"/>
        </w:rPr>
      </w:pPr>
    </w:p>
    <w:p w14:paraId="4A142561" w14:textId="2F16BCCE" w:rsidR="00EF4E8F" w:rsidRDefault="00EF4E8F" w:rsidP="00EF4E8F">
      <w:pPr>
        <w:spacing w:after="0" w:line="360" w:lineRule="auto"/>
        <w:jc w:val="center"/>
        <w:rPr>
          <w:rFonts w:ascii="Times New Roman" w:hAnsi="Times New Roman" w:cs="Times New Roman"/>
        </w:rPr>
      </w:pPr>
      <w:r>
        <w:rPr>
          <w:noProof/>
        </w:rPr>
        <w:lastRenderedPageBreak/>
        <w:drawing>
          <wp:inline distT="0" distB="0" distL="0" distR="0" wp14:anchorId="1655F5F4" wp14:editId="089FE4C2">
            <wp:extent cx="5184475" cy="3962166"/>
            <wp:effectExtent l="0" t="0" r="0" b="635"/>
            <wp:docPr id="38593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4817" name=""/>
                    <pic:cNvPicPr/>
                  </pic:nvPicPr>
                  <pic:blipFill>
                    <a:blip r:embed="rId9"/>
                    <a:stretch>
                      <a:fillRect/>
                    </a:stretch>
                  </pic:blipFill>
                  <pic:spPr>
                    <a:xfrm>
                      <a:off x="0" y="0"/>
                      <a:ext cx="5191695" cy="3967684"/>
                    </a:xfrm>
                    <a:prstGeom prst="rect">
                      <a:avLst/>
                    </a:prstGeom>
                  </pic:spPr>
                </pic:pic>
              </a:graphicData>
            </a:graphic>
          </wp:inline>
        </w:drawing>
      </w:r>
    </w:p>
    <w:p w14:paraId="0C186F07" w14:textId="038CF064" w:rsidR="00EF4E8F" w:rsidRPr="001A7B2B" w:rsidRDefault="00EF4E8F" w:rsidP="00EF4E8F">
      <w:pPr>
        <w:spacing w:after="0" w:line="360" w:lineRule="auto"/>
        <w:jc w:val="center"/>
        <w:rPr>
          <w:rFonts w:ascii="Times New Roman" w:hAnsi="Times New Roman" w:cs="Times New Roman"/>
        </w:rPr>
      </w:pPr>
      <w:r>
        <w:rPr>
          <w:noProof/>
        </w:rPr>
        <w:drawing>
          <wp:inline distT="0" distB="0" distL="0" distR="0" wp14:anchorId="50EEF0E3" wp14:editId="0364A271">
            <wp:extent cx="5298062" cy="2812211"/>
            <wp:effectExtent l="0" t="0" r="0" b="7620"/>
            <wp:docPr id="78273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33348" name=""/>
                    <pic:cNvPicPr/>
                  </pic:nvPicPr>
                  <pic:blipFill>
                    <a:blip r:embed="rId10"/>
                    <a:stretch>
                      <a:fillRect/>
                    </a:stretch>
                  </pic:blipFill>
                  <pic:spPr>
                    <a:xfrm>
                      <a:off x="0" y="0"/>
                      <a:ext cx="5301442" cy="2814005"/>
                    </a:xfrm>
                    <a:prstGeom prst="rect">
                      <a:avLst/>
                    </a:prstGeom>
                  </pic:spPr>
                </pic:pic>
              </a:graphicData>
            </a:graphic>
          </wp:inline>
        </w:drawing>
      </w:r>
    </w:p>
    <w:p w14:paraId="18507FB2" w14:textId="755C671A" w:rsidR="00656EB8" w:rsidRPr="001A7B2B" w:rsidRDefault="00656EB8" w:rsidP="007B1180">
      <w:pPr>
        <w:spacing w:after="0" w:line="360" w:lineRule="auto"/>
        <w:jc w:val="both"/>
        <w:rPr>
          <w:rFonts w:ascii="Times New Roman" w:hAnsi="Times New Roman" w:cs="Times New Roman"/>
        </w:rPr>
      </w:pPr>
    </w:p>
    <w:p w14:paraId="6351D030" w14:textId="640E3960" w:rsidR="00752C88"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3</w:t>
      </w:r>
      <w:r w:rsidRPr="001A7B2B">
        <w:rPr>
          <w:rFonts w:ascii="Times New Roman" w:hAnsi="Times New Roman" w:cs="Times New Roman"/>
          <w:b/>
          <w:bCs/>
        </w:rPr>
        <w:t>:</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00752C88" w:rsidRPr="001A7B2B">
        <w:rPr>
          <w:rFonts w:ascii="Times New Roman" w:hAnsi="Times New Roman" w:cs="Times New Roman"/>
        </w:rPr>
        <w:t>Neendakara</w:t>
      </w:r>
      <w:proofErr w:type="spellEnd"/>
    </w:p>
    <w:p w14:paraId="7AADF915" w14:textId="50FBB4BE" w:rsidR="00656EB8"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is a group of small estuarine islands fully surrounded by backwaters, characterized by moderate salinity and high biodiversity. With a phytoplankton diversity of 55 species, including </w:t>
      </w:r>
      <w:r w:rsidRPr="001A7B2B">
        <w:rPr>
          <w:rFonts w:ascii="Times New Roman" w:hAnsi="Times New Roman" w:cs="Times New Roman"/>
          <w:i/>
          <w:iCs/>
        </w:rPr>
        <w:t>Microcystis</w:t>
      </w:r>
      <w:r w:rsidRPr="001A7B2B">
        <w:rPr>
          <w:rFonts w:ascii="Times New Roman" w:hAnsi="Times New Roman" w:cs="Times New Roman"/>
        </w:rPr>
        <w:t xml:space="preserve">, </w:t>
      </w:r>
      <w:r w:rsidRPr="001A7B2B">
        <w:rPr>
          <w:rFonts w:ascii="Times New Roman" w:hAnsi="Times New Roman" w:cs="Times New Roman"/>
          <w:i/>
          <w:iCs/>
        </w:rPr>
        <w:t>Oscillatoria</w:t>
      </w:r>
      <w:r w:rsidRPr="001A7B2B">
        <w:rPr>
          <w:rFonts w:ascii="Times New Roman" w:hAnsi="Times New Roman" w:cs="Times New Roman"/>
        </w:rPr>
        <w:t xml:space="preserve">, and </w:t>
      </w:r>
      <w:proofErr w:type="spellStart"/>
      <w:r w:rsidRPr="001A7B2B">
        <w:rPr>
          <w:rFonts w:ascii="Times New Roman" w:hAnsi="Times New Roman" w:cs="Times New Roman"/>
          <w:i/>
          <w:iCs/>
        </w:rPr>
        <w:t>Stephanodiscus</w:t>
      </w:r>
      <w:proofErr w:type="spellEnd"/>
      <w:r w:rsidRPr="001A7B2B">
        <w:rPr>
          <w:rFonts w:ascii="Times New Roman" w:hAnsi="Times New Roman" w:cs="Times New Roman"/>
        </w:rPr>
        <w:t>, the site is ecologically dominated by true mangroves (</w:t>
      </w:r>
      <w:r w:rsidRPr="001A7B2B">
        <w:rPr>
          <w:rFonts w:ascii="Times New Roman" w:hAnsi="Times New Roman" w:cs="Times New Roman"/>
          <w:i/>
          <w:iCs/>
        </w:rPr>
        <w:t>Rhizophora</w:t>
      </w:r>
      <w:r w:rsidRPr="001A7B2B">
        <w:rPr>
          <w:rFonts w:ascii="Times New Roman" w:hAnsi="Times New Roman" w:cs="Times New Roman"/>
        </w:rPr>
        <w:t xml:space="preserve">, </w:t>
      </w:r>
      <w:r w:rsidRPr="001A7B2B">
        <w:rPr>
          <w:rFonts w:ascii="Times New Roman" w:hAnsi="Times New Roman" w:cs="Times New Roman"/>
          <w:i/>
          <w:iCs/>
        </w:rPr>
        <w:t>Avicennia</w:t>
      </w:r>
      <w:r w:rsidRPr="001A7B2B">
        <w:rPr>
          <w:rFonts w:ascii="Times New Roman" w:hAnsi="Times New Roman" w:cs="Times New Roman"/>
        </w:rPr>
        <w:t xml:space="preserve">, </w:t>
      </w:r>
      <w:r w:rsidRPr="001A7B2B">
        <w:rPr>
          <w:rFonts w:ascii="Times New Roman" w:hAnsi="Times New Roman" w:cs="Times New Roman"/>
          <w:i/>
          <w:iCs/>
        </w:rPr>
        <w:t>Bruguiera</w:t>
      </w:r>
      <w:r w:rsidRPr="001A7B2B">
        <w:rPr>
          <w:rFonts w:ascii="Times New Roman" w:hAnsi="Times New Roman" w:cs="Times New Roman"/>
        </w:rPr>
        <w:t xml:space="preserve">) that anchor the island against erosion and provide critical nursery habitats. The zooplankton community is equally </w:t>
      </w:r>
      <w:r w:rsidRPr="001A7B2B">
        <w:rPr>
          <w:rFonts w:ascii="Times New Roman" w:hAnsi="Times New Roman" w:cs="Times New Roman"/>
        </w:rPr>
        <w:lastRenderedPageBreak/>
        <w:t xml:space="preserve">diverse with 41 species, and benthic fauna such as </w:t>
      </w:r>
      <w:proofErr w:type="spellStart"/>
      <w:r w:rsidRPr="001A7B2B">
        <w:rPr>
          <w:rFonts w:ascii="Times New Roman" w:hAnsi="Times New Roman" w:cs="Times New Roman"/>
          <w:i/>
          <w:iCs/>
        </w:rPr>
        <w:t>Perna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viridis</w:t>
      </w:r>
      <w:proofErr w:type="spellEnd"/>
      <w:r w:rsidRPr="001A7B2B">
        <w:rPr>
          <w:rFonts w:ascii="Times New Roman" w:hAnsi="Times New Roman" w:cs="Times New Roman"/>
        </w:rPr>
        <w:t xml:space="preserve"> and </w:t>
      </w:r>
      <w:r w:rsidRPr="001A7B2B">
        <w:rPr>
          <w:rFonts w:ascii="Times New Roman" w:hAnsi="Times New Roman" w:cs="Times New Roman"/>
          <w:i/>
          <w:iCs/>
        </w:rPr>
        <w:t xml:space="preserve">Crassostrea </w:t>
      </w:r>
      <w:proofErr w:type="spellStart"/>
      <w:r w:rsidRPr="001A7B2B">
        <w:rPr>
          <w:rFonts w:ascii="Times New Roman" w:hAnsi="Times New Roman" w:cs="Times New Roman"/>
          <w:i/>
          <w:iCs/>
        </w:rPr>
        <w:t>madrasensis</w:t>
      </w:r>
      <w:proofErr w:type="spellEnd"/>
      <w:r w:rsidRPr="001A7B2B">
        <w:rPr>
          <w:rFonts w:ascii="Times New Roman" w:hAnsi="Times New Roman" w:cs="Times New Roman"/>
        </w:rPr>
        <w:t xml:space="preserve"> are abundant. Terrestrial and economic species like </w:t>
      </w:r>
      <w:r w:rsidRPr="001A7B2B">
        <w:rPr>
          <w:rFonts w:ascii="Times New Roman" w:hAnsi="Times New Roman" w:cs="Times New Roman"/>
          <w:i/>
          <w:iCs/>
        </w:rPr>
        <w:t>Cocos nucifera</w:t>
      </w:r>
      <w:r w:rsidRPr="001A7B2B">
        <w:rPr>
          <w:rFonts w:ascii="Times New Roman" w:hAnsi="Times New Roman" w:cs="Times New Roman"/>
        </w:rPr>
        <w:t xml:space="preserve"> and </w:t>
      </w:r>
      <w:proofErr w:type="spellStart"/>
      <w:r w:rsidRPr="001A7B2B">
        <w:rPr>
          <w:rFonts w:ascii="Times New Roman" w:hAnsi="Times New Roman" w:cs="Times New Roman"/>
          <w:i/>
          <w:iCs/>
        </w:rPr>
        <w:t>Gliricidia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sepium</w:t>
      </w:r>
      <w:proofErr w:type="spellEnd"/>
      <w:r w:rsidRPr="001A7B2B">
        <w:rPr>
          <w:rFonts w:ascii="Times New Roman" w:hAnsi="Times New Roman" w:cs="Times New Roman"/>
        </w:rPr>
        <w:t xml:space="preserve"> represent sustainable land-use practices intertwined with ecological conservation.</w:t>
      </w:r>
    </w:p>
    <w:p w14:paraId="026645FA" w14:textId="60E306F8" w:rsidR="00EF4E8F" w:rsidRDefault="00EF4E8F" w:rsidP="00EF4E8F">
      <w:pPr>
        <w:spacing w:after="0" w:line="360" w:lineRule="auto"/>
        <w:jc w:val="center"/>
        <w:rPr>
          <w:rFonts w:ascii="Times New Roman" w:hAnsi="Times New Roman" w:cs="Times New Roman"/>
        </w:rPr>
      </w:pPr>
      <w:r>
        <w:rPr>
          <w:noProof/>
        </w:rPr>
        <w:drawing>
          <wp:inline distT="0" distB="0" distL="0" distR="0" wp14:anchorId="008F360F" wp14:editId="3BF074B4">
            <wp:extent cx="3857877" cy="2785484"/>
            <wp:effectExtent l="0" t="0" r="0" b="0"/>
            <wp:docPr id="84410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07694" name=""/>
                    <pic:cNvPicPr/>
                  </pic:nvPicPr>
                  <pic:blipFill>
                    <a:blip r:embed="rId11"/>
                    <a:stretch>
                      <a:fillRect/>
                    </a:stretch>
                  </pic:blipFill>
                  <pic:spPr>
                    <a:xfrm>
                      <a:off x="0" y="0"/>
                      <a:ext cx="3876422" cy="2798874"/>
                    </a:xfrm>
                    <a:prstGeom prst="rect">
                      <a:avLst/>
                    </a:prstGeom>
                  </pic:spPr>
                </pic:pic>
              </a:graphicData>
            </a:graphic>
          </wp:inline>
        </w:drawing>
      </w:r>
    </w:p>
    <w:p w14:paraId="62F1ABE5" w14:textId="0237018B" w:rsidR="00EF4E8F" w:rsidRPr="001A7B2B" w:rsidRDefault="00EF4E8F" w:rsidP="00EF4E8F">
      <w:pPr>
        <w:spacing w:after="0" w:line="360" w:lineRule="auto"/>
        <w:jc w:val="center"/>
        <w:rPr>
          <w:rFonts w:ascii="Times New Roman" w:hAnsi="Times New Roman" w:cs="Times New Roman"/>
        </w:rPr>
      </w:pPr>
      <w:r>
        <w:rPr>
          <w:noProof/>
        </w:rPr>
        <w:drawing>
          <wp:inline distT="0" distB="0" distL="0" distR="0" wp14:anchorId="1342F097" wp14:editId="1D35281C">
            <wp:extent cx="3715553" cy="2410210"/>
            <wp:effectExtent l="0" t="0" r="0" b="9525"/>
            <wp:docPr id="24208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8478" name=""/>
                    <pic:cNvPicPr/>
                  </pic:nvPicPr>
                  <pic:blipFill>
                    <a:blip r:embed="rId12"/>
                    <a:stretch>
                      <a:fillRect/>
                    </a:stretch>
                  </pic:blipFill>
                  <pic:spPr>
                    <a:xfrm>
                      <a:off x="0" y="0"/>
                      <a:ext cx="3737491" cy="2424441"/>
                    </a:xfrm>
                    <a:prstGeom prst="rect">
                      <a:avLst/>
                    </a:prstGeom>
                  </pic:spPr>
                </pic:pic>
              </a:graphicData>
            </a:graphic>
          </wp:inline>
        </w:drawing>
      </w:r>
    </w:p>
    <w:p w14:paraId="742E6E0A" w14:textId="18E6809B" w:rsidR="00865884"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4</w:t>
      </w:r>
      <w:r w:rsidRPr="001A7B2B">
        <w:rPr>
          <w:rFonts w:ascii="Times New Roman" w:hAnsi="Times New Roman" w:cs="Times New Roman"/>
          <w:b/>
          <w:bCs/>
        </w:rPr>
        <w:t>:</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w:t>
      </w:r>
    </w:p>
    <w:p w14:paraId="3440608E" w14:textId="5D9A516C" w:rsidR="00865884"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situated within the urban matrix of Kollam city, presents a unique blend of ecological richness and human interaction. This site features low phytoplankton diversity (13 species), with diatoms being the dominant group, possibly indicating environmental stress or limited nutrient availability. The presence of mangrove belts along the lake margin, especially </w:t>
      </w:r>
      <w:r w:rsidRPr="001A7B2B">
        <w:rPr>
          <w:rFonts w:ascii="Times New Roman" w:hAnsi="Times New Roman" w:cs="Times New Roman"/>
          <w:i/>
          <w:iCs/>
        </w:rPr>
        <w:t>Avicennia</w:t>
      </w:r>
      <w:r w:rsidRPr="001A7B2B">
        <w:rPr>
          <w:rFonts w:ascii="Times New Roman" w:hAnsi="Times New Roman" w:cs="Times New Roman"/>
        </w:rPr>
        <w:t xml:space="preserve"> and </w:t>
      </w:r>
      <w:r w:rsidRPr="001A7B2B">
        <w:rPr>
          <w:rFonts w:ascii="Times New Roman" w:hAnsi="Times New Roman" w:cs="Times New Roman"/>
          <w:i/>
          <w:iCs/>
        </w:rPr>
        <w:t>Rhizophora</w:t>
      </w:r>
      <w:r w:rsidRPr="001A7B2B">
        <w:rPr>
          <w:rFonts w:ascii="Times New Roman" w:hAnsi="Times New Roman" w:cs="Times New Roman"/>
        </w:rPr>
        <w:t xml:space="preserve">, supports estuarine functions and microclimate regulation. Riparian and ornamental species such as </w:t>
      </w:r>
      <w:r w:rsidRPr="001A7B2B">
        <w:rPr>
          <w:rFonts w:ascii="Times New Roman" w:hAnsi="Times New Roman" w:cs="Times New Roman"/>
          <w:i/>
          <w:iCs/>
        </w:rPr>
        <w:t>Casuarina</w:t>
      </w:r>
      <w:r w:rsidRPr="001A7B2B">
        <w:rPr>
          <w:rFonts w:ascii="Times New Roman" w:hAnsi="Times New Roman" w:cs="Times New Roman"/>
        </w:rPr>
        <w:t xml:space="preserve">, </w:t>
      </w:r>
      <w:r w:rsidRPr="001A7B2B">
        <w:rPr>
          <w:rFonts w:ascii="Times New Roman" w:hAnsi="Times New Roman" w:cs="Times New Roman"/>
          <w:i/>
          <w:iCs/>
        </w:rPr>
        <w:t xml:space="preserve">Thespesia </w:t>
      </w:r>
      <w:proofErr w:type="spellStart"/>
      <w:r w:rsidRPr="001A7B2B">
        <w:rPr>
          <w:rFonts w:ascii="Times New Roman" w:hAnsi="Times New Roman" w:cs="Times New Roman"/>
          <w:i/>
          <w:iCs/>
        </w:rPr>
        <w:t>populnea</w:t>
      </w:r>
      <w:proofErr w:type="spellEnd"/>
      <w:r w:rsidRPr="001A7B2B">
        <w:rPr>
          <w:rFonts w:ascii="Times New Roman" w:hAnsi="Times New Roman" w:cs="Times New Roman"/>
        </w:rPr>
        <w:t xml:space="preserve">, and </w:t>
      </w:r>
      <w:r w:rsidRPr="001A7B2B">
        <w:rPr>
          <w:rFonts w:ascii="Times New Roman" w:hAnsi="Times New Roman" w:cs="Times New Roman"/>
          <w:i/>
          <w:iCs/>
        </w:rPr>
        <w:t xml:space="preserve">Terminalia </w:t>
      </w:r>
      <w:proofErr w:type="spellStart"/>
      <w:r w:rsidRPr="001A7B2B">
        <w:rPr>
          <w:rFonts w:ascii="Times New Roman" w:hAnsi="Times New Roman" w:cs="Times New Roman"/>
          <w:i/>
          <w:iCs/>
        </w:rPr>
        <w:t>catappa</w:t>
      </w:r>
      <w:proofErr w:type="spellEnd"/>
      <w:r w:rsidRPr="001A7B2B">
        <w:rPr>
          <w:rFonts w:ascii="Times New Roman" w:hAnsi="Times New Roman" w:cs="Times New Roman"/>
        </w:rPr>
        <w:t xml:space="preserve"> enhance aesthetic and recreational value while contributing to biodiversity. The urban interface also promotes habitat for birds, butterflies, and reptiles, making it a prime example of urban</w:t>
      </w:r>
      <w:r w:rsidR="000508BE" w:rsidRPr="001A7B2B">
        <w:rPr>
          <w:rFonts w:ascii="Times New Roman" w:hAnsi="Times New Roman" w:cs="Times New Roman"/>
        </w:rPr>
        <w:t xml:space="preserve"> </w:t>
      </w:r>
      <w:r w:rsidRPr="001A7B2B">
        <w:rPr>
          <w:rFonts w:ascii="Times New Roman" w:hAnsi="Times New Roman" w:cs="Times New Roman"/>
        </w:rPr>
        <w:t>ecological coexistence.</w:t>
      </w:r>
    </w:p>
    <w:p w14:paraId="63584E1C" w14:textId="77777777" w:rsidR="00EF4E8F" w:rsidRDefault="00EF4E8F" w:rsidP="00803F39">
      <w:pPr>
        <w:spacing w:after="0" w:line="360" w:lineRule="auto"/>
        <w:ind w:firstLine="720"/>
        <w:jc w:val="both"/>
        <w:rPr>
          <w:rFonts w:ascii="Times New Roman" w:hAnsi="Times New Roman" w:cs="Times New Roman"/>
        </w:rPr>
      </w:pPr>
    </w:p>
    <w:p w14:paraId="5C33FBC9" w14:textId="121A5636" w:rsidR="00EF4E8F" w:rsidRDefault="00EF4E8F" w:rsidP="00803F39">
      <w:pPr>
        <w:spacing w:after="0" w:line="360" w:lineRule="auto"/>
        <w:ind w:firstLine="720"/>
        <w:jc w:val="both"/>
        <w:rPr>
          <w:rFonts w:ascii="Times New Roman" w:hAnsi="Times New Roman" w:cs="Times New Roman"/>
        </w:rPr>
      </w:pPr>
      <w:r>
        <w:rPr>
          <w:noProof/>
        </w:rPr>
        <w:drawing>
          <wp:inline distT="0" distB="0" distL="0" distR="0" wp14:anchorId="176A1516" wp14:editId="14EDBF12">
            <wp:extent cx="4707910" cy="3551014"/>
            <wp:effectExtent l="0" t="0" r="0" b="0"/>
            <wp:docPr id="212904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5611" name=""/>
                    <pic:cNvPicPr/>
                  </pic:nvPicPr>
                  <pic:blipFill>
                    <a:blip r:embed="rId13"/>
                    <a:stretch>
                      <a:fillRect/>
                    </a:stretch>
                  </pic:blipFill>
                  <pic:spPr>
                    <a:xfrm>
                      <a:off x="0" y="0"/>
                      <a:ext cx="4715602" cy="3556816"/>
                    </a:xfrm>
                    <a:prstGeom prst="rect">
                      <a:avLst/>
                    </a:prstGeom>
                  </pic:spPr>
                </pic:pic>
              </a:graphicData>
            </a:graphic>
          </wp:inline>
        </w:drawing>
      </w:r>
    </w:p>
    <w:p w14:paraId="312F10D4" w14:textId="27C37D7A" w:rsidR="00EF4E8F" w:rsidRPr="001A7B2B" w:rsidRDefault="00EF4E8F" w:rsidP="00803F39">
      <w:pPr>
        <w:spacing w:after="0" w:line="360" w:lineRule="auto"/>
        <w:ind w:firstLine="720"/>
        <w:jc w:val="both"/>
        <w:rPr>
          <w:rFonts w:ascii="Times New Roman" w:hAnsi="Times New Roman" w:cs="Times New Roman"/>
        </w:rPr>
      </w:pPr>
      <w:r>
        <w:rPr>
          <w:noProof/>
        </w:rPr>
        <w:drawing>
          <wp:inline distT="0" distB="0" distL="0" distR="0" wp14:anchorId="11B17CED" wp14:editId="74A35120">
            <wp:extent cx="5731510" cy="3971925"/>
            <wp:effectExtent l="0" t="0" r="2540" b="9525"/>
            <wp:docPr id="394818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18816" name=""/>
                    <pic:cNvPicPr/>
                  </pic:nvPicPr>
                  <pic:blipFill>
                    <a:blip r:embed="rId14"/>
                    <a:stretch>
                      <a:fillRect/>
                    </a:stretch>
                  </pic:blipFill>
                  <pic:spPr>
                    <a:xfrm>
                      <a:off x="0" y="0"/>
                      <a:ext cx="5731510" cy="3971925"/>
                    </a:xfrm>
                    <a:prstGeom prst="rect">
                      <a:avLst/>
                    </a:prstGeom>
                  </pic:spPr>
                </pic:pic>
              </a:graphicData>
            </a:graphic>
          </wp:inline>
        </w:drawing>
      </w:r>
    </w:p>
    <w:p w14:paraId="24C50938" w14:textId="0997FEE3" w:rsidR="00865884"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5.</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Asramam</w:t>
      </w:r>
      <w:proofErr w:type="spellEnd"/>
      <w:r w:rsidRPr="001A7B2B">
        <w:rPr>
          <w:rFonts w:ascii="Times New Roman" w:hAnsi="Times New Roman" w:cs="Times New Roman"/>
        </w:rPr>
        <w:t>.</w:t>
      </w:r>
    </w:p>
    <w:p w14:paraId="35FF76D2" w14:textId="014FC939" w:rsidR="00865884"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Kidapram</w:t>
      </w:r>
      <w:proofErr w:type="spellEnd"/>
      <w:r w:rsidRPr="001A7B2B">
        <w:rPr>
          <w:rFonts w:ascii="Times New Roman" w:hAnsi="Times New Roman" w:cs="Times New Roman"/>
        </w:rPr>
        <w:t>, located at the freshwater</w:t>
      </w:r>
      <w:r w:rsidR="000508BE" w:rsidRPr="001A7B2B">
        <w:rPr>
          <w:rFonts w:ascii="Times New Roman" w:hAnsi="Times New Roman" w:cs="Times New Roman"/>
        </w:rPr>
        <w:t xml:space="preserve"> - </w:t>
      </w:r>
      <w:r w:rsidRPr="001A7B2B">
        <w:rPr>
          <w:rFonts w:ascii="Times New Roman" w:hAnsi="Times New Roman" w:cs="Times New Roman"/>
        </w:rPr>
        <w:t xml:space="preserve">brackish transition zone in the northern fringe of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Lake, exhibits the highest trophic productivity among the five sites. With 65 species </w:t>
      </w:r>
      <w:r w:rsidRPr="001A7B2B">
        <w:rPr>
          <w:rFonts w:ascii="Times New Roman" w:hAnsi="Times New Roman" w:cs="Times New Roman"/>
        </w:rPr>
        <w:lastRenderedPageBreak/>
        <w:t xml:space="preserve">of phytoplankton, including </w:t>
      </w:r>
      <w:proofErr w:type="spellStart"/>
      <w:r w:rsidRPr="001A7B2B">
        <w:rPr>
          <w:rFonts w:ascii="Times New Roman" w:hAnsi="Times New Roman" w:cs="Times New Roman"/>
          <w:i/>
          <w:iCs/>
        </w:rPr>
        <w:t>Diatoma</w:t>
      </w:r>
      <w:proofErr w:type="spellEnd"/>
      <w:r w:rsidRPr="001A7B2B">
        <w:rPr>
          <w:rFonts w:ascii="Times New Roman" w:hAnsi="Times New Roman" w:cs="Times New Roman"/>
        </w:rPr>
        <w:t xml:space="preserve">, </w:t>
      </w:r>
      <w:r w:rsidRPr="001A7B2B">
        <w:rPr>
          <w:rFonts w:ascii="Times New Roman" w:hAnsi="Times New Roman" w:cs="Times New Roman"/>
          <w:i/>
          <w:iCs/>
        </w:rPr>
        <w:t>Cyclotella</w:t>
      </w:r>
      <w:r w:rsidRPr="001A7B2B">
        <w:rPr>
          <w:rFonts w:ascii="Times New Roman" w:hAnsi="Times New Roman" w:cs="Times New Roman"/>
        </w:rPr>
        <w:t xml:space="preserve">, </w:t>
      </w:r>
      <w:r w:rsidRPr="001A7B2B">
        <w:rPr>
          <w:rFonts w:ascii="Times New Roman" w:hAnsi="Times New Roman" w:cs="Times New Roman"/>
          <w:i/>
          <w:iCs/>
        </w:rPr>
        <w:t>Anabaena</w:t>
      </w:r>
      <w:r w:rsidRPr="001A7B2B">
        <w:rPr>
          <w:rFonts w:ascii="Times New Roman" w:hAnsi="Times New Roman" w:cs="Times New Roman"/>
        </w:rPr>
        <w:t xml:space="preserve">, and </w:t>
      </w:r>
      <w:r w:rsidRPr="001A7B2B">
        <w:rPr>
          <w:rFonts w:ascii="Times New Roman" w:hAnsi="Times New Roman" w:cs="Times New Roman"/>
          <w:i/>
          <w:iCs/>
        </w:rPr>
        <w:t>Pediastrum</w:t>
      </w:r>
      <w:r w:rsidRPr="001A7B2B">
        <w:rPr>
          <w:rFonts w:ascii="Times New Roman" w:hAnsi="Times New Roman" w:cs="Times New Roman"/>
        </w:rPr>
        <w:t xml:space="preserve">, and abundant macrophytes such as </w:t>
      </w:r>
      <w:r w:rsidRPr="001A7B2B">
        <w:rPr>
          <w:rFonts w:ascii="Times New Roman" w:hAnsi="Times New Roman" w:cs="Times New Roman"/>
          <w:i/>
          <w:iCs/>
        </w:rPr>
        <w:t>Nymphaea stellata</w:t>
      </w:r>
      <w:r w:rsidRPr="001A7B2B">
        <w:rPr>
          <w:rFonts w:ascii="Times New Roman" w:hAnsi="Times New Roman" w:cs="Times New Roman"/>
        </w:rPr>
        <w:t xml:space="preserve"> and </w:t>
      </w:r>
      <w:r w:rsidRPr="001A7B2B">
        <w:rPr>
          <w:rFonts w:ascii="Times New Roman" w:hAnsi="Times New Roman" w:cs="Times New Roman"/>
          <w:i/>
          <w:iCs/>
        </w:rPr>
        <w:t>Ipomoea aquatica</w:t>
      </w:r>
      <w:r w:rsidRPr="001A7B2B">
        <w:rPr>
          <w:rFonts w:ascii="Times New Roman" w:hAnsi="Times New Roman" w:cs="Times New Roman"/>
        </w:rPr>
        <w:t xml:space="preserve">, the site supports complex aquatic food webs. The landscape includes agroforestry elements like </w:t>
      </w:r>
      <w:r w:rsidRPr="001A7B2B">
        <w:rPr>
          <w:rFonts w:ascii="Times New Roman" w:hAnsi="Times New Roman" w:cs="Times New Roman"/>
          <w:i/>
          <w:iCs/>
        </w:rPr>
        <w:t>Mangifera indica</w:t>
      </w:r>
      <w:r w:rsidRPr="001A7B2B">
        <w:rPr>
          <w:rFonts w:ascii="Times New Roman" w:hAnsi="Times New Roman" w:cs="Times New Roman"/>
        </w:rPr>
        <w:t xml:space="preserve">, </w:t>
      </w:r>
      <w:r w:rsidRPr="001A7B2B">
        <w:rPr>
          <w:rFonts w:ascii="Times New Roman" w:hAnsi="Times New Roman" w:cs="Times New Roman"/>
          <w:i/>
          <w:iCs/>
        </w:rPr>
        <w:t>Cocos nucifera</w:t>
      </w:r>
      <w:r w:rsidRPr="001A7B2B">
        <w:rPr>
          <w:rFonts w:ascii="Times New Roman" w:hAnsi="Times New Roman" w:cs="Times New Roman"/>
        </w:rPr>
        <w:t xml:space="preserve">, and </w:t>
      </w:r>
      <w:r w:rsidRPr="001A7B2B">
        <w:rPr>
          <w:rFonts w:ascii="Times New Roman" w:hAnsi="Times New Roman" w:cs="Times New Roman"/>
          <w:i/>
          <w:iCs/>
        </w:rPr>
        <w:t>Areca catechu</w:t>
      </w:r>
      <w:r w:rsidRPr="001A7B2B">
        <w:rPr>
          <w:rFonts w:ascii="Times New Roman" w:hAnsi="Times New Roman" w:cs="Times New Roman"/>
        </w:rPr>
        <w:t>, reflecting a mosaic of natural and cultivated ecosystems. Rich marginal vegetation (</w:t>
      </w:r>
      <w:r w:rsidRPr="001A7B2B">
        <w:rPr>
          <w:rFonts w:ascii="Times New Roman" w:hAnsi="Times New Roman" w:cs="Times New Roman"/>
          <w:i/>
          <w:iCs/>
        </w:rPr>
        <w:t>Typha</w:t>
      </w:r>
      <w:r w:rsidRPr="001A7B2B">
        <w:rPr>
          <w:rFonts w:ascii="Times New Roman" w:hAnsi="Times New Roman" w:cs="Times New Roman"/>
        </w:rPr>
        <w:t xml:space="preserve">, </w:t>
      </w:r>
      <w:r w:rsidRPr="001A7B2B">
        <w:rPr>
          <w:rFonts w:ascii="Times New Roman" w:hAnsi="Times New Roman" w:cs="Times New Roman"/>
          <w:i/>
          <w:iCs/>
        </w:rPr>
        <w:t>Cyperus</w:t>
      </w:r>
      <w:r w:rsidRPr="001A7B2B">
        <w:rPr>
          <w:rFonts w:ascii="Times New Roman" w:hAnsi="Times New Roman" w:cs="Times New Roman"/>
        </w:rPr>
        <w:t>) and benthic filter feeders (</w:t>
      </w:r>
      <w:proofErr w:type="spellStart"/>
      <w:r w:rsidRPr="001A7B2B">
        <w:rPr>
          <w:rFonts w:ascii="Times New Roman" w:hAnsi="Times New Roman" w:cs="Times New Roman"/>
          <w:i/>
          <w:iCs/>
        </w:rPr>
        <w:t>Villorita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cyprinoides</w:t>
      </w:r>
      <w:proofErr w:type="spellEnd"/>
      <w:r w:rsidRPr="001A7B2B">
        <w:rPr>
          <w:rFonts w:ascii="Times New Roman" w:hAnsi="Times New Roman" w:cs="Times New Roman"/>
        </w:rPr>
        <w:t>) enhance nutrient cycling, sediment stability, and biodiversity resilience.</w:t>
      </w:r>
    </w:p>
    <w:p w14:paraId="3E5F82DD" w14:textId="77777777" w:rsidR="00EF4E8F" w:rsidRDefault="00EF4E8F" w:rsidP="00803F39">
      <w:pPr>
        <w:spacing w:after="0" w:line="360" w:lineRule="auto"/>
        <w:ind w:firstLine="720"/>
        <w:jc w:val="both"/>
        <w:rPr>
          <w:rFonts w:ascii="Times New Roman" w:hAnsi="Times New Roman" w:cs="Times New Roman"/>
        </w:rPr>
      </w:pPr>
    </w:p>
    <w:p w14:paraId="475809A0" w14:textId="1CBBF7DA" w:rsidR="00EF4E8F" w:rsidRDefault="00EF4E8F" w:rsidP="00EF4E8F">
      <w:pPr>
        <w:spacing w:after="0" w:line="360" w:lineRule="auto"/>
        <w:jc w:val="both"/>
        <w:rPr>
          <w:rFonts w:ascii="Times New Roman" w:hAnsi="Times New Roman" w:cs="Times New Roman"/>
        </w:rPr>
      </w:pPr>
      <w:r>
        <w:rPr>
          <w:noProof/>
        </w:rPr>
        <w:drawing>
          <wp:inline distT="0" distB="0" distL="0" distR="0" wp14:anchorId="72203A43" wp14:editId="239D4E28">
            <wp:extent cx="5207058" cy="3623480"/>
            <wp:effectExtent l="0" t="0" r="0" b="0"/>
            <wp:docPr id="56528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7062" name=""/>
                    <pic:cNvPicPr/>
                  </pic:nvPicPr>
                  <pic:blipFill>
                    <a:blip r:embed="rId15"/>
                    <a:stretch>
                      <a:fillRect/>
                    </a:stretch>
                  </pic:blipFill>
                  <pic:spPr>
                    <a:xfrm>
                      <a:off x="0" y="0"/>
                      <a:ext cx="5216106" cy="3629776"/>
                    </a:xfrm>
                    <a:prstGeom prst="rect">
                      <a:avLst/>
                    </a:prstGeom>
                  </pic:spPr>
                </pic:pic>
              </a:graphicData>
            </a:graphic>
          </wp:inline>
        </w:drawing>
      </w:r>
    </w:p>
    <w:p w14:paraId="65112E99" w14:textId="415A4B09" w:rsidR="00EF4E8F" w:rsidRPr="001A7B2B" w:rsidRDefault="00EF4E8F" w:rsidP="00EF4E8F">
      <w:pPr>
        <w:spacing w:after="0" w:line="360" w:lineRule="auto"/>
        <w:jc w:val="both"/>
        <w:rPr>
          <w:rFonts w:ascii="Times New Roman" w:hAnsi="Times New Roman" w:cs="Times New Roman"/>
        </w:rPr>
      </w:pPr>
      <w:r>
        <w:rPr>
          <w:noProof/>
        </w:rPr>
        <w:drawing>
          <wp:inline distT="0" distB="0" distL="0" distR="0" wp14:anchorId="3FFD72EF" wp14:editId="1A07CA1A">
            <wp:extent cx="4674358" cy="2919273"/>
            <wp:effectExtent l="0" t="0" r="0" b="0"/>
            <wp:docPr id="95167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79655" name=""/>
                    <pic:cNvPicPr/>
                  </pic:nvPicPr>
                  <pic:blipFill>
                    <a:blip r:embed="rId16"/>
                    <a:stretch>
                      <a:fillRect/>
                    </a:stretch>
                  </pic:blipFill>
                  <pic:spPr>
                    <a:xfrm>
                      <a:off x="0" y="0"/>
                      <a:ext cx="4685297" cy="2926105"/>
                    </a:xfrm>
                    <a:prstGeom prst="rect">
                      <a:avLst/>
                    </a:prstGeom>
                  </pic:spPr>
                </pic:pic>
              </a:graphicData>
            </a:graphic>
          </wp:inline>
        </w:drawing>
      </w:r>
    </w:p>
    <w:p w14:paraId="247E2916" w14:textId="0236A815" w:rsidR="00865884"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6.</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Kidapram</w:t>
      </w:r>
      <w:proofErr w:type="spellEnd"/>
      <w:r w:rsidRPr="001A7B2B">
        <w:rPr>
          <w:rFonts w:ascii="Times New Roman" w:hAnsi="Times New Roman" w:cs="Times New Roman"/>
        </w:rPr>
        <w:t>.</w:t>
      </w:r>
    </w:p>
    <w:p w14:paraId="16FAFFD2" w14:textId="01425A25" w:rsidR="00865884" w:rsidRPr="001A7B2B"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lastRenderedPageBreak/>
        <w:t>Cherikkadavu</w:t>
      </w:r>
      <w:proofErr w:type="spellEnd"/>
      <w:r w:rsidRPr="001A7B2B">
        <w:rPr>
          <w:rFonts w:ascii="Times New Roman" w:hAnsi="Times New Roman" w:cs="Times New Roman"/>
        </w:rPr>
        <w:t>, situated at the confluence of the Kallada River and the lake, marks the eastern freshwater</w:t>
      </w:r>
      <w:r w:rsidR="000508BE" w:rsidRPr="001A7B2B">
        <w:rPr>
          <w:rFonts w:ascii="Times New Roman" w:hAnsi="Times New Roman" w:cs="Times New Roman"/>
        </w:rPr>
        <w:t xml:space="preserve"> </w:t>
      </w:r>
      <w:r w:rsidRPr="001A7B2B">
        <w:rPr>
          <w:rFonts w:ascii="Times New Roman" w:hAnsi="Times New Roman" w:cs="Times New Roman"/>
        </w:rPr>
        <w:t xml:space="preserve">dominant ecosite. With the highest recorded phytoplankton diversity (70 species), dominated by </w:t>
      </w:r>
      <w:proofErr w:type="spellStart"/>
      <w:r w:rsidRPr="001A7B2B">
        <w:rPr>
          <w:rFonts w:ascii="Times New Roman" w:hAnsi="Times New Roman" w:cs="Times New Roman"/>
          <w:i/>
          <w:iCs/>
        </w:rPr>
        <w:t>Diatoma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Cymbella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Phormidium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i/>
          <w:iCs/>
        </w:rPr>
        <w:t>Cosmarium</w:t>
      </w:r>
      <w:proofErr w:type="spellEnd"/>
      <w:r w:rsidRPr="001A7B2B">
        <w:rPr>
          <w:rFonts w:ascii="Times New Roman" w:hAnsi="Times New Roman" w:cs="Times New Roman"/>
        </w:rPr>
        <w:t>, it reflects exceptional primary productivity. The presence of mangroves, marsh plants, and traditional homestead vegetation (</w:t>
      </w:r>
      <w:r w:rsidRPr="001A7B2B">
        <w:rPr>
          <w:rFonts w:ascii="Times New Roman" w:hAnsi="Times New Roman" w:cs="Times New Roman"/>
          <w:i/>
          <w:iCs/>
        </w:rPr>
        <w:t>Ocimum sanctum</w:t>
      </w:r>
      <w:r w:rsidRPr="001A7B2B">
        <w:rPr>
          <w:rFonts w:ascii="Times New Roman" w:hAnsi="Times New Roman" w:cs="Times New Roman"/>
        </w:rPr>
        <w:t xml:space="preserve">, </w:t>
      </w:r>
      <w:r w:rsidRPr="001A7B2B">
        <w:rPr>
          <w:rFonts w:ascii="Times New Roman" w:hAnsi="Times New Roman" w:cs="Times New Roman"/>
          <w:i/>
          <w:iCs/>
        </w:rPr>
        <w:t>Musa paradisiaca</w:t>
      </w:r>
      <w:r w:rsidRPr="001A7B2B">
        <w:rPr>
          <w:rFonts w:ascii="Times New Roman" w:hAnsi="Times New Roman" w:cs="Times New Roman"/>
        </w:rPr>
        <w:t xml:space="preserve">, </w:t>
      </w:r>
      <w:r w:rsidRPr="001A7B2B">
        <w:rPr>
          <w:rFonts w:ascii="Times New Roman" w:hAnsi="Times New Roman" w:cs="Times New Roman"/>
          <w:i/>
          <w:iCs/>
        </w:rPr>
        <w:t>Piper nigrum</w:t>
      </w:r>
      <w:r w:rsidRPr="001A7B2B">
        <w:rPr>
          <w:rFonts w:ascii="Times New Roman" w:hAnsi="Times New Roman" w:cs="Times New Roman"/>
        </w:rPr>
        <w:t xml:space="preserve">) illustrates the coexistence of biodiversity and community land-use. Zooplankton diversity is moderate, while benthic fauna such as </w:t>
      </w:r>
      <w:proofErr w:type="spellStart"/>
      <w:r w:rsidRPr="001A7B2B">
        <w:rPr>
          <w:rFonts w:ascii="Times New Roman" w:hAnsi="Times New Roman" w:cs="Times New Roman"/>
          <w:i/>
          <w:iCs/>
        </w:rPr>
        <w:t>Mactra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Meretrix</w:t>
      </w:r>
      <w:proofErr w:type="spellEnd"/>
      <w:r w:rsidRPr="001A7B2B">
        <w:rPr>
          <w:rFonts w:ascii="Times New Roman" w:hAnsi="Times New Roman" w:cs="Times New Roman"/>
        </w:rPr>
        <w:t>, and estuarine fish larvae indicate a healthy aquatic breeding ground. This site offers valuable ecosystem services and functions as a vital biotic corridor connecting riverine and lake systems.</w:t>
      </w:r>
    </w:p>
    <w:p w14:paraId="71FD550E" w14:textId="77777777" w:rsidR="00434049" w:rsidRPr="00434049" w:rsidRDefault="00434049" w:rsidP="00434049">
      <w:pPr>
        <w:spacing w:line="259" w:lineRule="auto"/>
        <w:jc w:val="center"/>
        <w:rPr>
          <w:rFonts w:ascii="Calibri" w:eastAsia="Calibri" w:hAnsi="Calibri" w:cs="Times New Roman"/>
          <w:sz w:val="22"/>
          <w:szCs w:val="22"/>
        </w:rPr>
      </w:pPr>
      <w:r w:rsidRPr="00434049">
        <w:rPr>
          <w:rFonts w:ascii="Calibri" w:eastAsia="Calibri" w:hAnsi="Calibri" w:cs="Times New Roman"/>
          <w:noProof/>
          <w:sz w:val="22"/>
          <w:szCs w:val="22"/>
        </w:rPr>
        <w:drawing>
          <wp:inline distT="0" distB="0" distL="0" distR="0" wp14:anchorId="1B8ECD20" wp14:editId="505FF7BA">
            <wp:extent cx="4434785" cy="3332231"/>
            <wp:effectExtent l="0" t="0" r="4445" b="1905"/>
            <wp:docPr id="46956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8714" name=""/>
                    <pic:cNvPicPr/>
                  </pic:nvPicPr>
                  <pic:blipFill>
                    <a:blip r:embed="rId17"/>
                    <a:stretch>
                      <a:fillRect/>
                    </a:stretch>
                  </pic:blipFill>
                  <pic:spPr>
                    <a:xfrm>
                      <a:off x="0" y="0"/>
                      <a:ext cx="4450198" cy="3343812"/>
                    </a:xfrm>
                    <a:prstGeom prst="rect">
                      <a:avLst/>
                    </a:prstGeom>
                  </pic:spPr>
                </pic:pic>
              </a:graphicData>
            </a:graphic>
          </wp:inline>
        </w:drawing>
      </w:r>
    </w:p>
    <w:p w14:paraId="1EB4DCFE" w14:textId="77777777" w:rsidR="00434049" w:rsidRPr="00434049" w:rsidRDefault="00434049" w:rsidP="00434049">
      <w:pPr>
        <w:spacing w:line="259" w:lineRule="auto"/>
        <w:jc w:val="center"/>
        <w:rPr>
          <w:rFonts w:ascii="Calibri" w:eastAsia="Calibri" w:hAnsi="Calibri" w:cs="Times New Roman"/>
          <w:sz w:val="22"/>
          <w:szCs w:val="22"/>
        </w:rPr>
      </w:pPr>
      <w:r w:rsidRPr="00434049">
        <w:rPr>
          <w:rFonts w:ascii="Calibri" w:eastAsia="Calibri" w:hAnsi="Calibri" w:cs="Times New Roman"/>
          <w:noProof/>
          <w:sz w:val="22"/>
          <w:szCs w:val="22"/>
        </w:rPr>
        <w:drawing>
          <wp:inline distT="0" distB="0" distL="0" distR="0" wp14:anchorId="0CAF6FC4" wp14:editId="7AD04D59">
            <wp:extent cx="3704568" cy="2505693"/>
            <wp:effectExtent l="0" t="0" r="0" b="9525"/>
            <wp:docPr id="214021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11366" name=""/>
                    <pic:cNvPicPr/>
                  </pic:nvPicPr>
                  <pic:blipFill>
                    <a:blip r:embed="rId18"/>
                    <a:stretch>
                      <a:fillRect/>
                    </a:stretch>
                  </pic:blipFill>
                  <pic:spPr>
                    <a:xfrm>
                      <a:off x="0" y="0"/>
                      <a:ext cx="3740458" cy="2529968"/>
                    </a:xfrm>
                    <a:prstGeom prst="rect">
                      <a:avLst/>
                    </a:prstGeom>
                  </pic:spPr>
                </pic:pic>
              </a:graphicData>
            </a:graphic>
          </wp:inline>
        </w:drawing>
      </w:r>
    </w:p>
    <w:p w14:paraId="559B0259" w14:textId="56CF86EA" w:rsidR="00F32C44" w:rsidRPr="001A7B2B" w:rsidRDefault="00F32C4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7</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Cherikkadavu</w:t>
      </w:r>
      <w:proofErr w:type="spellEnd"/>
    </w:p>
    <w:p w14:paraId="737D16DA" w14:textId="73A7DC0A" w:rsidR="000508BE" w:rsidRPr="001A7B2B" w:rsidRDefault="000508BE" w:rsidP="000508BE">
      <w:pPr>
        <w:spacing w:after="0" w:line="360" w:lineRule="auto"/>
        <w:jc w:val="both"/>
        <w:rPr>
          <w:rFonts w:ascii="Times New Roman" w:hAnsi="Times New Roman" w:cs="Times New Roman"/>
        </w:rPr>
      </w:pPr>
      <w:r w:rsidRPr="001A7B2B">
        <w:rPr>
          <w:rFonts w:ascii="Times New Roman" w:hAnsi="Times New Roman" w:cs="Times New Roman"/>
        </w:rPr>
        <w:lastRenderedPageBreak/>
        <w:t>The conceptual ecosite models (Figures 3 - 7) visually depict the spatial arrangement of shoreline, marsh, riparian, and upland vegetation zones across the five study sites, highlighting the ecological structure and zonation patterns derived from field assessments.</w:t>
      </w:r>
    </w:p>
    <w:p w14:paraId="044D6C6A" w14:textId="57DB7945" w:rsidR="000975DD" w:rsidRPr="001A7B2B" w:rsidRDefault="000975DD"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w:t>
      </w:r>
      <w:r w:rsidR="00803F39" w:rsidRPr="001A7B2B">
        <w:rPr>
          <w:rFonts w:ascii="Times New Roman" w:hAnsi="Times New Roman" w:cs="Times New Roman"/>
          <w:b/>
          <w:bCs/>
        </w:rPr>
        <w:t>5.</w:t>
      </w:r>
      <w:r w:rsidRPr="001A7B2B">
        <w:rPr>
          <w:rFonts w:ascii="Times New Roman" w:hAnsi="Times New Roman" w:cs="Times New Roman"/>
          <w:b/>
          <w:bCs/>
        </w:rPr>
        <w:t xml:space="preserve"> Indicator Species Analysis</w:t>
      </w:r>
    </w:p>
    <w:p w14:paraId="2944DCED" w14:textId="4B70CFC8" w:rsidR="000975DD" w:rsidRPr="001A7B2B" w:rsidRDefault="000975DD"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Indicator Species Analysis was conducted to identify plant and algal species that are ecologically distinctive or preferentially associated with specific ecosites. The analysis revealed that </w:t>
      </w:r>
      <w:r w:rsidRPr="001A7B2B">
        <w:rPr>
          <w:rFonts w:ascii="Times New Roman" w:hAnsi="Times New Roman" w:cs="Times New Roman"/>
          <w:i/>
          <w:iCs/>
        </w:rPr>
        <w:t>Ipomoea pes-</w:t>
      </w:r>
      <w:proofErr w:type="spellStart"/>
      <w:r w:rsidRPr="001A7B2B">
        <w:rPr>
          <w:rFonts w:ascii="Times New Roman" w:hAnsi="Times New Roman" w:cs="Times New Roman"/>
          <w:i/>
          <w:iCs/>
        </w:rPr>
        <w:t>caprae</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Excoecaria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agallocha</w:t>
      </w:r>
      <w:proofErr w:type="spellEnd"/>
      <w:r w:rsidRPr="001A7B2B">
        <w:rPr>
          <w:rFonts w:ascii="Times New Roman" w:hAnsi="Times New Roman" w:cs="Times New Roman"/>
        </w:rPr>
        <w:t xml:space="preserve">, and </w:t>
      </w:r>
      <w:r w:rsidRPr="001A7B2B">
        <w:rPr>
          <w:rFonts w:ascii="Times New Roman" w:hAnsi="Times New Roman" w:cs="Times New Roman"/>
          <w:i/>
          <w:iCs/>
        </w:rPr>
        <w:t>Trichodesmium</w:t>
      </w:r>
      <w:r w:rsidRPr="001A7B2B">
        <w:rPr>
          <w:rFonts w:ascii="Times New Roman" w:hAnsi="Times New Roman" w:cs="Times New Roman"/>
        </w:rPr>
        <w:t xml:space="preserve"> were prominent indicator species for the high</w:t>
      </w:r>
      <w:r w:rsidR="000A205F" w:rsidRPr="001A7B2B">
        <w:rPr>
          <w:rFonts w:ascii="Times New Roman" w:hAnsi="Times New Roman" w:cs="Times New Roman"/>
        </w:rPr>
        <w:t xml:space="preserve"> </w:t>
      </w:r>
      <w:r w:rsidRPr="001A7B2B">
        <w:rPr>
          <w:rFonts w:ascii="Times New Roman" w:hAnsi="Times New Roman" w:cs="Times New Roman"/>
        </w:rPr>
        <w:t xml:space="preserve">salinity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ecosite, while </w:t>
      </w:r>
      <w:r w:rsidRPr="001A7B2B">
        <w:rPr>
          <w:rFonts w:ascii="Times New Roman" w:hAnsi="Times New Roman" w:cs="Times New Roman"/>
          <w:i/>
          <w:iCs/>
        </w:rPr>
        <w:t xml:space="preserve">Rhizophora </w:t>
      </w:r>
      <w:proofErr w:type="spellStart"/>
      <w:r w:rsidRPr="001A7B2B">
        <w:rPr>
          <w:rFonts w:ascii="Times New Roman" w:hAnsi="Times New Roman" w:cs="Times New Roman"/>
          <w:i/>
          <w:iCs/>
        </w:rPr>
        <w:t>mucronata</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i/>
          <w:iCs/>
        </w:rPr>
        <w:t>Avicennia</w:t>
      </w:r>
      <w:proofErr w:type="spellEnd"/>
      <w:r w:rsidRPr="001A7B2B">
        <w:rPr>
          <w:rFonts w:ascii="Times New Roman" w:hAnsi="Times New Roman" w:cs="Times New Roman"/>
          <w:i/>
          <w:iCs/>
        </w:rPr>
        <w:t xml:space="preserve"> marina</w:t>
      </w:r>
      <w:r w:rsidRPr="001A7B2B">
        <w:rPr>
          <w:rFonts w:ascii="Times New Roman" w:hAnsi="Times New Roman" w:cs="Times New Roman"/>
        </w:rPr>
        <w:t xml:space="preserve"> characterized the estuarine habitats of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In contrast, freshwater and transitional ecosites such as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were marked by species like </w:t>
      </w:r>
      <w:r w:rsidRPr="001A7B2B">
        <w:rPr>
          <w:rFonts w:ascii="Times New Roman" w:hAnsi="Times New Roman" w:cs="Times New Roman"/>
          <w:i/>
          <w:iCs/>
        </w:rPr>
        <w:t xml:space="preserve">Nymphaea </w:t>
      </w:r>
      <w:proofErr w:type="spellStart"/>
      <w:r w:rsidRPr="001A7B2B">
        <w:rPr>
          <w:rFonts w:ascii="Times New Roman" w:hAnsi="Times New Roman" w:cs="Times New Roman"/>
          <w:i/>
          <w:iCs/>
        </w:rPr>
        <w:t>stellata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Pistia</w:t>
      </w:r>
      <w:proofErr w:type="spellEnd"/>
      <w:r w:rsidRPr="001A7B2B">
        <w:rPr>
          <w:rFonts w:ascii="Times New Roman" w:hAnsi="Times New Roman" w:cs="Times New Roman"/>
          <w:i/>
          <w:iCs/>
        </w:rPr>
        <w:t xml:space="preserve"> stratiotes</w:t>
      </w:r>
      <w:r w:rsidRPr="001A7B2B">
        <w:rPr>
          <w:rFonts w:ascii="Times New Roman" w:hAnsi="Times New Roman" w:cs="Times New Roman"/>
        </w:rPr>
        <w:t xml:space="preserve">, and </w:t>
      </w:r>
      <w:proofErr w:type="spellStart"/>
      <w:r w:rsidRPr="001A7B2B">
        <w:rPr>
          <w:rFonts w:ascii="Times New Roman" w:hAnsi="Times New Roman" w:cs="Times New Roman"/>
          <w:i/>
          <w:iCs/>
        </w:rPr>
        <w:t>Centella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asiatica</w:t>
      </w:r>
      <w:proofErr w:type="spellEnd"/>
      <w:r w:rsidRPr="001A7B2B">
        <w:rPr>
          <w:rFonts w:ascii="Times New Roman" w:hAnsi="Times New Roman" w:cs="Times New Roman"/>
        </w:rPr>
        <w:t xml:space="preserve">. These species exhibited strong site fidelity and reflected underlying ecological gradients such as salinity, hydrology, and disturbance regime. The bar chart (Figure </w:t>
      </w:r>
      <w:r w:rsidR="000508BE" w:rsidRPr="001A7B2B">
        <w:rPr>
          <w:rFonts w:ascii="Times New Roman" w:hAnsi="Times New Roman" w:cs="Times New Roman"/>
        </w:rPr>
        <w:t>8</w:t>
      </w:r>
      <w:r w:rsidRPr="001A7B2B">
        <w:rPr>
          <w:rFonts w:ascii="Times New Roman" w:hAnsi="Times New Roman" w:cs="Times New Roman"/>
        </w:rPr>
        <w:t>) summarizes the distribution of indicator taxa across ecosites, demonstrating their diagnostic relevance for habitat classification and ecological monitoring.</w:t>
      </w:r>
    </w:p>
    <w:p w14:paraId="2A4E6E7B" w14:textId="1A6808EB" w:rsidR="00C03ACC" w:rsidRPr="001A7B2B" w:rsidRDefault="00EF4E8F" w:rsidP="00503DC1">
      <w:pPr>
        <w:spacing w:after="0" w:line="360" w:lineRule="auto"/>
        <w:jc w:val="center"/>
        <w:rPr>
          <w:rFonts w:ascii="Times New Roman" w:hAnsi="Times New Roman" w:cs="Times New Roman"/>
        </w:rPr>
      </w:pPr>
      <w:r>
        <w:rPr>
          <w:noProof/>
        </w:rPr>
        <w:drawing>
          <wp:inline distT="0" distB="0" distL="0" distR="0" wp14:anchorId="242AE462" wp14:editId="03CF8A8C">
            <wp:extent cx="5731510" cy="3462655"/>
            <wp:effectExtent l="0" t="0" r="2540" b="4445"/>
            <wp:docPr id="78295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54841" name=""/>
                    <pic:cNvPicPr/>
                  </pic:nvPicPr>
                  <pic:blipFill>
                    <a:blip r:embed="rId19"/>
                    <a:stretch>
                      <a:fillRect/>
                    </a:stretch>
                  </pic:blipFill>
                  <pic:spPr>
                    <a:xfrm>
                      <a:off x="0" y="0"/>
                      <a:ext cx="5731510" cy="3462655"/>
                    </a:xfrm>
                    <a:prstGeom prst="rect">
                      <a:avLst/>
                    </a:prstGeom>
                  </pic:spPr>
                </pic:pic>
              </a:graphicData>
            </a:graphic>
          </wp:inline>
        </w:drawing>
      </w:r>
    </w:p>
    <w:p w14:paraId="77DEFC60" w14:textId="0C543776" w:rsidR="000975DD" w:rsidRPr="001A7B2B" w:rsidRDefault="008C25DC" w:rsidP="007B1180">
      <w:pPr>
        <w:spacing w:after="0" w:line="360" w:lineRule="auto"/>
        <w:jc w:val="both"/>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8</w:t>
      </w:r>
      <w:r w:rsidRPr="001A7B2B">
        <w:rPr>
          <w:rFonts w:ascii="Times New Roman" w:hAnsi="Times New Roman" w:cs="Times New Roman"/>
          <w:b/>
          <w:bCs/>
        </w:rPr>
        <w:t>:</w:t>
      </w:r>
      <w:r w:rsidRPr="001A7B2B">
        <w:rPr>
          <w:rFonts w:ascii="Times New Roman" w:hAnsi="Times New Roman" w:cs="Times New Roman"/>
        </w:rPr>
        <w:t xml:space="preserve"> </w:t>
      </w:r>
      <w:r w:rsidR="000508BE" w:rsidRPr="001A7B2B">
        <w:rPr>
          <w:rFonts w:ascii="Times New Roman" w:hAnsi="Times New Roman" w:cs="Times New Roman"/>
        </w:rPr>
        <w:t>A</w:t>
      </w:r>
      <w:r w:rsidR="000975DD" w:rsidRPr="001A7B2B">
        <w:rPr>
          <w:rFonts w:ascii="Times New Roman" w:hAnsi="Times New Roman" w:cs="Times New Roman"/>
        </w:rPr>
        <w:t xml:space="preserve"> horizontal bar chart showing the distribution of indicator species across ecosites</w:t>
      </w:r>
    </w:p>
    <w:p w14:paraId="30E2400D" w14:textId="23AFD0F7" w:rsidR="00C03ACC" w:rsidRPr="001A7B2B" w:rsidRDefault="00503DC1" w:rsidP="007B1180">
      <w:pPr>
        <w:spacing w:after="0" w:line="360" w:lineRule="auto"/>
        <w:jc w:val="both"/>
        <w:rPr>
          <w:rFonts w:ascii="Times New Roman" w:hAnsi="Times New Roman" w:cs="Times New Roman"/>
          <w:b/>
          <w:bCs/>
        </w:rPr>
      </w:pPr>
      <w:r w:rsidRPr="001A7B2B">
        <w:rPr>
          <w:rFonts w:ascii="Times New Roman" w:hAnsi="Times New Roman" w:cs="Times New Roman"/>
          <w:b/>
          <w:bCs/>
        </w:rPr>
        <w:t>4. Discussion</w:t>
      </w:r>
    </w:p>
    <w:p w14:paraId="508831F7" w14:textId="1EECD97F" w:rsidR="00EC63A0" w:rsidRPr="00EC63A0" w:rsidRDefault="00EC63A0" w:rsidP="00EC63A0">
      <w:pPr>
        <w:spacing w:after="0" w:line="360" w:lineRule="auto"/>
        <w:jc w:val="both"/>
        <w:rPr>
          <w:rFonts w:ascii="Times New Roman" w:hAnsi="Times New Roman" w:cs="Times New Roman"/>
        </w:rPr>
      </w:pPr>
      <w:r w:rsidRPr="00EC63A0">
        <w:rPr>
          <w:rFonts w:ascii="Times New Roman" w:hAnsi="Times New Roman" w:cs="Times New Roman"/>
        </w:rPr>
        <w:t xml:space="preserve">The present study highlights pronounced ecological heterogeneity and functional zonation within the </w:t>
      </w:r>
      <w:proofErr w:type="spellStart"/>
      <w:r w:rsidRPr="00EC63A0">
        <w:rPr>
          <w:rFonts w:ascii="Times New Roman" w:hAnsi="Times New Roman" w:cs="Times New Roman"/>
        </w:rPr>
        <w:t>Ashtamudi</w:t>
      </w:r>
      <w:proofErr w:type="spellEnd"/>
      <w:r w:rsidRPr="00EC63A0">
        <w:rPr>
          <w:rFonts w:ascii="Times New Roman" w:hAnsi="Times New Roman" w:cs="Times New Roman"/>
        </w:rPr>
        <w:t xml:space="preserve"> wetland through a mesoecosystem-scale analysis of five distinct ecosites. Spatial variation in water quality parameters, particularly salinity, carbon dioxide, and </w:t>
      </w:r>
      <w:r w:rsidRPr="00EC63A0">
        <w:rPr>
          <w:rFonts w:ascii="Times New Roman" w:hAnsi="Times New Roman" w:cs="Times New Roman"/>
        </w:rPr>
        <w:lastRenderedPageBreak/>
        <w:t xml:space="preserve">nutrients, reflects the combined influence of hydrological connectivity, tidal mixing, and catchment-scale land-use dynamics. Elevated salinity and CO₂ concentrations at </w:t>
      </w:r>
      <w:proofErr w:type="spellStart"/>
      <w:r w:rsidRPr="00EC63A0">
        <w:rPr>
          <w:rFonts w:ascii="Times New Roman" w:hAnsi="Times New Roman" w:cs="Times New Roman"/>
        </w:rPr>
        <w:t>Neendakara</w:t>
      </w:r>
      <w:proofErr w:type="spellEnd"/>
      <w:r w:rsidRPr="00EC63A0">
        <w:rPr>
          <w:rFonts w:ascii="Times New Roman" w:hAnsi="Times New Roman" w:cs="Times New Roman"/>
        </w:rPr>
        <w:t>, the marine-influenced estuarine mouth, indicate strong tidal flushing and enhanced organic matter decomposition, consistent with pollution-driven biogeochemical processes reported earlier (Krishnan et al., 2015</w:t>
      </w:r>
      <w:r w:rsidR="00B667C1">
        <w:rPr>
          <w:rFonts w:ascii="Times New Roman" w:hAnsi="Times New Roman" w:cs="Times New Roman"/>
        </w:rPr>
        <w:t>: Alexander, 2025</w:t>
      </w:r>
      <w:r w:rsidRPr="00EC63A0">
        <w:rPr>
          <w:rFonts w:ascii="Times New Roman" w:hAnsi="Times New Roman" w:cs="Times New Roman"/>
        </w:rPr>
        <w:t xml:space="preserve">). In contrast, </w:t>
      </w:r>
      <w:proofErr w:type="spellStart"/>
      <w:r w:rsidRPr="00EC63A0">
        <w:rPr>
          <w:rFonts w:ascii="Times New Roman" w:hAnsi="Times New Roman" w:cs="Times New Roman"/>
        </w:rPr>
        <w:t>Kidapram</w:t>
      </w:r>
      <w:proofErr w:type="spellEnd"/>
      <w:r w:rsidRPr="00EC63A0">
        <w:rPr>
          <w:rFonts w:ascii="Times New Roman" w:hAnsi="Times New Roman" w:cs="Times New Roman"/>
        </w:rPr>
        <w:t xml:space="preserve"> and </w:t>
      </w:r>
      <w:proofErr w:type="spellStart"/>
      <w:r w:rsidRPr="00EC63A0">
        <w:rPr>
          <w:rFonts w:ascii="Times New Roman" w:hAnsi="Times New Roman" w:cs="Times New Roman"/>
        </w:rPr>
        <w:t>Cherikkadavu</w:t>
      </w:r>
      <w:proofErr w:type="spellEnd"/>
      <w:r w:rsidRPr="00EC63A0">
        <w:rPr>
          <w:rFonts w:ascii="Times New Roman" w:hAnsi="Times New Roman" w:cs="Times New Roman"/>
        </w:rPr>
        <w:t xml:space="preserve"> exhibited lower salinity and higher nitrate concentrations, reflecting freshwater inflow and agricultural runoff from surrounding landscapes, a pattern widely documented in coastal Kerala wetlands (Devi et al., 2022; Bassi et al., 2014). Correspondingly, phytoplankton assemblages followed clear environmental gradients, with diatoms dominating across all ecosites, indicating stable primary productivity, while the occurrence of cyanophycean taxa such as </w:t>
      </w:r>
      <w:r w:rsidRPr="00EC63A0">
        <w:rPr>
          <w:rFonts w:ascii="Times New Roman" w:hAnsi="Times New Roman" w:cs="Times New Roman"/>
          <w:i/>
          <w:iCs/>
        </w:rPr>
        <w:t>Trichodesmium</w:t>
      </w:r>
      <w:r w:rsidRPr="00EC63A0">
        <w:rPr>
          <w:rFonts w:ascii="Times New Roman" w:hAnsi="Times New Roman" w:cs="Times New Roman"/>
        </w:rPr>
        <w:t xml:space="preserve">, </w:t>
      </w:r>
      <w:r w:rsidRPr="00EC63A0">
        <w:rPr>
          <w:rFonts w:ascii="Times New Roman" w:hAnsi="Times New Roman" w:cs="Times New Roman"/>
          <w:i/>
          <w:iCs/>
        </w:rPr>
        <w:t>Anabaena</w:t>
      </w:r>
      <w:r w:rsidRPr="00EC63A0">
        <w:rPr>
          <w:rFonts w:ascii="Times New Roman" w:hAnsi="Times New Roman" w:cs="Times New Roman"/>
        </w:rPr>
        <w:t xml:space="preserve">, and </w:t>
      </w:r>
      <w:r w:rsidRPr="00EC63A0">
        <w:rPr>
          <w:rFonts w:ascii="Times New Roman" w:hAnsi="Times New Roman" w:cs="Times New Roman"/>
          <w:i/>
          <w:iCs/>
        </w:rPr>
        <w:t>Microcystis</w:t>
      </w:r>
      <w:r w:rsidRPr="00EC63A0">
        <w:rPr>
          <w:rFonts w:ascii="Times New Roman" w:hAnsi="Times New Roman" w:cs="Times New Roman"/>
        </w:rPr>
        <w:t xml:space="preserve"> at nutrient-enriched sites suggests localized eutrophication risk (Xu et al., 2020; Ravinesh et al., 2021). Enhanced </w:t>
      </w:r>
      <w:proofErr w:type="spellStart"/>
      <w:r w:rsidRPr="00EC63A0">
        <w:rPr>
          <w:rFonts w:ascii="Times New Roman" w:hAnsi="Times New Roman" w:cs="Times New Roman"/>
        </w:rPr>
        <w:t>chlorophycean</w:t>
      </w:r>
      <w:proofErr w:type="spellEnd"/>
      <w:r w:rsidRPr="00EC63A0">
        <w:rPr>
          <w:rFonts w:ascii="Times New Roman" w:hAnsi="Times New Roman" w:cs="Times New Roman"/>
        </w:rPr>
        <w:t xml:space="preserve"> diversity at freshwater-dominated ecosites further reflects ecological plasticity and transitions between lotic and lentic regimes, reinforcing the utility of phytoplankton communities as sensitive indicators of trophic status and ecosystem health.</w:t>
      </w:r>
    </w:p>
    <w:p w14:paraId="13F1BFA1" w14:textId="4634159F" w:rsidR="00EC63A0" w:rsidRPr="00EC63A0" w:rsidRDefault="00EC63A0" w:rsidP="00EC63A0">
      <w:pPr>
        <w:spacing w:after="0" w:line="360" w:lineRule="auto"/>
        <w:jc w:val="both"/>
        <w:rPr>
          <w:rFonts w:ascii="Times New Roman" w:hAnsi="Times New Roman" w:cs="Times New Roman"/>
        </w:rPr>
      </w:pPr>
      <w:r w:rsidRPr="00EC63A0">
        <w:rPr>
          <w:rFonts w:ascii="Times New Roman" w:hAnsi="Times New Roman" w:cs="Times New Roman"/>
        </w:rPr>
        <w:t xml:space="preserve">The spatially explicit ecosite models developed in this study provide an integrative framework for visualizing ecological zonation and vegetation layering by linking biotic assemblages with hydrological and edaphic gradients. Unlike conventional ecosite classifications developed primarily for forest and upland systems in temperate regions (Grima et al., 2023), the present framework is specifically adapted to the dynamic conditions of tropical estuarine wetlands and aligns with ecosystem-based management and nature-based solutions advocated under global conservation agendas (Ramsar Secretariat, 2021; Grima et al., 2023). The delineation of coastal, riparian, marsh, and </w:t>
      </w:r>
      <w:proofErr w:type="spellStart"/>
      <w:r w:rsidRPr="00EC63A0">
        <w:rPr>
          <w:rFonts w:ascii="Times New Roman" w:hAnsi="Times New Roman" w:cs="Times New Roman"/>
        </w:rPr>
        <w:t>agro</w:t>
      </w:r>
      <w:proofErr w:type="spellEnd"/>
      <w:r w:rsidRPr="00EC63A0">
        <w:rPr>
          <w:rFonts w:ascii="Times New Roman" w:hAnsi="Times New Roman" w:cs="Times New Roman"/>
        </w:rPr>
        <w:t xml:space="preserve">-ecological zones </w:t>
      </w:r>
      <w:r w:rsidR="00765E9A" w:rsidRPr="00EC63A0">
        <w:rPr>
          <w:rFonts w:ascii="Times New Roman" w:hAnsi="Times New Roman" w:cs="Times New Roman"/>
        </w:rPr>
        <w:t>enhance</w:t>
      </w:r>
      <w:r w:rsidRPr="00EC63A0">
        <w:rPr>
          <w:rFonts w:ascii="Times New Roman" w:hAnsi="Times New Roman" w:cs="Times New Roman"/>
        </w:rPr>
        <w:t xml:space="preserve"> its applicability for adaptive wetland management under both the Ramsar Convention and India’s National Wetland Conservation Programme. Indicator species identified across ecosites reflect critical environmental thresholds related to salinity, nutrient availability, and hydrological regime, supporting their role in biomonitoring and restoration planning (Kathiresan &amp; Bingham, 2001; Sudeshna &amp; Sujit, 2023). This approach is methodologically consistent with the Indicator Species Analysis framework of </w:t>
      </w:r>
      <w:proofErr w:type="spellStart"/>
      <w:r w:rsidRPr="00EC63A0">
        <w:rPr>
          <w:rFonts w:ascii="Times New Roman" w:hAnsi="Times New Roman" w:cs="Times New Roman"/>
        </w:rPr>
        <w:t>Dufrêne</w:t>
      </w:r>
      <w:proofErr w:type="spellEnd"/>
      <w:r w:rsidRPr="00EC63A0">
        <w:rPr>
          <w:rFonts w:ascii="Times New Roman" w:hAnsi="Times New Roman" w:cs="Times New Roman"/>
        </w:rPr>
        <w:t xml:space="preserve"> and Legendre (1997) and extends earlier </w:t>
      </w:r>
      <w:proofErr w:type="spellStart"/>
      <w:r w:rsidRPr="00EC63A0">
        <w:rPr>
          <w:rFonts w:ascii="Times New Roman" w:hAnsi="Times New Roman" w:cs="Times New Roman"/>
        </w:rPr>
        <w:t>Ashtamudi</w:t>
      </w:r>
      <w:proofErr w:type="spellEnd"/>
      <w:r w:rsidRPr="00EC63A0">
        <w:rPr>
          <w:rFonts w:ascii="Times New Roman" w:hAnsi="Times New Roman" w:cs="Times New Roman"/>
        </w:rPr>
        <w:t xml:space="preserve">-focused studies that largely emphasized molluscan diversity, fisheries, or pollution status (Jayakumar &amp; </w:t>
      </w:r>
      <w:proofErr w:type="spellStart"/>
      <w:r w:rsidRPr="00EC63A0">
        <w:rPr>
          <w:rFonts w:ascii="Times New Roman" w:hAnsi="Times New Roman" w:cs="Times New Roman"/>
        </w:rPr>
        <w:t>Chackacherry</w:t>
      </w:r>
      <w:proofErr w:type="spellEnd"/>
      <w:r w:rsidRPr="00EC63A0">
        <w:rPr>
          <w:rFonts w:ascii="Times New Roman" w:hAnsi="Times New Roman" w:cs="Times New Roman"/>
        </w:rPr>
        <w:t xml:space="preserve">, 2011; </w:t>
      </w:r>
      <w:proofErr w:type="spellStart"/>
      <w:r w:rsidRPr="00EC63A0">
        <w:rPr>
          <w:rFonts w:ascii="Times New Roman" w:hAnsi="Times New Roman" w:cs="Times New Roman"/>
        </w:rPr>
        <w:t>Ravinesh</w:t>
      </w:r>
      <w:proofErr w:type="spellEnd"/>
      <w:r w:rsidRPr="00EC63A0">
        <w:rPr>
          <w:rFonts w:ascii="Times New Roman" w:hAnsi="Times New Roman" w:cs="Times New Roman"/>
        </w:rPr>
        <w:t xml:space="preserve"> et al., 2021). Overall, the ecosite-based modelling strategy presented here offers a scalable and replicable tool for site-specific conservation planning and long-term sustainability of complex tropical wetland ecosystems under increasing anthropogenic pressure.</w:t>
      </w:r>
    </w:p>
    <w:p w14:paraId="2C6BFC19" w14:textId="78DB180C" w:rsidR="00E94F2F" w:rsidRPr="001A7B2B" w:rsidRDefault="00803F39" w:rsidP="007B1180">
      <w:pPr>
        <w:spacing w:after="0" w:line="360" w:lineRule="auto"/>
        <w:jc w:val="both"/>
        <w:rPr>
          <w:rFonts w:ascii="Times New Roman" w:hAnsi="Times New Roman" w:cs="Times New Roman"/>
          <w:b/>
          <w:bCs/>
        </w:rPr>
      </w:pPr>
      <w:r w:rsidRPr="001A7B2B">
        <w:rPr>
          <w:rFonts w:ascii="Times New Roman" w:hAnsi="Times New Roman" w:cs="Times New Roman"/>
          <w:b/>
          <w:bCs/>
        </w:rPr>
        <w:lastRenderedPageBreak/>
        <w:t xml:space="preserve">5. </w:t>
      </w:r>
      <w:r w:rsidR="00503DC1" w:rsidRPr="001A7B2B">
        <w:rPr>
          <w:rFonts w:ascii="Times New Roman" w:hAnsi="Times New Roman" w:cs="Times New Roman"/>
          <w:b/>
          <w:bCs/>
        </w:rPr>
        <w:t>Conclusions</w:t>
      </w:r>
    </w:p>
    <w:p w14:paraId="2C76404D" w14:textId="77777777" w:rsidR="00064E18" w:rsidRPr="00064E18" w:rsidRDefault="00064E18" w:rsidP="00064E18">
      <w:pPr>
        <w:spacing w:after="0" w:line="360" w:lineRule="auto"/>
        <w:jc w:val="both"/>
        <w:rPr>
          <w:rFonts w:ascii="Times New Roman" w:hAnsi="Times New Roman" w:cs="Times New Roman"/>
        </w:rPr>
      </w:pPr>
      <w:r w:rsidRPr="00064E18">
        <w:rPr>
          <w:rFonts w:ascii="Times New Roman" w:hAnsi="Times New Roman" w:cs="Times New Roman"/>
        </w:rPr>
        <w:t xml:space="preserve">This study provides a mesoecosystem-scale ecological assessment of five representative ecosites within the Ramsar-designated </w:t>
      </w:r>
      <w:proofErr w:type="spellStart"/>
      <w:r w:rsidRPr="00064E18">
        <w:rPr>
          <w:rFonts w:ascii="Times New Roman" w:hAnsi="Times New Roman" w:cs="Times New Roman"/>
        </w:rPr>
        <w:t>Ashtamudi</w:t>
      </w:r>
      <w:proofErr w:type="spellEnd"/>
      <w:r w:rsidRPr="00064E18">
        <w:rPr>
          <w:rFonts w:ascii="Times New Roman" w:hAnsi="Times New Roman" w:cs="Times New Roman"/>
        </w:rPr>
        <w:t xml:space="preserve"> Wetland, integrating </w:t>
      </w:r>
      <w:proofErr w:type="spellStart"/>
      <w:r w:rsidRPr="00064E18">
        <w:rPr>
          <w:rFonts w:ascii="Times New Roman" w:hAnsi="Times New Roman" w:cs="Times New Roman"/>
        </w:rPr>
        <w:t>physico</w:t>
      </w:r>
      <w:proofErr w:type="spellEnd"/>
      <w:r w:rsidRPr="00064E18">
        <w:rPr>
          <w:rFonts w:ascii="Times New Roman" w:hAnsi="Times New Roman" w:cs="Times New Roman"/>
        </w:rPr>
        <w:t xml:space="preserve">-chemical water quality analysis, phytoplankton diversity, vegetation structure, and indicator species patterns to elucidate spatial heterogeneity and functional zonation. Clear ecological transitions from marine-dominated to freshwater-influenced environments were revealed through salinity and nutrient gradients, with elevated phytoplankton richness and trophic productivity at </w:t>
      </w:r>
      <w:proofErr w:type="spellStart"/>
      <w:r w:rsidRPr="00064E18">
        <w:rPr>
          <w:rFonts w:ascii="Times New Roman" w:hAnsi="Times New Roman" w:cs="Times New Roman"/>
        </w:rPr>
        <w:t>Cherikkadavu</w:t>
      </w:r>
      <w:proofErr w:type="spellEnd"/>
      <w:r w:rsidRPr="00064E18">
        <w:rPr>
          <w:rFonts w:ascii="Times New Roman" w:hAnsi="Times New Roman" w:cs="Times New Roman"/>
        </w:rPr>
        <w:t xml:space="preserve"> and </w:t>
      </w:r>
      <w:proofErr w:type="spellStart"/>
      <w:r w:rsidRPr="00064E18">
        <w:rPr>
          <w:rFonts w:ascii="Times New Roman" w:hAnsi="Times New Roman" w:cs="Times New Roman"/>
        </w:rPr>
        <w:t>Kidapram</w:t>
      </w:r>
      <w:proofErr w:type="spellEnd"/>
      <w:r w:rsidRPr="00064E18">
        <w:rPr>
          <w:rFonts w:ascii="Times New Roman" w:hAnsi="Times New Roman" w:cs="Times New Roman"/>
        </w:rPr>
        <w:t xml:space="preserve"> reflecting strong freshwater influence and ecosystem heterogeneity. The dominance of diatoms across all ecosites indicates sustained primary productivity, while the occurrence of taxa such as </w:t>
      </w:r>
      <w:r w:rsidRPr="00064E18">
        <w:rPr>
          <w:rFonts w:ascii="Times New Roman" w:hAnsi="Times New Roman" w:cs="Times New Roman"/>
          <w:i/>
          <w:iCs/>
        </w:rPr>
        <w:t>Trichodesmium</w:t>
      </w:r>
      <w:r w:rsidRPr="00064E18">
        <w:rPr>
          <w:rFonts w:ascii="Times New Roman" w:hAnsi="Times New Roman" w:cs="Times New Roman"/>
        </w:rPr>
        <w:t xml:space="preserve"> and </w:t>
      </w:r>
      <w:r w:rsidRPr="00064E18">
        <w:rPr>
          <w:rFonts w:ascii="Times New Roman" w:hAnsi="Times New Roman" w:cs="Times New Roman"/>
          <w:i/>
          <w:iCs/>
        </w:rPr>
        <w:t>Nymphaea stellata</w:t>
      </w:r>
      <w:r w:rsidRPr="00064E18">
        <w:rPr>
          <w:rFonts w:ascii="Times New Roman" w:hAnsi="Times New Roman" w:cs="Times New Roman"/>
        </w:rPr>
        <w:t xml:space="preserve"> highlights site-specific environmental conditions and ecological identity. The ecosite models developed in this study, integrating hydrological regimes, vegetation layering, and field-verified species assemblages, offer a novel and practical visual framework for understanding habitat-level ecological dynamics across shoreline, riparian, marsh, and upland zones. By translating complex ecological data into spatially explicit conceptual representations, the models address limitations of conventional large-scale assessments and support site-sensitive wetland zoning, restoration planning, and biodiversity conservation under the Ramsar conservation philosophy. Overall, the integration of bioassessment and ecosite-level modelling presented here provides a replicable and scalable framework for eco-sensitive wetland management, offering valuable guidance for planners, conservation practitioners, and local stakeholders. Long-term monitoring and ecosystem service valuation are recommended as future research priorities to further strengthen the functional application of ecosite-based wetland management strategies.</w:t>
      </w:r>
    </w:p>
    <w:p w14:paraId="1AE6680A" w14:textId="77777777" w:rsidR="005F5766" w:rsidRDefault="005F5766" w:rsidP="00DD7693">
      <w:pPr>
        <w:spacing w:after="0" w:line="360" w:lineRule="auto"/>
        <w:jc w:val="both"/>
        <w:rPr>
          <w:rFonts w:ascii="Times New Roman" w:hAnsi="Times New Roman" w:cs="Times New Roman"/>
          <w:b/>
          <w:bCs/>
        </w:rPr>
      </w:pPr>
    </w:p>
    <w:p w14:paraId="7ABE2874" w14:textId="4704B6D2" w:rsidR="00DD7693" w:rsidRPr="001A7B2B" w:rsidRDefault="00DD7693" w:rsidP="00DD7693">
      <w:pPr>
        <w:spacing w:after="0" w:line="360" w:lineRule="auto"/>
        <w:jc w:val="both"/>
        <w:rPr>
          <w:rFonts w:ascii="Times New Roman" w:hAnsi="Times New Roman" w:cs="Times New Roman"/>
          <w:b/>
          <w:bCs/>
        </w:rPr>
      </w:pPr>
      <w:bookmarkStart w:id="0" w:name="_GoBack"/>
      <w:bookmarkEnd w:id="0"/>
      <w:r w:rsidRPr="001A7B2B">
        <w:rPr>
          <w:rFonts w:ascii="Times New Roman" w:hAnsi="Times New Roman" w:cs="Times New Roman"/>
          <w:b/>
          <w:bCs/>
        </w:rPr>
        <w:t xml:space="preserve">Data Availability Statement: </w:t>
      </w:r>
      <w:r w:rsidRPr="001A7B2B">
        <w:rPr>
          <w:rFonts w:ascii="Times New Roman" w:hAnsi="Times New Roman" w:cs="Times New Roman"/>
        </w:rPr>
        <w:t xml:space="preserve">The data supporting the findings of this study are available from the corresponding author upon reasonable request. All field measurements, phytoplankton observations, and </w:t>
      </w:r>
      <w:r w:rsidR="0058259A" w:rsidRPr="001A7B2B">
        <w:rPr>
          <w:rFonts w:ascii="Times New Roman" w:hAnsi="Times New Roman" w:cs="Times New Roman"/>
        </w:rPr>
        <w:t>digital</w:t>
      </w:r>
      <w:r w:rsidRPr="001A7B2B">
        <w:rPr>
          <w:rFonts w:ascii="Times New Roman" w:hAnsi="Times New Roman" w:cs="Times New Roman"/>
        </w:rPr>
        <w:t xml:space="preserve"> models were generated and archived by the author.</w:t>
      </w:r>
    </w:p>
    <w:p w14:paraId="765E57FB" w14:textId="0F817A79" w:rsidR="00243CCF" w:rsidRPr="001A7B2B" w:rsidRDefault="00243CCF" w:rsidP="00243CCF">
      <w:pPr>
        <w:spacing w:after="0" w:line="360" w:lineRule="auto"/>
        <w:jc w:val="both"/>
        <w:rPr>
          <w:rFonts w:ascii="Times New Roman" w:hAnsi="Times New Roman" w:cs="Times New Roman"/>
          <w:b/>
          <w:bCs/>
        </w:rPr>
      </w:pPr>
      <w:r w:rsidRPr="001A7B2B">
        <w:rPr>
          <w:rFonts w:ascii="Times New Roman" w:hAnsi="Times New Roman" w:cs="Times New Roman"/>
          <w:b/>
          <w:bCs/>
        </w:rPr>
        <w:t xml:space="preserve">Ethical Approval: </w:t>
      </w:r>
      <w:r w:rsidRPr="001A7B2B">
        <w:rPr>
          <w:rFonts w:ascii="Times New Roman" w:hAnsi="Times New Roman" w:cs="Times New Roman"/>
        </w:rPr>
        <w:t>This research involved no studies with human participants or animals performed by any of the authors. All field data collection complied with local environmental regulations.</w:t>
      </w:r>
    </w:p>
    <w:p w14:paraId="7C561CB5" w14:textId="76172E3B" w:rsidR="00F32C44" w:rsidRPr="001A7B2B" w:rsidRDefault="00503DC1" w:rsidP="007B1180">
      <w:pPr>
        <w:spacing w:after="0" w:line="360" w:lineRule="auto"/>
        <w:jc w:val="both"/>
        <w:rPr>
          <w:rFonts w:ascii="Times New Roman" w:hAnsi="Times New Roman" w:cs="Times New Roman"/>
          <w:b/>
          <w:bCs/>
        </w:rPr>
      </w:pPr>
      <w:bookmarkStart w:id="1" w:name="_Hlk204034752"/>
      <w:r w:rsidRPr="001A7B2B">
        <w:rPr>
          <w:rFonts w:ascii="Times New Roman" w:hAnsi="Times New Roman" w:cs="Times New Roman"/>
          <w:b/>
          <w:bCs/>
        </w:rPr>
        <w:t>References</w:t>
      </w:r>
    </w:p>
    <w:p w14:paraId="014A965D" w14:textId="77777777" w:rsidR="00DD1847" w:rsidRPr="00920DF5" w:rsidRDefault="00DD1847" w:rsidP="00DD1847">
      <w:pPr>
        <w:pStyle w:val="ListParagraph"/>
        <w:numPr>
          <w:ilvl w:val="0"/>
          <w:numId w:val="3"/>
        </w:numPr>
        <w:spacing w:after="0" w:line="360" w:lineRule="auto"/>
        <w:ind w:left="709" w:hanging="709"/>
        <w:jc w:val="both"/>
        <w:rPr>
          <w:rFonts w:ascii="Times New Roman" w:hAnsi="Times New Roman" w:cs="Times New Roman"/>
        </w:rPr>
      </w:pPr>
      <w:r w:rsidRPr="00DD1847">
        <w:rPr>
          <w:rFonts w:ascii="Times New Roman" w:hAnsi="Times New Roman" w:cs="Times New Roman"/>
        </w:rPr>
        <w:t>Alexander T.</w:t>
      </w:r>
      <w:r w:rsidRPr="00920DF5">
        <w:rPr>
          <w:rFonts w:ascii="Times New Roman" w:hAnsi="Times New Roman" w:cs="Times New Roman"/>
        </w:rPr>
        <w:t xml:space="preserve"> (2025)</w:t>
      </w:r>
      <w:r>
        <w:rPr>
          <w:rFonts w:ascii="Times New Roman" w:hAnsi="Times New Roman" w:cs="Times New Roman"/>
        </w:rPr>
        <w:t>.</w:t>
      </w:r>
      <w:r w:rsidRPr="00920DF5">
        <w:rPr>
          <w:rFonts w:ascii="Times New Roman" w:hAnsi="Times New Roman" w:cs="Times New Roman"/>
        </w:rPr>
        <w:t xml:space="preserve"> Diversity and Community Structure of Benthic Macrofauna in </w:t>
      </w:r>
      <w:proofErr w:type="spellStart"/>
      <w:r w:rsidRPr="00920DF5">
        <w:rPr>
          <w:rFonts w:ascii="Times New Roman" w:hAnsi="Times New Roman" w:cs="Times New Roman"/>
        </w:rPr>
        <w:t>Ashtamudi</w:t>
      </w:r>
      <w:proofErr w:type="spellEnd"/>
      <w:r w:rsidRPr="00920DF5">
        <w:rPr>
          <w:rFonts w:ascii="Times New Roman" w:hAnsi="Times New Roman" w:cs="Times New Roman"/>
        </w:rPr>
        <w:t xml:space="preserve"> Lake, Kerala: Implications for Estuarine Health and Productivity, </w:t>
      </w:r>
      <w:r w:rsidRPr="00DD1847">
        <w:rPr>
          <w:rFonts w:ascii="Times New Roman" w:hAnsi="Times New Roman" w:cs="Times New Roman"/>
          <w:i/>
          <w:iCs/>
        </w:rPr>
        <w:lastRenderedPageBreak/>
        <w:t>International Journal of Science, Architecture, Technology, and Environment</w:t>
      </w:r>
      <w:r w:rsidRPr="00920DF5">
        <w:rPr>
          <w:rFonts w:ascii="Times New Roman" w:hAnsi="Times New Roman" w:cs="Times New Roman"/>
        </w:rPr>
        <w:t xml:space="preserve">, 2 (11): 381-390. </w:t>
      </w:r>
      <w:hyperlink r:id="rId20" w:tgtFrame="_blank" w:history="1">
        <w:r w:rsidRPr="00920DF5">
          <w:rPr>
            <w:rStyle w:val="Hyperlink"/>
            <w:rFonts w:ascii="Times New Roman" w:hAnsi="Times New Roman" w:cs="Times New Roman"/>
          </w:rPr>
          <w:t>http://dx.doi.org/10.63680/ijsate1125039.032</w:t>
        </w:r>
      </w:hyperlink>
    </w:p>
    <w:p w14:paraId="733B882D" w14:textId="6FFB1A50" w:rsidR="00803F39" w:rsidRPr="001A7B2B" w:rsidRDefault="00803F39" w:rsidP="00D33116">
      <w:pPr>
        <w:pStyle w:val="ListParagraph"/>
        <w:numPr>
          <w:ilvl w:val="0"/>
          <w:numId w:val="3"/>
        </w:numPr>
        <w:spacing w:after="0" w:line="360" w:lineRule="auto"/>
        <w:ind w:left="709" w:hanging="643"/>
        <w:jc w:val="both"/>
        <w:rPr>
          <w:rFonts w:ascii="Times New Roman" w:hAnsi="Times New Roman" w:cs="Times New Roman"/>
        </w:rPr>
      </w:pPr>
      <w:r w:rsidRPr="001A7B2B">
        <w:rPr>
          <w:rFonts w:ascii="Times New Roman" w:hAnsi="Times New Roman" w:cs="Times New Roman"/>
        </w:rPr>
        <w:t>American Public Health Association (APHA). (</w:t>
      </w:r>
      <w:r w:rsidR="00F64F9F">
        <w:rPr>
          <w:rFonts w:ascii="Times New Roman" w:hAnsi="Times New Roman" w:cs="Times New Roman"/>
        </w:rPr>
        <w:t>2007</w:t>
      </w:r>
      <w:r w:rsidRPr="001A7B2B">
        <w:rPr>
          <w:rFonts w:ascii="Times New Roman" w:hAnsi="Times New Roman" w:cs="Times New Roman"/>
        </w:rPr>
        <w:t xml:space="preserve">). </w:t>
      </w:r>
      <w:r w:rsidRPr="001A7B2B">
        <w:rPr>
          <w:rFonts w:ascii="Times New Roman" w:hAnsi="Times New Roman" w:cs="Times New Roman"/>
          <w:i/>
          <w:iCs/>
        </w:rPr>
        <w:t>Standard Methods for the Examination of Water and Wastewater</w:t>
      </w:r>
      <w:r w:rsidRPr="001A7B2B">
        <w:rPr>
          <w:rFonts w:ascii="Times New Roman" w:hAnsi="Times New Roman" w:cs="Times New Roman"/>
        </w:rPr>
        <w:t xml:space="preserve"> (</w:t>
      </w:r>
      <w:r w:rsidR="00C84C42">
        <w:rPr>
          <w:rFonts w:ascii="Times New Roman" w:hAnsi="Times New Roman" w:cs="Times New Roman"/>
        </w:rPr>
        <w:t>21</w:t>
      </w:r>
      <w:r w:rsidR="00C84C42" w:rsidRPr="00C84C42">
        <w:rPr>
          <w:rFonts w:ascii="Times New Roman" w:hAnsi="Times New Roman" w:cs="Times New Roman"/>
          <w:vertAlign w:val="superscript"/>
        </w:rPr>
        <w:t>st</w:t>
      </w:r>
      <w:r w:rsidR="00C84C42">
        <w:rPr>
          <w:rFonts w:ascii="Times New Roman" w:hAnsi="Times New Roman" w:cs="Times New Roman"/>
        </w:rPr>
        <w:t xml:space="preserve"> </w:t>
      </w:r>
      <w:r w:rsidRPr="001A7B2B">
        <w:rPr>
          <w:rFonts w:ascii="Times New Roman" w:hAnsi="Times New Roman" w:cs="Times New Roman"/>
        </w:rPr>
        <w:t>e</w:t>
      </w:r>
      <w:r w:rsidR="00E917B5">
        <w:rPr>
          <w:rFonts w:ascii="Times New Roman" w:hAnsi="Times New Roman" w:cs="Times New Roman"/>
        </w:rPr>
        <w:t xml:space="preserve"> </w:t>
      </w:r>
      <w:r w:rsidRPr="001A7B2B">
        <w:rPr>
          <w:rFonts w:ascii="Times New Roman" w:hAnsi="Times New Roman" w:cs="Times New Roman"/>
        </w:rPr>
        <w:t>d.). American Public Health Association, Washington, DC.</w:t>
      </w:r>
      <w:r w:rsidR="00E917B5">
        <w:rPr>
          <w:rFonts w:ascii="Times New Roman" w:hAnsi="Times New Roman" w:cs="Times New Roman"/>
        </w:rPr>
        <w:t xml:space="preserve"> </w:t>
      </w:r>
      <w:hyperlink r:id="rId21" w:history="1">
        <w:r w:rsidR="00E917B5" w:rsidRPr="00830801">
          <w:rPr>
            <w:rStyle w:val="Hyperlink"/>
            <w:rFonts w:ascii="Times New Roman" w:hAnsi="Times New Roman" w:cs="Times New Roman"/>
          </w:rPr>
          <w:t>https://www.standardmethods.org/</w:t>
        </w:r>
      </w:hyperlink>
      <w:r w:rsidR="00E917B5">
        <w:rPr>
          <w:rFonts w:ascii="Times New Roman" w:hAnsi="Times New Roman" w:cs="Times New Roman"/>
        </w:rPr>
        <w:t xml:space="preserve"> </w:t>
      </w:r>
    </w:p>
    <w:p w14:paraId="18BE919B" w14:textId="643DB883" w:rsidR="00F64F9F" w:rsidRPr="00F64F9F" w:rsidRDefault="00F64F9F" w:rsidP="00F64F9F">
      <w:pPr>
        <w:pStyle w:val="ListParagraph"/>
        <w:numPr>
          <w:ilvl w:val="0"/>
          <w:numId w:val="3"/>
        </w:numPr>
        <w:spacing w:after="0" w:line="360" w:lineRule="auto"/>
        <w:ind w:left="709" w:hanging="643"/>
        <w:jc w:val="both"/>
        <w:rPr>
          <w:rFonts w:ascii="Times New Roman" w:hAnsi="Times New Roman" w:cs="Times New Roman"/>
          <w:color w:val="EE0000"/>
        </w:rPr>
      </w:pPr>
      <w:r w:rsidRPr="00C84C42">
        <w:rPr>
          <w:rFonts w:ascii="Times New Roman" w:hAnsi="Times New Roman" w:cs="Times New Roman"/>
        </w:rPr>
        <w:t>Xibao Xu, Minkun Chen, </w:t>
      </w:r>
      <w:bookmarkStart w:id="2" w:name="bau3-profile"/>
      <w:r w:rsidRPr="00C84C42">
        <w:rPr>
          <w:rFonts w:ascii="Times New Roman" w:hAnsi="Times New Roman" w:cs="Times New Roman"/>
        </w:rPr>
        <w:t>Guishan Yang</w:t>
      </w:r>
      <w:bookmarkEnd w:id="2"/>
      <w:r w:rsidRPr="00C84C42">
        <w:rPr>
          <w:rFonts w:ascii="Times New Roman" w:hAnsi="Times New Roman" w:cs="Times New Roman"/>
        </w:rPr>
        <w:t>, </w:t>
      </w:r>
      <w:bookmarkStart w:id="3" w:name="bau4-profile"/>
      <w:r w:rsidRPr="00C84C42">
        <w:rPr>
          <w:rFonts w:ascii="Times New Roman" w:hAnsi="Times New Roman" w:cs="Times New Roman"/>
        </w:rPr>
        <w:t>Bo Jiang</w:t>
      </w:r>
      <w:bookmarkEnd w:id="3"/>
      <w:r w:rsidRPr="00C84C42">
        <w:rPr>
          <w:rFonts w:ascii="Times New Roman" w:hAnsi="Times New Roman" w:cs="Times New Roman"/>
        </w:rPr>
        <w:t>, Ji Zhang. (2020). Wetland ecosystem services research: A critical review. Global Ecology and Conservation. 22: 1-10</w:t>
      </w:r>
      <w:r w:rsidRPr="00F64F9F">
        <w:rPr>
          <w:rFonts w:ascii="Times New Roman" w:hAnsi="Times New Roman" w:cs="Times New Roman"/>
          <w:color w:val="00B050"/>
        </w:rPr>
        <w:t xml:space="preserve">. </w:t>
      </w:r>
      <w:hyperlink r:id="rId22" w:tgtFrame="_blank" w:tooltip="Persistent link using digital object identifier" w:history="1">
        <w:r w:rsidRPr="00F64F9F">
          <w:rPr>
            <w:rStyle w:val="Hyperlink"/>
            <w:rFonts w:ascii="Times New Roman" w:hAnsi="Times New Roman" w:cs="Times New Roman"/>
          </w:rPr>
          <w:t>https://doi.org/10.1016/j.gecco.2020.e01027</w:t>
        </w:r>
      </w:hyperlink>
    </w:p>
    <w:p w14:paraId="362360DD" w14:textId="682EF776" w:rsidR="00E07B94" w:rsidRPr="00E07B94" w:rsidRDefault="00E07B94" w:rsidP="00E07B94">
      <w:pPr>
        <w:pStyle w:val="NormalWeb"/>
        <w:numPr>
          <w:ilvl w:val="0"/>
          <w:numId w:val="3"/>
        </w:numPr>
        <w:spacing w:before="0" w:beforeAutospacing="0" w:after="0" w:afterAutospacing="0" w:line="360" w:lineRule="auto"/>
        <w:ind w:left="709" w:hanging="643"/>
        <w:jc w:val="both"/>
      </w:pPr>
      <w:r w:rsidRPr="00C84C42">
        <w:t xml:space="preserve">Sudeshna Mukherjee &amp; Sujit Kumar Mandal (2023). </w:t>
      </w:r>
      <w:r w:rsidRPr="00C84C42">
        <w:rPr>
          <w:rFonts w:eastAsiaTheme="minorHAnsi"/>
        </w:rPr>
        <w:t>Quantitative Analysis of Aquatic and Associated Macrophytes in Selected Wetlands of North Dinajpur District, West Bengal</w:t>
      </w:r>
      <w:r w:rsidRPr="00C84C42">
        <w:t>. 10(3): 205-211</w:t>
      </w:r>
      <w:r w:rsidRPr="00E07B94">
        <w:t xml:space="preserve">. </w:t>
      </w:r>
      <w:hyperlink r:id="rId23" w:history="1">
        <w:r w:rsidRPr="00E07B94">
          <w:rPr>
            <w:rStyle w:val="Hyperlink"/>
          </w:rPr>
          <w:t>https://doi.org/10.32628/IJSRSET2310253</w:t>
        </w:r>
      </w:hyperlink>
      <w:r w:rsidRPr="00E07B94">
        <w:t xml:space="preserve"> </w:t>
      </w:r>
    </w:p>
    <w:p w14:paraId="4ECAF757" w14:textId="56825E3A" w:rsidR="00152685" w:rsidRPr="00152685" w:rsidRDefault="001F5F94" w:rsidP="00175E4F">
      <w:pPr>
        <w:pStyle w:val="ListParagraph"/>
        <w:numPr>
          <w:ilvl w:val="0"/>
          <w:numId w:val="3"/>
        </w:numPr>
        <w:spacing w:after="0" w:line="360" w:lineRule="auto"/>
        <w:ind w:left="709" w:hanging="643"/>
        <w:jc w:val="both"/>
      </w:pPr>
      <w:r w:rsidRPr="00C84C42">
        <w:rPr>
          <w:rFonts w:ascii="Times New Roman" w:hAnsi="Times New Roman" w:cs="Times New Roman"/>
        </w:rPr>
        <w:t xml:space="preserve">Devi, A. B., Deka, D., Aneesh, T. D., Srinivas, R., &amp; Nair, A. M. (2022). Predictive modelling of land use land cover dynamics for a tropical coastal urban city in Kerala, India. </w:t>
      </w:r>
      <w:r w:rsidRPr="00C84C42">
        <w:rPr>
          <w:rFonts w:ascii="Times New Roman" w:hAnsi="Times New Roman" w:cs="Times New Roman"/>
          <w:i/>
          <w:iCs/>
        </w:rPr>
        <w:t>Arabian Journal of Geosciences</w:t>
      </w:r>
      <w:r w:rsidRPr="00C84C42">
        <w:rPr>
          <w:rFonts w:ascii="Times New Roman" w:hAnsi="Times New Roman" w:cs="Times New Roman"/>
        </w:rPr>
        <w:t>, 15(5), 399</w:t>
      </w:r>
      <w:r w:rsidR="00687BBA" w:rsidRPr="00C84C42">
        <w:rPr>
          <w:rFonts w:ascii="Times New Roman" w:hAnsi="Times New Roman" w:cs="Times New Roman"/>
        </w:rPr>
        <w:t xml:space="preserve">. </w:t>
      </w:r>
      <w:r w:rsidR="00152685" w:rsidRPr="00C84C42">
        <w:t xml:space="preserve"> </w:t>
      </w:r>
      <w:hyperlink r:id="rId24" w:history="1">
        <w:r w:rsidR="00152685" w:rsidRPr="00A21F5F">
          <w:rPr>
            <w:rStyle w:val="Hyperlink"/>
            <w:rFonts w:ascii="Times New Roman" w:hAnsi="Times New Roman" w:cs="Times New Roman"/>
          </w:rPr>
          <w:t>https://doi.org/10.1007/s12517-022-09735-7</w:t>
        </w:r>
      </w:hyperlink>
      <w:r w:rsidR="00152685">
        <w:rPr>
          <w:rFonts w:ascii="Times New Roman" w:hAnsi="Times New Roman" w:cs="Times New Roman"/>
        </w:rPr>
        <w:t xml:space="preserve"> </w:t>
      </w:r>
    </w:p>
    <w:p w14:paraId="2A78AD4D" w14:textId="4ED33317" w:rsidR="001F5F94" w:rsidRPr="00687BBA" w:rsidRDefault="001F5F94" w:rsidP="00175E4F">
      <w:pPr>
        <w:pStyle w:val="ListParagraph"/>
        <w:numPr>
          <w:ilvl w:val="0"/>
          <w:numId w:val="3"/>
        </w:numPr>
        <w:spacing w:after="0" w:line="360" w:lineRule="auto"/>
        <w:ind w:left="709" w:hanging="643"/>
        <w:jc w:val="both"/>
        <w:rPr>
          <w:rFonts w:ascii="Times New Roman" w:hAnsi="Times New Roman" w:cs="Times New Roman"/>
        </w:rPr>
      </w:pPr>
      <w:proofErr w:type="spellStart"/>
      <w:r w:rsidRPr="00687BBA">
        <w:rPr>
          <w:rFonts w:ascii="Times New Roman" w:hAnsi="Times New Roman" w:cs="Times New Roman"/>
        </w:rPr>
        <w:t>Dufrêne</w:t>
      </w:r>
      <w:proofErr w:type="spellEnd"/>
      <w:r w:rsidRPr="00687BBA">
        <w:rPr>
          <w:rFonts w:ascii="Times New Roman" w:hAnsi="Times New Roman" w:cs="Times New Roman"/>
        </w:rPr>
        <w:t xml:space="preserve">, M., &amp; Legendre, P. (1997). Species assemblages and indicator species: The need for a flexible asymmetrical approach. </w:t>
      </w:r>
      <w:r w:rsidRPr="00687BBA">
        <w:rPr>
          <w:rStyle w:val="Emphasis"/>
          <w:rFonts w:ascii="Times New Roman" w:eastAsiaTheme="majorEastAsia" w:hAnsi="Times New Roman" w:cs="Times New Roman"/>
        </w:rPr>
        <w:t>Ecological Monographs</w:t>
      </w:r>
      <w:r w:rsidRPr="00687BBA">
        <w:rPr>
          <w:rFonts w:ascii="Times New Roman" w:hAnsi="Times New Roman" w:cs="Times New Roman"/>
        </w:rPr>
        <w:t>, 67(3), 345</w:t>
      </w:r>
      <w:r w:rsidR="00C84C42">
        <w:rPr>
          <w:rFonts w:ascii="Times New Roman" w:hAnsi="Times New Roman" w:cs="Times New Roman"/>
        </w:rPr>
        <w:t>-</w:t>
      </w:r>
      <w:r w:rsidRPr="00687BBA">
        <w:rPr>
          <w:rFonts w:ascii="Times New Roman" w:hAnsi="Times New Roman" w:cs="Times New Roman"/>
        </w:rPr>
        <w:t>366.</w:t>
      </w:r>
      <w:r w:rsidR="00FE51CB" w:rsidRPr="00687BBA">
        <w:rPr>
          <w:rFonts w:ascii="Times New Roman" w:hAnsi="Times New Roman" w:cs="Times New Roman"/>
        </w:rPr>
        <w:t xml:space="preserve"> </w:t>
      </w:r>
      <w:hyperlink r:id="rId25" w:history="1">
        <w:r w:rsidR="00F9733A" w:rsidRPr="00A21F5F">
          <w:rPr>
            <w:rStyle w:val="Hyperlink"/>
            <w:rFonts w:ascii="Times New Roman" w:hAnsi="Times New Roman" w:cs="Times New Roman"/>
          </w:rPr>
          <w:t>https://doi.org/10.2307/2963459</w:t>
        </w:r>
      </w:hyperlink>
      <w:r w:rsidR="00F9733A">
        <w:rPr>
          <w:rFonts w:ascii="Times New Roman" w:hAnsi="Times New Roman" w:cs="Times New Roman"/>
        </w:rPr>
        <w:t xml:space="preserve">  </w:t>
      </w:r>
    </w:p>
    <w:p w14:paraId="729D1ACB" w14:textId="542B9A94" w:rsidR="001F5F94" w:rsidRPr="001A7B2B" w:rsidRDefault="001F5F94" w:rsidP="00D33116">
      <w:pPr>
        <w:pStyle w:val="ListParagraph"/>
        <w:numPr>
          <w:ilvl w:val="0"/>
          <w:numId w:val="3"/>
        </w:numPr>
        <w:spacing w:after="0" w:line="360" w:lineRule="auto"/>
        <w:ind w:left="709" w:hanging="643"/>
        <w:jc w:val="both"/>
        <w:rPr>
          <w:rFonts w:ascii="Times New Roman" w:hAnsi="Times New Roman" w:cs="Times New Roman"/>
        </w:rPr>
      </w:pPr>
      <w:r w:rsidRPr="001A7B2B">
        <w:rPr>
          <w:rFonts w:ascii="Times New Roman" w:hAnsi="Times New Roman" w:cs="Times New Roman"/>
        </w:rPr>
        <w:t xml:space="preserve">Jayakumar, K.V. &amp; </w:t>
      </w:r>
      <w:proofErr w:type="spellStart"/>
      <w:r w:rsidRPr="001A7B2B">
        <w:rPr>
          <w:rFonts w:ascii="Times New Roman" w:hAnsi="Times New Roman" w:cs="Times New Roman"/>
        </w:rPr>
        <w:t>Chackacherry</w:t>
      </w:r>
      <w:proofErr w:type="spellEnd"/>
      <w:r w:rsidRPr="001A7B2B">
        <w:rPr>
          <w:rFonts w:ascii="Times New Roman" w:hAnsi="Times New Roman" w:cs="Times New Roman"/>
        </w:rPr>
        <w:t xml:space="preserve">, G. (2011).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Values and Threats. In </w:t>
      </w:r>
      <w:r w:rsidRPr="001A7B2B">
        <w:rPr>
          <w:rFonts w:ascii="Times New Roman" w:hAnsi="Times New Roman" w:cs="Times New Roman"/>
          <w:i/>
          <w:iCs/>
        </w:rPr>
        <w:t>National Workshop on Ramsar Sites of India</w:t>
      </w:r>
      <w:r w:rsidRPr="001A7B2B">
        <w:rPr>
          <w:rFonts w:ascii="Times New Roman" w:hAnsi="Times New Roman" w:cs="Times New Roman"/>
        </w:rPr>
        <w:t>, Kolkata.</w:t>
      </w:r>
      <w:r w:rsidR="00F9733A">
        <w:rPr>
          <w:rFonts w:ascii="Times New Roman" w:hAnsi="Times New Roman" w:cs="Times New Roman"/>
        </w:rPr>
        <w:t xml:space="preserve"> </w:t>
      </w:r>
      <w:hyperlink r:id="rId26" w:history="1">
        <w:r w:rsidR="00F9733A" w:rsidRPr="00A21F5F">
          <w:rPr>
            <w:rStyle w:val="Hyperlink"/>
            <w:rFonts w:ascii="Times New Roman" w:hAnsi="Times New Roman" w:cs="Times New Roman"/>
          </w:rPr>
          <w:t>https://www.researchgate.net/publication/321804444_Ashtamudi_Wetland_Kerala_Values_and_Threats</w:t>
        </w:r>
      </w:hyperlink>
      <w:r w:rsidR="00F9733A">
        <w:rPr>
          <w:rFonts w:ascii="Times New Roman" w:hAnsi="Times New Roman" w:cs="Times New Roman"/>
        </w:rPr>
        <w:t xml:space="preserve"> </w:t>
      </w:r>
    </w:p>
    <w:p w14:paraId="01C3C2A1" w14:textId="36BC8E1E" w:rsidR="0089498F" w:rsidRDefault="001F5F94" w:rsidP="004E6F28">
      <w:pPr>
        <w:pStyle w:val="NormalWeb"/>
        <w:numPr>
          <w:ilvl w:val="0"/>
          <w:numId w:val="3"/>
        </w:numPr>
        <w:spacing w:before="0" w:beforeAutospacing="0" w:after="0" w:afterAutospacing="0" w:line="360" w:lineRule="auto"/>
        <w:ind w:left="709" w:hanging="643"/>
        <w:jc w:val="both"/>
      </w:pPr>
      <w:r w:rsidRPr="001A7B2B">
        <w:t xml:space="preserve">Kathiresan, K., &amp; Bingham, B. L. (2001). Biology of mangroves and mangrove ecosystems. </w:t>
      </w:r>
      <w:r w:rsidRPr="0089498F">
        <w:rPr>
          <w:rStyle w:val="Emphasis"/>
          <w:rFonts w:eastAsiaTheme="majorEastAsia"/>
        </w:rPr>
        <w:t>Advances in Marine Biology</w:t>
      </w:r>
      <w:r w:rsidRPr="001A7B2B">
        <w:t>, 40, 81</w:t>
      </w:r>
      <w:r w:rsidR="00C84C42">
        <w:t>-</w:t>
      </w:r>
      <w:r w:rsidRPr="001A7B2B">
        <w:t>251.</w:t>
      </w:r>
      <w:r w:rsidR="00FE51CB" w:rsidRPr="001A7B2B">
        <w:t xml:space="preserve"> DOI: 10.1016/S0065-2881(01)40003-4</w:t>
      </w:r>
      <w:r w:rsidR="0089498F">
        <w:t xml:space="preserve">. </w:t>
      </w:r>
      <w:hyperlink r:id="rId27" w:history="1">
        <w:r w:rsidR="0089498F" w:rsidRPr="00A21F5F">
          <w:rPr>
            <w:rStyle w:val="Hyperlink"/>
          </w:rPr>
          <w:t>https://doi.org/10.1016/S0065-2881(01)40003-4</w:t>
        </w:r>
      </w:hyperlink>
    </w:p>
    <w:p w14:paraId="4362030C" w14:textId="735D8433" w:rsidR="0089498F" w:rsidRDefault="001F5F94" w:rsidP="00565EF0">
      <w:pPr>
        <w:pStyle w:val="NormalWeb"/>
        <w:numPr>
          <w:ilvl w:val="0"/>
          <w:numId w:val="3"/>
        </w:numPr>
        <w:spacing w:before="0" w:beforeAutospacing="0" w:after="0" w:afterAutospacing="0" w:line="360" w:lineRule="auto"/>
        <w:ind w:left="709" w:hanging="643"/>
        <w:jc w:val="both"/>
      </w:pPr>
      <w:r w:rsidRPr="0089498F">
        <w:t xml:space="preserve">Krishnan, J. U., Devi, S. S., </w:t>
      </w:r>
      <w:proofErr w:type="spellStart"/>
      <w:r w:rsidRPr="0089498F">
        <w:t>Jithine</w:t>
      </w:r>
      <w:proofErr w:type="spellEnd"/>
      <w:r w:rsidRPr="0089498F">
        <w:t xml:space="preserve">, J. R., Ajesh, G., &amp; Lekshmi, N. R. (2015). Pollution status of </w:t>
      </w:r>
      <w:proofErr w:type="spellStart"/>
      <w:r w:rsidRPr="0089498F">
        <w:t>Ashtamudi</w:t>
      </w:r>
      <w:proofErr w:type="spellEnd"/>
      <w:r w:rsidRPr="0089498F">
        <w:t xml:space="preserve"> Lake, Kerala, India and its impact on some keystone mangrove species: A case study. </w:t>
      </w:r>
      <w:r w:rsidRPr="0089498F">
        <w:rPr>
          <w:i/>
          <w:iCs/>
        </w:rPr>
        <w:t>International Journal of Innovative Studies in Aquatic Biology and Fisheries</w:t>
      </w:r>
      <w:r w:rsidRPr="0089498F">
        <w:t>, 1(1), 17–22.</w:t>
      </w:r>
      <w:r w:rsidR="00FE51CB" w:rsidRPr="0089498F">
        <w:t xml:space="preserve"> </w:t>
      </w:r>
      <w:hyperlink r:id="rId28" w:history="1">
        <w:r w:rsidR="0089498F" w:rsidRPr="00A21F5F">
          <w:rPr>
            <w:rStyle w:val="Hyperlink"/>
          </w:rPr>
          <w:t>https://www.arcjournals.org/pdfs/ijisabf/v1-i2/3.pdf</w:t>
        </w:r>
      </w:hyperlink>
    </w:p>
    <w:p w14:paraId="316EF01E" w14:textId="4567A491" w:rsidR="00EC5F2D" w:rsidRPr="001A7B2B" w:rsidRDefault="00EC5F2D" w:rsidP="00D33116">
      <w:pPr>
        <w:pStyle w:val="ListParagraph"/>
        <w:numPr>
          <w:ilvl w:val="0"/>
          <w:numId w:val="3"/>
        </w:numPr>
        <w:spacing w:after="0" w:line="360" w:lineRule="auto"/>
        <w:ind w:left="709" w:hanging="643"/>
        <w:jc w:val="both"/>
        <w:rPr>
          <w:rFonts w:ascii="Times New Roman" w:hAnsi="Times New Roman" w:cs="Times New Roman"/>
        </w:rPr>
      </w:pPr>
      <w:bookmarkStart w:id="4" w:name="_Hlk218074877"/>
      <w:r w:rsidRPr="00C84C42">
        <w:rPr>
          <w:rFonts w:ascii="Times New Roman" w:hAnsi="Times New Roman" w:cs="Times New Roman"/>
        </w:rPr>
        <w:t>Grima</w:t>
      </w:r>
      <w:bookmarkEnd w:id="4"/>
      <w:r w:rsidRPr="00C84C42">
        <w:rPr>
          <w:rFonts w:ascii="Times New Roman" w:hAnsi="Times New Roman" w:cs="Times New Roman"/>
        </w:rPr>
        <w:t xml:space="preserve">, N., Jutras-Perreault, M.-C., </w:t>
      </w:r>
      <w:proofErr w:type="spellStart"/>
      <w:r w:rsidRPr="00C84C42">
        <w:rPr>
          <w:rFonts w:ascii="Times New Roman" w:hAnsi="Times New Roman" w:cs="Times New Roman"/>
        </w:rPr>
        <w:t>Gobakken</w:t>
      </w:r>
      <w:proofErr w:type="spellEnd"/>
      <w:r w:rsidRPr="00C84C42">
        <w:rPr>
          <w:rFonts w:ascii="Times New Roman" w:hAnsi="Times New Roman" w:cs="Times New Roman"/>
        </w:rPr>
        <w:t xml:space="preserve">, T., &amp; </w:t>
      </w:r>
      <w:proofErr w:type="spellStart"/>
      <w:r w:rsidRPr="00C84C42">
        <w:rPr>
          <w:rFonts w:ascii="Times New Roman" w:hAnsi="Times New Roman" w:cs="Times New Roman"/>
        </w:rPr>
        <w:t>Ørka</w:t>
      </w:r>
      <w:proofErr w:type="spellEnd"/>
      <w:r w:rsidRPr="00C84C42">
        <w:rPr>
          <w:rFonts w:ascii="Times New Roman" w:hAnsi="Times New Roman" w:cs="Times New Roman"/>
        </w:rPr>
        <w:t>, H. O. (2023).</w:t>
      </w:r>
      <w:r w:rsidRPr="00C84C42">
        <w:rPr>
          <w:rFonts w:ascii="Times New Roman" w:hAnsi="Times New Roman" w:cs="Times New Roman"/>
        </w:rPr>
        <w:br/>
        <w:t xml:space="preserve">Systematic review for a set of indicators supporting the Common International Classification of Ecosystem Services. </w:t>
      </w:r>
      <w:r w:rsidRPr="00C84C42">
        <w:rPr>
          <w:rFonts w:ascii="Times New Roman" w:hAnsi="Times New Roman" w:cs="Times New Roman"/>
          <w:i/>
          <w:iCs/>
        </w:rPr>
        <w:t>Ecological Indicators</w:t>
      </w:r>
      <w:r w:rsidRPr="00C84C42">
        <w:rPr>
          <w:rFonts w:ascii="Times New Roman" w:hAnsi="Times New Roman" w:cs="Times New Roman"/>
        </w:rPr>
        <w:t>, 147, 109978.</w:t>
      </w:r>
      <w:r w:rsidR="00C84C42">
        <w:rPr>
          <w:rFonts w:ascii="Times New Roman" w:hAnsi="Times New Roman" w:cs="Times New Roman"/>
        </w:rPr>
        <w:t xml:space="preserve"> </w:t>
      </w:r>
      <w:hyperlink r:id="rId29" w:history="1">
        <w:r w:rsidR="00C84C42" w:rsidRPr="00A21F5F">
          <w:rPr>
            <w:rStyle w:val="Hyperlink"/>
            <w:rFonts w:ascii="Times New Roman" w:hAnsi="Times New Roman" w:cs="Times New Roman"/>
          </w:rPr>
          <w:t>https://doi.org/10.1016/j.ecolind.2023.109978</w:t>
        </w:r>
      </w:hyperlink>
    </w:p>
    <w:p w14:paraId="3AFE813A" w14:textId="50B05CF8" w:rsidR="00600200" w:rsidRPr="001A7B2B" w:rsidRDefault="00600200" w:rsidP="00D33116">
      <w:pPr>
        <w:pStyle w:val="ListParagraph"/>
        <w:numPr>
          <w:ilvl w:val="0"/>
          <w:numId w:val="3"/>
        </w:numPr>
        <w:spacing w:after="0" w:line="360" w:lineRule="auto"/>
        <w:ind w:left="709" w:hanging="643"/>
        <w:jc w:val="both"/>
        <w:rPr>
          <w:rFonts w:ascii="Times New Roman" w:hAnsi="Times New Roman" w:cs="Times New Roman"/>
        </w:rPr>
      </w:pPr>
      <w:proofErr w:type="spellStart"/>
      <w:r w:rsidRPr="00C84C42">
        <w:rPr>
          <w:rFonts w:ascii="Times New Roman" w:hAnsi="Times New Roman" w:cs="Times New Roman"/>
        </w:rPr>
        <w:lastRenderedPageBreak/>
        <w:t>Wolfslehner</w:t>
      </w:r>
      <w:proofErr w:type="spellEnd"/>
      <w:r w:rsidRPr="00C84C42">
        <w:rPr>
          <w:rFonts w:ascii="Times New Roman" w:hAnsi="Times New Roman" w:cs="Times New Roman"/>
        </w:rPr>
        <w:t xml:space="preserve">, B., &amp; </w:t>
      </w:r>
      <w:proofErr w:type="spellStart"/>
      <w:r w:rsidRPr="00C84C42">
        <w:rPr>
          <w:rFonts w:ascii="Times New Roman" w:hAnsi="Times New Roman" w:cs="Times New Roman"/>
        </w:rPr>
        <w:t>Vacik</w:t>
      </w:r>
      <w:proofErr w:type="spellEnd"/>
      <w:r w:rsidRPr="00C84C42">
        <w:rPr>
          <w:rFonts w:ascii="Times New Roman" w:hAnsi="Times New Roman" w:cs="Times New Roman"/>
        </w:rPr>
        <w:t xml:space="preserve">, H. (2011). Mapping indicator models: From intuitive problem structuring to quantified decision-making in sustainable forest management. </w:t>
      </w:r>
      <w:r w:rsidRPr="00C84C42">
        <w:rPr>
          <w:rFonts w:ascii="Times New Roman" w:hAnsi="Times New Roman" w:cs="Times New Roman"/>
          <w:i/>
          <w:iCs/>
        </w:rPr>
        <w:t>Ecological Indicators</w:t>
      </w:r>
      <w:r w:rsidRPr="00C84C42">
        <w:rPr>
          <w:rFonts w:ascii="Times New Roman" w:hAnsi="Times New Roman" w:cs="Times New Roman"/>
        </w:rPr>
        <w:t xml:space="preserve">, 11, 274–283. </w:t>
      </w:r>
      <w:hyperlink r:id="rId30" w:history="1">
        <w:r w:rsidRPr="00A21F5F">
          <w:rPr>
            <w:rStyle w:val="Hyperlink"/>
            <w:rFonts w:ascii="Times New Roman" w:hAnsi="Times New Roman" w:cs="Times New Roman"/>
          </w:rPr>
          <w:t>https://doi.org/10.1016/j.ecolind.2010.05.004</w:t>
        </w:r>
      </w:hyperlink>
    </w:p>
    <w:p w14:paraId="5AB01787" w14:textId="2F423FAE" w:rsidR="001F5F94" w:rsidRPr="001A7B2B" w:rsidRDefault="001F5F94" w:rsidP="00D33116">
      <w:pPr>
        <w:pStyle w:val="ListParagraph"/>
        <w:numPr>
          <w:ilvl w:val="0"/>
          <w:numId w:val="3"/>
        </w:numPr>
        <w:spacing w:after="0" w:line="360" w:lineRule="auto"/>
        <w:ind w:left="709" w:hanging="643"/>
        <w:jc w:val="both"/>
        <w:rPr>
          <w:rFonts w:ascii="Times New Roman" w:hAnsi="Times New Roman" w:cs="Times New Roman"/>
        </w:rPr>
      </w:pPr>
      <w:r w:rsidRPr="001A7B2B">
        <w:rPr>
          <w:rFonts w:ascii="Times New Roman" w:hAnsi="Times New Roman" w:cs="Times New Roman"/>
        </w:rPr>
        <w:t xml:space="preserve">Ramsar Convention Secretariat. (2021). </w:t>
      </w:r>
      <w:r w:rsidRPr="001A7B2B">
        <w:rPr>
          <w:rFonts w:ascii="Times New Roman" w:hAnsi="Times New Roman" w:cs="Times New Roman"/>
          <w:i/>
          <w:iCs/>
        </w:rPr>
        <w:t>Global Wetland Outlook: Special Edition 2021</w:t>
      </w:r>
      <w:r w:rsidRPr="001A7B2B">
        <w:rPr>
          <w:rFonts w:ascii="Times New Roman" w:hAnsi="Times New Roman" w:cs="Times New Roman"/>
        </w:rPr>
        <w:t>.</w:t>
      </w:r>
      <w:r w:rsidR="00E917B5">
        <w:rPr>
          <w:rFonts w:ascii="Times New Roman" w:hAnsi="Times New Roman" w:cs="Times New Roman"/>
        </w:rPr>
        <w:t xml:space="preserve"> </w:t>
      </w:r>
      <w:hyperlink r:id="rId31" w:history="1">
        <w:r w:rsidR="00E917B5" w:rsidRPr="00830801">
          <w:rPr>
            <w:rStyle w:val="Hyperlink"/>
            <w:rFonts w:ascii="Times New Roman" w:hAnsi="Times New Roman" w:cs="Times New Roman"/>
          </w:rPr>
          <w:t>https://www.ramsar.org/document/global-wetland-outlook-special-edition-2021</w:t>
        </w:r>
      </w:hyperlink>
      <w:r w:rsidR="00E917B5">
        <w:rPr>
          <w:rFonts w:ascii="Times New Roman" w:hAnsi="Times New Roman" w:cs="Times New Roman"/>
        </w:rPr>
        <w:t xml:space="preserve"> </w:t>
      </w:r>
    </w:p>
    <w:p w14:paraId="73CA3E77" w14:textId="3C3BE36F" w:rsidR="00A81F70" w:rsidRPr="00A81F70" w:rsidRDefault="001F5F94" w:rsidP="002978BB">
      <w:pPr>
        <w:pStyle w:val="ListParagraph"/>
        <w:numPr>
          <w:ilvl w:val="0"/>
          <w:numId w:val="3"/>
        </w:numPr>
        <w:spacing w:after="0" w:line="360" w:lineRule="auto"/>
        <w:ind w:left="709" w:hanging="643"/>
        <w:jc w:val="both"/>
        <w:rPr>
          <w:rFonts w:ascii="Times New Roman" w:hAnsi="Times New Roman" w:cs="Times New Roman"/>
        </w:rPr>
      </w:pPr>
      <w:r w:rsidRPr="00C84C42">
        <w:rPr>
          <w:rFonts w:ascii="Times New Roman" w:hAnsi="Times New Roman" w:cs="Times New Roman"/>
        </w:rPr>
        <w:t xml:space="preserve">Ravinesh, R., Biju Kumar, A., &amp; Anjana, V.L. (2021). Diversity and distribution of molluscan fauna in </w:t>
      </w:r>
      <w:proofErr w:type="spellStart"/>
      <w:r w:rsidRPr="00C84C42">
        <w:rPr>
          <w:rFonts w:ascii="Times New Roman" w:hAnsi="Times New Roman" w:cs="Times New Roman"/>
        </w:rPr>
        <w:t>Ashtamudi</w:t>
      </w:r>
      <w:proofErr w:type="spellEnd"/>
      <w:r w:rsidRPr="00C84C42">
        <w:rPr>
          <w:rFonts w:ascii="Times New Roman" w:hAnsi="Times New Roman" w:cs="Times New Roman"/>
        </w:rPr>
        <w:t xml:space="preserve"> Estuary. </w:t>
      </w:r>
      <w:r w:rsidRPr="00C84C42">
        <w:rPr>
          <w:rFonts w:ascii="Times New Roman" w:hAnsi="Times New Roman" w:cs="Times New Roman"/>
          <w:i/>
          <w:iCs/>
        </w:rPr>
        <w:t>Wetlands Ecology and Management</w:t>
      </w:r>
      <w:r w:rsidRPr="00C84C42">
        <w:rPr>
          <w:rFonts w:ascii="Times New Roman" w:hAnsi="Times New Roman" w:cs="Times New Roman"/>
        </w:rPr>
        <w:t>, 29, 745</w:t>
      </w:r>
      <w:r w:rsidR="00C84C42">
        <w:rPr>
          <w:rFonts w:ascii="Times New Roman" w:hAnsi="Times New Roman" w:cs="Times New Roman"/>
        </w:rPr>
        <w:t>-</w:t>
      </w:r>
      <w:r w:rsidRPr="00C84C42">
        <w:rPr>
          <w:rFonts w:ascii="Times New Roman" w:hAnsi="Times New Roman" w:cs="Times New Roman"/>
        </w:rPr>
        <w:t xml:space="preserve">765. </w:t>
      </w:r>
      <w:hyperlink r:id="rId32" w:history="1">
        <w:r w:rsidR="00A81F70" w:rsidRPr="00A81F70">
          <w:rPr>
            <w:rStyle w:val="Hyperlink"/>
            <w:rFonts w:ascii="Times New Roman" w:hAnsi="Times New Roman" w:cs="Times New Roman"/>
          </w:rPr>
          <w:t>https://doi.org/10.1007/s11273-021-09791-y</w:t>
        </w:r>
      </w:hyperlink>
      <w:r w:rsidR="00A81F70">
        <w:t xml:space="preserve"> </w:t>
      </w:r>
    </w:p>
    <w:p w14:paraId="3B0B3129" w14:textId="32747373" w:rsidR="00EB2E7C" w:rsidRPr="00A81F70" w:rsidRDefault="00EB2E7C" w:rsidP="002978BB">
      <w:pPr>
        <w:pStyle w:val="ListParagraph"/>
        <w:numPr>
          <w:ilvl w:val="0"/>
          <w:numId w:val="3"/>
        </w:numPr>
        <w:spacing w:after="0" w:line="360" w:lineRule="auto"/>
        <w:ind w:left="709" w:hanging="643"/>
        <w:jc w:val="both"/>
        <w:rPr>
          <w:rFonts w:ascii="Times New Roman" w:hAnsi="Times New Roman" w:cs="Times New Roman"/>
        </w:rPr>
      </w:pPr>
      <w:r w:rsidRPr="00C84C42">
        <w:rPr>
          <w:rFonts w:ascii="Times New Roman" w:hAnsi="Times New Roman" w:cs="Times New Roman"/>
        </w:rPr>
        <w:t xml:space="preserve">Levin, S. A. (1992). The problem of pattern and scale in ecology. </w:t>
      </w:r>
      <w:r w:rsidRPr="00C84C42">
        <w:rPr>
          <w:rFonts w:ascii="Times New Roman" w:hAnsi="Times New Roman" w:cs="Times New Roman"/>
          <w:i/>
          <w:iCs/>
        </w:rPr>
        <w:t>Ecology</w:t>
      </w:r>
      <w:r w:rsidRPr="00C84C42">
        <w:rPr>
          <w:rFonts w:ascii="Times New Roman" w:hAnsi="Times New Roman" w:cs="Times New Roman"/>
        </w:rPr>
        <w:t>, 73(6), 1943</w:t>
      </w:r>
      <w:r w:rsidR="00C84C42">
        <w:rPr>
          <w:rFonts w:ascii="Times New Roman" w:hAnsi="Times New Roman" w:cs="Times New Roman"/>
        </w:rPr>
        <w:t>-</w:t>
      </w:r>
      <w:r w:rsidRPr="00C84C42">
        <w:rPr>
          <w:rFonts w:ascii="Times New Roman" w:hAnsi="Times New Roman" w:cs="Times New Roman"/>
        </w:rPr>
        <w:t xml:space="preserve">1967. </w:t>
      </w:r>
      <w:hyperlink r:id="rId33" w:history="1">
        <w:r w:rsidRPr="00A21F5F">
          <w:rPr>
            <w:rStyle w:val="Hyperlink"/>
            <w:rFonts w:ascii="Times New Roman" w:hAnsi="Times New Roman" w:cs="Times New Roman"/>
          </w:rPr>
          <w:t>https://doi.org/10.2307/1941447</w:t>
        </w:r>
      </w:hyperlink>
    </w:p>
    <w:p w14:paraId="3D1E4695" w14:textId="20850715" w:rsidR="00F64F9F" w:rsidRDefault="00612575" w:rsidP="00F64F9F">
      <w:pPr>
        <w:pStyle w:val="ListParagraph"/>
        <w:numPr>
          <w:ilvl w:val="0"/>
          <w:numId w:val="3"/>
        </w:numPr>
        <w:spacing w:after="0" w:line="360" w:lineRule="auto"/>
        <w:ind w:left="709" w:hanging="643"/>
        <w:jc w:val="both"/>
        <w:rPr>
          <w:rFonts w:ascii="Times New Roman" w:hAnsi="Times New Roman" w:cs="Times New Roman"/>
        </w:rPr>
      </w:pPr>
      <w:proofErr w:type="spellStart"/>
      <w:r w:rsidRPr="001A7B2B">
        <w:rPr>
          <w:rFonts w:ascii="Times New Roman" w:hAnsi="Times New Roman" w:cs="Times New Roman"/>
        </w:rPr>
        <w:t>Sreekumari</w:t>
      </w:r>
      <w:proofErr w:type="spellEnd"/>
      <w:r w:rsidRPr="001A7B2B">
        <w:rPr>
          <w:rFonts w:ascii="Times New Roman" w:hAnsi="Times New Roman" w:cs="Times New Roman"/>
        </w:rPr>
        <w:t xml:space="preserve">, V. M., John, S. E., Rajan, R. T., Kesavan, M., Kurian, S., &amp; Damodaran, P. (2016). Human interventions and consequent environmental degradation of a protected freshwater lake in Kerala, SW India. </w:t>
      </w:r>
      <w:r w:rsidRPr="001A7B2B">
        <w:rPr>
          <w:rFonts w:ascii="Times New Roman" w:hAnsi="Times New Roman" w:cs="Times New Roman"/>
          <w:i/>
          <w:iCs/>
        </w:rPr>
        <w:t>Geosciences Journal</w:t>
      </w:r>
      <w:r w:rsidRPr="001A7B2B">
        <w:rPr>
          <w:rFonts w:ascii="Times New Roman" w:hAnsi="Times New Roman" w:cs="Times New Roman"/>
        </w:rPr>
        <w:t>, 20 (3), 391</w:t>
      </w:r>
      <w:r w:rsidR="00C84C42">
        <w:rPr>
          <w:rFonts w:ascii="Times New Roman" w:hAnsi="Times New Roman" w:cs="Times New Roman"/>
        </w:rPr>
        <w:t>-</w:t>
      </w:r>
      <w:r w:rsidRPr="001A7B2B">
        <w:rPr>
          <w:rFonts w:ascii="Times New Roman" w:hAnsi="Times New Roman" w:cs="Times New Roman"/>
        </w:rPr>
        <w:t>402.</w:t>
      </w:r>
      <w:bookmarkEnd w:id="1"/>
      <w:r w:rsidR="004B1514" w:rsidRPr="001A7B2B">
        <w:rPr>
          <w:rFonts w:ascii="Times New Roman" w:hAnsi="Times New Roman" w:cs="Times New Roman"/>
        </w:rPr>
        <w:t xml:space="preserve"> </w:t>
      </w:r>
      <w:bookmarkStart w:id="5" w:name="_Hlk218029793"/>
      <w:r w:rsidR="00C84C42">
        <w:rPr>
          <w:rFonts w:ascii="Times New Roman" w:hAnsi="Times New Roman" w:cs="Times New Roman"/>
        </w:rPr>
        <w:fldChar w:fldCharType="begin"/>
      </w:r>
      <w:r w:rsidR="00C84C42">
        <w:rPr>
          <w:rFonts w:ascii="Times New Roman" w:hAnsi="Times New Roman" w:cs="Times New Roman"/>
        </w:rPr>
        <w:instrText>HYPERLINK "</w:instrText>
      </w:r>
      <w:r w:rsidR="00C84C42" w:rsidRPr="00C84C42">
        <w:rPr>
          <w:rFonts w:ascii="Times New Roman" w:hAnsi="Times New Roman" w:cs="Times New Roman"/>
        </w:rPr>
        <w:instrText>https://doi.org/10.1007/s12303-015-0049-7</w:instrText>
      </w:r>
      <w:r w:rsidR="00C84C42">
        <w:rPr>
          <w:rFonts w:ascii="Times New Roman" w:hAnsi="Times New Roman" w:cs="Times New Roman"/>
        </w:rPr>
        <w:instrText>"</w:instrText>
      </w:r>
      <w:r w:rsidR="00C84C42">
        <w:rPr>
          <w:rFonts w:ascii="Times New Roman" w:hAnsi="Times New Roman" w:cs="Times New Roman"/>
        </w:rPr>
        <w:fldChar w:fldCharType="separate"/>
      </w:r>
      <w:r w:rsidR="00C84C42" w:rsidRPr="00A21F5F">
        <w:rPr>
          <w:rStyle w:val="Hyperlink"/>
          <w:rFonts w:ascii="Times New Roman" w:hAnsi="Times New Roman" w:cs="Times New Roman"/>
        </w:rPr>
        <w:t>https://doi.org/10.1007/s12303-015-0049-7</w:t>
      </w:r>
      <w:r w:rsidR="00C84C42">
        <w:rPr>
          <w:rFonts w:ascii="Times New Roman" w:hAnsi="Times New Roman" w:cs="Times New Roman"/>
        </w:rPr>
        <w:fldChar w:fldCharType="end"/>
      </w:r>
      <w:r w:rsidR="00C84C42">
        <w:rPr>
          <w:rFonts w:ascii="Times New Roman" w:hAnsi="Times New Roman" w:cs="Times New Roman"/>
        </w:rPr>
        <w:t xml:space="preserve"> </w:t>
      </w:r>
    </w:p>
    <w:p w14:paraId="728E3E11" w14:textId="7B5472E3" w:rsidR="00F64F9F" w:rsidRPr="00C84C42" w:rsidRDefault="00F64F9F" w:rsidP="00C84C42">
      <w:pPr>
        <w:pStyle w:val="ListParagraph"/>
        <w:numPr>
          <w:ilvl w:val="0"/>
          <w:numId w:val="3"/>
        </w:numPr>
        <w:spacing w:after="0" w:line="360" w:lineRule="auto"/>
        <w:ind w:left="709" w:hanging="643"/>
        <w:jc w:val="both"/>
        <w:rPr>
          <w:rFonts w:ascii="Times New Roman" w:hAnsi="Times New Roman" w:cs="Times New Roman"/>
        </w:rPr>
      </w:pPr>
      <w:r w:rsidRPr="00C84C42">
        <w:rPr>
          <w:rFonts w:ascii="Times New Roman" w:hAnsi="Times New Roman" w:cs="Times New Roman"/>
        </w:rPr>
        <w:t>Nitin Bassi</w:t>
      </w:r>
      <w:bookmarkEnd w:id="5"/>
      <w:r w:rsidRPr="00C84C42">
        <w:rPr>
          <w:rFonts w:ascii="Times New Roman" w:hAnsi="Times New Roman" w:cs="Times New Roman"/>
        </w:rPr>
        <w:t>, </w:t>
      </w:r>
      <w:bookmarkStart w:id="6" w:name="baut0010-profile"/>
      <w:r w:rsidRPr="00C84C42">
        <w:rPr>
          <w:rFonts w:ascii="Times New Roman" w:hAnsi="Times New Roman" w:cs="Times New Roman"/>
        </w:rPr>
        <w:t>M. Dinesh Kumar</w:t>
      </w:r>
      <w:bookmarkEnd w:id="6"/>
      <w:r w:rsidRPr="00C84C42">
        <w:rPr>
          <w:rFonts w:ascii="Times New Roman" w:hAnsi="Times New Roman" w:cs="Times New Roman"/>
        </w:rPr>
        <w:t>, Anuradha Sharma, </w:t>
      </w:r>
      <w:bookmarkStart w:id="7" w:name="baut0020-profile"/>
      <w:r w:rsidRPr="00C84C42">
        <w:rPr>
          <w:rFonts w:ascii="Times New Roman" w:hAnsi="Times New Roman" w:cs="Times New Roman"/>
        </w:rPr>
        <w:t>P. </w:t>
      </w:r>
      <w:proofErr w:type="spellStart"/>
      <w:r w:rsidRPr="00C84C42">
        <w:rPr>
          <w:rFonts w:ascii="Times New Roman" w:hAnsi="Times New Roman" w:cs="Times New Roman"/>
        </w:rPr>
        <w:t>Pardha-Saradhi</w:t>
      </w:r>
      <w:bookmarkEnd w:id="7"/>
      <w:proofErr w:type="spellEnd"/>
      <w:r w:rsidRPr="00C84C42">
        <w:rPr>
          <w:rFonts w:ascii="Times New Roman" w:hAnsi="Times New Roman" w:cs="Times New Roman"/>
        </w:rPr>
        <w:t xml:space="preserve"> (2014). Status of wetlands in India: A review of extent, ecosystem benefits, threats and management strategies. </w:t>
      </w:r>
      <w:r w:rsidRPr="00C84C42">
        <w:rPr>
          <w:rFonts w:ascii="Times New Roman" w:hAnsi="Times New Roman" w:cs="Times New Roman"/>
          <w:i/>
          <w:iCs/>
        </w:rPr>
        <w:t>Journal of Hydrology: Regional Studies</w:t>
      </w:r>
      <w:r w:rsidRPr="00C84C42">
        <w:rPr>
          <w:rFonts w:ascii="Times New Roman" w:hAnsi="Times New Roman" w:cs="Times New Roman"/>
        </w:rPr>
        <w:t xml:space="preserve">. 2: 1-19. </w:t>
      </w:r>
      <w:hyperlink r:id="rId34" w:tgtFrame="_blank" w:tooltip="Persistent link using digital object identifier" w:history="1">
        <w:r w:rsidRPr="00F64F9F">
          <w:rPr>
            <w:rStyle w:val="Hyperlink"/>
            <w:rFonts w:ascii="Times New Roman" w:hAnsi="Times New Roman" w:cs="Times New Roman"/>
          </w:rPr>
          <w:t>https://doi.org/10.1016/j.ejrh.2014.07.001</w:t>
        </w:r>
      </w:hyperlink>
    </w:p>
    <w:sectPr w:rsidR="00F64F9F" w:rsidRPr="00C84C42">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F2EBD" w14:textId="77777777" w:rsidR="002C3D77" w:rsidRDefault="002C3D77" w:rsidP="00803F39">
      <w:pPr>
        <w:spacing w:after="0" w:line="240" w:lineRule="auto"/>
      </w:pPr>
      <w:r>
        <w:separator/>
      </w:r>
    </w:p>
  </w:endnote>
  <w:endnote w:type="continuationSeparator" w:id="0">
    <w:p w14:paraId="72F82EEB" w14:textId="77777777" w:rsidR="002C3D77" w:rsidRDefault="002C3D77" w:rsidP="0080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9AA9" w14:textId="77777777" w:rsidR="005F5766" w:rsidRDefault="005F5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644832"/>
      <w:docPartObj>
        <w:docPartGallery w:val="Page Numbers (Bottom of Page)"/>
        <w:docPartUnique/>
      </w:docPartObj>
    </w:sdtPr>
    <w:sdtEndPr>
      <w:rPr>
        <w:noProof/>
      </w:rPr>
    </w:sdtEndPr>
    <w:sdtContent>
      <w:p w14:paraId="5C5ED896" w14:textId="55AA17AD" w:rsidR="00803F39" w:rsidRDefault="00803F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34769A" w14:textId="77777777" w:rsidR="00803F39" w:rsidRDefault="00803F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51B1" w14:textId="77777777" w:rsidR="005F5766" w:rsidRDefault="005F5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FCF0C" w14:textId="77777777" w:rsidR="002C3D77" w:rsidRDefault="002C3D77" w:rsidP="00803F39">
      <w:pPr>
        <w:spacing w:after="0" w:line="240" w:lineRule="auto"/>
      </w:pPr>
      <w:r>
        <w:separator/>
      </w:r>
    </w:p>
  </w:footnote>
  <w:footnote w:type="continuationSeparator" w:id="0">
    <w:p w14:paraId="5DFBF73A" w14:textId="77777777" w:rsidR="002C3D77" w:rsidRDefault="002C3D77" w:rsidP="00803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54797" w14:textId="5E25B119" w:rsidR="005F5766" w:rsidRDefault="005F5766">
    <w:pPr>
      <w:pStyle w:val="Header"/>
    </w:pPr>
    <w:r>
      <w:rPr>
        <w:noProof/>
      </w:rPr>
      <w:pict w14:anchorId="07338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0938"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844CA" w14:textId="42AE8213" w:rsidR="005F5766" w:rsidRDefault="005F5766">
    <w:pPr>
      <w:pStyle w:val="Header"/>
    </w:pPr>
    <w:r>
      <w:rPr>
        <w:noProof/>
      </w:rPr>
      <w:pict w14:anchorId="7DDA8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0939"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7F36" w14:textId="308F6E41" w:rsidR="005F5766" w:rsidRDefault="005F5766">
    <w:pPr>
      <w:pStyle w:val="Header"/>
    </w:pPr>
    <w:r>
      <w:rPr>
        <w:noProof/>
      </w:rPr>
      <w:pict w14:anchorId="01E10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0937"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4775D"/>
    <w:multiLevelType w:val="hybridMultilevel"/>
    <w:tmpl w:val="F490FCC4"/>
    <w:lvl w:ilvl="0" w:tplc="AFC22BF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3D3149D"/>
    <w:multiLevelType w:val="multilevel"/>
    <w:tmpl w:val="E9CC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0F0FB9"/>
    <w:multiLevelType w:val="multilevel"/>
    <w:tmpl w:val="A0DA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DD0"/>
    <w:rsid w:val="000502A0"/>
    <w:rsid w:val="000508BE"/>
    <w:rsid w:val="00064E18"/>
    <w:rsid w:val="00073D9A"/>
    <w:rsid w:val="00081938"/>
    <w:rsid w:val="000975DD"/>
    <w:rsid w:val="000A205F"/>
    <w:rsid w:val="000C0D43"/>
    <w:rsid w:val="000E707F"/>
    <w:rsid w:val="00113547"/>
    <w:rsid w:val="00131C3D"/>
    <w:rsid w:val="00152685"/>
    <w:rsid w:val="00175237"/>
    <w:rsid w:val="00194F5C"/>
    <w:rsid w:val="001A7B2B"/>
    <w:rsid w:val="001B54D3"/>
    <w:rsid w:val="001F2420"/>
    <w:rsid w:val="001F5F94"/>
    <w:rsid w:val="00200F64"/>
    <w:rsid w:val="00216FF9"/>
    <w:rsid w:val="00237B6B"/>
    <w:rsid w:val="00241815"/>
    <w:rsid w:val="00243CCF"/>
    <w:rsid w:val="0025602C"/>
    <w:rsid w:val="002C3D77"/>
    <w:rsid w:val="002E2EF3"/>
    <w:rsid w:val="002F4EA9"/>
    <w:rsid w:val="00390F24"/>
    <w:rsid w:val="003B03C0"/>
    <w:rsid w:val="00410CA4"/>
    <w:rsid w:val="004154EC"/>
    <w:rsid w:val="00434049"/>
    <w:rsid w:val="00451844"/>
    <w:rsid w:val="004642E6"/>
    <w:rsid w:val="004B1514"/>
    <w:rsid w:val="004C3381"/>
    <w:rsid w:val="004F2B47"/>
    <w:rsid w:val="005023D2"/>
    <w:rsid w:val="00503DC1"/>
    <w:rsid w:val="005161B4"/>
    <w:rsid w:val="00537E13"/>
    <w:rsid w:val="0054767B"/>
    <w:rsid w:val="00547B59"/>
    <w:rsid w:val="0058259A"/>
    <w:rsid w:val="00584855"/>
    <w:rsid w:val="00594CE1"/>
    <w:rsid w:val="00597842"/>
    <w:rsid w:val="005E5ED8"/>
    <w:rsid w:val="005F5766"/>
    <w:rsid w:val="00600200"/>
    <w:rsid w:val="00612575"/>
    <w:rsid w:val="006132FE"/>
    <w:rsid w:val="00621D58"/>
    <w:rsid w:val="00631EDE"/>
    <w:rsid w:val="00656EB8"/>
    <w:rsid w:val="00687BBA"/>
    <w:rsid w:val="006921A7"/>
    <w:rsid w:val="006A05A6"/>
    <w:rsid w:val="006D0D18"/>
    <w:rsid w:val="0070010A"/>
    <w:rsid w:val="00700F89"/>
    <w:rsid w:val="007111CD"/>
    <w:rsid w:val="00752C88"/>
    <w:rsid w:val="00755CD4"/>
    <w:rsid w:val="00761A9F"/>
    <w:rsid w:val="007655D6"/>
    <w:rsid w:val="00765E9A"/>
    <w:rsid w:val="00794708"/>
    <w:rsid w:val="007B1180"/>
    <w:rsid w:val="007D0805"/>
    <w:rsid w:val="007D155D"/>
    <w:rsid w:val="00802880"/>
    <w:rsid w:val="00803F39"/>
    <w:rsid w:val="00865884"/>
    <w:rsid w:val="0089498F"/>
    <w:rsid w:val="008B79EC"/>
    <w:rsid w:val="008C10D7"/>
    <w:rsid w:val="008C25DC"/>
    <w:rsid w:val="0090102B"/>
    <w:rsid w:val="00924C7D"/>
    <w:rsid w:val="00997463"/>
    <w:rsid w:val="009C4AEF"/>
    <w:rsid w:val="00A00384"/>
    <w:rsid w:val="00A14283"/>
    <w:rsid w:val="00A33D1A"/>
    <w:rsid w:val="00A41DD0"/>
    <w:rsid w:val="00A60F6A"/>
    <w:rsid w:val="00A81F70"/>
    <w:rsid w:val="00A952E8"/>
    <w:rsid w:val="00AC1E02"/>
    <w:rsid w:val="00AE5D04"/>
    <w:rsid w:val="00B06C0C"/>
    <w:rsid w:val="00B21D4F"/>
    <w:rsid w:val="00B334B4"/>
    <w:rsid w:val="00B46A6A"/>
    <w:rsid w:val="00B667C1"/>
    <w:rsid w:val="00BC1457"/>
    <w:rsid w:val="00BC5046"/>
    <w:rsid w:val="00BC6A31"/>
    <w:rsid w:val="00BD0005"/>
    <w:rsid w:val="00BD140F"/>
    <w:rsid w:val="00BF0C8F"/>
    <w:rsid w:val="00C03ACC"/>
    <w:rsid w:val="00C84C42"/>
    <w:rsid w:val="00C87D68"/>
    <w:rsid w:val="00D03E73"/>
    <w:rsid w:val="00D32879"/>
    <w:rsid w:val="00D33116"/>
    <w:rsid w:val="00D4079F"/>
    <w:rsid w:val="00D451C8"/>
    <w:rsid w:val="00D76BE8"/>
    <w:rsid w:val="00D86CEF"/>
    <w:rsid w:val="00D940DE"/>
    <w:rsid w:val="00DD1847"/>
    <w:rsid w:val="00DD7693"/>
    <w:rsid w:val="00E07B94"/>
    <w:rsid w:val="00E45748"/>
    <w:rsid w:val="00E51E71"/>
    <w:rsid w:val="00E74EF1"/>
    <w:rsid w:val="00E76A30"/>
    <w:rsid w:val="00E917B5"/>
    <w:rsid w:val="00E94442"/>
    <w:rsid w:val="00E94465"/>
    <w:rsid w:val="00E94F2F"/>
    <w:rsid w:val="00EB2E7C"/>
    <w:rsid w:val="00EC5F2D"/>
    <w:rsid w:val="00EC63A0"/>
    <w:rsid w:val="00EC6ACA"/>
    <w:rsid w:val="00EF4E8F"/>
    <w:rsid w:val="00F13F5E"/>
    <w:rsid w:val="00F32C44"/>
    <w:rsid w:val="00F64F9F"/>
    <w:rsid w:val="00F70B09"/>
    <w:rsid w:val="00F838DE"/>
    <w:rsid w:val="00F9733A"/>
    <w:rsid w:val="00FB374B"/>
    <w:rsid w:val="00FE4338"/>
    <w:rsid w:val="00FE51CB"/>
    <w:rsid w:val="00FE660B"/>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888F8D"/>
  <w15:chartTrackingRefBased/>
  <w15:docId w15:val="{4DEC25F7-EC2D-4378-AA3F-5EC6AA36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D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1D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1D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1D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1D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1D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1D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1D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1D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D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1D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1D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1D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1D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1D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D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D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DD0"/>
    <w:rPr>
      <w:rFonts w:eastAsiaTheme="majorEastAsia" w:cstheme="majorBidi"/>
      <w:color w:val="272727" w:themeColor="text1" w:themeTint="D8"/>
    </w:rPr>
  </w:style>
  <w:style w:type="paragraph" w:styleId="Title">
    <w:name w:val="Title"/>
    <w:basedOn w:val="Normal"/>
    <w:next w:val="Normal"/>
    <w:link w:val="TitleChar"/>
    <w:uiPriority w:val="10"/>
    <w:qFormat/>
    <w:rsid w:val="00A41D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D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1D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1D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DD0"/>
    <w:pPr>
      <w:spacing w:before="160"/>
      <w:jc w:val="center"/>
    </w:pPr>
    <w:rPr>
      <w:i/>
      <w:iCs/>
      <w:color w:val="404040" w:themeColor="text1" w:themeTint="BF"/>
    </w:rPr>
  </w:style>
  <w:style w:type="character" w:customStyle="1" w:styleId="QuoteChar">
    <w:name w:val="Quote Char"/>
    <w:basedOn w:val="DefaultParagraphFont"/>
    <w:link w:val="Quote"/>
    <w:uiPriority w:val="29"/>
    <w:rsid w:val="00A41DD0"/>
    <w:rPr>
      <w:i/>
      <w:iCs/>
      <w:color w:val="404040" w:themeColor="text1" w:themeTint="BF"/>
    </w:rPr>
  </w:style>
  <w:style w:type="paragraph" w:styleId="ListParagraph">
    <w:name w:val="List Paragraph"/>
    <w:basedOn w:val="Normal"/>
    <w:uiPriority w:val="34"/>
    <w:qFormat/>
    <w:rsid w:val="00A41DD0"/>
    <w:pPr>
      <w:ind w:left="720"/>
      <w:contextualSpacing/>
    </w:pPr>
  </w:style>
  <w:style w:type="character" w:styleId="IntenseEmphasis">
    <w:name w:val="Intense Emphasis"/>
    <w:basedOn w:val="DefaultParagraphFont"/>
    <w:uiPriority w:val="21"/>
    <w:qFormat/>
    <w:rsid w:val="00A41DD0"/>
    <w:rPr>
      <w:i/>
      <w:iCs/>
      <w:color w:val="0F4761" w:themeColor="accent1" w:themeShade="BF"/>
    </w:rPr>
  </w:style>
  <w:style w:type="paragraph" w:styleId="IntenseQuote">
    <w:name w:val="Intense Quote"/>
    <w:basedOn w:val="Normal"/>
    <w:next w:val="Normal"/>
    <w:link w:val="IntenseQuoteChar"/>
    <w:uiPriority w:val="30"/>
    <w:qFormat/>
    <w:rsid w:val="00A41D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1DD0"/>
    <w:rPr>
      <w:i/>
      <w:iCs/>
      <w:color w:val="0F4761" w:themeColor="accent1" w:themeShade="BF"/>
    </w:rPr>
  </w:style>
  <w:style w:type="character" w:styleId="IntenseReference">
    <w:name w:val="Intense Reference"/>
    <w:basedOn w:val="DefaultParagraphFont"/>
    <w:uiPriority w:val="32"/>
    <w:qFormat/>
    <w:rsid w:val="00A41DD0"/>
    <w:rPr>
      <w:b/>
      <w:bCs/>
      <w:smallCaps/>
      <w:color w:val="0F4761" w:themeColor="accent1" w:themeShade="BF"/>
      <w:spacing w:val="5"/>
    </w:rPr>
  </w:style>
  <w:style w:type="table" w:styleId="TableGrid">
    <w:name w:val="Table Grid"/>
    <w:basedOn w:val="TableNormal"/>
    <w:uiPriority w:val="39"/>
    <w:rsid w:val="00584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3AC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C03ACC"/>
    <w:rPr>
      <w:i/>
      <w:iCs/>
    </w:rPr>
  </w:style>
  <w:style w:type="character" w:styleId="Hyperlink">
    <w:name w:val="Hyperlink"/>
    <w:basedOn w:val="DefaultParagraphFont"/>
    <w:uiPriority w:val="99"/>
    <w:unhideWhenUsed/>
    <w:rsid w:val="0090102B"/>
    <w:rPr>
      <w:color w:val="467886" w:themeColor="hyperlink"/>
      <w:u w:val="single"/>
    </w:rPr>
  </w:style>
  <w:style w:type="character" w:styleId="UnresolvedMention">
    <w:name w:val="Unresolved Mention"/>
    <w:basedOn w:val="DefaultParagraphFont"/>
    <w:uiPriority w:val="99"/>
    <w:semiHidden/>
    <w:unhideWhenUsed/>
    <w:rsid w:val="001F5F94"/>
    <w:rPr>
      <w:color w:val="605E5C"/>
      <w:shd w:val="clear" w:color="auto" w:fill="E1DFDD"/>
    </w:rPr>
  </w:style>
  <w:style w:type="paragraph" w:styleId="Header">
    <w:name w:val="header"/>
    <w:basedOn w:val="Normal"/>
    <w:link w:val="HeaderChar"/>
    <w:uiPriority w:val="99"/>
    <w:unhideWhenUsed/>
    <w:rsid w:val="0080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39"/>
  </w:style>
  <w:style w:type="paragraph" w:styleId="Footer">
    <w:name w:val="footer"/>
    <w:basedOn w:val="Normal"/>
    <w:link w:val="FooterChar"/>
    <w:uiPriority w:val="99"/>
    <w:unhideWhenUsed/>
    <w:rsid w:val="0080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10122">
      <w:bodyDiv w:val="1"/>
      <w:marLeft w:val="0"/>
      <w:marRight w:val="0"/>
      <w:marTop w:val="0"/>
      <w:marBottom w:val="0"/>
      <w:divBdr>
        <w:top w:val="none" w:sz="0" w:space="0" w:color="auto"/>
        <w:left w:val="none" w:sz="0" w:space="0" w:color="auto"/>
        <w:bottom w:val="none" w:sz="0" w:space="0" w:color="auto"/>
        <w:right w:val="none" w:sz="0" w:space="0" w:color="auto"/>
      </w:divBdr>
    </w:div>
    <w:div w:id="233005907">
      <w:bodyDiv w:val="1"/>
      <w:marLeft w:val="0"/>
      <w:marRight w:val="0"/>
      <w:marTop w:val="0"/>
      <w:marBottom w:val="0"/>
      <w:divBdr>
        <w:top w:val="none" w:sz="0" w:space="0" w:color="auto"/>
        <w:left w:val="none" w:sz="0" w:space="0" w:color="auto"/>
        <w:bottom w:val="none" w:sz="0" w:space="0" w:color="auto"/>
        <w:right w:val="none" w:sz="0" w:space="0" w:color="auto"/>
      </w:divBdr>
    </w:div>
    <w:div w:id="239994454">
      <w:bodyDiv w:val="1"/>
      <w:marLeft w:val="0"/>
      <w:marRight w:val="0"/>
      <w:marTop w:val="0"/>
      <w:marBottom w:val="0"/>
      <w:divBdr>
        <w:top w:val="none" w:sz="0" w:space="0" w:color="auto"/>
        <w:left w:val="none" w:sz="0" w:space="0" w:color="auto"/>
        <w:bottom w:val="none" w:sz="0" w:space="0" w:color="auto"/>
        <w:right w:val="none" w:sz="0" w:space="0" w:color="auto"/>
      </w:divBdr>
    </w:div>
    <w:div w:id="277489299">
      <w:bodyDiv w:val="1"/>
      <w:marLeft w:val="0"/>
      <w:marRight w:val="0"/>
      <w:marTop w:val="0"/>
      <w:marBottom w:val="0"/>
      <w:divBdr>
        <w:top w:val="none" w:sz="0" w:space="0" w:color="auto"/>
        <w:left w:val="none" w:sz="0" w:space="0" w:color="auto"/>
        <w:bottom w:val="none" w:sz="0" w:space="0" w:color="auto"/>
        <w:right w:val="none" w:sz="0" w:space="0" w:color="auto"/>
      </w:divBdr>
    </w:div>
    <w:div w:id="285743524">
      <w:bodyDiv w:val="1"/>
      <w:marLeft w:val="0"/>
      <w:marRight w:val="0"/>
      <w:marTop w:val="0"/>
      <w:marBottom w:val="0"/>
      <w:divBdr>
        <w:top w:val="none" w:sz="0" w:space="0" w:color="auto"/>
        <w:left w:val="none" w:sz="0" w:space="0" w:color="auto"/>
        <w:bottom w:val="none" w:sz="0" w:space="0" w:color="auto"/>
        <w:right w:val="none" w:sz="0" w:space="0" w:color="auto"/>
      </w:divBdr>
    </w:div>
    <w:div w:id="307562505">
      <w:bodyDiv w:val="1"/>
      <w:marLeft w:val="0"/>
      <w:marRight w:val="0"/>
      <w:marTop w:val="0"/>
      <w:marBottom w:val="0"/>
      <w:divBdr>
        <w:top w:val="none" w:sz="0" w:space="0" w:color="auto"/>
        <w:left w:val="none" w:sz="0" w:space="0" w:color="auto"/>
        <w:bottom w:val="none" w:sz="0" w:space="0" w:color="auto"/>
        <w:right w:val="none" w:sz="0" w:space="0" w:color="auto"/>
      </w:divBdr>
    </w:div>
    <w:div w:id="349841263">
      <w:bodyDiv w:val="1"/>
      <w:marLeft w:val="0"/>
      <w:marRight w:val="0"/>
      <w:marTop w:val="0"/>
      <w:marBottom w:val="0"/>
      <w:divBdr>
        <w:top w:val="none" w:sz="0" w:space="0" w:color="auto"/>
        <w:left w:val="none" w:sz="0" w:space="0" w:color="auto"/>
        <w:bottom w:val="none" w:sz="0" w:space="0" w:color="auto"/>
        <w:right w:val="none" w:sz="0" w:space="0" w:color="auto"/>
      </w:divBdr>
    </w:div>
    <w:div w:id="431753490">
      <w:bodyDiv w:val="1"/>
      <w:marLeft w:val="0"/>
      <w:marRight w:val="0"/>
      <w:marTop w:val="0"/>
      <w:marBottom w:val="0"/>
      <w:divBdr>
        <w:top w:val="none" w:sz="0" w:space="0" w:color="auto"/>
        <w:left w:val="none" w:sz="0" w:space="0" w:color="auto"/>
        <w:bottom w:val="none" w:sz="0" w:space="0" w:color="auto"/>
        <w:right w:val="none" w:sz="0" w:space="0" w:color="auto"/>
      </w:divBdr>
    </w:div>
    <w:div w:id="432675144">
      <w:bodyDiv w:val="1"/>
      <w:marLeft w:val="0"/>
      <w:marRight w:val="0"/>
      <w:marTop w:val="0"/>
      <w:marBottom w:val="0"/>
      <w:divBdr>
        <w:top w:val="none" w:sz="0" w:space="0" w:color="auto"/>
        <w:left w:val="none" w:sz="0" w:space="0" w:color="auto"/>
        <w:bottom w:val="none" w:sz="0" w:space="0" w:color="auto"/>
        <w:right w:val="none" w:sz="0" w:space="0" w:color="auto"/>
      </w:divBdr>
    </w:div>
    <w:div w:id="454643837">
      <w:bodyDiv w:val="1"/>
      <w:marLeft w:val="0"/>
      <w:marRight w:val="0"/>
      <w:marTop w:val="0"/>
      <w:marBottom w:val="0"/>
      <w:divBdr>
        <w:top w:val="none" w:sz="0" w:space="0" w:color="auto"/>
        <w:left w:val="none" w:sz="0" w:space="0" w:color="auto"/>
        <w:bottom w:val="none" w:sz="0" w:space="0" w:color="auto"/>
        <w:right w:val="none" w:sz="0" w:space="0" w:color="auto"/>
      </w:divBdr>
    </w:div>
    <w:div w:id="501051068">
      <w:bodyDiv w:val="1"/>
      <w:marLeft w:val="0"/>
      <w:marRight w:val="0"/>
      <w:marTop w:val="0"/>
      <w:marBottom w:val="0"/>
      <w:divBdr>
        <w:top w:val="none" w:sz="0" w:space="0" w:color="auto"/>
        <w:left w:val="none" w:sz="0" w:space="0" w:color="auto"/>
        <w:bottom w:val="none" w:sz="0" w:space="0" w:color="auto"/>
        <w:right w:val="none" w:sz="0" w:space="0" w:color="auto"/>
      </w:divBdr>
    </w:div>
    <w:div w:id="558058730">
      <w:bodyDiv w:val="1"/>
      <w:marLeft w:val="0"/>
      <w:marRight w:val="0"/>
      <w:marTop w:val="0"/>
      <w:marBottom w:val="0"/>
      <w:divBdr>
        <w:top w:val="none" w:sz="0" w:space="0" w:color="auto"/>
        <w:left w:val="none" w:sz="0" w:space="0" w:color="auto"/>
        <w:bottom w:val="none" w:sz="0" w:space="0" w:color="auto"/>
        <w:right w:val="none" w:sz="0" w:space="0" w:color="auto"/>
      </w:divBdr>
    </w:div>
    <w:div w:id="591478597">
      <w:bodyDiv w:val="1"/>
      <w:marLeft w:val="0"/>
      <w:marRight w:val="0"/>
      <w:marTop w:val="0"/>
      <w:marBottom w:val="0"/>
      <w:divBdr>
        <w:top w:val="none" w:sz="0" w:space="0" w:color="auto"/>
        <w:left w:val="none" w:sz="0" w:space="0" w:color="auto"/>
        <w:bottom w:val="none" w:sz="0" w:space="0" w:color="auto"/>
        <w:right w:val="none" w:sz="0" w:space="0" w:color="auto"/>
      </w:divBdr>
      <w:divsChild>
        <w:div w:id="30782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239799">
          <w:blockQuote w:val="1"/>
          <w:marLeft w:val="720"/>
          <w:marRight w:val="720"/>
          <w:marTop w:val="100"/>
          <w:marBottom w:val="100"/>
          <w:divBdr>
            <w:top w:val="none" w:sz="0" w:space="0" w:color="auto"/>
            <w:left w:val="none" w:sz="0" w:space="0" w:color="auto"/>
            <w:bottom w:val="none" w:sz="0" w:space="0" w:color="auto"/>
            <w:right w:val="none" w:sz="0" w:space="0" w:color="auto"/>
          </w:divBdr>
        </w:div>
        <w:div w:id="585920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241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337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643229">
      <w:bodyDiv w:val="1"/>
      <w:marLeft w:val="0"/>
      <w:marRight w:val="0"/>
      <w:marTop w:val="0"/>
      <w:marBottom w:val="0"/>
      <w:divBdr>
        <w:top w:val="none" w:sz="0" w:space="0" w:color="auto"/>
        <w:left w:val="none" w:sz="0" w:space="0" w:color="auto"/>
        <w:bottom w:val="none" w:sz="0" w:space="0" w:color="auto"/>
        <w:right w:val="none" w:sz="0" w:space="0" w:color="auto"/>
      </w:divBdr>
    </w:div>
    <w:div w:id="721750033">
      <w:bodyDiv w:val="1"/>
      <w:marLeft w:val="0"/>
      <w:marRight w:val="0"/>
      <w:marTop w:val="0"/>
      <w:marBottom w:val="0"/>
      <w:divBdr>
        <w:top w:val="none" w:sz="0" w:space="0" w:color="auto"/>
        <w:left w:val="none" w:sz="0" w:space="0" w:color="auto"/>
        <w:bottom w:val="none" w:sz="0" w:space="0" w:color="auto"/>
        <w:right w:val="none" w:sz="0" w:space="0" w:color="auto"/>
      </w:divBdr>
    </w:div>
    <w:div w:id="732891406">
      <w:bodyDiv w:val="1"/>
      <w:marLeft w:val="0"/>
      <w:marRight w:val="0"/>
      <w:marTop w:val="0"/>
      <w:marBottom w:val="0"/>
      <w:divBdr>
        <w:top w:val="none" w:sz="0" w:space="0" w:color="auto"/>
        <w:left w:val="none" w:sz="0" w:space="0" w:color="auto"/>
        <w:bottom w:val="none" w:sz="0" w:space="0" w:color="auto"/>
        <w:right w:val="none" w:sz="0" w:space="0" w:color="auto"/>
      </w:divBdr>
    </w:div>
    <w:div w:id="746342835">
      <w:bodyDiv w:val="1"/>
      <w:marLeft w:val="0"/>
      <w:marRight w:val="0"/>
      <w:marTop w:val="0"/>
      <w:marBottom w:val="0"/>
      <w:divBdr>
        <w:top w:val="none" w:sz="0" w:space="0" w:color="auto"/>
        <w:left w:val="none" w:sz="0" w:space="0" w:color="auto"/>
        <w:bottom w:val="none" w:sz="0" w:space="0" w:color="auto"/>
        <w:right w:val="none" w:sz="0" w:space="0" w:color="auto"/>
      </w:divBdr>
    </w:div>
    <w:div w:id="769862470">
      <w:bodyDiv w:val="1"/>
      <w:marLeft w:val="0"/>
      <w:marRight w:val="0"/>
      <w:marTop w:val="0"/>
      <w:marBottom w:val="0"/>
      <w:divBdr>
        <w:top w:val="none" w:sz="0" w:space="0" w:color="auto"/>
        <w:left w:val="none" w:sz="0" w:space="0" w:color="auto"/>
        <w:bottom w:val="none" w:sz="0" w:space="0" w:color="auto"/>
        <w:right w:val="none" w:sz="0" w:space="0" w:color="auto"/>
      </w:divBdr>
    </w:div>
    <w:div w:id="773745235">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76966889">
      <w:bodyDiv w:val="1"/>
      <w:marLeft w:val="0"/>
      <w:marRight w:val="0"/>
      <w:marTop w:val="0"/>
      <w:marBottom w:val="0"/>
      <w:divBdr>
        <w:top w:val="none" w:sz="0" w:space="0" w:color="auto"/>
        <w:left w:val="none" w:sz="0" w:space="0" w:color="auto"/>
        <w:bottom w:val="none" w:sz="0" w:space="0" w:color="auto"/>
        <w:right w:val="none" w:sz="0" w:space="0" w:color="auto"/>
      </w:divBdr>
    </w:div>
    <w:div w:id="913783142">
      <w:bodyDiv w:val="1"/>
      <w:marLeft w:val="0"/>
      <w:marRight w:val="0"/>
      <w:marTop w:val="0"/>
      <w:marBottom w:val="0"/>
      <w:divBdr>
        <w:top w:val="none" w:sz="0" w:space="0" w:color="auto"/>
        <w:left w:val="none" w:sz="0" w:space="0" w:color="auto"/>
        <w:bottom w:val="none" w:sz="0" w:space="0" w:color="auto"/>
        <w:right w:val="none" w:sz="0" w:space="0" w:color="auto"/>
      </w:divBdr>
      <w:divsChild>
        <w:div w:id="625813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1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968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95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551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051685">
      <w:bodyDiv w:val="1"/>
      <w:marLeft w:val="0"/>
      <w:marRight w:val="0"/>
      <w:marTop w:val="0"/>
      <w:marBottom w:val="0"/>
      <w:divBdr>
        <w:top w:val="none" w:sz="0" w:space="0" w:color="auto"/>
        <w:left w:val="none" w:sz="0" w:space="0" w:color="auto"/>
        <w:bottom w:val="none" w:sz="0" w:space="0" w:color="auto"/>
        <w:right w:val="none" w:sz="0" w:space="0" w:color="auto"/>
      </w:divBdr>
    </w:div>
    <w:div w:id="972559489">
      <w:bodyDiv w:val="1"/>
      <w:marLeft w:val="0"/>
      <w:marRight w:val="0"/>
      <w:marTop w:val="0"/>
      <w:marBottom w:val="0"/>
      <w:divBdr>
        <w:top w:val="none" w:sz="0" w:space="0" w:color="auto"/>
        <w:left w:val="none" w:sz="0" w:space="0" w:color="auto"/>
        <w:bottom w:val="none" w:sz="0" w:space="0" w:color="auto"/>
        <w:right w:val="none" w:sz="0" w:space="0" w:color="auto"/>
      </w:divBdr>
    </w:div>
    <w:div w:id="978921666">
      <w:bodyDiv w:val="1"/>
      <w:marLeft w:val="0"/>
      <w:marRight w:val="0"/>
      <w:marTop w:val="0"/>
      <w:marBottom w:val="0"/>
      <w:divBdr>
        <w:top w:val="none" w:sz="0" w:space="0" w:color="auto"/>
        <w:left w:val="none" w:sz="0" w:space="0" w:color="auto"/>
        <w:bottom w:val="none" w:sz="0" w:space="0" w:color="auto"/>
        <w:right w:val="none" w:sz="0" w:space="0" w:color="auto"/>
      </w:divBdr>
    </w:div>
    <w:div w:id="1177307525">
      <w:bodyDiv w:val="1"/>
      <w:marLeft w:val="0"/>
      <w:marRight w:val="0"/>
      <w:marTop w:val="0"/>
      <w:marBottom w:val="0"/>
      <w:divBdr>
        <w:top w:val="none" w:sz="0" w:space="0" w:color="auto"/>
        <w:left w:val="none" w:sz="0" w:space="0" w:color="auto"/>
        <w:bottom w:val="none" w:sz="0" w:space="0" w:color="auto"/>
        <w:right w:val="none" w:sz="0" w:space="0" w:color="auto"/>
      </w:divBdr>
    </w:div>
    <w:div w:id="1194997501">
      <w:bodyDiv w:val="1"/>
      <w:marLeft w:val="0"/>
      <w:marRight w:val="0"/>
      <w:marTop w:val="0"/>
      <w:marBottom w:val="0"/>
      <w:divBdr>
        <w:top w:val="none" w:sz="0" w:space="0" w:color="auto"/>
        <w:left w:val="none" w:sz="0" w:space="0" w:color="auto"/>
        <w:bottom w:val="none" w:sz="0" w:space="0" w:color="auto"/>
        <w:right w:val="none" w:sz="0" w:space="0" w:color="auto"/>
      </w:divBdr>
    </w:div>
    <w:div w:id="1207376267">
      <w:bodyDiv w:val="1"/>
      <w:marLeft w:val="0"/>
      <w:marRight w:val="0"/>
      <w:marTop w:val="0"/>
      <w:marBottom w:val="0"/>
      <w:divBdr>
        <w:top w:val="none" w:sz="0" w:space="0" w:color="auto"/>
        <w:left w:val="none" w:sz="0" w:space="0" w:color="auto"/>
        <w:bottom w:val="none" w:sz="0" w:space="0" w:color="auto"/>
        <w:right w:val="none" w:sz="0" w:space="0" w:color="auto"/>
      </w:divBdr>
    </w:div>
    <w:div w:id="1244989052">
      <w:bodyDiv w:val="1"/>
      <w:marLeft w:val="0"/>
      <w:marRight w:val="0"/>
      <w:marTop w:val="0"/>
      <w:marBottom w:val="0"/>
      <w:divBdr>
        <w:top w:val="none" w:sz="0" w:space="0" w:color="auto"/>
        <w:left w:val="none" w:sz="0" w:space="0" w:color="auto"/>
        <w:bottom w:val="none" w:sz="0" w:space="0" w:color="auto"/>
        <w:right w:val="none" w:sz="0" w:space="0" w:color="auto"/>
      </w:divBdr>
    </w:div>
    <w:div w:id="1262299227">
      <w:bodyDiv w:val="1"/>
      <w:marLeft w:val="0"/>
      <w:marRight w:val="0"/>
      <w:marTop w:val="0"/>
      <w:marBottom w:val="0"/>
      <w:divBdr>
        <w:top w:val="none" w:sz="0" w:space="0" w:color="auto"/>
        <w:left w:val="none" w:sz="0" w:space="0" w:color="auto"/>
        <w:bottom w:val="none" w:sz="0" w:space="0" w:color="auto"/>
        <w:right w:val="none" w:sz="0" w:space="0" w:color="auto"/>
      </w:divBdr>
    </w:div>
    <w:div w:id="1314794084">
      <w:bodyDiv w:val="1"/>
      <w:marLeft w:val="0"/>
      <w:marRight w:val="0"/>
      <w:marTop w:val="0"/>
      <w:marBottom w:val="0"/>
      <w:divBdr>
        <w:top w:val="none" w:sz="0" w:space="0" w:color="auto"/>
        <w:left w:val="none" w:sz="0" w:space="0" w:color="auto"/>
        <w:bottom w:val="none" w:sz="0" w:space="0" w:color="auto"/>
        <w:right w:val="none" w:sz="0" w:space="0" w:color="auto"/>
      </w:divBdr>
    </w:div>
    <w:div w:id="1443262953">
      <w:bodyDiv w:val="1"/>
      <w:marLeft w:val="0"/>
      <w:marRight w:val="0"/>
      <w:marTop w:val="0"/>
      <w:marBottom w:val="0"/>
      <w:divBdr>
        <w:top w:val="none" w:sz="0" w:space="0" w:color="auto"/>
        <w:left w:val="none" w:sz="0" w:space="0" w:color="auto"/>
        <w:bottom w:val="none" w:sz="0" w:space="0" w:color="auto"/>
        <w:right w:val="none" w:sz="0" w:space="0" w:color="auto"/>
      </w:divBdr>
    </w:div>
    <w:div w:id="1460756773">
      <w:bodyDiv w:val="1"/>
      <w:marLeft w:val="0"/>
      <w:marRight w:val="0"/>
      <w:marTop w:val="0"/>
      <w:marBottom w:val="0"/>
      <w:divBdr>
        <w:top w:val="none" w:sz="0" w:space="0" w:color="auto"/>
        <w:left w:val="none" w:sz="0" w:space="0" w:color="auto"/>
        <w:bottom w:val="none" w:sz="0" w:space="0" w:color="auto"/>
        <w:right w:val="none" w:sz="0" w:space="0" w:color="auto"/>
      </w:divBdr>
    </w:div>
    <w:div w:id="1475370924">
      <w:bodyDiv w:val="1"/>
      <w:marLeft w:val="0"/>
      <w:marRight w:val="0"/>
      <w:marTop w:val="0"/>
      <w:marBottom w:val="0"/>
      <w:divBdr>
        <w:top w:val="none" w:sz="0" w:space="0" w:color="auto"/>
        <w:left w:val="none" w:sz="0" w:space="0" w:color="auto"/>
        <w:bottom w:val="none" w:sz="0" w:space="0" w:color="auto"/>
        <w:right w:val="none" w:sz="0" w:space="0" w:color="auto"/>
      </w:divBdr>
    </w:div>
    <w:div w:id="1482845770">
      <w:bodyDiv w:val="1"/>
      <w:marLeft w:val="0"/>
      <w:marRight w:val="0"/>
      <w:marTop w:val="0"/>
      <w:marBottom w:val="0"/>
      <w:divBdr>
        <w:top w:val="none" w:sz="0" w:space="0" w:color="auto"/>
        <w:left w:val="none" w:sz="0" w:space="0" w:color="auto"/>
        <w:bottom w:val="none" w:sz="0" w:space="0" w:color="auto"/>
        <w:right w:val="none" w:sz="0" w:space="0" w:color="auto"/>
      </w:divBdr>
    </w:div>
    <w:div w:id="1488857202">
      <w:bodyDiv w:val="1"/>
      <w:marLeft w:val="0"/>
      <w:marRight w:val="0"/>
      <w:marTop w:val="0"/>
      <w:marBottom w:val="0"/>
      <w:divBdr>
        <w:top w:val="none" w:sz="0" w:space="0" w:color="auto"/>
        <w:left w:val="none" w:sz="0" w:space="0" w:color="auto"/>
        <w:bottom w:val="none" w:sz="0" w:space="0" w:color="auto"/>
        <w:right w:val="none" w:sz="0" w:space="0" w:color="auto"/>
      </w:divBdr>
    </w:div>
    <w:div w:id="1522039990">
      <w:bodyDiv w:val="1"/>
      <w:marLeft w:val="0"/>
      <w:marRight w:val="0"/>
      <w:marTop w:val="0"/>
      <w:marBottom w:val="0"/>
      <w:divBdr>
        <w:top w:val="none" w:sz="0" w:space="0" w:color="auto"/>
        <w:left w:val="none" w:sz="0" w:space="0" w:color="auto"/>
        <w:bottom w:val="none" w:sz="0" w:space="0" w:color="auto"/>
        <w:right w:val="none" w:sz="0" w:space="0" w:color="auto"/>
      </w:divBdr>
    </w:div>
    <w:div w:id="1613004414">
      <w:bodyDiv w:val="1"/>
      <w:marLeft w:val="0"/>
      <w:marRight w:val="0"/>
      <w:marTop w:val="0"/>
      <w:marBottom w:val="0"/>
      <w:divBdr>
        <w:top w:val="none" w:sz="0" w:space="0" w:color="auto"/>
        <w:left w:val="none" w:sz="0" w:space="0" w:color="auto"/>
        <w:bottom w:val="none" w:sz="0" w:space="0" w:color="auto"/>
        <w:right w:val="none" w:sz="0" w:space="0" w:color="auto"/>
      </w:divBdr>
    </w:div>
    <w:div w:id="1652714796">
      <w:bodyDiv w:val="1"/>
      <w:marLeft w:val="0"/>
      <w:marRight w:val="0"/>
      <w:marTop w:val="0"/>
      <w:marBottom w:val="0"/>
      <w:divBdr>
        <w:top w:val="none" w:sz="0" w:space="0" w:color="auto"/>
        <w:left w:val="none" w:sz="0" w:space="0" w:color="auto"/>
        <w:bottom w:val="none" w:sz="0" w:space="0" w:color="auto"/>
        <w:right w:val="none" w:sz="0" w:space="0" w:color="auto"/>
      </w:divBdr>
    </w:div>
    <w:div w:id="1681735170">
      <w:bodyDiv w:val="1"/>
      <w:marLeft w:val="0"/>
      <w:marRight w:val="0"/>
      <w:marTop w:val="0"/>
      <w:marBottom w:val="0"/>
      <w:divBdr>
        <w:top w:val="none" w:sz="0" w:space="0" w:color="auto"/>
        <w:left w:val="none" w:sz="0" w:space="0" w:color="auto"/>
        <w:bottom w:val="none" w:sz="0" w:space="0" w:color="auto"/>
        <w:right w:val="none" w:sz="0" w:space="0" w:color="auto"/>
      </w:divBdr>
    </w:div>
    <w:div w:id="1744914936">
      <w:bodyDiv w:val="1"/>
      <w:marLeft w:val="0"/>
      <w:marRight w:val="0"/>
      <w:marTop w:val="0"/>
      <w:marBottom w:val="0"/>
      <w:divBdr>
        <w:top w:val="none" w:sz="0" w:space="0" w:color="auto"/>
        <w:left w:val="none" w:sz="0" w:space="0" w:color="auto"/>
        <w:bottom w:val="none" w:sz="0" w:space="0" w:color="auto"/>
        <w:right w:val="none" w:sz="0" w:space="0" w:color="auto"/>
      </w:divBdr>
    </w:div>
    <w:div w:id="1752003756">
      <w:bodyDiv w:val="1"/>
      <w:marLeft w:val="0"/>
      <w:marRight w:val="0"/>
      <w:marTop w:val="0"/>
      <w:marBottom w:val="0"/>
      <w:divBdr>
        <w:top w:val="none" w:sz="0" w:space="0" w:color="auto"/>
        <w:left w:val="none" w:sz="0" w:space="0" w:color="auto"/>
        <w:bottom w:val="none" w:sz="0" w:space="0" w:color="auto"/>
        <w:right w:val="none" w:sz="0" w:space="0" w:color="auto"/>
      </w:divBdr>
    </w:div>
    <w:div w:id="1894078655">
      <w:bodyDiv w:val="1"/>
      <w:marLeft w:val="0"/>
      <w:marRight w:val="0"/>
      <w:marTop w:val="0"/>
      <w:marBottom w:val="0"/>
      <w:divBdr>
        <w:top w:val="none" w:sz="0" w:space="0" w:color="auto"/>
        <w:left w:val="none" w:sz="0" w:space="0" w:color="auto"/>
        <w:bottom w:val="none" w:sz="0" w:space="0" w:color="auto"/>
        <w:right w:val="none" w:sz="0" w:space="0" w:color="auto"/>
      </w:divBdr>
    </w:div>
    <w:div w:id="1984891552">
      <w:bodyDiv w:val="1"/>
      <w:marLeft w:val="0"/>
      <w:marRight w:val="0"/>
      <w:marTop w:val="0"/>
      <w:marBottom w:val="0"/>
      <w:divBdr>
        <w:top w:val="none" w:sz="0" w:space="0" w:color="auto"/>
        <w:left w:val="none" w:sz="0" w:space="0" w:color="auto"/>
        <w:bottom w:val="none" w:sz="0" w:space="0" w:color="auto"/>
        <w:right w:val="none" w:sz="0" w:space="0" w:color="auto"/>
      </w:divBdr>
    </w:div>
    <w:div w:id="2008899174">
      <w:bodyDiv w:val="1"/>
      <w:marLeft w:val="0"/>
      <w:marRight w:val="0"/>
      <w:marTop w:val="0"/>
      <w:marBottom w:val="0"/>
      <w:divBdr>
        <w:top w:val="none" w:sz="0" w:space="0" w:color="auto"/>
        <w:left w:val="none" w:sz="0" w:space="0" w:color="auto"/>
        <w:bottom w:val="none" w:sz="0" w:space="0" w:color="auto"/>
        <w:right w:val="none" w:sz="0" w:space="0" w:color="auto"/>
      </w:divBdr>
    </w:div>
    <w:div w:id="2056001063">
      <w:bodyDiv w:val="1"/>
      <w:marLeft w:val="0"/>
      <w:marRight w:val="0"/>
      <w:marTop w:val="0"/>
      <w:marBottom w:val="0"/>
      <w:divBdr>
        <w:top w:val="none" w:sz="0" w:space="0" w:color="auto"/>
        <w:left w:val="none" w:sz="0" w:space="0" w:color="auto"/>
        <w:bottom w:val="none" w:sz="0" w:space="0" w:color="auto"/>
        <w:right w:val="none" w:sz="0" w:space="0" w:color="auto"/>
      </w:divBdr>
    </w:div>
    <w:div w:id="2067298724">
      <w:bodyDiv w:val="1"/>
      <w:marLeft w:val="0"/>
      <w:marRight w:val="0"/>
      <w:marTop w:val="0"/>
      <w:marBottom w:val="0"/>
      <w:divBdr>
        <w:top w:val="none" w:sz="0" w:space="0" w:color="auto"/>
        <w:left w:val="none" w:sz="0" w:space="0" w:color="auto"/>
        <w:bottom w:val="none" w:sz="0" w:space="0" w:color="auto"/>
        <w:right w:val="none" w:sz="0" w:space="0" w:color="auto"/>
      </w:divBdr>
    </w:div>
    <w:div w:id="213478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researchgate.net/publication/321804444_Ashtamudi_Wetland_Kerala_Values_and_Threats" TargetMode="External"/><Relationship Id="rId39" Type="http://schemas.openxmlformats.org/officeDocument/2006/relationships/header" Target="header3.xml"/><Relationship Id="rId21" Type="http://schemas.openxmlformats.org/officeDocument/2006/relationships/hyperlink" Target="https://www.standardmethods.org/" TargetMode="External"/><Relationship Id="rId34" Type="http://schemas.openxmlformats.org/officeDocument/2006/relationships/hyperlink" Target="https://doi.org/10.1016/j.ejrh.2014.07.001"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dx.doi.org/10.63680/ijsate1125039.032" TargetMode="External"/><Relationship Id="rId29" Type="http://schemas.openxmlformats.org/officeDocument/2006/relationships/hyperlink" Target="https://doi.org/10.1016/j.ecolind.2023.10997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7/s12517-022-09735-7" TargetMode="External"/><Relationship Id="rId32" Type="http://schemas.openxmlformats.org/officeDocument/2006/relationships/hyperlink" Target="https://doi.org/10.1007/s11273-021-09791-y"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32628/IJSRSET2310253" TargetMode="External"/><Relationship Id="rId28" Type="http://schemas.openxmlformats.org/officeDocument/2006/relationships/hyperlink" Target="https://www.arcjournals.org/pdfs/ijisabf/v1-i2/3.pdf"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ramsar.org/document/global-wetland-outlook-special-edition-202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gecco.2020.e01027" TargetMode="External"/><Relationship Id="rId27" Type="http://schemas.openxmlformats.org/officeDocument/2006/relationships/hyperlink" Target="https://doi.org/10.1016/S0065-2881(01)40003-4" TargetMode="External"/><Relationship Id="rId30" Type="http://schemas.openxmlformats.org/officeDocument/2006/relationships/hyperlink" Target="https://doi.org/10.1016/j.ecolind.2010.05.004"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2307/2963459" TargetMode="External"/><Relationship Id="rId33" Type="http://schemas.openxmlformats.org/officeDocument/2006/relationships/hyperlink" Target="https://doi.org/10.2307/1941447"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3576</TotalTime>
  <Pages>17</Pages>
  <Words>4340</Words>
  <Characters>24743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67</cp:revision>
  <dcterms:created xsi:type="dcterms:W3CDTF">2025-07-17T15:39:00Z</dcterms:created>
  <dcterms:modified xsi:type="dcterms:W3CDTF">2026-01-07T06:31:00Z</dcterms:modified>
</cp:coreProperties>
</file>