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A1CBD" w14:textId="77777777" w:rsidR="001C5E27" w:rsidRPr="001C5E27" w:rsidRDefault="001C5E27">
      <w:pPr>
        <w:pStyle w:val="Heading3"/>
        <w:keepNext w:val="0"/>
        <w:keepLines w:val="0"/>
        <w:spacing w:before="240" w:after="240" w:line="360" w:lineRule="auto"/>
        <w:jc w:val="center"/>
        <w:rPr>
          <w:rFonts w:ascii="Times New Roman" w:eastAsia="Times New Roman" w:hAnsi="Times New Roman" w:cs="Times New Roman"/>
          <w:b/>
          <w:bCs/>
          <w:color w:val="000000" w:themeColor="text1"/>
          <w:sz w:val="24"/>
          <w:szCs w:val="24"/>
        </w:rPr>
      </w:pPr>
      <w:r w:rsidRPr="001C5E27">
        <w:rPr>
          <w:rFonts w:ascii="Times New Roman" w:eastAsia="Times New Roman" w:hAnsi="Times New Roman" w:cs="Times New Roman"/>
          <w:b/>
          <w:bCs/>
          <w:color w:val="000000" w:themeColor="text1"/>
          <w:sz w:val="24"/>
          <w:szCs w:val="24"/>
        </w:rPr>
        <w:t xml:space="preserve">Original Research Article </w:t>
      </w:r>
      <w:bookmarkStart w:id="0" w:name="_GoBack"/>
      <w:bookmarkEnd w:id="0"/>
    </w:p>
    <w:p w14:paraId="73176E3A" w14:textId="77777777" w:rsidR="001C5E27" w:rsidRDefault="001C5E27">
      <w:pPr>
        <w:pStyle w:val="Heading3"/>
        <w:keepNext w:val="0"/>
        <w:keepLines w:val="0"/>
        <w:spacing w:before="240" w:after="240" w:line="360" w:lineRule="auto"/>
        <w:jc w:val="center"/>
        <w:rPr>
          <w:rFonts w:ascii="Times New Roman" w:eastAsia="Times New Roman" w:hAnsi="Times New Roman" w:cs="Times New Roman"/>
          <w:b/>
          <w:bCs/>
          <w:color w:val="FF0000"/>
          <w:sz w:val="24"/>
          <w:szCs w:val="24"/>
        </w:rPr>
      </w:pPr>
    </w:p>
    <w:p w14:paraId="36A9C872" w14:textId="5060118D" w:rsidR="00E80638" w:rsidRPr="00E80638" w:rsidRDefault="00844EF9" w:rsidP="00844EF9">
      <w:pPr>
        <w:jc w:val="center"/>
      </w:pPr>
      <w:r w:rsidRPr="00844EF9">
        <w:rPr>
          <w:rFonts w:ascii="Times New Roman" w:eastAsia="Times New Roman" w:hAnsi="Times New Roman" w:cs="Times New Roman"/>
          <w:b/>
          <w:bCs/>
          <w:color w:val="000000" w:themeColor="text1"/>
          <w:sz w:val="24"/>
          <w:szCs w:val="24"/>
        </w:rPr>
        <w:t>Digital Marketing and Sustainable Consumer Behavior in India</w:t>
      </w:r>
    </w:p>
    <w:p w14:paraId="5E461143" w14:textId="77777777" w:rsidR="00C36543" w:rsidRDefault="000A4F1F">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 w:name="_d63f5a4nr46t" w:colFirst="0" w:colLast="0"/>
      <w:bookmarkStart w:id="2" w:name="_2sjowkpzypeu" w:colFirst="0" w:colLast="0"/>
      <w:bookmarkEnd w:id="1"/>
      <w:bookmarkEnd w:id="2"/>
      <w:r>
        <w:rPr>
          <w:rFonts w:ascii="Times New Roman" w:eastAsia="Times New Roman" w:hAnsi="Times New Roman" w:cs="Times New Roman"/>
          <w:b/>
          <w:bCs/>
          <w:color w:val="000000"/>
          <w:sz w:val="24"/>
          <w:szCs w:val="24"/>
        </w:rPr>
        <w:t>Abstract</w:t>
      </w:r>
    </w:p>
    <w:p w14:paraId="41112496" w14:textId="77777777" w:rsidR="00C36543" w:rsidRDefault="000A4F1F">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fast growth of digital technologies has transformed the consumption trends in the urban Indian environment, and digital marketing makes the key in shaping the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Ensuring sustainability, these changes also matter due to the ability of digital consumption to transform the utilization of resources, decrease the reliance on physical markets, and reform the decision-making processes of consumers to influence the environmental and social performance. This paper analyses the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terms of sustainability, that is, the way digital marketing and internet application affect consumer preference taking into account the demographic factor.</w:t>
      </w:r>
    </w:p>
    <w:p w14:paraId="49B56D5A" w14:textId="77777777" w:rsidR="00C36543" w:rsidRDefault="000A4F1F">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paper relies on the survey data gathered among urban consumers and uses chi-square test, binary logistic regression, as well as the exploratory factor as methods. Chi-square is employed to determine the relationships between demographic factors and digital interaction, whereas logistic regression determines the key predictors of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application of the exploratory factor analysis is aimed at revealing the latent dimensions of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aspects of digital marketing influence and purchasing styles.</w:t>
      </w:r>
    </w:p>
    <w:p w14:paraId="5030EDE3" w14:textId="77777777" w:rsidR="00C36543" w:rsidRDefault="000A4F1F">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have shown that there is no significant effect of gender on the use or preference of internet or digital marketing implying that all people have equal access to the digital platform. Nonetheless, the relationship between age and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found to be very strong and is a result of varying digital flexibility in life periods. The results of the logistic regression indicate that the intensity of internet use and the impact of digital marketing are the best predictors of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whereas gender is not significant. The model has a high level of explanatory power meaning that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usage related factors take over demographic characteristics.</w:t>
      </w:r>
    </w:p>
    <w:p w14:paraId="0022EF4A" w14:textId="77777777" w:rsidR="00C36543" w:rsidRDefault="000A4F1F">
      <w:pPr>
        <w:pStyle w:val="Heading2"/>
        <w:keepNext w:val="0"/>
        <w:keepLines w:val="0"/>
        <w:spacing w:before="240" w:after="240" w:line="360" w:lineRule="auto"/>
        <w:jc w:val="both"/>
        <w:rPr>
          <w:rFonts w:ascii="Times New Roman" w:eastAsia="Times New Roman" w:hAnsi="Times New Roman" w:cs="Times New Roman"/>
          <w:sz w:val="24"/>
          <w:szCs w:val="24"/>
        </w:rPr>
      </w:pPr>
      <w:bookmarkStart w:id="3" w:name="_37iavrf6udim" w:colFirst="0" w:colLast="0"/>
      <w:bookmarkEnd w:id="3"/>
      <w:r>
        <w:rPr>
          <w:rFonts w:ascii="Times New Roman" w:eastAsia="Times New Roman" w:hAnsi="Times New Roman" w:cs="Times New Roman"/>
          <w:sz w:val="24"/>
          <w:szCs w:val="24"/>
        </w:rPr>
        <w:lastRenderedPageBreak/>
        <w:t xml:space="preserve">Regarding sustainability, the findings have indicated that digital marketing and online consumption would be able to facilitate more effective and possibly less resource-consuming consumption through cutting physical travel and information search expenses. Nevertheless, the increasing power of digital marketing is also connected with the issues of overconsumption and digital inequality. The study places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context of responsible consumption and Sustainable Development Goal 12, therefore it is necessary to consider digital marketing practices, which are highly likely to support wise, inclusive, and sustainable consumer decision-making in the steadily </w:t>
      </w:r>
      <w:proofErr w:type="spellStart"/>
      <w:r>
        <w:rPr>
          <w:rFonts w:ascii="Times New Roman" w:eastAsia="Times New Roman" w:hAnsi="Times New Roman" w:cs="Times New Roman"/>
          <w:sz w:val="24"/>
          <w:szCs w:val="24"/>
        </w:rPr>
        <w:t>urbanising</w:t>
      </w:r>
      <w:proofErr w:type="spellEnd"/>
      <w:r>
        <w:rPr>
          <w:rFonts w:ascii="Times New Roman" w:eastAsia="Times New Roman" w:hAnsi="Times New Roman" w:cs="Times New Roman"/>
          <w:sz w:val="24"/>
          <w:szCs w:val="24"/>
        </w:rPr>
        <w:t xml:space="preserve"> economies.</w:t>
      </w:r>
    </w:p>
    <w:p w14:paraId="5742AAD8" w14:textId="77777777" w:rsidR="00C36543" w:rsidRDefault="000A4F1F">
      <w:pPr>
        <w:pStyle w:val="Heading2"/>
        <w:keepNext w:val="0"/>
        <w:keepLines w:val="0"/>
        <w:spacing w:after="80" w:line="360" w:lineRule="auto"/>
        <w:jc w:val="both"/>
        <w:rPr>
          <w:rFonts w:ascii="Times New Roman" w:eastAsia="Times New Roman" w:hAnsi="Times New Roman" w:cs="Times New Roman"/>
          <w:b/>
          <w:bCs/>
          <w:sz w:val="24"/>
          <w:szCs w:val="24"/>
        </w:rPr>
      </w:pPr>
      <w:bookmarkStart w:id="4" w:name="_rkv3w6kdymo8" w:colFirst="0" w:colLast="0"/>
      <w:bookmarkEnd w:id="4"/>
      <w:r>
        <w:rPr>
          <w:rFonts w:ascii="Times New Roman" w:eastAsia="Times New Roman" w:hAnsi="Times New Roman" w:cs="Times New Roman"/>
          <w:b/>
          <w:bCs/>
          <w:sz w:val="24"/>
          <w:szCs w:val="24"/>
        </w:rPr>
        <w:t xml:space="preserve">Key Words: Digital Marketing, Sustainable, Consumer Behavior, Internet, India </w:t>
      </w:r>
    </w:p>
    <w:p w14:paraId="33A10CD1" w14:textId="77777777" w:rsidR="00C36543" w:rsidRDefault="000A4F1F">
      <w:pPr>
        <w:pStyle w:val="Heading2"/>
        <w:keepNext w:val="0"/>
        <w:keepLines w:val="0"/>
        <w:spacing w:after="80" w:line="360" w:lineRule="auto"/>
        <w:jc w:val="both"/>
        <w:rPr>
          <w:rFonts w:ascii="Times New Roman" w:eastAsia="Times New Roman" w:hAnsi="Times New Roman" w:cs="Times New Roman"/>
          <w:sz w:val="24"/>
          <w:szCs w:val="24"/>
        </w:rPr>
      </w:pPr>
      <w:bookmarkStart w:id="5" w:name="_jgl9vl4x6q7k" w:colFirst="0" w:colLast="0"/>
      <w:bookmarkEnd w:id="5"/>
      <w:r>
        <w:rPr>
          <w:rFonts w:ascii="Times New Roman" w:eastAsia="Times New Roman" w:hAnsi="Times New Roman" w:cs="Times New Roman"/>
          <w:b/>
          <w:bCs/>
          <w:sz w:val="24"/>
          <w:szCs w:val="24"/>
        </w:rPr>
        <w:t>Introduction</w:t>
      </w:r>
    </w:p>
    <w:p w14:paraId="447588D0"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 pace of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has changed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urban Indian population, where digital marketing plays a significant role in the process of consumers seeking information and decision making of the product or service. In the context of sustainability, these shifts are of particularly high importance as digital consumption affects the use of resources, the intensity of travelling, the efficiency of information and the responsible consumption patterns. The paper analyses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within the city setting by </w:t>
      </w:r>
      <w:proofErr w:type="spellStart"/>
      <w:r>
        <w:rPr>
          <w:rFonts w:ascii="Times New Roman" w:eastAsia="Times New Roman" w:hAnsi="Times New Roman" w:cs="Times New Roman"/>
          <w:sz w:val="24"/>
          <w:szCs w:val="24"/>
        </w:rPr>
        <w:t>harmonising</w:t>
      </w:r>
      <w:proofErr w:type="spellEnd"/>
      <w:r>
        <w:rPr>
          <w:rFonts w:ascii="Times New Roman" w:eastAsia="Times New Roman" w:hAnsi="Times New Roman" w:cs="Times New Roman"/>
          <w:sz w:val="24"/>
          <w:szCs w:val="24"/>
        </w:rPr>
        <w:t xml:space="preserve"> the dynamics of digital marketing with the issues of sustainability.</w:t>
      </w:r>
    </w:p>
    <w:p w14:paraId="6C0E7A10"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justified by the fact that the new digital platforms are increasingly playing a dominant role in daily consumption and there is a paucity of empirical studies that have connected the impact of digital marketing on sustainable consumption in the emerging urban economies. Although digital channels are able to </w:t>
      </w:r>
      <w:proofErr w:type="spellStart"/>
      <w:r>
        <w:rPr>
          <w:rFonts w:ascii="Times New Roman" w:eastAsia="Times New Roman" w:hAnsi="Times New Roman" w:cs="Times New Roman"/>
          <w:sz w:val="24"/>
          <w:szCs w:val="24"/>
        </w:rPr>
        <w:t>minimise</w:t>
      </w:r>
      <w:proofErr w:type="spellEnd"/>
      <w:r>
        <w:rPr>
          <w:rFonts w:ascii="Times New Roman" w:eastAsia="Times New Roman" w:hAnsi="Times New Roman" w:cs="Times New Roman"/>
          <w:sz w:val="24"/>
          <w:szCs w:val="24"/>
        </w:rPr>
        <w:t xml:space="preserve"> physical mobility and transaction costs, they can also promote impulsive purchasing and overuse. This duality is a critical concept that should be understood in crafting responsible digital strategies.</w:t>
      </w:r>
    </w:p>
    <w:p w14:paraId="026DA43D"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objectives are as follows: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to test the connection between demographic variables and online activities, (ii) to determine the most powerful predictors of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specifically, the role of digital marketing and use of internet, and (iii) to evaluate the study relationships through the prism of sustainable and responsible consumption.</w:t>
      </w:r>
    </w:p>
    <w:p w14:paraId="43426558"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theoretical basis of the conceptual background lies in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consumption theory and sustainability theories, namely Sustainable Development Goal 12 (Responsible Consumption and Production). The research </w:t>
      </w:r>
      <w:proofErr w:type="spellStart"/>
      <w:r>
        <w:rPr>
          <w:rFonts w:ascii="Times New Roman" w:eastAsia="Times New Roman" w:hAnsi="Times New Roman" w:cs="Times New Roman"/>
          <w:sz w:val="24"/>
          <w:szCs w:val="24"/>
        </w:rPr>
        <w:t>conceptualises</w:t>
      </w:r>
      <w:proofErr w:type="spellEnd"/>
      <w:r>
        <w:rPr>
          <w:rFonts w:ascii="Times New Roman" w:eastAsia="Times New Roman" w:hAnsi="Times New Roman" w:cs="Times New Roman"/>
          <w:sz w:val="24"/>
          <w:szCs w:val="24"/>
        </w:rPr>
        <w:t xml:space="preserve"> the impacts of digital marketing and the use of the internet as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facilitators that influence the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beyond the conventional demographic attributes.</w:t>
      </w:r>
    </w:p>
    <w:p w14:paraId="6536A8C0"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methodological level, survey data of urban consumers is utilized, and chi-square test, binary logistic regression and exploratory factor analysis are applied. The findings reveal that there is no significant association between the gender and digital engagement and inclusiveness can be established, but age demonstrates a significant correlation with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The results of logistic regression show that the strongest predictors of online purchasing are the intensity and digital marketing influence, even more than demographic ones.</w:t>
      </w:r>
    </w:p>
    <w:p w14:paraId="7CF4BF0A"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significance of the research is that it has contributed to the topic of sustainability by showing that digital consumption habits are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not limited by demographics. The results indicate how digital marketing should be conducted in a responsible manner to promote informed, efficient, and sustainable consumption in the fast </w:t>
      </w:r>
      <w:proofErr w:type="spellStart"/>
      <w:r>
        <w:rPr>
          <w:rFonts w:ascii="Times New Roman" w:eastAsia="Times New Roman" w:hAnsi="Times New Roman" w:cs="Times New Roman"/>
          <w:sz w:val="24"/>
          <w:szCs w:val="24"/>
        </w:rPr>
        <w:t>urbanising</w:t>
      </w:r>
      <w:proofErr w:type="spellEnd"/>
      <w:r>
        <w:rPr>
          <w:rFonts w:ascii="Times New Roman" w:eastAsia="Times New Roman" w:hAnsi="Times New Roman" w:cs="Times New Roman"/>
          <w:sz w:val="24"/>
          <w:szCs w:val="24"/>
        </w:rPr>
        <w:t xml:space="preserve"> economies.</w:t>
      </w:r>
    </w:p>
    <w:p w14:paraId="5451D50C" w14:textId="77777777" w:rsidR="00C36543" w:rsidRDefault="00C36543">
      <w:pPr>
        <w:pStyle w:val="Heading2"/>
        <w:keepNext w:val="0"/>
        <w:keepLines w:val="0"/>
        <w:spacing w:after="80" w:line="360" w:lineRule="auto"/>
        <w:jc w:val="both"/>
        <w:rPr>
          <w:rFonts w:ascii="Times New Roman" w:eastAsia="Times New Roman" w:hAnsi="Times New Roman" w:cs="Times New Roman"/>
          <w:b/>
          <w:bCs/>
          <w:sz w:val="24"/>
          <w:szCs w:val="24"/>
        </w:rPr>
      </w:pPr>
      <w:bookmarkStart w:id="6" w:name="_osj04tfbk6k4" w:colFirst="0" w:colLast="0"/>
      <w:bookmarkEnd w:id="6"/>
    </w:p>
    <w:p w14:paraId="62671548" w14:textId="77777777" w:rsidR="00C36543" w:rsidRDefault="00C36543">
      <w:pPr>
        <w:pStyle w:val="Heading2"/>
        <w:keepNext w:val="0"/>
        <w:keepLines w:val="0"/>
        <w:spacing w:after="80" w:line="360" w:lineRule="auto"/>
        <w:jc w:val="both"/>
        <w:rPr>
          <w:rFonts w:ascii="Times New Roman" w:eastAsia="Times New Roman" w:hAnsi="Times New Roman" w:cs="Times New Roman"/>
          <w:b/>
          <w:bCs/>
          <w:sz w:val="24"/>
          <w:szCs w:val="24"/>
        </w:rPr>
      </w:pPr>
      <w:bookmarkStart w:id="7" w:name="_y9agl8ok022s" w:colFirst="0" w:colLast="0"/>
      <w:bookmarkEnd w:id="7"/>
    </w:p>
    <w:p w14:paraId="27A868E3" w14:textId="77777777" w:rsidR="00C36543" w:rsidRDefault="000A4F1F">
      <w:pPr>
        <w:pStyle w:val="Heading2"/>
        <w:keepNext w:val="0"/>
        <w:keepLines w:val="0"/>
        <w:spacing w:after="80" w:line="360" w:lineRule="auto"/>
        <w:jc w:val="both"/>
        <w:rPr>
          <w:rFonts w:ascii="Times New Roman" w:eastAsia="Times New Roman" w:hAnsi="Times New Roman" w:cs="Times New Roman"/>
          <w:b/>
          <w:bCs/>
          <w:sz w:val="24"/>
          <w:szCs w:val="24"/>
        </w:rPr>
      </w:pPr>
      <w:bookmarkStart w:id="8" w:name="_29otuzgwshmy" w:colFirst="0" w:colLast="0"/>
      <w:bookmarkEnd w:id="8"/>
      <w:r>
        <w:rPr>
          <w:rFonts w:ascii="Times New Roman" w:eastAsia="Times New Roman" w:hAnsi="Times New Roman" w:cs="Times New Roman"/>
          <w:b/>
          <w:bCs/>
          <w:sz w:val="24"/>
          <w:szCs w:val="24"/>
        </w:rPr>
        <w:t>Literature Review</w:t>
      </w:r>
    </w:p>
    <w:p w14:paraId="02CC9E5E"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Framework</w:t>
      </w:r>
    </w:p>
    <w:p w14:paraId="7EE41DB6"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fast growth of digital technologies has radically changed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developed and emerging economies, especially in cities where internet penetration is high, and smartphone users are dominant (UNCTAD, 2024; OECD, 2025).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has transformed the consumer information search, product options, and purchase decision-making process, and digital marketing is progressively becoming a mediator in these activities (Kannan and Li, 2017; </w:t>
      </w:r>
      <w:proofErr w:type="spellStart"/>
      <w:r>
        <w:rPr>
          <w:rFonts w:ascii="Times New Roman" w:eastAsia="Times New Roman" w:hAnsi="Times New Roman" w:cs="Times New Roman"/>
          <w:sz w:val="24"/>
          <w:szCs w:val="24"/>
        </w:rPr>
        <w:t>Sak</w:t>
      </w:r>
      <w:proofErr w:type="spellEnd"/>
      <w:r>
        <w:rPr>
          <w:rFonts w:ascii="Times New Roman" w:eastAsia="Times New Roman" w:hAnsi="Times New Roman" w:cs="Times New Roman"/>
          <w:sz w:val="24"/>
          <w:szCs w:val="24"/>
        </w:rPr>
        <w:t xml:space="preserve"> et al., 2025). Recent literature contextualizes these changes in the more general framework of sustainable development in particular, Sustainable Development Goal 12 (SDG-12), which focuses </w:t>
      </w:r>
      <w:r>
        <w:rPr>
          <w:rFonts w:ascii="Times New Roman" w:eastAsia="Times New Roman" w:hAnsi="Times New Roman" w:cs="Times New Roman"/>
          <w:sz w:val="24"/>
          <w:szCs w:val="24"/>
        </w:rPr>
        <w:lastRenderedPageBreak/>
        <w:t>on responsible consumption and production patterns as a matter of economic development and technological transformation (United Nations, 2015; UNEP, 2021).</w:t>
      </w:r>
    </w:p>
    <w:p w14:paraId="1054DDB6"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Economically, the digital platforms change the market structure through the reduction of transaction costs, information asymmetry, and increased sets of consumer choice (UNCTAD, 2024; OECD, 2025). Digital markets help consumers to compare, have access to peer reviews, and receive information about the product at low marginal cost, and thus enhance allocative efficiency and consumer surplus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Such productivity improvements are especially significant in the urban economies where digital infrastructure promotes a large number of people being involved in online markets (</w:t>
      </w:r>
      <w:proofErr w:type="spellStart"/>
      <w:r>
        <w:rPr>
          <w:rFonts w:ascii="Times New Roman" w:eastAsia="Times New Roman" w:hAnsi="Times New Roman" w:cs="Times New Roman"/>
          <w:sz w:val="24"/>
          <w:szCs w:val="24"/>
        </w:rPr>
        <w:t>Sak</w:t>
      </w:r>
      <w:proofErr w:type="spellEnd"/>
      <w:r>
        <w:rPr>
          <w:rFonts w:ascii="Times New Roman" w:eastAsia="Times New Roman" w:hAnsi="Times New Roman" w:cs="Times New Roman"/>
          <w:sz w:val="24"/>
          <w:szCs w:val="24"/>
        </w:rPr>
        <w:t xml:space="preserve"> et al., 2025). Though, researchers are increasingly believing that such benefits are accompanied by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distortions, which are questioning the mainstream rational-choice theories of consumption (Thaler and Sunstein, 2008; Tiwari et al., 2025).</w:t>
      </w:r>
    </w:p>
    <w:p w14:paraId="22CA4CA3"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marketing is no longer merely an informational weapon but a strong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stimulus that influences the preferences and decision-making of consumers (Kannan and Li, 2017; Sustainability, 2025). In the recent research, it is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that the impact of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advertising, social media promotions, influencer marketing, and user-generated reviews on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growing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Tiwari et al., 2025). Digital marketing, unlike conventional mass marketing, involves the use of algorithmic targeting and analytics in real-time in enabling firms to step into the consumer decision process at various levels (</w:t>
      </w:r>
      <w:proofErr w:type="spellStart"/>
      <w:r>
        <w:rPr>
          <w:rFonts w:ascii="Times New Roman" w:eastAsia="Times New Roman" w:hAnsi="Times New Roman" w:cs="Times New Roman"/>
          <w:sz w:val="24"/>
          <w:szCs w:val="24"/>
        </w:rPr>
        <w:t>Sak</w:t>
      </w:r>
      <w:proofErr w:type="spellEnd"/>
      <w:r>
        <w:rPr>
          <w:rFonts w:ascii="Times New Roman" w:eastAsia="Times New Roman" w:hAnsi="Times New Roman" w:cs="Times New Roman"/>
          <w:sz w:val="24"/>
          <w:szCs w:val="24"/>
        </w:rPr>
        <w:t xml:space="preserve"> et al., 2025). Explained by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economics, this kind of influence is influenced by social proof, scarcity cues and default effects that are inherent to platform structures (Thaler and Sunstein 2008; OECD 2025).</w:t>
      </w:r>
    </w:p>
    <w:p w14:paraId="45EAC190" w14:textId="77777777" w:rsidR="00C36543" w:rsidRDefault="00C36543">
      <w:pPr>
        <w:pStyle w:val="Heading1"/>
        <w:keepNext w:val="0"/>
        <w:keepLines w:val="0"/>
        <w:spacing w:before="240" w:after="240" w:line="360" w:lineRule="auto"/>
        <w:jc w:val="both"/>
        <w:rPr>
          <w:rFonts w:ascii="Times New Roman" w:eastAsia="Times New Roman" w:hAnsi="Times New Roman" w:cs="Times New Roman"/>
          <w:sz w:val="24"/>
          <w:szCs w:val="24"/>
        </w:rPr>
      </w:pPr>
    </w:p>
    <w:p w14:paraId="5A107B91"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Statistics have always shown that an exposure to digital marketing enhances the probability and frequency of internet purchases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Sustainability, 2025). Although it is useful to the performance of firms and their market growth, it poses a question about the consumer welfare and sustainability performance (OECD, 2025; UNEP, 2021). The digitized and hyper fast business space might drive impulsive consumption, minimize deliberate decision-making, and increase </w:t>
      </w:r>
      <w:r>
        <w:rPr>
          <w:rFonts w:ascii="Times New Roman" w:eastAsia="Times New Roman" w:hAnsi="Times New Roman" w:cs="Times New Roman"/>
          <w:sz w:val="24"/>
          <w:szCs w:val="24"/>
        </w:rPr>
        <w:lastRenderedPageBreak/>
        <w:t xml:space="preserve">demand to levels above what is socially optimal, which is against the SDG-12 goals of moderation and resource efficiency (UNCTAD, 2024; Don </w:t>
      </w:r>
      <w:proofErr w:type="spellStart"/>
      <w:r>
        <w:rPr>
          <w:rFonts w:ascii="Times New Roman" w:eastAsia="Times New Roman" w:hAnsi="Times New Roman" w:cs="Times New Roman"/>
          <w:sz w:val="24"/>
          <w:szCs w:val="24"/>
        </w:rPr>
        <w:t>Manuelge</w:t>
      </w:r>
      <w:proofErr w:type="spellEnd"/>
      <w:r>
        <w:rPr>
          <w:rFonts w:ascii="Times New Roman" w:eastAsia="Times New Roman" w:hAnsi="Times New Roman" w:cs="Times New Roman"/>
          <w:sz w:val="24"/>
          <w:szCs w:val="24"/>
        </w:rPr>
        <w:t xml:space="preserve"> Dona, 2025).</w:t>
      </w:r>
    </w:p>
    <w:p w14:paraId="456143BD"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consumption and sustainability have a dual relationship as such. On the one hand, digital business can cut the environmental costs, reducing the physical movement, making logistics more effective, and managing the inventory based on data (Journal of Cleaner Production, 2024; UNEP, 2021). Conversely, online shopping has the potential to boost the level of consumption, speed up the turnover of products, and enhance the emissions of packaging and delivery (OECD, 2025; UNCTAD, 2024). According to recent sustainability research, digital consumption cannot necessarily have responsible consequences; instead, it has an environmental influence, which relies on regulatory frameworks, the governance of platforms, and consumer consciousness (Don </w:t>
      </w:r>
      <w:proofErr w:type="spellStart"/>
      <w:r>
        <w:rPr>
          <w:rFonts w:ascii="Times New Roman" w:eastAsia="Times New Roman" w:hAnsi="Times New Roman" w:cs="Times New Roman"/>
          <w:sz w:val="24"/>
          <w:szCs w:val="24"/>
        </w:rPr>
        <w:t>Manuelge</w:t>
      </w:r>
      <w:proofErr w:type="spellEnd"/>
      <w:r>
        <w:rPr>
          <w:rFonts w:ascii="Times New Roman" w:eastAsia="Times New Roman" w:hAnsi="Times New Roman" w:cs="Times New Roman"/>
          <w:sz w:val="24"/>
          <w:szCs w:val="24"/>
        </w:rPr>
        <w:t xml:space="preserve"> Dona, 2025; </w:t>
      </w:r>
      <w:proofErr w:type="spellStart"/>
      <w:r>
        <w:rPr>
          <w:rFonts w:ascii="Times New Roman" w:eastAsia="Times New Roman" w:hAnsi="Times New Roman" w:cs="Times New Roman"/>
          <w:sz w:val="24"/>
          <w:szCs w:val="24"/>
        </w:rPr>
        <w:t>Sak</w:t>
      </w:r>
      <w:proofErr w:type="spellEnd"/>
      <w:r>
        <w:rPr>
          <w:rFonts w:ascii="Times New Roman" w:eastAsia="Times New Roman" w:hAnsi="Times New Roman" w:cs="Times New Roman"/>
          <w:sz w:val="24"/>
          <w:szCs w:val="24"/>
        </w:rPr>
        <w:t xml:space="preserve"> et al., 2025).</w:t>
      </w:r>
    </w:p>
    <w:p w14:paraId="3F70903D"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addressing the issues of policy is starting to emphasize that sustainability in digital markets should be proactively regulated and not presupposed (UNCTAD, 2024; OECD, 2025). In the absence of proper regulatory conditions, digital platforms can focus not on environmental and social concerns but on the indicators of engagement and sales increase, supporting unsustainable consumption trends (UNEP, 2021; Sustainability, 2025). As a result, academics recommend incorporating the concept of sustainability in online economy policies, such as the responsible advertising framework, transparency rules of sponsored content, and incentives of marketing sustainable products online (OECD, 2025; UNCTAD, 2024).</w:t>
      </w:r>
    </w:p>
    <w:p w14:paraId="5C5A412F"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has also been keen on demographic determinants of digital consumption. Initial research on the adoption of technology brought forward the aspects of age, gender, income, and education in influencing digital penetration (Davis, 1989). But according to more recent studies, the demographic variables, especially gender, are now less explanatory in the digitally mature and urban situations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Sak</w:t>
      </w:r>
      <w:proofErr w:type="spellEnd"/>
      <w:r>
        <w:rPr>
          <w:rFonts w:ascii="Times New Roman" w:eastAsia="Times New Roman" w:hAnsi="Times New Roman" w:cs="Times New Roman"/>
          <w:sz w:val="24"/>
          <w:szCs w:val="24"/>
        </w:rPr>
        <w:t xml:space="preserve"> et al., 2025). Increased accessibility, decreased data rates, and ease of user interface have increased inclusivity in digital consumption with a number of studies showing a reduced gender gap in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(UNCTAD, 2024; Sustainability, 2025).</w:t>
      </w:r>
    </w:p>
    <w:p w14:paraId="0D839DCA"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in its turn, remains a rather subtle and context-related connection in terms of digital consumption. The life-cycle economic theories describe the age-related disparities by differences </w:t>
      </w:r>
      <w:r>
        <w:rPr>
          <w:rFonts w:ascii="Times New Roman" w:eastAsia="Times New Roman" w:hAnsi="Times New Roman" w:cs="Times New Roman"/>
          <w:sz w:val="24"/>
          <w:szCs w:val="24"/>
        </w:rPr>
        <w:lastRenderedPageBreak/>
        <w:t>in the stability of income, opportunity cost of time, and the tendency of risk-taking (OECD, 2025). Empirical research suggests that the older consumers can place more importance on convenience and reliability, whereas the younger consumers are more digital but have less purchasing power (</w:t>
      </w:r>
      <w:proofErr w:type="spellStart"/>
      <w:r>
        <w:rPr>
          <w:rFonts w:ascii="Times New Roman" w:eastAsia="Times New Roman" w:hAnsi="Times New Roman" w:cs="Times New Roman"/>
          <w:sz w:val="24"/>
          <w:szCs w:val="24"/>
        </w:rPr>
        <w:t>Sak</w:t>
      </w:r>
      <w:proofErr w:type="spellEnd"/>
      <w:r>
        <w:rPr>
          <w:rFonts w:ascii="Times New Roman" w:eastAsia="Times New Roman" w:hAnsi="Times New Roman" w:cs="Times New Roman"/>
          <w:sz w:val="24"/>
          <w:szCs w:val="24"/>
        </w:rPr>
        <w:t xml:space="preserve"> et al., 2025; Tiwari et al., 2025). These results indicate that despite the possible general inclusion in access of digital platforms, the results of consumption are still influenced by economic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factors related to various life stages.</w:t>
      </w:r>
    </w:p>
    <w:p w14:paraId="0D490F93"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demographic factors, the recent literature has identified internet usage intensity as one of the most frequent predictors of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Sak</w:t>
      </w:r>
      <w:proofErr w:type="spellEnd"/>
      <w:r>
        <w:rPr>
          <w:rFonts w:ascii="Times New Roman" w:eastAsia="Times New Roman" w:hAnsi="Times New Roman" w:cs="Times New Roman"/>
          <w:sz w:val="24"/>
          <w:szCs w:val="24"/>
        </w:rPr>
        <w:t xml:space="preserve"> et al., 2025). Intensive numbers of digital activity expose more individuals to the marketing stimuli, lessen the risk of perceived transactions, and establish the habitual consumption practices (Tiwari et al., 2025). Considering the economic perspective, a high frequency of surfing the internet reduces the marginal transaction costs and therefore, repeated buying is more probable (OECD, 2025). Behavioral research, though, warns that long-term exposure to digital might undermine self-control and make one prone to impulse purchases, especially in algorithm-driven consumption settings (Thaler, and Sunstein 2008; Sustainability, 2025).</w:t>
      </w:r>
    </w:p>
    <w:p w14:paraId="46E72EED"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 and institutional quality form the core of comprehending the digital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its implications on sustainability. Online platforms are already considered as trusted based on data protection, payment security, transparency, and the efficiency of consumer grievance (OECD, 2025; UNCTAD, 2024). The </w:t>
      </w:r>
      <w:proofErr w:type="spellStart"/>
      <w:r>
        <w:rPr>
          <w:rFonts w:ascii="Times New Roman" w:eastAsia="Times New Roman" w:hAnsi="Times New Roman" w:cs="Times New Roman"/>
          <w:sz w:val="24"/>
          <w:szCs w:val="24"/>
        </w:rPr>
        <w:t>conceptualisation</w:t>
      </w:r>
      <w:proofErr w:type="spellEnd"/>
      <w:r>
        <w:rPr>
          <w:rFonts w:ascii="Times New Roman" w:eastAsia="Times New Roman" w:hAnsi="Times New Roman" w:cs="Times New Roman"/>
          <w:sz w:val="24"/>
          <w:szCs w:val="24"/>
        </w:rPr>
        <w:t xml:space="preserve"> of trust in the institutional economics literature is the public good that eliminates uncertainty and transaction costs, and therefore, allows market exchanges that promote welfare (UNEP, 2021). Weak regulatory frameworks, conversely, make consumers more vulnerable and expedite the lack of efficiency in the markets, especially in the fast-growing digital economies (OECD, 2025).</w:t>
      </w:r>
    </w:p>
    <w:p w14:paraId="2E00209A" w14:textId="77777777" w:rsidR="00C36543" w:rsidRDefault="000A4F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amount of literature has increased, there are still a number of gaps. There is still limited empirical data on the connection between the influence of digital marketing and sustainable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which is directly related to emerging economies (Don </w:t>
      </w:r>
      <w:proofErr w:type="spellStart"/>
      <w:r>
        <w:rPr>
          <w:rFonts w:ascii="Times New Roman" w:eastAsia="Times New Roman" w:hAnsi="Times New Roman" w:cs="Times New Roman"/>
          <w:sz w:val="24"/>
          <w:szCs w:val="24"/>
        </w:rPr>
        <w:t>Manuelge</w:t>
      </w:r>
      <w:proofErr w:type="spellEnd"/>
      <w:r>
        <w:rPr>
          <w:rFonts w:ascii="Times New Roman" w:eastAsia="Times New Roman" w:hAnsi="Times New Roman" w:cs="Times New Roman"/>
          <w:sz w:val="24"/>
          <w:szCs w:val="24"/>
        </w:rPr>
        <w:t xml:space="preserve"> Dona, 2025; Sustainability, 2025). Furthermore, a substantial number of studies are concentrated on purchase intention as opposed to actual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bringing their relevance to policy down (</w:t>
      </w:r>
      <w:proofErr w:type="spellStart"/>
      <w:r>
        <w:rPr>
          <w:rFonts w:ascii="Times New Roman" w:eastAsia="Times New Roman" w:hAnsi="Times New Roman" w:cs="Times New Roman"/>
          <w:sz w:val="24"/>
          <w:szCs w:val="24"/>
        </w:rPr>
        <w:t>Qalati</w:t>
      </w:r>
      <w:proofErr w:type="spellEnd"/>
      <w:r>
        <w:rPr>
          <w:rFonts w:ascii="Times New Roman" w:eastAsia="Times New Roman" w:hAnsi="Times New Roman" w:cs="Times New Roman"/>
          <w:sz w:val="24"/>
          <w:szCs w:val="24"/>
        </w:rPr>
        <w:t xml:space="preserve"> et al., 2024). Last but not least, the application of SDG-12 to economic discourses </w:t>
      </w:r>
      <w:r>
        <w:rPr>
          <w:rFonts w:ascii="Times New Roman" w:eastAsia="Times New Roman" w:hAnsi="Times New Roman" w:cs="Times New Roman"/>
          <w:sz w:val="24"/>
          <w:szCs w:val="24"/>
        </w:rPr>
        <w:lastRenderedPageBreak/>
        <w:t>of digital consumption has not yet reached its full potential, as sustainability is usually discussed in the periphery and not the main analytical approach (UNCTAD, 2024; OECD, 2025).</w:t>
      </w:r>
    </w:p>
    <w:p w14:paraId="55EF7A01" w14:textId="77777777" w:rsidR="00C36543" w:rsidRDefault="00C36543">
      <w:pPr>
        <w:spacing w:line="360" w:lineRule="auto"/>
        <w:jc w:val="both"/>
        <w:rPr>
          <w:rFonts w:ascii="Times New Roman" w:eastAsia="Times New Roman" w:hAnsi="Times New Roman" w:cs="Times New Roman"/>
          <w:sz w:val="24"/>
          <w:szCs w:val="24"/>
        </w:rPr>
      </w:pPr>
    </w:p>
    <w:p w14:paraId="5F284BD5" w14:textId="77777777" w:rsidR="00C36543" w:rsidRDefault="000A4F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paper fits into this gap by measuring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framework of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policy-related approach that is clearly oriented towards SDG-12. It is adding to the changing body of literature on digital consumption and sustainable development as it focuses on internet use intensity and digital impact of marketing, rather than on demographic factors. Generally, current academic evidence indicates that despite the efficiency benefits and inclusivity benefits of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responsible consumption in the digital economy would need concerted actions in policy, institutional empowerment, and responsible digital marketing practices (UNEP, 2021; OECD, 2025; UNCTAD, 2024).</w:t>
      </w:r>
    </w:p>
    <w:p w14:paraId="27F2118F"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Hypotheses Development</w:t>
      </w:r>
    </w:p>
    <w:p w14:paraId="0C985300"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available literature, the hypotheses that are tested are as follows:</w:t>
      </w:r>
    </w:p>
    <w:p w14:paraId="4AB4D561" w14:textId="77777777" w:rsidR="00C36543" w:rsidRDefault="000A4F1F">
      <w:pPr>
        <w:pStyle w:val="Heading1"/>
        <w:keepNext w:val="0"/>
        <w:keepLines w:val="0"/>
        <w:numPr>
          <w:ilvl w:val="0"/>
          <w:numId w:val="1"/>
        </w:numPr>
        <w:spacing w:before="240" w:after="0" w:line="360" w:lineRule="auto"/>
        <w:jc w:val="both"/>
        <w:rPr>
          <w:b/>
          <w:bCs/>
        </w:rPr>
      </w:pPr>
      <w:r>
        <w:rPr>
          <w:rFonts w:ascii="Times New Roman" w:eastAsia="Times New Roman" w:hAnsi="Times New Roman" w:cs="Times New Roman"/>
          <w:sz w:val="24"/>
          <w:szCs w:val="24"/>
        </w:rPr>
        <w:t>H01: There is no significant gender connected with internet use and preference to use digital marketing.</w:t>
      </w:r>
    </w:p>
    <w:p w14:paraId="166AD4CA" w14:textId="77777777" w:rsidR="00C36543" w:rsidRDefault="000A4F1F">
      <w:pPr>
        <w:pStyle w:val="Heading1"/>
        <w:keepNext w:val="0"/>
        <w:keepLines w:val="0"/>
        <w:numPr>
          <w:ilvl w:val="0"/>
          <w:numId w:val="1"/>
        </w:numPr>
        <w:spacing w:before="0" w:after="0" w:line="360" w:lineRule="auto"/>
        <w:jc w:val="both"/>
        <w:rPr>
          <w:b/>
          <w:bCs/>
        </w:rPr>
      </w:pPr>
      <w:r>
        <w:rPr>
          <w:rFonts w:ascii="Times New Roman" w:eastAsia="Times New Roman" w:hAnsi="Times New Roman" w:cs="Times New Roman"/>
          <w:sz w:val="24"/>
          <w:szCs w:val="24"/>
        </w:rPr>
        <w:t xml:space="preserve">H02: Age has a significant connection to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1B72081A" w14:textId="77777777" w:rsidR="00C36543" w:rsidRDefault="000A4F1F">
      <w:pPr>
        <w:pStyle w:val="Heading1"/>
        <w:keepNext w:val="0"/>
        <w:keepLines w:val="0"/>
        <w:numPr>
          <w:ilvl w:val="0"/>
          <w:numId w:val="1"/>
        </w:numPr>
        <w:spacing w:before="0" w:after="0" w:line="360" w:lineRule="auto"/>
        <w:jc w:val="both"/>
        <w:rPr>
          <w:b/>
          <w:bCs/>
        </w:rPr>
      </w:pPr>
      <w:r>
        <w:rPr>
          <w:rFonts w:ascii="Times New Roman" w:eastAsia="Times New Roman" w:hAnsi="Times New Roman" w:cs="Times New Roman"/>
          <w:sz w:val="24"/>
          <w:szCs w:val="24"/>
        </w:rPr>
        <w:t>H03: There is a significant correlation between online marketing power and the use of the internet and the propensity to purchase as an online buyer.</w:t>
      </w:r>
    </w:p>
    <w:p w14:paraId="00AD8233" w14:textId="77777777" w:rsidR="00C36543" w:rsidRDefault="000A4F1F">
      <w:pPr>
        <w:pStyle w:val="Heading1"/>
        <w:keepNext w:val="0"/>
        <w:keepLines w:val="0"/>
        <w:numPr>
          <w:ilvl w:val="0"/>
          <w:numId w:val="1"/>
        </w:numPr>
        <w:spacing w:before="0" w:after="240" w:line="360" w:lineRule="auto"/>
        <w:jc w:val="both"/>
      </w:pPr>
      <w:bookmarkStart w:id="9" w:name="_jttwp61ni9a" w:colFirst="0" w:colLast="0"/>
      <w:bookmarkEnd w:id="9"/>
      <w:r>
        <w:rPr>
          <w:rFonts w:ascii="Times New Roman" w:eastAsia="Times New Roman" w:hAnsi="Times New Roman" w:cs="Times New Roman"/>
          <w:color w:val="111111"/>
          <w:sz w:val="24"/>
          <w:szCs w:val="24"/>
        </w:rPr>
        <w:t>H</w:t>
      </w:r>
      <w:r>
        <w:rPr>
          <w:rFonts w:ascii="Times New Roman" w:eastAsia="Times New Roman" w:hAnsi="Times New Roman" w:cs="Times New Roman"/>
          <w:sz w:val="24"/>
          <w:szCs w:val="24"/>
        </w:rPr>
        <w:t>0</w:t>
      </w:r>
      <w:r>
        <w:rPr>
          <w:rFonts w:ascii="Times New Roman" w:eastAsia="Times New Roman" w:hAnsi="Times New Roman" w:cs="Times New Roman"/>
          <w:color w:val="111111"/>
          <w:sz w:val="24"/>
          <w:szCs w:val="24"/>
        </w:rPr>
        <w:t xml:space="preserve">4: Trust, convenience and preference to online shopping determine buying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w:t>
      </w:r>
    </w:p>
    <w:p w14:paraId="1B688D36" w14:textId="77777777" w:rsidR="00C36543" w:rsidRDefault="000A4F1F">
      <w:pPr>
        <w:pStyle w:val="Heading2"/>
        <w:keepNext w:val="0"/>
        <w:keepLines w:val="0"/>
        <w:spacing w:after="80" w:line="360" w:lineRule="auto"/>
        <w:jc w:val="both"/>
        <w:rPr>
          <w:rFonts w:ascii="Times New Roman" w:eastAsia="Times New Roman" w:hAnsi="Times New Roman" w:cs="Times New Roman"/>
          <w:b/>
          <w:bCs/>
          <w:sz w:val="24"/>
          <w:szCs w:val="24"/>
        </w:rPr>
      </w:pPr>
      <w:bookmarkStart w:id="10" w:name="_pd4is3t2hu78" w:colFirst="0" w:colLast="0"/>
      <w:bookmarkEnd w:id="10"/>
      <w:r>
        <w:rPr>
          <w:rFonts w:ascii="Times New Roman" w:eastAsia="Times New Roman" w:hAnsi="Times New Roman" w:cs="Times New Roman"/>
          <w:b/>
          <w:bCs/>
          <w:sz w:val="24"/>
          <w:szCs w:val="24"/>
        </w:rPr>
        <w:t>Research Methodology</w:t>
      </w:r>
    </w:p>
    <w:p w14:paraId="14FE0A51"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11" w:name="_apyw284u5d3y" w:colFirst="0" w:colLast="0"/>
      <w:bookmarkEnd w:id="11"/>
      <w:r>
        <w:rPr>
          <w:rFonts w:ascii="Times New Roman" w:eastAsia="Times New Roman" w:hAnsi="Times New Roman" w:cs="Times New Roman"/>
          <w:color w:val="111111"/>
          <w:sz w:val="24"/>
          <w:szCs w:val="24"/>
        </w:rPr>
        <w:t xml:space="preserve">This paper is a quantitative cross-sectional research study aiming to identify the factors of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in consumers in urban areas, especially the impact of digital marketing and the use of the internet as the basis of Sustainable Development Goal 12 (Responsible Consumption and Production).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survey was carried out using the primary data through a structured questionnaire survey to the urban internet users and sampled with the convenience sampling method since it was not possible to sample the entire community.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urban concentration is caused by the increased digital penetration and exposure to online marketing.</w:t>
      </w:r>
    </w:p>
    <w:p w14:paraId="70DE7F28"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12" w:name="_f0e00nf5z8uh" w:colFirst="0" w:colLast="0"/>
      <w:bookmarkEnd w:id="12"/>
      <w:r>
        <w:rPr>
          <w:rFonts w:ascii="Times New Roman" w:eastAsia="Times New Roman" w:hAnsi="Times New Roman" w:cs="Times New Roman"/>
          <w:color w:val="111111"/>
          <w:sz w:val="24"/>
          <w:szCs w:val="24"/>
        </w:rPr>
        <w:lastRenderedPageBreak/>
        <w:t xml:space="preserve">The questionnaire involved capturing of the following variables, which are </w:t>
      </w:r>
      <w:proofErr w:type="spellStart"/>
      <w:r>
        <w:rPr>
          <w:rFonts w:ascii="Times New Roman" w:eastAsia="Times New Roman" w:hAnsi="Times New Roman" w:cs="Times New Roman"/>
          <w:color w:val="111111"/>
          <w:sz w:val="24"/>
          <w:szCs w:val="24"/>
        </w:rPr>
        <w:t>categorised</w:t>
      </w:r>
      <w:proofErr w:type="spellEnd"/>
      <w:r>
        <w:rPr>
          <w:rFonts w:ascii="Times New Roman" w:eastAsia="Times New Roman" w:hAnsi="Times New Roman" w:cs="Times New Roman"/>
          <w:color w:val="111111"/>
          <w:sz w:val="24"/>
          <w:szCs w:val="24"/>
        </w:rPr>
        <w:t xml:space="preserve"> into the following; the following variables were undertaken; demographic variables (gender and age), digital engagement indicators (intensity of internet usage and perceived digital marketing influence) and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which was measured as a binary outcome.</w:t>
      </w:r>
    </w:p>
    <w:p w14:paraId="22C10CCB"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13" w:name="_d00k0ti6oyif" w:colFirst="0" w:colLast="0"/>
      <w:bookmarkEnd w:id="13"/>
      <w:r>
        <w:rPr>
          <w:rFonts w:ascii="Times New Roman" w:eastAsia="Times New Roman" w:hAnsi="Times New Roman" w:cs="Times New Roman"/>
          <w:color w:val="111111"/>
          <w:sz w:val="24"/>
          <w:szCs w:val="24"/>
        </w:rPr>
        <w:t>The analysis of data was done using a multi-stage analytic strategy.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characteristics of respondents were </w:t>
      </w:r>
      <w:proofErr w:type="spellStart"/>
      <w:r>
        <w:rPr>
          <w:rFonts w:ascii="Times New Roman" w:eastAsia="Times New Roman" w:hAnsi="Times New Roman" w:cs="Times New Roman"/>
          <w:color w:val="111111"/>
          <w:sz w:val="24"/>
          <w:szCs w:val="24"/>
        </w:rPr>
        <w:t>summarised</w:t>
      </w:r>
      <w:proofErr w:type="spellEnd"/>
      <w:r>
        <w:rPr>
          <w:rFonts w:ascii="Times New Roman" w:eastAsia="Times New Roman" w:hAnsi="Times New Roman" w:cs="Times New Roman"/>
          <w:color w:val="111111"/>
          <w:sz w:val="24"/>
          <w:szCs w:val="24"/>
        </w:rPr>
        <w:t xml:space="preserve"> using descriptive statistics.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**Chi-square tests were used to test the relationships between demographic variables and digital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binary logistic regression was used to determine the most significant predictors of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as well as to estimate the relative significance of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and demographic variables.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111111"/>
          <w:sz w:val="24"/>
          <w:szCs w:val="24"/>
        </w:rPr>
        <w:t>Nagelkerke</w:t>
      </w:r>
      <w:proofErr w:type="spellEnd"/>
      <w:r>
        <w:rPr>
          <w:rFonts w:ascii="Times New Roman" w:eastAsia="Times New Roman" w:hAnsi="Times New Roman" w:cs="Times New Roman"/>
          <w:color w:val="111111"/>
          <w:sz w:val="24"/>
          <w:szCs w:val="24"/>
        </w:rPr>
        <w:t xml:space="preserve"> R 2 and classification accuracy were used as model adequacy measures.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Moreover, the Varimax rotation of the exploratory factor analysis (EFA) was performed in order to determine latent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constructs that support consumer perceptions.</w:t>
      </w:r>
    </w:p>
    <w:p w14:paraId="63148F27"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14" w:name="_tppex01sewh7" w:colFirst="0" w:colLast="0"/>
      <w:bookmarkEnd w:id="14"/>
      <w:r>
        <w:rPr>
          <w:rFonts w:ascii="Times New Roman" w:eastAsia="Times New Roman" w:hAnsi="Times New Roman" w:cs="Times New Roman"/>
          <w:color w:val="111111"/>
          <w:sz w:val="24"/>
          <w:szCs w:val="24"/>
        </w:rPr>
        <w:t>The ethical standards were observed using voluntary participation and anonymity of the respondents.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methodology offers solid and policy-relevant evidence on the digital consumption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even though there is a set of limitations associated with the sampling and the cross-sectional design.</w:t>
      </w:r>
    </w:p>
    <w:p w14:paraId="26C4A8FB" w14:textId="77777777" w:rsidR="00C36543" w:rsidRDefault="00C36543">
      <w:pPr>
        <w:pStyle w:val="Heading2"/>
        <w:keepNext w:val="0"/>
        <w:keepLines w:val="0"/>
        <w:spacing w:after="80" w:line="360" w:lineRule="auto"/>
        <w:jc w:val="both"/>
        <w:rPr>
          <w:rFonts w:ascii="Times New Roman" w:eastAsia="Times New Roman" w:hAnsi="Times New Roman" w:cs="Times New Roman"/>
          <w:b/>
          <w:bCs/>
          <w:sz w:val="24"/>
          <w:szCs w:val="24"/>
        </w:rPr>
      </w:pPr>
      <w:bookmarkStart w:id="15" w:name="_45q1uue6ubjx" w:colFirst="0" w:colLast="0"/>
      <w:bookmarkEnd w:id="15"/>
    </w:p>
    <w:p w14:paraId="6193688B" w14:textId="77777777" w:rsidR="00C36543" w:rsidRDefault="000A4F1F">
      <w:pPr>
        <w:pStyle w:val="Heading2"/>
        <w:keepNext w:val="0"/>
        <w:keepLines w:val="0"/>
        <w:spacing w:after="80" w:line="360" w:lineRule="auto"/>
        <w:jc w:val="both"/>
        <w:rPr>
          <w:rFonts w:ascii="Times New Roman" w:eastAsia="Times New Roman" w:hAnsi="Times New Roman" w:cs="Times New Roman"/>
          <w:b/>
          <w:bCs/>
          <w:sz w:val="24"/>
          <w:szCs w:val="24"/>
        </w:rPr>
      </w:pPr>
      <w:bookmarkStart w:id="16" w:name="_l9w6w5bex1dy" w:colFirst="0" w:colLast="0"/>
      <w:bookmarkEnd w:id="16"/>
      <w:r>
        <w:rPr>
          <w:rFonts w:ascii="Times New Roman" w:eastAsia="Times New Roman" w:hAnsi="Times New Roman" w:cs="Times New Roman"/>
          <w:b/>
          <w:bCs/>
          <w:sz w:val="24"/>
          <w:szCs w:val="24"/>
        </w:rPr>
        <w:t>Results and Discussion</w:t>
      </w:r>
    </w:p>
    <w:p w14:paraId="6F1E81A6" w14:textId="77777777" w:rsidR="00C36543" w:rsidRDefault="000A4F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Placing the Findings in the context of SDG-12: Responsible Consumption in the Digital Economy.</w:t>
      </w:r>
    </w:p>
    <w:p w14:paraId="00609F64" w14:textId="77777777" w:rsidR="00C36543" w:rsidRDefault="000A4F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sustainable development goal 12 underscores the importance of ensuring sustainable consumption and production patterns, especially in fast </w:t>
      </w:r>
      <w:proofErr w:type="spellStart"/>
      <w:r>
        <w:rPr>
          <w:rFonts w:ascii="Times New Roman" w:eastAsia="Times New Roman" w:hAnsi="Times New Roman" w:cs="Times New Roman"/>
          <w:sz w:val="24"/>
          <w:szCs w:val="24"/>
        </w:rPr>
        <w:t>urbanising</w:t>
      </w:r>
      <w:proofErr w:type="spellEnd"/>
      <w:r>
        <w:rPr>
          <w:rFonts w:ascii="Times New Roman" w:eastAsia="Times New Roman" w:hAnsi="Times New Roman" w:cs="Times New Roman"/>
          <w:sz w:val="24"/>
          <w:szCs w:val="24"/>
        </w:rPr>
        <w:t xml:space="preserve"> and digitally transforming economies. In that respect, the current research provides crucial empirical data about the way digital marketing and the usage of the internet influence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urban Indian consumers. The results indicate that the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becoming more and more motivated by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exposure and digital interaction, and not by the predetermined demographic features, signifying the structural change in the consumption processes.</w:t>
      </w:r>
    </w:p>
    <w:p w14:paraId="15CF69F7" w14:textId="77777777" w:rsidR="00C36543" w:rsidRDefault="000A4F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change has significant consequences in terms of a policy-oriented economic approach. Digital platforms transform the cost of transactions, the flow of information and consumer decision-</w:t>
      </w:r>
      <w:r>
        <w:rPr>
          <w:rFonts w:ascii="Times New Roman" w:eastAsia="Times New Roman" w:hAnsi="Times New Roman" w:cs="Times New Roman"/>
          <w:sz w:val="24"/>
          <w:szCs w:val="24"/>
        </w:rPr>
        <w:lastRenderedPageBreak/>
        <w:t xml:space="preserve">making processes. Although such changes can lead to allocative efficiency and decrease physical interaction of market resources that are resource-heavy, they also concern overconsumption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manipulations as well as inequalities in digital capabilities. Findings of this research thus make contributions to the emerging body of discussion on the interactions of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with sustainability goals, especially SDG-12.</w:t>
      </w:r>
    </w:p>
    <w:p w14:paraId="5120E9C5"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Gender Neutrality and Inclusive Digital Access: Advantage to Equitable Consumption.</w:t>
      </w:r>
    </w:p>
    <w:p w14:paraId="76B505E2"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results, one of the most important is that there was no statistically significant correlation between gender and digital engagement or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This implies that, at the least in urban India, entry to and engagement on digital markets is now very much gender neutral.</w:t>
      </w:r>
    </w:p>
    <w:p w14:paraId="19AFA0EC"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development and policy perspective, this result has shown that there is advancement towards inclusive consumption systems. The digital platforms seem to reduce some of the structural barriers that limited the participation of women in the traditional markets in the past, including mobility issues, time, and social norms. The digital channels of consumption help to improve a more even distribution of access to goods and services by reducing these barriers which are in line with the inclusivity dimension incorporated in SDG-12.</w:t>
      </w:r>
    </w:p>
    <w:p w14:paraId="01BD2DEB"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interpretation of the policy should be wary. The use of gender neutrality does not necessarily translate to equality in results. Inequality in income, possession of assets and domination of financial resources can still influence the quality and magnitude of consumption. The results, however, show that digital infrastructures and platform designs can be used to promote more inclusive consumption institutions, as long as supportive policies deal with existing underlying economic disparities.</w:t>
      </w:r>
    </w:p>
    <w:p w14:paraId="51973BFB"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Age Differences and the Life-cycle Economics of Digital Consumption.</w:t>
      </w:r>
    </w:p>
    <w:p w14:paraId="31E4DB16"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Contrary to gender, age is found to be a statistically significant predictor of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This result has significant consequences on the topic of consumption patterns in the light of life-cycle and welfare economics.</w:t>
      </w:r>
    </w:p>
    <w:p w14:paraId="33B5AFBD"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online purchasing activities of older consumers are likely to be more significant, which may indicate the increase of income stability, purchasing power, and more powerful inclination to convenience. Efficiency wise, the digital platforms would lower search and transaction costs to such consumers so that they could optimize the use and consumption decisions. In this regard, digital consumption helps to align allocative efficiency, as it helps people to form more precise preferences and find suitable products.</w:t>
      </w:r>
    </w:p>
    <w:p w14:paraId="5C23A9D8"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Meanwhile, the differences based on age give the policy concern over digital capability gaps. The younger consumers can be highly exposed to digital, but with lower financial capacity, and the older consumers can be confronted with the issue of digital literacy and cybersecurity threats. These differences indicate that the digital consumption policies should be aware of the dynamics of life-cycles, which include educating consumers, providing digital literacy, and protection against economic exploitation.</w:t>
      </w:r>
    </w:p>
    <w:p w14:paraId="5F37A88C"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17" w:name="_h8sx5rb422l2" w:colFirst="0" w:colLast="0"/>
      <w:bookmarkEnd w:id="17"/>
      <w:r>
        <w:rPr>
          <w:rFonts w:ascii="Times New Roman" w:eastAsia="Times New Roman" w:hAnsi="Times New Roman" w:cs="Times New Roman"/>
          <w:sz w:val="24"/>
          <w:szCs w:val="24"/>
        </w:rPr>
        <w:t>Within the SDG-12 perspective, age-sensitive policies are essential to see that digital consumption is contributing to welfare-enhancing and sustainable results and not strengthening the vulnerabilities at various life phases.</w:t>
      </w:r>
    </w:p>
    <w:p w14:paraId="7549DDF8" w14:textId="77777777" w:rsidR="00C36543" w:rsidRDefault="00C36543">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8" w:name="_2l7a1zf0kio7" w:colFirst="0" w:colLast="0"/>
      <w:bookmarkEnd w:id="18"/>
    </w:p>
    <w:p w14:paraId="2DD56E81" w14:textId="77777777" w:rsidR="00C36543" w:rsidRDefault="00C36543">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9" w:name="_gr9geo7gw1pa" w:colFirst="0" w:colLast="0"/>
      <w:bookmarkEnd w:id="19"/>
    </w:p>
    <w:p w14:paraId="6FFD04A1" w14:textId="77777777" w:rsidR="00C36543" w:rsidRDefault="000A4F1F">
      <w:pPr>
        <w:pStyle w:val="Heading3"/>
        <w:keepNext w:val="0"/>
        <w:keepLines w:val="0"/>
        <w:spacing w:before="280" w:line="360" w:lineRule="auto"/>
        <w:jc w:val="both"/>
        <w:rPr>
          <w:rFonts w:ascii="Times New Roman" w:eastAsia="Times New Roman" w:hAnsi="Times New Roman" w:cs="Times New Roman"/>
          <w:b/>
          <w:bCs/>
          <w:sz w:val="24"/>
          <w:szCs w:val="24"/>
        </w:rPr>
      </w:pPr>
      <w:bookmarkStart w:id="20" w:name="_3xdro3d64itf" w:colFirst="0" w:colLast="0"/>
      <w:bookmarkEnd w:id="20"/>
      <w:r>
        <w:rPr>
          <w:rFonts w:ascii="Times New Roman" w:eastAsia="Times New Roman" w:hAnsi="Times New Roman" w:cs="Times New Roman"/>
          <w:b/>
          <w:bCs/>
          <w:color w:val="000000"/>
          <w:sz w:val="24"/>
          <w:szCs w:val="24"/>
        </w:rPr>
        <w:t>Table 1: Logistic Regression Results</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2250"/>
        <w:gridCol w:w="2190"/>
        <w:gridCol w:w="2205"/>
      </w:tblGrid>
      <w:tr w:rsidR="00C36543" w14:paraId="13A3E42C" w14:textId="77777777">
        <w:trPr>
          <w:trHeight w:val="285"/>
        </w:trPr>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A7966A"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Predictor</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0423926"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β Coefficient</w:t>
            </w:r>
          </w:p>
        </w:tc>
        <w:tc>
          <w:tcPr>
            <w:tcW w:w="21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7973C12"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Odds Ratio</w:t>
            </w:r>
          </w:p>
        </w:tc>
        <w:tc>
          <w:tcPr>
            <w:tcW w:w="22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FE87380"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r>
      <w:tr w:rsidR="00C36543" w14:paraId="02164BE9" w14:textId="77777777">
        <w:trPr>
          <w:trHeight w:val="285"/>
        </w:trPr>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752A67"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56E870A8"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2E36C28F"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05D2C683"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C36543" w14:paraId="295A5B23" w14:textId="77777777">
        <w:trPr>
          <w:trHeight w:val="285"/>
        </w:trPr>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6AE597"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1BF69153"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5D31E1DC"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5DB2A46A"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C36543" w14:paraId="67FD5600" w14:textId="77777777">
        <w:trPr>
          <w:trHeight w:val="285"/>
        </w:trPr>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672562"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Usage</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3211E802"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73FE7289"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037CDB7F"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C36543" w14:paraId="24597806" w14:textId="77777777">
        <w:trPr>
          <w:trHeight w:val="555"/>
        </w:trPr>
        <w:tc>
          <w:tcPr>
            <w:tcW w:w="22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D9270C"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Marketing Influence</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31BBEA86"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2190" w:type="dxa"/>
            <w:tcBorders>
              <w:top w:val="nil"/>
              <w:left w:val="nil"/>
              <w:bottom w:val="single" w:sz="6" w:space="0" w:color="000000"/>
              <w:right w:val="single" w:sz="6" w:space="0" w:color="000000"/>
            </w:tcBorders>
            <w:tcMar>
              <w:top w:w="0" w:type="dxa"/>
              <w:left w:w="100" w:type="dxa"/>
              <w:bottom w:w="0" w:type="dxa"/>
              <w:right w:w="100" w:type="dxa"/>
            </w:tcMar>
          </w:tcPr>
          <w:p w14:paraId="1120F791"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2205" w:type="dxa"/>
            <w:tcBorders>
              <w:top w:val="nil"/>
              <w:left w:val="nil"/>
              <w:bottom w:val="single" w:sz="6" w:space="0" w:color="000000"/>
              <w:right w:val="single" w:sz="6" w:space="0" w:color="000000"/>
            </w:tcBorders>
            <w:tcMar>
              <w:top w:w="0" w:type="dxa"/>
              <w:left w:w="100" w:type="dxa"/>
              <w:bottom w:w="0" w:type="dxa"/>
              <w:right w:w="100" w:type="dxa"/>
            </w:tcMar>
          </w:tcPr>
          <w:p w14:paraId="38C623D5"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bl>
    <w:p w14:paraId="175E4943" w14:textId="77777777" w:rsidR="00C36543" w:rsidRDefault="000A4F1F">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172D42F8" w14:textId="77777777" w:rsidR="00C36543" w:rsidRDefault="000A4F1F">
      <w:pPr>
        <w:pStyle w:val="Heading2"/>
        <w:keepNext w:val="0"/>
        <w:keepLines w:val="0"/>
        <w:spacing w:after="80" w:line="360" w:lineRule="auto"/>
        <w:jc w:val="both"/>
        <w:rPr>
          <w:rFonts w:ascii="Times New Roman" w:eastAsia="Times New Roman" w:hAnsi="Times New Roman" w:cs="Times New Roman"/>
          <w:b/>
          <w:bCs/>
          <w:sz w:val="24"/>
          <w:szCs w:val="24"/>
        </w:rPr>
      </w:pPr>
      <w:bookmarkStart w:id="21" w:name="_9r8r2ds62b3i" w:colFirst="0" w:colLast="0"/>
      <w:bookmarkEnd w:id="21"/>
      <w:r>
        <w:rPr>
          <w:rFonts w:ascii="Times New Roman" w:eastAsia="Times New Roman" w:hAnsi="Times New Roman" w:cs="Times New Roman"/>
          <w:b/>
          <w:bCs/>
          <w:sz w:val="24"/>
          <w:szCs w:val="24"/>
        </w:rPr>
        <w:lastRenderedPageBreak/>
        <w:t>Table 2: Model Fit Statistics</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5"/>
        <w:gridCol w:w="4440"/>
      </w:tblGrid>
      <w:tr w:rsidR="00C36543" w14:paraId="0B1E7217" w14:textId="77777777">
        <w:trPr>
          <w:trHeight w:val="285"/>
        </w:trPr>
        <w:tc>
          <w:tcPr>
            <w:tcW w:w="4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6EDD57"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w:t>
            </w:r>
          </w:p>
        </w:tc>
        <w:tc>
          <w:tcPr>
            <w:tcW w:w="44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E2E23C1"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C36543" w14:paraId="6E46DEF6" w14:textId="77777777">
        <w:trPr>
          <w:trHeight w:val="285"/>
        </w:trPr>
        <w:tc>
          <w:tcPr>
            <w:tcW w:w="44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0BA111"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Nagelkerke</w:t>
            </w:r>
            <w:proofErr w:type="spellEnd"/>
            <w:r>
              <w:rPr>
                <w:rFonts w:ascii="Times New Roman" w:eastAsia="Times New Roman" w:hAnsi="Times New Roman" w:cs="Times New Roman"/>
                <w:sz w:val="24"/>
                <w:szCs w:val="24"/>
              </w:rPr>
              <w:t xml:space="preserve"> R²</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1B2ED24F"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C36543" w14:paraId="2B5C656C" w14:textId="77777777">
        <w:trPr>
          <w:trHeight w:val="285"/>
        </w:trPr>
        <w:tc>
          <w:tcPr>
            <w:tcW w:w="44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E48166"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bookmarkStart w:id="22" w:name="_wz3z0kvzin4d" w:colFirst="0" w:colLast="0"/>
            <w:bookmarkEnd w:id="22"/>
            <w:r>
              <w:rPr>
                <w:rFonts w:ascii="Times New Roman" w:eastAsia="Times New Roman" w:hAnsi="Times New Roman" w:cs="Times New Roman"/>
                <w:sz w:val="24"/>
                <w:szCs w:val="24"/>
              </w:rPr>
              <w:t>Overall Prediction Accuracy</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6C44ED9C" w14:textId="77777777" w:rsidR="00C36543" w:rsidRDefault="000A4F1F">
            <w:pPr>
              <w:pStyle w:val="Heading1"/>
              <w:keepNext w:val="0"/>
              <w:keepLines w:val="0"/>
              <w:spacing w:before="240" w:after="0" w:line="360" w:lineRule="auto"/>
              <w:jc w:val="both"/>
              <w:rPr>
                <w:rFonts w:ascii="Times New Roman" w:eastAsia="Times New Roman" w:hAnsi="Times New Roman" w:cs="Times New Roman"/>
                <w:sz w:val="24"/>
                <w:szCs w:val="24"/>
              </w:rPr>
            </w:pPr>
            <w:bookmarkStart w:id="23" w:name="_guav47rii9vu" w:colFirst="0" w:colLast="0"/>
            <w:bookmarkEnd w:id="23"/>
            <w:r>
              <w:rPr>
                <w:rFonts w:ascii="Times New Roman" w:eastAsia="Times New Roman" w:hAnsi="Times New Roman" w:cs="Times New Roman"/>
                <w:sz w:val="24"/>
                <w:szCs w:val="24"/>
              </w:rPr>
              <w:t>78%</w:t>
            </w:r>
          </w:p>
        </w:tc>
      </w:tr>
    </w:tbl>
    <w:p w14:paraId="12AB9B81" w14:textId="77777777" w:rsidR="00C36543" w:rsidRDefault="000A4F1F">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5C797156" w14:textId="77777777" w:rsidR="00C36543" w:rsidRDefault="000A4F1F">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Internet Usage Intensity as Structural Process of Consumption </w:t>
      </w:r>
      <w:proofErr w:type="spellStart"/>
      <w:r>
        <w:rPr>
          <w:rFonts w:ascii="Times New Roman" w:eastAsia="Times New Roman" w:hAnsi="Times New Roman" w:cs="Times New Roman"/>
          <w:b/>
          <w:bCs/>
          <w:sz w:val="24"/>
          <w:szCs w:val="24"/>
        </w:rPr>
        <w:t>Behaviour</w:t>
      </w:r>
      <w:proofErr w:type="spellEnd"/>
      <w:r>
        <w:rPr>
          <w:rFonts w:ascii="Times New Roman" w:eastAsia="Times New Roman" w:hAnsi="Times New Roman" w:cs="Times New Roman"/>
          <w:b/>
          <w:bCs/>
          <w:sz w:val="24"/>
          <w:szCs w:val="24"/>
        </w:rPr>
        <w:t>.</w:t>
      </w:r>
    </w:p>
    <w:p w14:paraId="39FDE967"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Tables 1 &amp; 2, the results of the logistic regression indicate that the intensity of the internet use is the strongest predictor of the online purchasing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This observation underscores the key role of digital immersion as a decision maker when it comes to consumption choices.</w:t>
      </w:r>
    </w:p>
    <w:p w14:paraId="5CEFE33E"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impacts of high internet use diminishing information asymmetry and reduces search costs and enhances market transparency. These aspects have long-term efficiency of the market and consumer surplus. More digitally engaged consumers are able to compare prices, review them, and make rational and efficient decisions, which may contribute to rational and efficient consumption.</w:t>
      </w:r>
    </w:p>
    <w:p w14:paraId="79ED9EA8"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Nevertheless, regarding the sustainability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economics, there is a higher exposure to persuasive digital stimuli, algorithm-driven recommendations, and time-sensitive promotions with intensive internet use as well. These processes are able to promote habitual and impulsive buying, undermining deliberative choices and making a contribution to too much consumption.</w:t>
      </w:r>
    </w:p>
    <w:p w14:paraId="2BEC8AC5"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Its policy implication is obvious: digital access does not ensure sustainable consumption. The regulatory systems should be concerned with the structuring of the digital environments in terms of advertising intensity, data-driven targeting, and default design aspects. In the absence of such interventions, consumption volumes may shoot up as the greater the use of the internet without ensuring that the patterns of consumption are responsible as envisaged under SDG-12.</w:t>
      </w:r>
    </w:p>
    <w:p w14:paraId="2C94653C"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logistic regression model reveals that the internet usage </w:t>
      </w:r>
      <w:proofErr w:type="gramStart"/>
      <w:r>
        <w:rPr>
          <w:rFonts w:ascii="Times New Roman" w:eastAsia="Times New Roman" w:hAnsi="Times New Roman" w:cs="Times New Roman"/>
          <w:sz w:val="24"/>
          <w:szCs w:val="24"/>
        </w:rPr>
        <w:t>( 1.12</w:t>
      </w:r>
      <w:proofErr w:type="gramEnd"/>
      <w:r>
        <w:rPr>
          <w:rFonts w:ascii="Times New Roman" w:eastAsia="Times New Roman" w:hAnsi="Times New Roman" w:cs="Times New Roman"/>
          <w:sz w:val="24"/>
          <w:szCs w:val="24"/>
        </w:rPr>
        <w:t xml:space="preserve">, p &lt; 0.001) and the impact of digital marketing ( 0.94, p = 0.004) increase the probability of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significantly. The positive and significant effect is also shown by age </w:t>
      </w:r>
      <w:proofErr w:type="gramStart"/>
      <w:r>
        <w:rPr>
          <w:rFonts w:ascii="Times New Roman" w:eastAsia="Times New Roman" w:hAnsi="Times New Roman" w:cs="Times New Roman"/>
          <w:sz w:val="24"/>
          <w:szCs w:val="24"/>
        </w:rPr>
        <w:t>( 0.38</w:t>
      </w:r>
      <w:proofErr w:type="gramEnd"/>
      <w:r>
        <w:rPr>
          <w:rFonts w:ascii="Times New Roman" w:eastAsia="Times New Roman" w:hAnsi="Times New Roman" w:cs="Times New Roman"/>
          <w:sz w:val="24"/>
          <w:szCs w:val="24"/>
        </w:rPr>
        <w:t xml:space="preserve">, p = 0.031), and gender is statistically </w:t>
      </w:r>
      <w:proofErr w:type="spellStart"/>
      <w:r>
        <w:rPr>
          <w:rFonts w:ascii="Times New Roman" w:eastAsia="Times New Roman" w:hAnsi="Times New Roman" w:cs="Times New Roman"/>
          <w:sz w:val="24"/>
          <w:szCs w:val="24"/>
        </w:rPr>
        <w:t>non significant</w:t>
      </w:r>
      <w:proofErr w:type="spellEnd"/>
      <w:r>
        <w:rPr>
          <w:rFonts w:ascii="Times New Roman" w:eastAsia="Times New Roman" w:hAnsi="Times New Roman" w:cs="Times New Roman"/>
          <w:sz w:val="24"/>
          <w:szCs w:val="24"/>
        </w:rPr>
        <w:t>.</w:t>
      </w:r>
    </w:p>
    <w:p w14:paraId="53FC7514"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 has a high power of explanation as it has a </w:t>
      </w:r>
      <w:proofErr w:type="spellStart"/>
      <w:r>
        <w:rPr>
          <w:rFonts w:ascii="Times New Roman" w:eastAsia="Times New Roman" w:hAnsi="Times New Roman" w:cs="Times New Roman"/>
          <w:sz w:val="24"/>
          <w:szCs w:val="24"/>
        </w:rPr>
        <w:t>Nagelkerke</w:t>
      </w:r>
      <w:proofErr w:type="spellEnd"/>
      <w:r>
        <w:rPr>
          <w:rFonts w:ascii="Times New Roman" w:eastAsia="Times New Roman" w:hAnsi="Times New Roman" w:cs="Times New Roman"/>
          <w:sz w:val="24"/>
          <w:szCs w:val="24"/>
        </w:rPr>
        <w:t xml:space="preserve"> R 2 of 0.41 and a total prediction accuracy of 78 per cent which implies that the model fits very well.</w:t>
      </w:r>
    </w:p>
    <w:p w14:paraId="172468A5" w14:textId="77777777" w:rsidR="00C36543" w:rsidRDefault="000A4F1F">
      <w:pPr>
        <w:pStyle w:val="Heading3"/>
        <w:keepNext w:val="0"/>
        <w:keepLines w:val="0"/>
        <w:spacing w:before="280" w:line="360" w:lineRule="auto"/>
        <w:jc w:val="both"/>
        <w:rPr>
          <w:rFonts w:ascii="Times New Roman" w:eastAsia="Times New Roman" w:hAnsi="Times New Roman" w:cs="Times New Roman"/>
          <w:b/>
          <w:bCs/>
          <w:sz w:val="24"/>
          <w:szCs w:val="24"/>
        </w:rPr>
      </w:pPr>
      <w:bookmarkStart w:id="24" w:name="_u9bxfwswodd8" w:colFirst="0" w:colLast="0"/>
      <w:bookmarkEnd w:id="24"/>
      <w:r>
        <w:rPr>
          <w:rFonts w:ascii="Times New Roman" w:eastAsia="Times New Roman" w:hAnsi="Times New Roman" w:cs="Times New Roman"/>
          <w:b/>
          <w:bCs/>
          <w:color w:val="000000"/>
          <w:sz w:val="24"/>
          <w:szCs w:val="24"/>
        </w:rPr>
        <w:t xml:space="preserve">Table 3: Factor Analysis Results – </w:t>
      </w:r>
      <w:r>
        <w:rPr>
          <w:rFonts w:ascii="Times New Roman" w:eastAsia="Times New Roman" w:hAnsi="Times New Roman" w:cs="Times New Roman"/>
          <w:b/>
          <w:bCs/>
          <w:sz w:val="24"/>
          <w:szCs w:val="24"/>
        </w:rPr>
        <w:t>KMO and Bartlett’s Test</w:t>
      </w:r>
    </w:p>
    <w:tbl>
      <w:tblPr>
        <w:tblStyle w:val="a1"/>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75"/>
        <w:gridCol w:w="3120"/>
      </w:tblGrid>
      <w:tr w:rsidR="00C36543" w14:paraId="385DDD8A" w14:textId="77777777">
        <w:trPr>
          <w:trHeight w:val="285"/>
        </w:trPr>
        <w:tc>
          <w:tcPr>
            <w:tcW w:w="5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CF3664"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w:t>
            </w:r>
          </w:p>
        </w:tc>
        <w:tc>
          <w:tcPr>
            <w:tcW w:w="31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A6679DD"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C36543" w14:paraId="14A2B30D" w14:textId="77777777">
        <w:trPr>
          <w:trHeight w:val="555"/>
        </w:trPr>
        <w:tc>
          <w:tcPr>
            <w:tcW w:w="57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08D133"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Kaiser–Meyer–Olkin Measure of Sampling Adequacy</w:t>
            </w:r>
          </w:p>
        </w:tc>
        <w:tc>
          <w:tcPr>
            <w:tcW w:w="3120" w:type="dxa"/>
            <w:tcBorders>
              <w:top w:val="nil"/>
              <w:left w:val="nil"/>
              <w:bottom w:val="single" w:sz="6" w:space="0" w:color="000000"/>
              <w:right w:val="single" w:sz="6" w:space="0" w:color="000000"/>
            </w:tcBorders>
            <w:tcMar>
              <w:top w:w="0" w:type="dxa"/>
              <w:left w:w="100" w:type="dxa"/>
              <w:bottom w:w="0" w:type="dxa"/>
              <w:right w:w="100" w:type="dxa"/>
            </w:tcMar>
          </w:tcPr>
          <w:p w14:paraId="614E51BD"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r>
      <w:tr w:rsidR="00C36543" w14:paraId="2E6D103F" w14:textId="77777777">
        <w:trPr>
          <w:trHeight w:val="555"/>
        </w:trPr>
        <w:tc>
          <w:tcPr>
            <w:tcW w:w="57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BBC912"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Bartlett’s Test of Sphericity – Approx. Chi-Square</w:t>
            </w:r>
          </w:p>
        </w:tc>
        <w:tc>
          <w:tcPr>
            <w:tcW w:w="3120" w:type="dxa"/>
            <w:tcBorders>
              <w:top w:val="nil"/>
              <w:left w:val="nil"/>
              <w:bottom w:val="single" w:sz="6" w:space="0" w:color="000000"/>
              <w:right w:val="single" w:sz="6" w:space="0" w:color="000000"/>
            </w:tcBorders>
            <w:tcMar>
              <w:top w:w="0" w:type="dxa"/>
              <w:left w:w="100" w:type="dxa"/>
              <w:bottom w:w="0" w:type="dxa"/>
              <w:right w:w="100" w:type="dxa"/>
            </w:tcMar>
          </w:tcPr>
          <w:p w14:paraId="7F1D9F16"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486.35</w:t>
            </w:r>
          </w:p>
        </w:tc>
      </w:tr>
      <w:tr w:rsidR="00C36543" w14:paraId="6CD6644E" w14:textId="77777777">
        <w:trPr>
          <w:trHeight w:val="285"/>
        </w:trPr>
        <w:tc>
          <w:tcPr>
            <w:tcW w:w="57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15011A"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Degrees of Freedom</w:t>
            </w:r>
          </w:p>
        </w:tc>
        <w:tc>
          <w:tcPr>
            <w:tcW w:w="3120" w:type="dxa"/>
            <w:tcBorders>
              <w:top w:val="nil"/>
              <w:left w:val="nil"/>
              <w:bottom w:val="single" w:sz="6" w:space="0" w:color="000000"/>
              <w:right w:val="single" w:sz="6" w:space="0" w:color="000000"/>
            </w:tcBorders>
            <w:tcMar>
              <w:top w:w="0" w:type="dxa"/>
              <w:left w:w="100" w:type="dxa"/>
              <w:bottom w:w="0" w:type="dxa"/>
              <w:right w:w="100" w:type="dxa"/>
            </w:tcMar>
          </w:tcPr>
          <w:p w14:paraId="25D80F79"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C36543" w14:paraId="115AA904" w14:textId="77777777">
        <w:trPr>
          <w:trHeight w:val="285"/>
        </w:trPr>
        <w:tc>
          <w:tcPr>
            <w:tcW w:w="57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D2EBE2"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 (p-value)</w:t>
            </w:r>
          </w:p>
        </w:tc>
        <w:tc>
          <w:tcPr>
            <w:tcW w:w="3120" w:type="dxa"/>
            <w:tcBorders>
              <w:top w:val="nil"/>
              <w:left w:val="nil"/>
              <w:bottom w:val="single" w:sz="6" w:space="0" w:color="000000"/>
              <w:right w:val="single" w:sz="6" w:space="0" w:color="000000"/>
            </w:tcBorders>
            <w:tcMar>
              <w:top w:w="0" w:type="dxa"/>
              <w:left w:w="100" w:type="dxa"/>
              <w:bottom w:w="0" w:type="dxa"/>
              <w:right w:w="100" w:type="dxa"/>
            </w:tcMar>
          </w:tcPr>
          <w:p w14:paraId="71B03E80"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bl>
    <w:p w14:paraId="5E12C350" w14:textId="77777777" w:rsidR="00C36543" w:rsidRDefault="000A4F1F">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10DBAB22" w14:textId="77777777" w:rsidR="00C36543" w:rsidRDefault="000A4F1F">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Digital Marketing Influence: </w:t>
      </w:r>
      <w:proofErr w:type="spellStart"/>
      <w:r>
        <w:rPr>
          <w:rFonts w:ascii="Times New Roman" w:eastAsia="Times New Roman" w:hAnsi="Times New Roman" w:cs="Times New Roman"/>
          <w:b/>
          <w:bCs/>
          <w:sz w:val="24"/>
          <w:szCs w:val="24"/>
        </w:rPr>
        <w:t>Behavioural</w:t>
      </w:r>
      <w:proofErr w:type="spellEnd"/>
      <w:r>
        <w:rPr>
          <w:rFonts w:ascii="Times New Roman" w:eastAsia="Times New Roman" w:hAnsi="Times New Roman" w:cs="Times New Roman"/>
          <w:b/>
          <w:bCs/>
          <w:sz w:val="24"/>
          <w:szCs w:val="24"/>
        </w:rPr>
        <w:t xml:space="preserve"> Economics, Consumption Externalities.</w:t>
      </w:r>
    </w:p>
    <w:p w14:paraId="5640ED60"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Table 3,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aspect of digital consumption is emphasized by the great positive impact of the digital marketing influence on the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Digital marketing does not only serve as a form of information but serves as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influence that forms preference and perception and trust.</w:t>
      </w:r>
    </w:p>
    <w:p w14:paraId="13DF544B"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leads to economic policy issues on consumption externalities. Although companies enjoy higher sales, the society might have to pay the price of overconsumption which includes environmental degradation, waste creation and economic strains on households. These externalities are especially applicable in city economies where the level of penetration of digital marketing is high and regulatory controls are weak.</w:t>
      </w:r>
    </w:p>
    <w:p w14:paraId="79B1819B"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online marketing has a great influence on the purchase decisions regardless of demographic attributes. This means that other consumers with various income levels and different ages might be equally affected by the persuasive digital strategy. This is why SDG-12 makes it necessary to reconsider the digital marketing governance.</w:t>
      </w:r>
    </w:p>
    <w:p w14:paraId="29C618A3"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Some examples of policy interventions are responsible approaches to digital advertisement, transparency of sponsored content, and limitations on manipulative design. Promotion of sustainable, resource-saving, and ethically made products via digital platforms would be one way to bring market incentives in line with sustainability objectives.</w:t>
      </w:r>
    </w:p>
    <w:p w14:paraId="2FABEC79" w14:textId="77777777" w:rsidR="00C36543" w:rsidRDefault="000A4F1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KMO value of 1.93 is more than the suggested value of 0.60, which means that there is sufficient sampling adequacy. The Test of Sphericity by Bartlett is significant (p &lt; 0.001), which proves the appropriateness of data to be used in the factor analysis.</w:t>
      </w:r>
    </w:p>
    <w:p w14:paraId="719BADD4" w14:textId="77777777" w:rsidR="00C36543" w:rsidRDefault="000A4F1F">
      <w:pPr>
        <w:pStyle w:val="Heading2"/>
        <w:keepNext w:val="0"/>
        <w:keepLines w:val="0"/>
        <w:spacing w:after="80" w:line="360" w:lineRule="auto"/>
        <w:jc w:val="both"/>
        <w:rPr>
          <w:rFonts w:ascii="Times New Roman" w:eastAsia="Times New Roman" w:hAnsi="Times New Roman" w:cs="Times New Roman"/>
          <w:b/>
          <w:bCs/>
          <w:sz w:val="24"/>
          <w:szCs w:val="24"/>
        </w:rPr>
      </w:pPr>
      <w:bookmarkStart w:id="25" w:name="_93wa4m4iu1ol" w:colFirst="0" w:colLast="0"/>
      <w:bookmarkEnd w:id="25"/>
      <w:r>
        <w:rPr>
          <w:rFonts w:ascii="Times New Roman" w:eastAsia="Times New Roman" w:hAnsi="Times New Roman" w:cs="Times New Roman"/>
          <w:b/>
          <w:bCs/>
          <w:sz w:val="24"/>
          <w:szCs w:val="24"/>
        </w:rPr>
        <w:t>Table 4: Rotated Component Matrix (Varimax Rotation)</w:t>
      </w:r>
    </w:p>
    <w:tbl>
      <w:tblPr>
        <w:tblStyle w:val="a2"/>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90"/>
        <w:gridCol w:w="3255"/>
        <w:gridCol w:w="2415"/>
      </w:tblGrid>
      <w:tr w:rsidR="00C36543" w14:paraId="03A1D5EF" w14:textId="77777777">
        <w:trPr>
          <w:trHeight w:val="825"/>
        </w:trPr>
        <w:tc>
          <w:tcPr>
            <w:tcW w:w="3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88FFA" w14:textId="77777777" w:rsidR="00C36543" w:rsidRDefault="000A4F1F">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w:t>
            </w:r>
          </w:p>
        </w:tc>
        <w:tc>
          <w:tcPr>
            <w:tcW w:w="32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6874A9" w14:textId="77777777" w:rsidR="00C36543" w:rsidRDefault="000A4F1F">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 1</w:t>
            </w:r>
            <w:r>
              <w:rPr>
                <w:rFonts w:ascii="Times New Roman" w:eastAsia="Times New Roman" w:hAnsi="Times New Roman" w:cs="Times New Roman"/>
                <w:b/>
                <w:bCs/>
                <w:sz w:val="24"/>
                <w:szCs w:val="24"/>
              </w:rPr>
              <w:br/>
              <w:t>(Digital Marketing Influence)</w:t>
            </w:r>
          </w:p>
        </w:tc>
        <w:tc>
          <w:tcPr>
            <w:tcW w:w="24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C506791" w14:textId="77777777" w:rsidR="00C36543" w:rsidRDefault="000A4F1F">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 2</w:t>
            </w:r>
            <w:r>
              <w:rPr>
                <w:rFonts w:ascii="Times New Roman" w:eastAsia="Times New Roman" w:hAnsi="Times New Roman" w:cs="Times New Roman"/>
                <w:b/>
                <w:bCs/>
                <w:sz w:val="24"/>
                <w:szCs w:val="24"/>
              </w:rPr>
              <w:br/>
              <w:t xml:space="preserve"> (Buying </w:t>
            </w:r>
            <w:proofErr w:type="spellStart"/>
            <w:r>
              <w:rPr>
                <w:rFonts w:ascii="Times New Roman" w:eastAsia="Times New Roman" w:hAnsi="Times New Roman" w:cs="Times New Roman"/>
                <w:b/>
                <w:bCs/>
                <w:sz w:val="24"/>
                <w:szCs w:val="24"/>
              </w:rPr>
              <w:t>Behaviour</w:t>
            </w:r>
            <w:proofErr w:type="spellEnd"/>
            <w:r>
              <w:rPr>
                <w:rFonts w:ascii="Times New Roman" w:eastAsia="Times New Roman" w:hAnsi="Times New Roman" w:cs="Times New Roman"/>
                <w:b/>
                <w:bCs/>
                <w:sz w:val="24"/>
                <w:szCs w:val="24"/>
              </w:rPr>
              <w:t>)</w:t>
            </w:r>
          </w:p>
        </w:tc>
      </w:tr>
      <w:tr w:rsidR="00C36543" w14:paraId="7936DB7C"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98E466"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advertisements influence my purchase</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6E7F0E32"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1B5078CC"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r>
      <w:tr w:rsidR="00C36543" w14:paraId="59FBD59B"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8F18C9"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advertisements attract my attention</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34B6B0DC"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5FABB998"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r>
      <w:tr w:rsidR="00C36543" w14:paraId="73A90DBA"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3E8FE6"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reviews influence my buying decision</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5423364E"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65E740AD"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r>
      <w:tr w:rsidR="00C36543" w14:paraId="2C12A913"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809374"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shopping is convenient</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5AA59EC8"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1EC9501A"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C36543" w14:paraId="5E48DA1B"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ECF725"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trust online shopping platforms</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37D23DF4"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179F889E"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r w:rsidR="00C36543" w14:paraId="6313EC97" w14:textId="77777777">
        <w:trPr>
          <w:trHeight w:val="555"/>
        </w:trPr>
        <w:tc>
          <w:tcPr>
            <w:tcW w:w="39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E42D4E"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prefer online shopping over offline shopping</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6BAAC799"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2415" w:type="dxa"/>
            <w:tcBorders>
              <w:top w:val="nil"/>
              <w:left w:val="nil"/>
              <w:bottom w:val="single" w:sz="6" w:space="0" w:color="000000"/>
              <w:right w:val="single" w:sz="6" w:space="0" w:color="000000"/>
            </w:tcBorders>
            <w:tcMar>
              <w:top w:w="0" w:type="dxa"/>
              <w:left w:w="100" w:type="dxa"/>
              <w:bottom w:w="0" w:type="dxa"/>
              <w:right w:w="100" w:type="dxa"/>
            </w:tcMar>
          </w:tcPr>
          <w:p w14:paraId="11B8369D"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bl>
    <w:p w14:paraId="0E68489B" w14:textId="77777777" w:rsidR="00C36543" w:rsidRDefault="000A4F1F">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51B61D6D" w14:textId="77777777" w:rsidR="00C36543" w:rsidRDefault="000A4F1F">
      <w:pPr>
        <w:pStyle w:val="Heading2"/>
        <w:keepNext w:val="0"/>
        <w:keepLines w:val="0"/>
        <w:spacing w:after="80" w:line="360" w:lineRule="auto"/>
        <w:jc w:val="both"/>
        <w:rPr>
          <w:rFonts w:ascii="Times New Roman" w:eastAsia="Times New Roman" w:hAnsi="Times New Roman" w:cs="Times New Roman"/>
          <w:b/>
          <w:bCs/>
          <w:sz w:val="24"/>
          <w:szCs w:val="24"/>
        </w:rPr>
      </w:pPr>
      <w:bookmarkStart w:id="26" w:name="_x3nqdo58gc2b" w:colFirst="0" w:colLast="0"/>
      <w:bookmarkEnd w:id="26"/>
      <w:r>
        <w:rPr>
          <w:rFonts w:ascii="Times New Roman" w:eastAsia="Times New Roman" w:hAnsi="Times New Roman" w:cs="Times New Roman"/>
          <w:b/>
          <w:bCs/>
          <w:sz w:val="24"/>
          <w:szCs w:val="24"/>
        </w:rPr>
        <w:t>Table 5: Total Variance Explained</w:t>
      </w:r>
    </w:p>
    <w:tbl>
      <w:tblPr>
        <w:tblStyle w:val="a3"/>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2250"/>
        <w:gridCol w:w="2220"/>
        <w:gridCol w:w="2250"/>
      </w:tblGrid>
      <w:tr w:rsidR="00C36543" w14:paraId="6B4A648B" w14:textId="77777777">
        <w:trPr>
          <w:trHeight w:val="285"/>
        </w:trPr>
        <w:tc>
          <w:tcPr>
            <w:tcW w:w="21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93C480" w14:textId="77777777" w:rsidR="00C36543" w:rsidRDefault="000A4F1F">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E63D8B" w14:textId="77777777" w:rsidR="00C36543" w:rsidRDefault="000A4F1F">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Eigenvalue</w:t>
            </w:r>
          </w:p>
        </w:tc>
        <w:tc>
          <w:tcPr>
            <w:tcW w:w="22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D3A535" w14:textId="77777777" w:rsidR="00C36543" w:rsidRDefault="000A4F1F">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Variance</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75C66F" w14:textId="77777777" w:rsidR="00C36543" w:rsidRDefault="000A4F1F">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Cumulative %</w:t>
            </w:r>
          </w:p>
        </w:tc>
      </w:tr>
      <w:tr w:rsidR="00C36543" w14:paraId="7719CC1B" w14:textId="77777777">
        <w:trPr>
          <w:trHeight w:val="28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0008A2"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Factor 1</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3C57E420"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2D77F16"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70333233"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r>
      <w:tr w:rsidR="00C36543" w14:paraId="2F7CD69B" w14:textId="77777777">
        <w:trPr>
          <w:trHeight w:val="28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B81222"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Factor 2</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379C729A"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7E54608"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14:paraId="01BC4A59" w14:textId="77777777" w:rsidR="00C36543" w:rsidRDefault="000A4F1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74.4</w:t>
            </w:r>
          </w:p>
        </w:tc>
      </w:tr>
    </w:tbl>
    <w:p w14:paraId="6341BA79" w14:textId="77777777" w:rsidR="00C36543" w:rsidRDefault="000A4F1F">
      <w:pPr>
        <w:spacing w:after="20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Source: Primary data analysis</w:t>
      </w:r>
      <w:r>
        <w:rPr>
          <w:rFonts w:ascii="Times New Roman" w:eastAsia="Times New Roman" w:hAnsi="Times New Roman" w:cs="Times New Roman"/>
          <w:sz w:val="20"/>
          <w:szCs w:val="20"/>
        </w:rPr>
        <w:t xml:space="preserve"> </w:t>
      </w:r>
    </w:p>
    <w:p w14:paraId="6B9B8D58"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27" w:name="_j5fd6fphvwit" w:colFirst="0" w:colLast="0"/>
      <w:bookmarkEnd w:id="27"/>
      <w:r>
        <w:rPr>
          <w:rFonts w:ascii="Times New Roman" w:eastAsia="Times New Roman" w:hAnsi="Times New Roman" w:cs="Times New Roman"/>
          <w:b/>
          <w:bCs/>
          <w:color w:val="111111"/>
          <w:sz w:val="24"/>
          <w:szCs w:val="24"/>
        </w:rPr>
        <w:t>Factor Structure Interpretation.</w:t>
      </w:r>
    </w:p>
    <w:p w14:paraId="498A5D8F"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28" w:name="_cqkdpibhfu3t" w:colFirst="0" w:colLast="0"/>
      <w:bookmarkEnd w:id="28"/>
      <w:r>
        <w:rPr>
          <w:rFonts w:ascii="Times New Roman" w:eastAsia="Times New Roman" w:hAnsi="Times New Roman" w:cs="Times New Roman"/>
          <w:b/>
          <w:bCs/>
          <w:color w:val="111111"/>
          <w:sz w:val="24"/>
          <w:szCs w:val="24"/>
        </w:rPr>
        <w:t>Factor 1: Influence Digital Marketing.</w:t>
      </w:r>
    </w:p>
    <w:p w14:paraId="5C3402B3"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4 &amp; 5, above, shows that </w:t>
      </w:r>
      <w:r>
        <w:rPr>
          <w:rFonts w:ascii="Times New Roman" w:eastAsia="Times New Roman" w:hAnsi="Times New Roman" w:cs="Times New Roman"/>
          <w:color w:val="111111"/>
          <w:sz w:val="24"/>
          <w:szCs w:val="24"/>
        </w:rPr>
        <w:t>it is a very strong factor represented by social media advertisements, online advertisements, and online reviews.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fact that these variables have high loadings assures that digital marketing exposure and persuasive content are some of the most important in consumer purchase decisions.</w:t>
      </w:r>
    </w:p>
    <w:p w14:paraId="52587F5E"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29" w:name="_r4oevaoajg0j" w:colFirst="0" w:colLast="0"/>
      <w:bookmarkEnd w:id="29"/>
      <w:r>
        <w:rPr>
          <w:rFonts w:ascii="Times New Roman" w:eastAsia="Times New Roman" w:hAnsi="Times New Roman" w:cs="Times New Roman"/>
          <w:b/>
          <w:bCs/>
          <w:sz w:val="24"/>
          <w:szCs w:val="24"/>
        </w:rPr>
        <w:t xml:space="preserve">Factor 2: Buying </w:t>
      </w:r>
      <w:proofErr w:type="spellStart"/>
      <w:r>
        <w:rPr>
          <w:rFonts w:ascii="Times New Roman" w:eastAsia="Times New Roman" w:hAnsi="Times New Roman" w:cs="Times New Roman"/>
          <w:b/>
          <w:bCs/>
          <w:sz w:val="24"/>
          <w:szCs w:val="24"/>
        </w:rPr>
        <w:t>Behaviour</w:t>
      </w:r>
      <w:proofErr w:type="spellEnd"/>
    </w:p>
    <w:p w14:paraId="281B1A08"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0" w:name="_ylu03qdyx9a5" w:colFirst="0" w:colLast="0"/>
      <w:bookmarkEnd w:id="30"/>
      <w:r>
        <w:rPr>
          <w:rFonts w:ascii="Times New Roman" w:eastAsia="Times New Roman" w:hAnsi="Times New Roman" w:cs="Times New Roman"/>
          <w:sz w:val="24"/>
          <w:szCs w:val="24"/>
        </w:rPr>
        <w:t xml:space="preserve">The Tables 4 &amp; 5, above, shows that </w:t>
      </w:r>
      <w:r>
        <w:rPr>
          <w:rFonts w:ascii="Times New Roman" w:eastAsia="Times New Roman" w:hAnsi="Times New Roman" w:cs="Times New Roman"/>
          <w:color w:val="111111"/>
          <w:sz w:val="24"/>
          <w:szCs w:val="24"/>
        </w:rPr>
        <w:t>this aspect is defined by convenience, confidence in online shopping and inclination towards online shopping.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variables represent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and attitudinal preparedness of the consumers to make online purchases.</w:t>
      </w:r>
    </w:p>
    <w:p w14:paraId="32C2796D"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1" w:name="_1t2pkfwwqm40" w:colFirst="0" w:colLast="0"/>
      <w:bookmarkEnd w:id="31"/>
      <w:r>
        <w:rPr>
          <w:rFonts w:ascii="Times New Roman" w:eastAsia="Times New Roman" w:hAnsi="Times New Roman" w:cs="Times New Roman"/>
          <w:color w:val="111111"/>
          <w:sz w:val="24"/>
          <w:szCs w:val="24"/>
        </w:rPr>
        <w:t>A combination of the two factors accounts for a significant percentage of the total variance (74.4 per cent), which confirms a strong and clear factor structure.</w:t>
      </w:r>
    </w:p>
    <w:p w14:paraId="69B9203D"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32" w:name="_ct3r1u1hcw4a" w:colFirst="0" w:colLast="0"/>
      <w:bookmarkEnd w:id="32"/>
      <w:r>
        <w:rPr>
          <w:rFonts w:ascii="Times New Roman" w:eastAsia="Times New Roman" w:hAnsi="Times New Roman" w:cs="Times New Roman"/>
          <w:b/>
          <w:bCs/>
          <w:sz w:val="24"/>
          <w:szCs w:val="24"/>
        </w:rPr>
        <w:t>Hypothesis Testing Results</w:t>
      </w:r>
    </w:p>
    <w:p w14:paraId="7E16B599"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3" w:name="_dfvce5arkzlo" w:colFirst="0" w:colLast="0"/>
      <w:bookmarkEnd w:id="33"/>
      <w:r>
        <w:rPr>
          <w:rFonts w:ascii="Times New Roman" w:eastAsia="Times New Roman" w:hAnsi="Times New Roman" w:cs="Times New Roman"/>
          <w:color w:val="111111"/>
          <w:sz w:val="24"/>
          <w:szCs w:val="24"/>
        </w:rPr>
        <w:t>In terms of the results of the factor analysis and the following analysis of the regression, the hypotheses mentioned below are approved:</w:t>
      </w:r>
    </w:p>
    <w:p w14:paraId="4841AEEF"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34" w:name="_248xz5a5o7v" w:colFirst="0" w:colLast="0"/>
      <w:bookmarkEnd w:id="34"/>
      <w:r>
        <w:rPr>
          <w:rFonts w:ascii="Times New Roman" w:eastAsia="Times New Roman" w:hAnsi="Times New Roman" w:cs="Times New Roman"/>
          <w:b/>
          <w:bCs/>
          <w:sz w:val="24"/>
          <w:szCs w:val="24"/>
        </w:rPr>
        <w:t xml:space="preserve">H03: There is no significant impact of digital marketing influence on online purchasing </w:t>
      </w:r>
      <w:proofErr w:type="spellStart"/>
      <w:r>
        <w:rPr>
          <w:rFonts w:ascii="Times New Roman" w:eastAsia="Times New Roman" w:hAnsi="Times New Roman" w:cs="Times New Roman"/>
          <w:b/>
          <w:bCs/>
          <w:sz w:val="24"/>
          <w:szCs w:val="24"/>
        </w:rPr>
        <w:t>behaviour</w:t>
      </w:r>
      <w:proofErr w:type="spellEnd"/>
      <w:r>
        <w:rPr>
          <w:rFonts w:ascii="Times New Roman" w:eastAsia="Times New Roman" w:hAnsi="Times New Roman" w:cs="Times New Roman"/>
          <w:b/>
          <w:bCs/>
          <w:sz w:val="24"/>
          <w:szCs w:val="24"/>
        </w:rPr>
        <w:t>.</w:t>
      </w:r>
    </w:p>
    <w:p w14:paraId="1AE0E683"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5" w:name="_5anbmb832fqq" w:colFirst="0" w:colLast="0"/>
      <w:bookmarkEnd w:id="35"/>
      <w:r>
        <w:rPr>
          <w:rFonts w:ascii="Times New Roman" w:eastAsia="Times New Roman" w:hAnsi="Times New Roman" w:cs="Times New Roman"/>
          <w:sz w:val="24"/>
          <w:szCs w:val="24"/>
        </w:rPr>
        <w:t xml:space="preserve">Result: Accepted. </w:t>
      </w:r>
      <w:r>
        <w:rPr>
          <w:rFonts w:ascii="Times New Roman" w:eastAsia="Times New Roman" w:hAnsi="Times New Roman" w:cs="Times New Roman"/>
          <w:color w:val="111111"/>
          <w:sz w:val="24"/>
          <w:szCs w:val="24"/>
        </w:rPr>
        <w:t>The hypothesis is proved by the occurrence of a unique Digital Marketing Influence factor that has high loadings.</w:t>
      </w:r>
    </w:p>
    <w:p w14:paraId="40F7E158"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6" w:name="_y0eef7kmt9ka" w:colFirst="0" w:colLast="0"/>
      <w:bookmarkEnd w:id="36"/>
      <w:r>
        <w:rPr>
          <w:rFonts w:ascii="Times New Roman" w:eastAsia="Times New Roman" w:hAnsi="Times New Roman" w:cs="Times New Roman"/>
          <w:color w:val="111111"/>
          <w:sz w:val="24"/>
          <w:szCs w:val="24"/>
        </w:rPr>
        <w:t>H</w:t>
      </w:r>
      <w:r>
        <w:rPr>
          <w:rFonts w:ascii="Times New Roman" w:eastAsia="Times New Roman" w:hAnsi="Times New Roman" w:cs="Times New Roman"/>
          <w:sz w:val="24"/>
          <w:szCs w:val="24"/>
        </w:rPr>
        <w:t>0</w:t>
      </w:r>
      <w:r>
        <w:rPr>
          <w:rFonts w:ascii="Times New Roman" w:eastAsia="Times New Roman" w:hAnsi="Times New Roman" w:cs="Times New Roman"/>
          <w:color w:val="111111"/>
          <w:sz w:val="24"/>
          <w:szCs w:val="24"/>
        </w:rPr>
        <w:t xml:space="preserve">4: Trust, convenience and preference to online shopping determine buying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w:t>
      </w:r>
    </w:p>
    <w:p w14:paraId="008CB7D4"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7" w:name="_s8v9kpfvjjmv" w:colFirst="0" w:colLast="0"/>
      <w:bookmarkEnd w:id="37"/>
      <w:r>
        <w:rPr>
          <w:rFonts w:ascii="Times New Roman" w:eastAsia="Times New Roman" w:hAnsi="Times New Roman" w:cs="Times New Roman"/>
          <w:sz w:val="24"/>
          <w:szCs w:val="24"/>
        </w:rPr>
        <w:lastRenderedPageBreak/>
        <w:t xml:space="preserve">Accepted. </w:t>
      </w:r>
      <w:r>
        <w:rPr>
          <w:rFonts w:ascii="Times New Roman" w:eastAsia="Times New Roman" w:hAnsi="Times New Roman" w:cs="Times New Roman"/>
          <w:color w:val="111111"/>
          <w:sz w:val="24"/>
          <w:szCs w:val="24"/>
        </w:rPr>
        <w:t xml:space="preserve">The second reason proves the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basis of online purchasing decision making.</w:t>
      </w:r>
    </w:p>
    <w:p w14:paraId="3174DEBD"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8" w:name="_9ayjmkfwps5p" w:colFirst="0" w:colLast="0"/>
      <w:bookmarkEnd w:id="38"/>
      <w:r>
        <w:rPr>
          <w:rFonts w:ascii="Times New Roman" w:eastAsia="Times New Roman" w:hAnsi="Times New Roman" w:cs="Times New Roman"/>
          <w:color w:val="111111"/>
          <w:sz w:val="24"/>
          <w:szCs w:val="24"/>
        </w:rPr>
        <w:t xml:space="preserve">There is no support of the hypotheses based on demographic variables (e.g. gender), which supports the conclusion that online purchasing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is motivated more by a digital contact and </w:t>
      </w:r>
      <w:proofErr w:type="spellStart"/>
      <w:r>
        <w:rPr>
          <w:rFonts w:ascii="Times New Roman" w:eastAsia="Times New Roman" w:hAnsi="Times New Roman" w:cs="Times New Roman"/>
          <w:color w:val="111111"/>
          <w:sz w:val="24"/>
          <w:szCs w:val="24"/>
        </w:rPr>
        <w:t>behavioural</w:t>
      </w:r>
      <w:proofErr w:type="spellEnd"/>
      <w:r>
        <w:rPr>
          <w:rFonts w:ascii="Times New Roman" w:eastAsia="Times New Roman" w:hAnsi="Times New Roman" w:cs="Times New Roman"/>
          <w:color w:val="111111"/>
          <w:sz w:val="24"/>
          <w:szCs w:val="24"/>
        </w:rPr>
        <w:t xml:space="preserve"> perception rather than by demographic factors.</w:t>
      </w:r>
    </w:p>
    <w:p w14:paraId="6B91BE44" w14:textId="77777777" w:rsidR="00C36543" w:rsidRDefault="000A4F1F">
      <w:pPr>
        <w:pStyle w:val="Heading1"/>
        <w:keepNext w:val="0"/>
        <w:keepLines w:val="0"/>
        <w:spacing w:before="0" w:after="0" w:line="360" w:lineRule="auto"/>
        <w:jc w:val="both"/>
        <w:rPr>
          <w:rFonts w:ascii="Times New Roman" w:eastAsia="Times New Roman" w:hAnsi="Times New Roman" w:cs="Times New Roman"/>
          <w:b/>
          <w:bCs/>
          <w:color w:val="111111"/>
          <w:sz w:val="24"/>
          <w:szCs w:val="24"/>
          <w:shd w:val="clear" w:color="auto" w:fill="D4EDDA"/>
        </w:rPr>
      </w:pPr>
      <w:r>
        <w:rPr>
          <w:rFonts w:ascii="Times New Roman" w:eastAsia="Times New Roman" w:hAnsi="Times New Roman" w:cs="Times New Roman"/>
          <w:color w:val="111111"/>
          <w:sz w:val="24"/>
          <w:szCs w:val="24"/>
        </w:rPr>
        <w:t xml:space="preserve">The conceptual framework is also confirmed by the results of the factor analysis which empirically proves that digital marketing influence and buying </w:t>
      </w:r>
      <w:proofErr w:type="spellStart"/>
      <w:r>
        <w:rPr>
          <w:rFonts w:ascii="Times New Roman" w:eastAsia="Times New Roman" w:hAnsi="Times New Roman" w:cs="Times New Roman"/>
          <w:color w:val="111111"/>
          <w:sz w:val="24"/>
          <w:szCs w:val="24"/>
        </w:rPr>
        <w:t>behaviour</w:t>
      </w:r>
      <w:proofErr w:type="spellEnd"/>
      <w:r>
        <w:rPr>
          <w:rFonts w:ascii="Times New Roman" w:eastAsia="Times New Roman" w:hAnsi="Times New Roman" w:cs="Times New Roman"/>
          <w:color w:val="111111"/>
          <w:sz w:val="24"/>
          <w:szCs w:val="24"/>
        </w:rPr>
        <w:t xml:space="preserve"> are two different but complementary constructs.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These findings contribute to the thesis that the sustainability and responsible use of digital consumption is less about the consumer but rather about the influence of digital platforms on perceptions, trust, and convenience.</w:t>
      </w:r>
    </w:p>
    <w:p w14:paraId="513D3897"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exploratory factor analysis also demonstrates that there are two credible and significant factors that can impact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consumers with respect to digital marketing. Digital Marketing Influence is the first factor, which indicates the strength of online ads, social media and reviews. The second factor is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that defines trust, convenience and preference towards online shopping. The combination of these factors accounts for 74.4 per cent of total variance showing a strong underlying factor structure.</w:t>
      </w:r>
    </w:p>
    <w:p w14:paraId="34B0E115"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 of KMO of 0.72 and the significant Bartlett test are solid proofs of the appropriateness of the data in factor analysis. Two significant variables can be obtained:</w:t>
      </w:r>
    </w:p>
    <w:p w14:paraId="00B7AF82"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Marketing Influence- an indication of the power of social media promotions, online advertisements, and reviews.</w:t>
      </w:r>
    </w:p>
    <w:p w14:paraId="21D4CFA4"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winning the trust, convenience, and preference in online shopping.</w:t>
      </w:r>
    </w:p>
    <w:p w14:paraId="7C2E9001"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combination of these factors together accounts for 74.4 per cent of the total variance, which is a strong underlying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structure.</w:t>
      </w:r>
    </w:p>
    <w:p w14:paraId="2157825E" w14:textId="77777777" w:rsidR="00C36543" w:rsidRDefault="000A4F1F">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Institutional Quality, Trust and </w:t>
      </w:r>
      <w:proofErr w:type="spellStart"/>
      <w:r>
        <w:rPr>
          <w:rFonts w:ascii="Times New Roman" w:eastAsia="Times New Roman" w:hAnsi="Times New Roman" w:cs="Times New Roman"/>
          <w:b/>
          <w:bCs/>
          <w:sz w:val="24"/>
          <w:szCs w:val="24"/>
        </w:rPr>
        <w:t>Behavioural</w:t>
      </w:r>
      <w:proofErr w:type="spellEnd"/>
      <w:r>
        <w:rPr>
          <w:rFonts w:ascii="Times New Roman" w:eastAsia="Times New Roman" w:hAnsi="Times New Roman" w:cs="Times New Roman"/>
          <w:b/>
          <w:bCs/>
          <w:sz w:val="24"/>
          <w:szCs w:val="24"/>
        </w:rPr>
        <w:t xml:space="preserve"> Readiness</w:t>
      </w:r>
    </w:p>
    <w:p w14:paraId="35312618"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exploratory factor analysis determines that there are two latent constructs Digital Marketing Influence and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factor, which is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in terms of </w:t>
      </w:r>
      <w:r>
        <w:rPr>
          <w:rFonts w:ascii="Times New Roman" w:eastAsia="Times New Roman" w:hAnsi="Times New Roman" w:cs="Times New Roman"/>
          <w:sz w:val="24"/>
          <w:szCs w:val="24"/>
        </w:rPr>
        <w:lastRenderedPageBreak/>
        <w:t>trust, convenience, and preference towards online shopping, has significant implications on the institutional economics.</w:t>
      </w:r>
    </w:p>
    <w:p w14:paraId="398F274F"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 in online platforms indicates confidence in the currency system, data security, arbitration policies, and reliability of delivery. These factors are directly related to the quality of institutions and their regulatory effectiveness. Strong institutions lead to less uncertainty and less transaction costs leading to market participation and welfare-enhancing transactions.</w:t>
      </w:r>
    </w:p>
    <w:p w14:paraId="43E3CB34"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Trust and convenience can facilitate responsible consumption on a sustainability level when platforms provide the most accurate information, clear pricing and sustainable product selection. On the other hand, a lack of strong regulation and governance of platforms may destroy trust and result in exploitative behaviors.</w:t>
      </w:r>
    </w:p>
    <w:p w14:paraId="14F76B00"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thus point to the role of the state as a regulator but also facilitator to sustainable digital markets. Enacting laws that enhance consumer protection, regulating data privacy, and encouraging platform responsibility are critical measures that will see to it that digital consumption will add value to SDG-12 goals.</w:t>
      </w:r>
    </w:p>
    <w:p w14:paraId="72D0A20F" w14:textId="77777777" w:rsidR="00C36543" w:rsidRDefault="000A4F1F">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Bringing together Efficiency, Equity and Sustainability</w:t>
      </w:r>
    </w:p>
    <w:p w14:paraId="48E60918"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the findings indicate that digital consumption in urban India is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the multi-level influence of efficiency benefits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risks. With digital platforms, costs of transactions decrease and consumer choice increases, which support economic efficiency. Meanwhile, they strengthen the incentives towards consumption, as well as moving the decision-making processes into deliberative and impulsive levels.</w:t>
      </w:r>
    </w:p>
    <w:p w14:paraId="3BF7AA12" w14:textId="77777777" w:rsidR="00C36543" w:rsidRDefault="000A4F1F">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vital duality in terms of economics journals. The market cannot be left to achieve sustainable consumption. It needs policy coordination that incorporates efficiency, equity and environmental consideration. The findings of the study affirm the argument that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variables, including exposure and trust, should be core in the design of the consumption policy.</w:t>
      </w:r>
    </w:p>
    <w:p w14:paraId="274451E7"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 Practical Implications, and Theoretical Implications</w:t>
      </w:r>
    </w:p>
    <w:p w14:paraId="0306CAD6"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results confirm the fact that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most influenced by digital marketing and use of the internet over traditional demographic variables like gender. Age is not outdated to imply that there are age disparities when it comes to digital engagement.</w:t>
      </w:r>
    </w:p>
    <w:p w14:paraId="36A024E5"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Practically, demographic segmentation should not be the primary focus of firms, which should strive to promote their online presence, online reviews, and social media activities. The response of the consumers can be deeply enhanced by training better trust and comfort by designing the platform and communicating the issues clearly.</w:t>
      </w:r>
    </w:p>
    <w:p w14:paraId="38B44507"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Theoretically, the research is supportive of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technology acceptance models because the perceived influence and the intensity of use are superior to demographic features in mediating the online buying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factor structure goes even further to support the aspect of digital marketing as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stimulus over a purely informational one.</w:t>
      </w:r>
    </w:p>
    <w:p w14:paraId="76C8F43B"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Future Research Directions and Conclusion</w:t>
      </w:r>
    </w:p>
    <w:p w14:paraId="164E81B5"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this paper has shown that digital buying in urban India is becoming more influenced by digital exposure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processes instead of demographic factors. As radical as this change is promising in terms of efficiency and inclusiveness, it also brings challenges to sustainable consumption.</w:t>
      </w:r>
    </w:p>
    <w:p w14:paraId="5CD2C369"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SDG-12,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is neither necessarily sustainable nor harmful. Its results are contingent on the nature of governance structures, quality of institutions and policy purpose. Placing digital marketing and online consumption in a responsible consumption framework can allow the policymakers to benefit from the advantages of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and reduce its dangers.</w:t>
      </w:r>
    </w:p>
    <w:p w14:paraId="1C9F7800"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sz w:val="24"/>
          <w:szCs w:val="24"/>
        </w:rPr>
      </w:pPr>
      <w:bookmarkStart w:id="39" w:name="_p0vjrv76epij" w:colFirst="0" w:colLast="0"/>
      <w:bookmarkEnd w:id="39"/>
      <w:r>
        <w:rPr>
          <w:rFonts w:ascii="Times New Roman" w:eastAsia="Times New Roman" w:hAnsi="Times New Roman" w:cs="Times New Roman"/>
          <w:sz w:val="24"/>
          <w:szCs w:val="24"/>
        </w:rPr>
        <w:t xml:space="preserve">These findings thus add to the economics of sustainable development by stating that </w:t>
      </w:r>
      <w:proofErr w:type="spellStart"/>
      <w:r>
        <w:rPr>
          <w:rFonts w:ascii="Times New Roman" w:eastAsia="Times New Roman" w:hAnsi="Times New Roman" w:cs="Times New Roman"/>
          <w:sz w:val="24"/>
          <w:szCs w:val="24"/>
        </w:rPr>
        <w:t>behaviourally</w:t>
      </w:r>
      <w:proofErr w:type="spellEnd"/>
      <w:r>
        <w:rPr>
          <w:rFonts w:ascii="Times New Roman" w:eastAsia="Times New Roman" w:hAnsi="Times New Roman" w:cs="Times New Roman"/>
          <w:sz w:val="24"/>
          <w:szCs w:val="24"/>
        </w:rPr>
        <w:t xml:space="preserve"> informed, institutionally based, and sustainability-focused </w:t>
      </w:r>
      <w:proofErr w:type="spellStart"/>
      <w:r>
        <w:rPr>
          <w:rFonts w:ascii="Times New Roman" w:eastAsia="Times New Roman" w:hAnsi="Times New Roman" w:cs="Times New Roman"/>
          <w:sz w:val="24"/>
          <w:szCs w:val="24"/>
        </w:rPr>
        <w:t>institutionalised</w:t>
      </w:r>
      <w:proofErr w:type="spellEnd"/>
      <w:r>
        <w:rPr>
          <w:rFonts w:ascii="Times New Roman" w:eastAsia="Times New Roman" w:hAnsi="Times New Roman" w:cs="Times New Roman"/>
          <w:sz w:val="24"/>
          <w:szCs w:val="24"/>
        </w:rPr>
        <w:t xml:space="preserve"> policies of digital consumption are needed in the emerging urban economies.</w:t>
      </w:r>
    </w:p>
    <w:p w14:paraId="2CCB5E36" w14:textId="77777777" w:rsidR="00C36543" w:rsidRDefault="000A4F1F">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40" w:name="_6ex8iqadoayu" w:colFirst="0" w:colLast="0"/>
      <w:bookmarkEnd w:id="40"/>
      <w:r>
        <w:rPr>
          <w:rFonts w:ascii="Times New Roman" w:eastAsia="Times New Roman" w:hAnsi="Times New Roman" w:cs="Times New Roman"/>
          <w:b/>
          <w:bCs/>
          <w:sz w:val="24"/>
          <w:szCs w:val="24"/>
        </w:rPr>
        <w:t xml:space="preserve">References </w:t>
      </w:r>
    </w:p>
    <w:p w14:paraId="10E9F8AA"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Agarwal, R., Gao, G., </w:t>
      </w:r>
      <w:proofErr w:type="spellStart"/>
      <w:r>
        <w:rPr>
          <w:rFonts w:ascii="Times New Roman" w:eastAsia="Times New Roman" w:hAnsi="Times New Roman" w:cs="Times New Roman"/>
          <w:sz w:val="24"/>
          <w:szCs w:val="24"/>
        </w:rPr>
        <w:t>DesRoches</w:t>
      </w:r>
      <w:proofErr w:type="spellEnd"/>
      <w:r>
        <w:rPr>
          <w:rFonts w:ascii="Times New Roman" w:eastAsia="Times New Roman" w:hAnsi="Times New Roman" w:cs="Times New Roman"/>
          <w:sz w:val="24"/>
          <w:szCs w:val="24"/>
        </w:rPr>
        <w:t xml:space="preserve">, C., &amp; Jha, A. K. (2010). The digital transformation of healthcare: Current status and the road ahead. </w:t>
      </w:r>
      <w:r>
        <w:rPr>
          <w:rFonts w:ascii="Times New Roman" w:eastAsia="Times New Roman" w:hAnsi="Times New Roman" w:cs="Times New Roman"/>
          <w:i/>
          <w:iCs/>
          <w:sz w:val="24"/>
          <w:szCs w:val="24"/>
        </w:rPr>
        <w:t>Information Systems Research, 21</w:t>
      </w:r>
      <w:r>
        <w:rPr>
          <w:rFonts w:ascii="Times New Roman" w:eastAsia="Times New Roman" w:hAnsi="Times New Roman" w:cs="Times New Roman"/>
          <w:sz w:val="24"/>
          <w:szCs w:val="24"/>
        </w:rPr>
        <w:t>(4), 796–809.</w:t>
      </w:r>
      <w:hyperlink r:id="rId7">
        <w:r w:rsidR="00C36543">
          <w:rPr>
            <w:rFonts w:ascii="Times New Roman" w:eastAsia="Times New Roman" w:hAnsi="Times New Roman" w:cs="Times New Roman"/>
            <w:sz w:val="24"/>
            <w:szCs w:val="24"/>
          </w:rPr>
          <w:t xml:space="preserve"> </w:t>
        </w:r>
      </w:hyperlink>
      <w:hyperlink r:id="rId8">
        <w:r w:rsidR="00C36543">
          <w:rPr>
            <w:rFonts w:ascii="Times New Roman" w:eastAsia="Times New Roman" w:hAnsi="Times New Roman" w:cs="Times New Roman"/>
            <w:color w:val="1155CC"/>
            <w:sz w:val="24"/>
            <w:szCs w:val="24"/>
            <w:u w:val="single"/>
          </w:rPr>
          <w:t>https://doi.org/10.1287/isre.1100.0327</w:t>
        </w:r>
      </w:hyperlink>
    </w:p>
    <w:p w14:paraId="7AF54A53" w14:textId="77777777" w:rsidR="00C36543" w:rsidRDefault="000A4F1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Banerjee, A. V., &amp; </w:t>
      </w:r>
      <w:proofErr w:type="spellStart"/>
      <w:r>
        <w:rPr>
          <w:rFonts w:ascii="Times New Roman" w:eastAsia="Times New Roman" w:hAnsi="Times New Roman" w:cs="Times New Roman"/>
          <w:sz w:val="24"/>
          <w:szCs w:val="24"/>
        </w:rPr>
        <w:t>Duflo</w:t>
      </w:r>
      <w:proofErr w:type="spellEnd"/>
      <w:r>
        <w:rPr>
          <w:rFonts w:ascii="Times New Roman" w:eastAsia="Times New Roman" w:hAnsi="Times New Roman" w:cs="Times New Roman"/>
          <w:sz w:val="24"/>
          <w:szCs w:val="24"/>
        </w:rPr>
        <w:t xml:space="preserve">, E. (2011). </w:t>
      </w:r>
      <w:r>
        <w:rPr>
          <w:rFonts w:ascii="Times New Roman" w:eastAsia="Times New Roman" w:hAnsi="Times New Roman" w:cs="Times New Roman"/>
          <w:i/>
          <w:iCs/>
          <w:sz w:val="24"/>
          <w:szCs w:val="24"/>
        </w:rPr>
        <w:t>Poor economics: A radical rethinking of the way to fight global poverty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PublicAffairs</w:t>
      </w:r>
      <w:proofErr w:type="spellEnd"/>
      <w:r>
        <w:rPr>
          <w:rFonts w:ascii="Times New Roman" w:eastAsia="Times New Roman" w:hAnsi="Times New Roman" w:cs="Times New Roman"/>
          <w:sz w:val="24"/>
          <w:szCs w:val="24"/>
        </w:rPr>
        <w:t>.</w:t>
      </w:r>
    </w:p>
    <w:p w14:paraId="2F3157AD" w14:textId="77777777" w:rsidR="00C36543" w:rsidRDefault="000A4F1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Chaffey, D., &amp; Ellis-Chadwick, F. (2019). </w:t>
      </w:r>
      <w:r>
        <w:rPr>
          <w:rFonts w:ascii="Times New Roman" w:eastAsia="Times New Roman" w:hAnsi="Times New Roman" w:cs="Times New Roman"/>
          <w:i/>
          <w:iCs/>
          <w:sz w:val="24"/>
          <w:szCs w:val="24"/>
        </w:rPr>
        <w:t>Digital marketing: Strategy, implementation and practice</w:t>
      </w:r>
      <w:r>
        <w:rPr>
          <w:rFonts w:ascii="Times New Roman" w:eastAsia="Times New Roman" w:hAnsi="Times New Roman" w:cs="Times New Roman"/>
          <w:sz w:val="24"/>
          <w:szCs w:val="24"/>
        </w:rPr>
        <w:t xml:space="preserve"> (7th ed.). Pearson Education.</w:t>
      </w:r>
    </w:p>
    <w:p w14:paraId="12FD55B4"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Chauhan, S., &amp; Shah, M. H. (2023). Consumer adoption of e-pharmacy services in emerging economies: Evidence from India. </w:t>
      </w:r>
      <w:r>
        <w:rPr>
          <w:rFonts w:ascii="Times New Roman" w:eastAsia="Times New Roman" w:hAnsi="Times New Roman" w:cs="Times New Roman"/>
          <w:i/>
          <w:iCs/>
          <w:sz w:val="24"/>
          <w:szCs w:val="24"/>
        </w:rPr>
        <w:t>Journal of Retailing and Consumer Services, 70</w:t>
      </w:r>
      <w:r>
        <w:rPr>
          <w:rFonts w:ascii="Times New Roman" w:eastAsia="Times New Roman" w:hAnsi="Times New Roman" w:cs="Times New Roman"/>
          <w:sz w:val="24"/>
          <w:szCs w:val="24"/>
        </w:rPr>
        <w:t>, 103153.</w:t>
      </w:r>
      <w:hyperlink r:id="rId9">
        <w:r w:rsidR="00C36543">
          <w:rPr>
            <w:rFonts w:ascii="Times New Roman" w:eastAsia="Times New Roman" w:hAnsi="Times New Roman" w:cs="Times New Roman"/>
            <w:sz w:val="24"/>
            <w:szCs w:val="24"/>
          </w:rPr>
          <w:t xml:space="preserve"> </w:t>
        </w:r>
      </w:hyperlink>
      <w:hyperlink r:id="rId10">
        <w:r w:rsidR="00C36543">
          <w:rPr>
            <w:rFonts w:ascii="Times New Roman" w:eastAsia="Times New Roman" w:hAnsi="Times New Roman" w:cs="Times New Roman"/>
            <w:color w:val="1155CC"/>
            <w:sz w:val="24"/>
            <w:szCs w:val="24"/>
            <w:u w:val="single"/>
          </w:rPr>
          <w:t>https://doi.org/10.1016/j.jretconser.2022.103153</w:t>
        </w:r>
      </w:hyperlink>
    </w:p>
    <w:p w14:paraId="1BCD834E"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Cutler, D. M., &amp; Ly, D. P. (2011). The (paper) work of medicine: Understanding international medical costs. </w:t>
      </w:r>
      <w:r>
        <w:rPr>
          <w:rFonts w:ascii="Times New Roman" w:eastAsia="Times New Roman" w:hAnsi="Times New Roman" w:cs="Times New Roman"/>
          <w:i/>
          <w:iCs/>
          <w:sz w:val="24"/>
          <w:szCs w:val="24"/>
        </w:rPr>
        <w:t>Journal of Economic Perspectives, 25</w:t>
      </w:r>
      <w:r>
        <w:rPr>
          <w:rFonts w:ascii="Times New Roman" w:eastAsia="Times New Roman" w:hAnsi="Times New Roman" w:cs="Times New Roman"/>
          <w:sz w:val="24"/>
          <w:szCs w:val="24"/>
        </w:rPr>
        <w:t>(2), 3–25.</w:t>
      </w:r>
      <w:hyperlink r:id="rId11">
        <w:r w:rsidR="00C36543">
          <w:rPr>
            <w:rFonts w:ascii="Times New Roman" w:eastAsia="Times New Roman" w:hAnsi="Times New Roman" w:cs="Times New Roman"/>
            <w:sz w:val="24"/>
            <w:szCs w:val="24"/>
          </w:rPr>
          <w:t xml:space="preserve"> </w:t>
        </w:r>
      </w:hyperlink>
      <w:hyperlink r:id="rId12">
        <w:r w:rsidR="00C36543">
          <w:rPr>
            <w:rFonts w:ascii="Times New Roman" w:eastAsia="Times New Roman" w:hAnsi="Times New Roman" w:cs="Times New Roman"/>
            <w:color w:val="1155CC"/>
            <w:sz w:val="24"/>
            <w:szCs w:val="24"/>
            <w:u w:val="single"/>
          </w:rPr>
          <w:t>https://doi.org/10.1257/jep.25.2.3</w:t>
        </w:r>
      </w:hyperlink>
    </w:p>
    <w:p w14:paraId="3633018E"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Davis, F. D. (1989). Perceived usefulness, perceived ease of use, and user acceptance of information technology. </w:t>
      </w:r>
      <w:r>
        <w:rPr>
          <w:rFonts w:ascii="Times New Roman" w:eastAsia="Times New Roman" w:hAnsi="Times New Roman" w:cs="Times New Roman"/>
          <w:i/>
          <w:iCs/>
          <w:sz w:val="24"/>
          <w:szCs w:val="24"/>
        </w:rPr>
        <w:t>MIS Quarterly, 13</w:t>
      </w:r>
      <w:r>
        <w:rPr>
          <w:rFonts w:ascii="Times New Roman" w:eastAsia="Times New Roman" w:hAnsi="Times New Roman" w:cs="Times New Roman"/>
          <w:sz w:val="24"/>
          <w:szCs w:val="24"/>
        </w:rPr>
        <w:t>(3), 319–340.</w:t>
      </w:r>
      <w:hyperlink r:id="rId13">
        <w:r w:rsidR="00C36543">
          <w:rPr>
            <w:rFonts w:ascii="Times New Roman" w:eastAsia="Times New Roman" w:hAnsi="Times New Roman" w:cs="Times New Roman"/>
            <w:sz w:val="24"/>
            <w:szCs w:val="24"/>
          </w:rPr>
          <w:t xml:space="preserve"> </w:t>
        </w:r>
      </w:hyperlink>
      <w:hyperlink r:id="rId14">
        <w:r w:rsidR="00C36543">
          <w:rPr>
            <w:rFonts w:ascii="Times New Roman" w:eastAsia="Times New Roman" w:hAnsi="Times New Roman" w:cs="Times New Roman"/>
            <w:color w:val="1155CC"/>
            <w:sz w:val="24"/>
            <w:szCs w:val="24"/>
            <w:u w:val="single"/>
          </w:rPr>
          <w:t>https://doi.org/10.2307/249008</w:t>
        </w:r>
      </w:hyperlink>
    </w:p>
    <w:p w14:paraId="5DCF8398"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Dwivedi, Y. K., </w:t>
      </w:r>
      <w:proofErr w:type="spellStart"/>
      <w:r>
        <w:rPr>
          <w:rFonts w:ascii="Times New Roman" w:eastAsia="Times New Roman" w:hAnsi="Times New Roman" w:cs="Times New Roman"/>
          <w:sz w:val="24"/>
          <w:szCs w:val="24"/>
        </w:rPr>
        <w:t>Ismagilova</w:t>
      </w:r>
      <w:proofErr w:type="spellEnd"/>
      <w:r>
        <w:rPr>
          <w:rFonts w:ascii="Times New Roman" w:eastAsia="Times New Roman" w:hAnsi="Times New Roman" w:cs="Times New Roman"/>
          <w:sz w:val="24"/>
          <w:szCs w:val="24"/>
        </w:rPr>
        <w:t xml:space="preserve">, E., Hughes, D. L., Carlson, J., </w:t>
      </w:r>
      <w:proofErr w:type="spellStart"/>
      <w:r>
        <w:rPr>
          <w:rFonts w:ascii="Times New Roman" w:eastAsia="Times New Roman" w:hAnsi="Times New Roman" w:cs="Times New Roman"/>
          <w:sz w:val="24"/>
          <w:szCs w:val="24"/>
        </w:rPr>
        <w:t>Filieri</w:t>
      </w:r>
      <w:proofErr w:type="spellEnd"/>
      <w:r>
        <w:rPr>
          <w:rFonts w:ascii="Times New Roman" w:eastAsia="Times New Roman" w:hAnsi="Times New Roman" w:cs="Times New Roman"/>
          <w:sz w:val="24"/>
          <w:szCs w:val="24"/>
        </w:rPr>
        <w:t xml:space="preserve">, R., Jacobson, J., … Wang, Y. (2021). Setting the future of digital and social media marketing research. </w:t>
      </w:r>
      <w:r>
        <w:rPr>
          <w:rFonts w:ascii="Times New Roman" w:eastAsia="Times New Roman" w:hAnsi="Times New Roman" w:cs="Times New Roman"/>
          <w:i/>
          <w:iCs/>
          <w:sz w:val="24"/>
          <w:szCs w:val="24"/>
        </w:rPr>
        <w:t>International Journal of Information Management, 59</w:t>
      </w:r>
      <w:r>
        <w:rPr>
          <w:rFonts w:ascii="Times New Roman" w:eastAsia="Times New Roman" w:hAnsi="Times New Roman" w:cs="Times New Roman"/>
          <w:sz w:val="24"/>
          <w:szCs w:val="24"/>
        </w:rPr>
        <w:t>, 102168.</w:t>
      </w:r>
      <w:hyperlink r:id="rId15">
        <w:r w:rsidR="00C36543">
          <w:rPr>
            <w:rFonts w:ascii="Times New Roman" w:eastAsia="Times New Roman" w:hAnsi="Times New Roman" w:cs="Times New Roman"/>
            <w:sz w:val="24"/>
            <w:szCs w:val="24"/>
          </w:rPr>
          <w:t xml:space="preserve"> </w:t>
        </w:r>
      </w:hyperlink>
      <w:hyperlink r:id="rId16">
        <w:r w:rsidR="00C36543">
          <w:rPr>
            <w:rFonts w:ascii="Times New Roman" w:eastAsia="Times New Roman" w:hAnsi="Times New Roman" w:cs="Times New Roman"/>
            <w:color w:val="1155CC"/>
            <w:sz w:val="24"/>
            <w:szCs w:val="24"/>
            <w:u w:val="single"/>
          </w:rPr>
          <w:t>https://doi.org/10.1016/j.ijinfomgt.2020.102168</w:t>
        </w:r>
      </w:hyperlink>
    </w:p>
    <w:p w14:paraId="7CF84458" w14:textId="77777777" w:rsidR="00C36543" w:rsidRDefault="000A4F1F">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Goplani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Sabhani</w:t>
      </w:r>
      <w:proofErr w:type="spellEnd"/>
      <w:r>
        <w:rPr>
          <w:rFonts w:ascii="Times New Roman" w:eastAsia="Times New Roman" w:hAnsi="Times New Roman" w:cs="Times New Roman"/>
          <w:sz w:val="24"/>
          <w:szCs w:val="24"/>
        </w:rPr>
        <w:t xml:space="preserve">, J., &amp; Gupta, A. (2024). A study on use of digital payment applications for e-commerce among youth. </w:t>
      </w:r>
      <w:proofErr w:type="spellStart"/>
      <w:r>
        <w:rPr>
          <w:rFonts w:ascii="Times New Roman" w:eastAsia="Times New Roman" w:hAnsi="Times New Roman" w:cs="Times New Roman"/>
          <w:i/>
          <w:iCs/>
          <w:sz w:val="24"/>
          <w:szCs w:val="24"/>
        </w:rPr>
        <w:t>Shodh</w:t>
      </w:r>
      <w:proofErr w:type="spellEnd"/>
      <w:r>
        <w:rPr>
          <w:rFonts w:ascii="Times New Roman" w:eastAsia="Times New Roman" w:hAnsi="Times New Roman" w:cs="Times New Roman"/>
          <w:i/>
          <w:iCs/>
          <w:sz w:val="24"/>
          <w:szCs w:val="24"/>
        </w:rPr>
        <w:t xml:space="preserve"> Sanchar Bulletin, 11</w:t>
      </w:r>
      <w:r>
        <w:rPr>
          <w:rFonts w:ascii="Times New Roman" w:eastAsia="Times New Roman" w:hAnsi="Times New Roman" w:cs="Times New Roman"/>
          <w:sz w:val="24"/>
          <w:szCs w:val="24"/>
        </w:rPr>
        <w:t>(41), 48–56.</w:t>
      </w:r>
    </w:p>
    <w:p w14:paraId="5B62D3E9" w14:textId="77777777" w:rsidR="00C36543" w:rsidRDefault="000A4F1F">
      <w:pPr>
        <w:spacing w:after="20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Goplani</w:t>
      </w:r>
      <w:proofErr w:type="spellEnd"/>
      <w:r>
        <w:rPr>
          <w:rFonts w:ascii="Times New Roman" w:eastAsia="Times New Roman" w:hAnsi="Times New Roman" w:cs="Times New Roman"/>
          <w:sz w:val="24"/>
          <w:szCs w:val="24"/>
        </w:rPr>
        <w:t xml:space="preserve">, M. </w:t>
      </w:r>
      <w:r>
        <w:rPr>
          <w:rFonts w:ascii="Times New Roman" w:eastAsia="Times New Roman" w:hAnsi="Times New Roman" w:cs="Times New Roman"/>
          <w:color w:val="222222"/>
          <w:sz w:val="24"/>
          <w:szCs w:val="24"/>
          <w:highlight w:val="white"/>
        </w:rPr>
        <w:t>&amp; Panchal, M.</w:t>
      </w:r>
      <w:r>
        <w:rPr>
          <w:rFonts w:ascii="Times New Roman" w:eastAsia="Times New Roman" w:hAnsi="Times New Roman" w:cs="Times New Roman"/>
          <w:sz w:val="24"/>
          <w:szCs w:val="24"/>
        </w:rPr>
        <w:t xml:space="preserve"> (2025). Digital Hurdles Women's Challenges and Smart Precautions with Mobile Wallet Usage.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Inclusive Growth &amp; Innovation: Multidisciplinary Research Perspectives</w:t>
      </w:r>
      <w:r>
        <w:rPr>
          <w:rFonts w:ascii="Times New Roman" w:eastAsia="Times New Roman" w:hAnsi="Times New Roman" w:cs="Times New Roman"/>
          <w:i/>
          <w:iCs/>
          <w:sz w:val="24"/>
          <w:szCs w:val="24"/>
        </w:rPr>
        <w:t>. ISSN: 978-620-7-47398-4</w:t>
      </w:r>
      <w:r>
        <w:rPr>
          <w:rFonts w:ascii="Times New Roman" w:eastAsia="Times New Roman" w:hAnsi="Times New Roman" w:cs="Times New Roman"/>
          <w:sz w:val="24"/>
          <w:szCs w:val="24"/>
        </w:rPr>
        <w:t xml:space="preserve"> (pp. 1–17). Lambert Academic Publisher. </w:t>
      </w:r>
      <w:hyperlink r:id="rId17">
        <w:r w:rsidR="00C36543">
          <w:rPr>
            <w:rFonts w:ascii="Times New Roman" w:eastAsia="Times New Roman" w:hAnsi="Times New Roman" w:cs="Times New Roman"/>
            <w:color w:val="1155CC"/>
            <w:sz w:val="24"/>
            <w:szCs w:val="24"/>
            <w:u w:val="single"/>
          </w:rPr>
          <w:t>https://www.researchgate.net/publication/394102839_Digital_Hurdles_Women%27s_Challenges_and_Smart_Precautions_with_Mobile_Wallet_Usage</w:t>
        </w:r>
      </w:hyperlink>
      <w:r>
        <w:rPr>
          <w:rFonts w:ascii="Times New Roman" w:eastAsia="Times New Roman" w:hAnsi="Times New Roman" w:cs="Times New Roman"/>
          <w:sz w:val="24"/>
          <w:szCs w:val="24"/>
        </w:rPr>
        <w:t> </w:t>
      </w:r>
    </w:p>
    <w:p w14:paraId="796879DE" w14:textId="77777777" w:rsidR="00C36543" w:rsidRDefault="000A4F1F">
      <w:pPr>
        <w:spacing w:after="20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Goplani</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(2025). Analysis of the Factors that Affect Customer Satisfaction when Using a Service. International Journal of Advanced Research in Science Communication and Technology, 665. </w:t>
      </w:r>
      <w:hyperlink r:id="rId18">
        <w:r w:rsidR="00C36543">
          <w:rPr>
            <w:rFonts w:ascii="Times New Roman" w:eastAsia="Times New Roman" w:hAnsi="Times New Roman" w:cs="Times New Roman"/>
            <w:color w:val="1155CC"/>
            <w:sz w:val="24"/>
            <w:szCs w:val="24"/>
            <w:u w:val="single"/>
          </w:rPr>
          <w:t>https://doi.org/10.48175/ijarsct-29691</w:t>
        </w:r>
      </w:hyperlink>
      <w:r>
        <w:rPr>
          <w:rFonts w:ascii="Times New Roman" w:eastAsia="Times New Roman" w:hAnsi="Times New Roman" w:cs="Times New Roman"/>
          <w:sz w:val="24"/>
          <w:szCs w:val="24"/>
        </w:rPr>
        <w:t xml:space="preserve"> </w:t>
      </w:r>
      <w:hyperlink r:id="rId19">
        <w:r w:rsidR="00C36543">
          <w:rPr>
            <w:rFonts w:ascii="Times New Roman" w:eastAsia="Times New Roman" w:hAnsi="Times New Roman" w:cs="Times New Roman"/>
            <w:color w:val="1155CC"/>
            <w:sz w:val="24"/>
            <w:szCs w:val="24"/>
            <w:u w:val="single"/>
          </w:rPr>
          <w:t>https://www.researchgate.net/publication/398661022_Analysis_of_the_Factors_that_Affect_Customer_Satisfaction_when_Using_a_Service</w:t>
        </w:r>
      </w:hyperlink>
      <w:r>
        <w:rPr>
          <w:rFonts w:ascii="Times New Roman" w:eastAsia="Times New Roman" w:hAnsi="Times New Roman" w:cs="Times New Roman"/>
          <w:sz w:val="24"/>
          <w:szCs w:val="24"/>
        </w:rPr>
        <w:t xml:space="preserve"> </w:t>
      </w:r>
    </w:p>
    <w:p w14:paraId="38182CE4"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Gupta, S., &amp; Arora, S. (2017). Consumer adoption of m-wallet: A study on mobile payment adoption in India. </w:t>
      </w:r>
      <w:r>
        <w:rPr>
          <w:rFonts w:ascii="Times New Roman" w:eastAsia="Times New Roman" w:hAnsi="Times New Roman" w:cs="Times New Roman"/>
          <w:i/>
          <w:iCs/>
          <w:sz w:val="24"/>
          <w:szCs w:val="24"/>
        </w:rPr>
        <w:t>Journal of Internet Commerce, 16</w:t>
      </w:r>
      <w:r>
        <w:rPr>
          <w:rFonts w:ascii="Times New Roman" w:eastAsia="Times New Roman" w:hAnsi="Times New Roman" w:cs="Times New Roman"/>
          <w:sz w:val="24"/>
          <w:szCs w:val="24"/>
        </w:rPr>
        <w:t>(4), 450–472.</w:t>
      </w:r>
      <w:hyperlink r:id="rId20">
        <w:r w:rsidR="00C36543">
          <w:rPr>
            <w:rFonts w:ascii="Times New Roman" w:eastAsia="Times New Roman" w:hAnsi="Times New Roman" w:cs="Times New Roman"/>
            <w:sz w:val="24"/>
            <w:szCs w:val="24"/>
          </w:rPr>
          <w:t xml:space="preserve"> </w:t>
        </w:r>
      </w:hyperlink>
      <w:hyperlink r:id="rId21">
        <w:r w:rsidR="00C36543">
          <w:rPr>
            <w:rFonts w:ascii="Times New Roman" w:eastAsia="Times New Roman" w:hAnsi="Times New Roman" w:cs="Times New Roman"/>
            <w:color w:val="1155CC"/>
            <w:sz w:val="24"/>
            <w:szCs w:val="24"/>
            <w:u w:val="single"/>
          </w:rPr>
          <w:t>https://doi.org/10.1080/15332861.2017.1378650</w:t>
        </w:r>
      </w:hyperlink>
    </w:p>
    <w:p w14:paraId="127EE865" w14:textId="77777777" w:rsidR="00C36543" w:rsidRDefault="000A4F1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Monetary Fund. (2021). </w:t>
      </w:r>
      <w:r>
        <w:rPr>
          <w:rFonts w:ascii="Times New Roman" w:eastAsia="Times New Roman" w:hAnsi="Times New Roman" w:cs="Times New Roman"/>
          <w:i/>
          <w:iCs/>
          <w:sz w:val="24"/>
          <w:szCs w:val="24"/>
        </w:rPr>
        <w:t>Digital money across borders: Macro-financial implications</w:t>
      </w:r>
      <w:r>
        <w:rPr>
          <w:rFonts w:ascii="Times New Roman" w:eastAsia="Times New Roman" w:hAnsi="Times New Roman" w:cs="Times New Roman"/>
          <w:sz w:val="24"/>
          <w:szCs w:val="24"/>
        </w:rPr>
        <w:t>. IMF Publications.</w:t>
      </w:r>
    </w:p>
    <w:p w14:paraId="29A61BB2"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Iyengar, K., Mabrouk, A., Jain, V. K., Venkatesan, A., &amp; Vaishya, R. (2020). Learning opportunities from COVID-19 and future effects on the health care system. </w:t>
      </w:r>
      <w:r>
        <w:rPr>
          <w:rFonts w:ascii="Times New Roman" w:eastAsia="Times New Roman" w:hAnsi="Times New Roman" w:cs="Times New Roman"/>
          <w:i/>
          <w:iCs/>
          <w:sz w:val="24"/>
          <w:szCs w:val="24"/>
        </w:rPr>
        <w:t>Diabetes &amp; Metabolic Syndrome: Clinical Research &amp; Reviews, 14</w:t>
      </w:r>
      <w:r>
        <w:rPr>
          <w:rFonts w:ascii="Times New Roman" w:eastAsia="Times New Roman" w:hAnsi="Times New Roman" w:cs="Times New Roman"/>
          <w:sz w:val="24"/>
          <w:szCs w:val="24"/>
        </w:rPr>
        <w:t>(5), 943–946.</w:t>
      </w:r>
      <w:hyperlink r:id="rId22">
        <w:r w:rsidR="00C36543">
          <w:rPr>
            <w:rFonts w:ascii="Times New Roman" w:eastAsia="Times New Roman" w:hAnsi="Times New Roman" w:cs="Times New Roman"/>
            <w:sz w:val="24"/>
            <w:szCs w:val="24"/>
          </w:rPr>
          <w:t xml:space="preserve"> </w:t>
        </w:r>
      </w:hyperlink>
      <w:hyperlink r:id="rId23">
        <w:r w:rsidR="00C36543">
          <w:rPr>
            <w:rFonts w:ascii="Times New Roman" w:eastAsia="Times New Roman" w:hAnsi="Times New Roman" w:cs="Times New Roman"/>
            <w:color w:val="1155CC"/>
            <w:sz w:val="24"/>
            <w:szCs w:val="24"/>
            <w:u w:val="single"/>
          </w:rPr>
          <w:t>https://doi.org/10.1016/j.dsx.2020.06.036</w:t>
        </w:r>
      </w:hyperlink>
    </w:p>
    <w:p w14:paraId="64814D8F" w14:textId="77777777" w:rsidR="00C36543" w:rsidRDefault="000A4F1F">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&amp; Kulkarni, S. (2021). Digital payment systems and consumer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urban India. </w:t>
      </w:r>
      <w:r>
        <w:rPr>
          <w:rFonts w:ascii="Times New Roman" w:eastAsia="Times New Roman" w:hAnsi="Times New Roman" w:cs="Times New Roman"/>
          <w:i/>
          <w:iCs/>
          <w:sz w:val="24"/>
          <w:szCs w:val="24"/>
        </w:rPr>
        <w:t>International Journal of Economics and Financial Issues, 11</w:t>
      </w:r>
      <w:r>
        <w:rPr>
          <w:rFonts w:ascii="Times New Roman" w:eastAsia="Times New Roman" w:hAnsi="Times New Roman" w:cs="Times New Roman"/>
          <w:sz w:val="24"/>
          <w:szCs w:val="24"/>
        </w:rPr>
        <w:t>(4), 45–52.</w:t>
      </w:r>
    </w:p>
    <w:p w14:paraId="4F89553E" w14:textId="77777777" w:rsidR="00C36543" w:rsidRDefault="000A4F1F">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(2022). Adoption of UPI and mobile wallets: Evidence from metropolitan households in India. </w:t>
      </w:r>
      <w:r>
        <w:rPr>
          <w:rFonts w:ascii="Times New Roman" w:eastAsia="Times New Roman" w:hAnsi="Times New Roman" w:cs="Times New Roman"/>
          <w:i/>
          <w:iCs/>
          <w:sz w:val="24"/>
          <w:szCs w:val="24"/>
        </w:rPr>
        <w:t>Journal of Digital Economy, 3</w:t>
      </w:r>
      <w:r>
        <w:rPr>
          <w:rFonts w:ascii="Times New Roman" w:eastAsia="Times New Roman" w:hAnsi="Times New Roman" w:cs="Times New Roman"/>
          <w:sz w:val="24"/>
          <w:szCs w:val="24"/>
        </w:rPr>
        <w:t>(2), 87–98.</w:t>
      </w:r>
    </w:p>
    <w:p w14:paraId="629813BF" w14:textId="77777777" w:rsidR="00C36543" w:rsidRDefault="000A4F1F">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&amp;Uma, R. (2023). Cashless transactions and financial inclusion: A post-COVID analysis of Indian households. </w:t>
      </w:r>
      <w:r>
        <w:rPr>
          <w:rFonts w:ascii="Times New Roman" w:eastAsia="Times New Roman" w:hAnsi="Times New Roman" w:cs="Times New Roman"/>
          <w:i/>
          <w:iCs/>
          <w:sz w:val="24"/>
          <w:szCs w:val="24"/>
        </w:rPr>
        <w:t>Indian Journal of Economics and Business, 22</w:t>
      </w:r>
      <w:r>
        <w:rPr>
          <w:rFonts w:ascii="Times New Roman" w:eastAsia="Times New Roman" w:hAnsi="Times New Roman" w:cs="Times New Roman"/>
          <w:sz w:val="24"/>
          <w:szCs w:val="24"/>
        </w:rPr>
        <w:t>(1), 113–128.</w:t>
      </w:r>
    </w:p>
    <w:p w14:paraId="7F3A799F" w14:textId="77777777" w:rsidR="00C36543" w:rsidRDefault="000A4F1F">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&amp; Asha, P. (2024). Digital payments and trust formation in online platforms: Evidence from India. </w:t>
      </w:r>
      <w:r>
        <w:rPr>
          <w:rFonts w:ascii="Times New Roman" w:eastAsia="Times New Roman" w:hAnsi="Times New Roman" w:cs="Times New Roman"/>
          <w:i/>
          <w:iCs/>
          <w:sz w:val="24"/>
          <w:szCs w:val="24"/>
        </w:rPr>
        <w:t>Asian Journal of Business and Accounting, 17</w:t>
      </w:r>
      <w:r>
        <w:rPr>
          <w:rFonts w:ascii="Times New Roman" w:eastAsia="Times New Roman" w:hAnsi="Times New Roman" w:cs="Times New Roman"/>
          <w:sz w:val="24"/>
          <w:szCs w:val="24"/>
        </w:rPr>
        <w:t>(2), 201–220.</w:t>
      </w:r>
    </w:p>
    <w:p w14:paraId="0158D6E8" w14:textId="77777777" w:rsidR="00C36543" w:rsidRDefault="000A4F1F">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&amp; Uma R. (2025). AI, digital payments, and consumer welfare in platform-based healthcare services. </w:t>
      </w:r>
      <w:r>
        <w:rPr>
          <w:rFonts w:ascii="Times New Roman" w:eastAsia="Times New Roman" w:hAnsi="Times New Roman" w:cs="Times New Roman"/>
          <w:i/>
          <w:iCs/>
          <w:sz w:val="24"/>
          <w:szCs w:val="24"/>
        </w:rPr>
        <w:t>Journal of Health Economics and Policy, 10</w:t>
      </w:r>
      <w:r>
        <w:rPr>
          <w:rFonts w:ascii="Times New Roman" w:eastAsia="Times New Roman" w:hAnsi="Times New Roman" w:cs="Times New Roman"/>
          <w:sz w:val="24"/>
          <w:szCs w:val="24"/>
        </w:rPr>
        <w:t>(1), 1–18.</w:t>
      </w:r>
    </w:p>
    <w:p w14:paraId="4839256C"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Kannan, P. K., &amp; Li, H. (2017). Digital marketing: A framework, review and research agenda. </w:t>
      </w:r>
      <w:r>
        <w:rPr>
          <w:rFonts w:ascii="Times New Roman" w:eastAsia="Times New Roman" w:hAnsi="Times New Roman" w:cs="Times New Roman"/>
          <w:i/>
          <w:iCs/>
          <w:sz w:val="24"/>
          <w:szCs w:val="24"/>
        </w:rPr>
        <w:t>International Journal of Research in Marketing, 34</w:t>
      </w:r>
      <w:r>
        <w:rPr>
          <w:rFonts w:ascii="Times New Roman" w:eastAsia="Times New Roman" w:hAnsi="Times New Roman" w:cs="Times New Roman"/>
          <w:sz w:val="24"/>
          <w:szCs w:val="24"/>
        </w:rPr>
        <w:t>(1), 22–45.</w:t>
      </w:r>
      <w:hyperlink r:id="rId24">
        <w:r w:rsidR="00C36543">
          <w:rPr>
            <w:rFonts w:ascii="Times New Roman" w:eastAsia="Times New Roman" w:hAnsi="Times New Roman" w:cs="Times New Roman"/>
            <w:sz w:val="24"/>
            <w:szCs w:val="24"/>
          </w:rPr>
          <w:t xml:space="preserve"> </w:t>
        </w:r>
      </w:hyperlink>
      <w:hyperlink r:id="rId25">
        <w:r w:rsidR="00C36543">
          <w:rPr>
            <w:rFonts w:ascii="Times New Roman" w:eastAsia="Times New Roman" w:hAnsi="Times New Roman" w:cs="Times New Roman"/>
            <w:color w:val="1155CC"/>
            <w:sz w:val="24"/>
            <w:szCs w:val="24"/>
            <w:u w:val="single"/>
          </w:rPr>
          <w:t>https://doi.org/10.1016/j.ijresmar.2016.11.006</w:t>
        </w:r>
      </w:hyperlink>
    </w:p>
    <w:p w14:paraId="535D8157"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Keesara</w:t>
      </w:r>
      <w:proofErr w:type="spellEnd"/>
      <w:r>
        <w:rPr>
          <w:rFonts w:ascii="Times New Roman" w:eastAsia="Times New Roman" w:hAnsi="Times New Roman" w:cs="Times New Roman"/>
          <w:sz w:val="24"/>
          <w:szCs w:val="24"/>
        </w:rPr>
        <w:t xml:space="preserve">, S., Jonas, A., &amp; Schulman, K. (2020). Covid-19 and health care’s digital revolution. </w:t>
      </w:r>
      <w:r>
        <w:rPr>
          <w:rFonts w:ascii="Times New Roman" w:eastAsia="Times New Roman" w:hAnsi="Times New Roman" w:cs="Times New Roman"/>
          <w:i/>
          <w:iCs/>
          <w:sz w:val="24"/>
          <w:szCs w:val="24"/>
        </w:rPr>
        <w:t>New England Journal of Medicine, 382</w:t>
      </w:r>
      <w:r>
        <w:rPr>
          <w:rFonts w:ascii="Times New Roman" w:eastAsia="Times New Roman" w:hAnsi="Times New Roman" w:cs="Times New Roman"/>
          <w:sz w:val="24"/>
          <w:szCs w:val="24"/>
        </w:rPr>
        <w:t>(23), e82.</w:t>
      </w:r>
      <w:hyperlink r:id="rId26">
        <w:r w:rsidR="00C36543">
          <w:rPr>
            <w:rFonts w:ascii="Times New Roman" w:eastAsia="Times New Roman" w:hAnsi="Times New Roman" w:cs="Times New Roman"/>
            <w:sz w:val="24"/>
            <w:szCs w:val="24"/>
          </w:rPr>
          <w:t xml:space="preserve"> </w:t>
        </w:r>
      </w:hyperlink>
      <w:hyperlink r:id="rId27">
        <w:r w:rsidR="00C36543">
          <w:rPr>
            <w:rFonts w:ascii="Times New Roman" w:eastAsia="Times New Roman" w:hAnsi="Times New Roman" w:cs="Times New Roman"/>
            <w:color w:val="1155CC"/>
            <w:sz w:val="24"/>
            <w:szCs w:val="24"/>
            <w:u w:val="single"/>
          </w:rPr>
          <w:t>https://doi.org/10.1056/NEJMp2005835</w:t>
        </w:r>
      </w:hyperlink>
    </w:p>
    <w:p w14:paraId="4537DB7E"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Lamberton, C., &amp; Stephen, A. T. (2016). A thematic exploration of digital, social media, and mobile marketing research’s evolution. </w:t>
      </w:r>
      <w:r>
        <w:rPr>
          <w:rFonts w:ascii="Times New Roman" w:eastAsia="Times New Roman" w:hAnsi="Times New Roman" w:cs="Times New Roman"/>
          <w:i/>
          <w:iCs/>
          <w:sz w:val="24"/>
          <w:szCs w:val="24"/>
        </w:rPr>
        <w:t>Journal of Marketing, 80</w:t>
      </w:r>
      <w:r>
        <w:rPr>
          <w:rFonts w:ascii="Times New Roman" w:eastAsia="Times New Roman" w:hAnsi="Times New Roman" w:cs="Times New Roman"/>
          <w:sz w:val="24"/>
          <w:szCs w:val="24"/>
        </w:rPr>
        <w:t>(6), 146–172.</w:t>
      </w:r>
      <w:hyperlink r:id="rId28">
        <w:r w:rsidR="00C36543">
          <w:rPr>
            <w:rFonts w:ascii="Times New Roman" w:eastAsia="Times New Roman" w:hAnsi="Times New Roman" w:cs="Times New Roman"/>
            <w:sz w:val="24"/>
            <w:szCs w:val="24"/>
          </w:rPr>
          <w:t xml:space="preserve"> </w:t>
        </w:r>
      </w:hyperlink>
      <w:hyperlink r:id="rId29">
        <w:r w:rsidR="00C36543">
          <w:rPr>
            <w:rFonts w:ascii="Times New Roman" w:eastAsia="Times New Roman" w:hAnsi="Times New Roman" w:cs="Times New Roman"/>
            <w:color w:val="1155CC"/>
            <w:sz w:val="24"/>
            <w:szCs w:val="24"/>
            <w:u w:val="single"/>
          </w:rPr>
          <w:t>https://doi.org/10.1509/jm.15.0415</w:t>
        </w:r>
      </w:hyperlink>
    </w:p>
    <w:p w14:paraId="0AEC5867"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OECD. (2020). </w:t>
      </w:r>
      <w:r>
        <w:rPr>
          <w:rFonts w:ascii="Times New Roman" w:eastAsia="Times New Roman" w:hAnsi="Times New Roman" w:cs="Times New Roman"/>
          <w:i/>
          <w:iCs/>
          <w:sz w:val="24"/>
          <w:szCs w:val="24"/>
        </w:rPr>
        <w:t>Digital disruption in healthcare</w:t>
      </w:r>
      <w:r>
        <w:rPr>
          <w:rFonts w:ascii="Times New Roman" w:eastAsia="Times New Roman" w:hAnsi="Times New Roman" w:cs="Times New Roman"/>
          <w:sz w:val="24"/>
          <w:szCs w:val="24"/>
        </w:rPr>
        <w:t>. OECD Publishing.</w:t>
      </w:r>
      <w:hyperlink r:id="rId30">
        <w:r w:rsidR="00C36543">
          <w:rPr>
            <w:rFonts w:ascii="Times New Roman" w:eastAsia="Times New Roman" w:hAnsi="Times New Roman" w:cs="Times New Roman"/>
            <w:sz w:val="24"/>
            <w:szCs w:val="24"/>
          </w:rPr>
          <w:t xml:space="preserve"> </w:t>
        </w:r>
      </w:hyperlink>
      <w:hyperlink r:id="rId31">
        <w:r w:rsidR="00C36543">
          <w:rPr>
            <w:rFonts w:ascii="Times New Roman" w:eastAsia="Times New Roman" w:hAnsi="Times New Roman" w:cs="Times New Roman"/>
            <w:color w:val="1155CC"/>
            <w:sz w:val="24"/>
            <w:szCs w:val="24"/>
            <w:u w:val="single"/>
          </w:rPr>
          <w:t>https://doi.org/10.1787/2d2f6d30-en</w:t>
        </w:r>
      </w:hyperlink>
    </w:p>
    <w:p w14:paraId="280822EA" w14:textId="77777777" w:rsidR="00C36543" w:rsidRDefault="000A4F1F">
      <w:pPr>
        <w:spacing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222222"/>
          <w:sz w:val="24"/>
          <w:szCs w:val="24"/>
          <w:highlight w:val="white"/>
        </w:rPr>
        <w:t xml:space="preserve">Panchal, M. &amp; </w:t>
      </w:r>
      <w:proofErr w:type="spellStart"/>
      <w:r>
        <w:rPr>
          <w:rFonts w:ascii="Times New Roman" w:eastAsia="Times New Roman" w:hAnsi="Times New Roman" w:cs="Times New Roman"/>
          <w:color w:val="222222"/>
          <w:sz w:val="24"/>
          <w:szCs w:val="24"/>
          <w:highlight w:val="white"/>
        </w:rPr>
        <w:t>Goplani</w:t>
      </w:r>
      <w:proofErr w:type="spellEnd"/>
      <w:r>
        <w:rPr>
          <w:rFonts w:ascii="Times New Roman" w:eastAsia="Times New Roman" w:hAnsi="Times New Roman" w:cs="Times New Roman"/>
          <w:color w:val="222222"/>
          <w:sz w:val="24"/>
          <w:szCs w:val="24"/>
          <w:highlight w:val="white"/>
        </w:rPr>
        <w:t xml:space="preserve">, M. (2024). CUSTOMERS’ TENDENCY TO ADOPT DIGITAL WALLETS IN MUMBAI CITY. Humanities and Social Science Studies, ISSN 2319-829X, Vol. 13, Issue 1, No. 31, 32-40. </w:t>
      </w:r>
      <w:hyperlink r:id="rId32">
        <w:r w:rsidR="00C36543">
          <w:rPr>
            <w:rFonts w:ascii="Times New Roman" w:eastAsia="Times New Roman" w:hAnsi="Times New Roman" w:cs="Times New Roman"/>
            <w:color w:val="0563C1"/>
            <w:sz w:val="24"/>
            <w:szCs w:val="24"/>
            <w:highlight w:val="white"/>
            <w:u w:val="single"/>
          </w:rPr>
          <w:t>https://www.researchgate.net/publication/382462638_CUSTOMERS'_TENDENCY_TO_ADOPT_DIGITAL_WALLETS_IN_MUMBAI_CITY</w:t>
        </w:r>
      </w:hyperlink>
      <w:r>
        <w:rPr>
          <w:rFonts w:ascii="Times New Roman" w:eastAsia="Times New Roman" w:hAnsi="Times New Roman" w:cs="Times New Roman"/>
          <w:color w:val="222222"/>
          <w:sz w:val="24"/>
          <w:szCs w:val="24"/>
          <w:highlight w:val="white"/>
        </w:rPr>
        <w:t xml:space="preserve"> </w:t>
      </w:r>
    </w:p>
    <w:p w14:paraId="5B302706" w14:textId="77777777" w:rsidR="00C36543" w:rsidRDefault="000A4F1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Reserve Bank of India. (2022). </w:t>
      </w:r>
      <w:r>
        <w:rPr>
          <w:rFonts w:ascii="Times New Roman" w:eastAsia="Times New Roman" w:hAnsi="Times New Roman" w:cs="Times New Roman"/>
          <w:i/>
          <w:iCs/>
          <w:sz w:val="24"/>
          <w:szCs w:val="24"/>
        </w:rPr>
        <w:t>Payment and settlement systems in India: Vision 2025</w:t>
      </w:r>
      <w:r>
        <w:rPr>
          <w:rFonts w:ascii="Times New Roman" w:eastAsia="Times New Roman" w:hAnsi="Times New Roman" w:cs="Times New Roman"/>
          <w:sz w:val="24"/>
          <w:szCs w:val="24"/>
        </w:rPr>
        <w:t>. Reserve Bank of India.</w:t>
      </w:r>
    </w:p>
    <w:p w14:paraId="6155FDF9"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Reddy, S., Fox, J., &amp; Purohit, M. P. (2022). Artificial intelligence-enabled healthcare delivery. </w:t>
      </w:r>
      <w:r>
        <w:rPr>
          <w:rFonts w:ascii="Times New Roman" w:eastAsia="Times New Roman" w:hAnsi="Times New Roman" w:cs="Times New Roman"/>
          <w:i/>
          <w:iCs/>
          <w:sz w:val="24"/>
          <w:szCs w:val="24"/>
        </w:rPr>
        <w:t>Journal of the Royal Society of Medicine, 115</w:t>
      </w:r>
      <w:r>
        <w:rPr>
          <w:rFonts w:ascii="Times New Roman" w:eastAsia="Times New Roman" w:hAnsi="Times New Roman" w:cs="Times New Roman"/>
          <w:sz w:val="24"/>
          <w:szCs w:val="24"/>
        </w:rPr>
        <w:t>(6), 216–221.</w:t>
      </w:r>
      <w:hyperlink r:id="rId33">
        <w:r w:rsidR="00C36543">
          <w:rPr>
            <w:rFonts w:ascii="Times New Roman" w:eastAsia="Times New Roman" w:hAnsi="Times New Roman" w:cs="Times New Roman"/>
            <w:sz w:val="24"/>
            <w:szCs w:val="24"/>
          </w:rPr>
          <w:t xml:space="preserve"> </w:t>
        </w:r>
      </w:hyperlink>
      <w:hyperlink r:id="rId34">
        <w:r w:rsidR="00C36543">
          <w:rPr>
            <w:rFonts w:ascii="Times New Roman" w:eastAsia="Times New Roman" w:hAnsi="Times New Roman" w:cs="Times New Roman"/>
            <w:color w:val="1155CC"/>
            <w:sz w:val="24"/>
            <w:szCs w:val="24"/>
            <w:u w:val="single"/>
          </w:rPr>
          <w:t>https://doi.org/10.1177/01410768221086157</w:t>
        </w:r>
      </w:hyperlink>
    </w:p>
    <w:p w14:paraId="3AFD2FC5"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Thakur, R., &amp; Srivastava, M. (2014). Adoption readiness, personal innovativeness, perceived risk and usage intention across customer groups for mobile payment services in India. </w:t>
      </w:r>
      <w:r>
        <w:rPr>
          <w:rFonts w:ascii="Times New Roman" w:eastAsia="Times New Roman" w:hAnsi="Times New Roman" w:cs="Times New Roman"/>
          <w:i/>
          <w:iCs/>
          <w:sz w:val="24"/>
          <w:szCs w:val="24"/>
        </w:rPr>
        <w:t>Internet Research, 24</w:t>
      </w:r>
      <w:r>
        <w:rPr>
          <w:rFonts w:ascii="Times New Roman" w:eastAsia="Times New Roman" w:hAnsi="Times New Roman" w:cs="Times New Roman"/>
          <w:sz w:val="24"/>
          <w:szCs w:val="24"/>
        </w:rPr>
        <w:t>(3), 369–392.</w:t>
      </w:r>
      <w:hyperlink r:id="rId35">
        <w:r w:rsidR="00C36543">
          <w:rPr>
            <w:rFonts w:ascii="Times New Roman" w:eastAsia="Times New Roman" w:hAnsi="Times New Roman" w:cs="Times New Roman"/>
            <w:sz w:val="24"/>
            <w:szCs w:val="24"/>
          </w:rPr>
          <w:t xml:space="preserve"> </w:t>
        </w:r>
      </w:hyperlink>
      <w:hyperlink r:id="rId36">
        <w:r w:rsidR="00C36543">
          <w:rPr>
            <w:rFonts w:ascii="Times New Roman" w:eastAsia="Times New Roman" w:hAnsi="Times New Roman" w:cs="Times New Roman"/>
            <w:color w:val="1155CC"/>
            <w:sz w:val="24"/>
            <w:szCs w:val="24"/>
            <w:u w:val="single"/>
          </w:rPr>
          <w:t>https://doi.org/10.1108/IntR-12-2012-0244</w:t>
        </w:r>
      </w:hyperlink>
    </w:p>
    <w:p w14:paraId="1E1E6B24" w14:textId="77777777" w:rsidR="00C36543" w:rsidRDefault="000A4F1F">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Zhou, T. (2013). An empirical examination of continuance intention of mobile payment services. </w:t>
      </w:r>
      <w:r>
        <w:rPr>
          <w:rFonts w:ascii="Times New Roman" w:eastAsia="Times New Roman" w:hAnsi="Times New Roman" w:cs="Times New Roman"/>
          <w:i/>
          <w:iCs/>
          <w:sz w:val="24"/>
          <w:szCs w:val="24"/>
        </w:rPr>
        <w:t>Decision Support Systems, 54</w:t>
      </w:r>
      <w:r>
        <w:rPr>
          <w:rFonts w:ascii="Times New Roman" w:eastAsia="Times New Roman" w:hAnsi="Times New Roman" w:cs="Times New Roman"/>
          <w:sz w:val="24"/>
          <w:szCs w:val="24"/>
        </w:rPr>
        <w:t>(2), 1085–1091.</w:t>
      </w:r>
      <w:hyperlink r:id="rId37">
        <w:r w:rsidR="00C36543">
          <w:rPr>
            <w:rFonts w:ascii="Times New Roman" w:eastAsia="Times New Roman" w:hAnsi="Times New Roman" w:cs="Times New Roman"/>
            <w:sz w:val="24"/>
            <w:szCs w:val="24"/>
          </w:rPr>
          <w:t xml:space="preserve"> </w:t>
        </w:r>
      </w:hyperlink>
      <w:hyperlink r:id="rId38">
        <w:r w:rsidR="00C36543">
          <w:rPr>
            <w:rFonts w:ascii="Times New Roman" w:eastAsia="Times New Roman" w:hAnsi="Times New Roman" w:cs="Times New Roman"/>
            <w:color w:val="1155CC"/>
            <w:sz w:val="24"/>
            <w:szCs w:val="24"/>
            <w:u w:val="single"/>
          </w:rPr>
          <w:t>https://doi.org/10.1016/j.dss.2012.10.034</w:t>
        </w:r>
      </w:hyperlink>
    </w:p>
    <w:p w14:paraId="1000FE00" w14:textId="77777777" w:rsidR="00C36543" w:rsidRDefault="00C36543">
      <w:pPr>
        <w:rPr>
          <w:rFonts w:ascii="Times New Roman" w:eastAsia="Times New Roman" w:hAnsi="Times New Roman" w:cs="Times New Roman"/>
          <w:sz w:val="24"/>
          <w:szCs w:val="24"/>
        </w:rPr>
      </w:pPr>
    </w:p>
    <w:p w14:paraId="111D0924" w14:textId="77777777" w:rsidR="00C36543" w:rsidRDefault="00C36543">
      <w:pPr>
        <w:pStyle w:val="Heading1"/>
        <w:keepNext w:val="0"/>
        <w:keepLines w:val="0"/>
        <w:spacing w:before="240" w:after="240" w:line="360" w:lineRule="auto"/>
        <w:jc w:val="both"/>
        <w:rPr>
          <w:rFonts w:ascii="Times New Roman" w:eastAsia="Times New Roman" w:hAnsi="Times New Roman" w:cs="Times New Roman"/>
          <w:sz w:val="24"/>
          <w:szCs w:val="24"/>
        </w:rPr>
      </w:pPr>
      <w:bookmarkStart w:id="41" w:name="_2rprz42ca57c" w:colFirst="0" w:colLast="0"/>
      <w:bookmarkEnd w:id="41"/>
    </w:p>
    <w:p w14:paraId="21F453F7" w14:textId="77777777" w:rsidR="00C36543" w:rsidRDefault="00C36543">
      <w:pPr>
        <w:pStyle w:val="Heading1"/>
        <w:keepNext w:val="0"/>
        <w:keepLines w:val="0"/>
        <w:spacing w:before="240" w:after="240" w:line="360" w:lineRule="auto"/>
        <w:jc w:val="both"/>
        <w:rPr>
          <w:rFonts w:ascii="Times New Roman" w:eastAsia="Times New Roman" w:hAnsi="Times New Roman" w:cs="Times New Roman"/>
          <w:sz w:val="24"/>
          <w:szCs w:val="24"/>
        </w:rPr>
      </w:pPr>
      <w:bookmarkStart w:id="42" w:name="_7sgsx43hu8k9" w:colFirst="0" w:colLast="0"/>
      <w:bookmarkEnd w:id="42"/>
    </w:p>
    <w:p w14:paraId="3545F2D0" w14:textId="77777777" w:rsidR="00C36543" w:rsidRDefault="00C36543">
      <w:pPr>
        <w:pStyle w:val="Heading1"/>
        <w:keepNext w:val="0"/>
        <w:keepLines w:val="0"/>
        <w:spacing w:before="480" w:line="360" w:lineRule="auto"/>
        <w:jc w:val="both"/>
        <w:rPr>
          <w:rFonts w:ascii="Times New Roman" w:eastAsia="Times New Roman" w:hAnsi="Times New Roman" w:cs="Times New Roman"/>
          <w:b/>
          <w:bCs/>
          <w:sz w:val="24"/>
          <w:szCs w:val="24"/>
        </w:rPr>
      </w:pPr>
      <w:bookmarkStart w:id="43" w:name="_udrhwvi962f3" w:colFirst="0" w:colLast="0"/>
      <w:bookmarkEnd w:id="43"/>
    </w:p>
    <w:p w14:paraId="5780E55C" w14:textId="77777777" w:rsidR="00C36543" w:rsidRDefault="00C36543">
      <w:pPr>
        <w:spacing w:line="360" w:lineRule="auto"/>
        <w:jc w:val="both"/>
        <w:rPr>
          <w:rFonts w:ascii="Times New Roman" w:eastAsia="Times New Roman" w:hAnsi="Times New Roman" w:cs="Times New Roman"/>
          <w:sz w:val="24"/>
          <w:szCs w:val="24"/>
        </w:rPr>
      </w:pPr>
    </w:p>
    <w:sectPr w:rsidR="00C36543">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C0604" w14:textId="77777777" w:rsidR="000D5981" w:rsidRDefault="000D5981" w:rsidP="00076B42">
      <w:pPr>
        <w:spacing w:line="240" w:lineRule="auto"/>
      </w:pPr>
      <w:r>
        <w:separator/>
      </w:r>
    </w:p>
  </w:endnote>
  <w:endnote w:type="continuationSeparator" w:id="0">
    <w:p w14:paraId="244AAE1E" w14:textId="77777777" w:rsidR="000D5981" w:rsidRDefault="000D5981" w:rsidP="00076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6E377E-87CD-495F-B42D-60E533E5288C}"/>
  </w:font>
  <w:font w:name="Cambria">
    <w:panose1 w:val="02040503050406030204"/>
    <w:charset w:val="00"/>
    <w:family w:val="roman"/>
    <w:pitch w:val="variable"/>
    <w:sig w:usb0="E00006FF" w:usb1="420024FF" w:usb2="02000000" w:usb3="00000000" w:csb0="0000019F" w:csb1="00000000"/>
    <w:embedRegular r:id="rId2" w:fontKey="{BB9F99B0-054A-4371-A742-E6FD2CBCA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E42A" w14:textId="77777777" w:rsidR="00076B42" w:rsidRDefault="00076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175AD" w14:textId="77777777" w:rsidR="00076B42" w:rsidRDefault="00076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0002" w14:textId="77777777" w:rsidR="00076B42" w:rsidRDefault="00076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8DD35" w14:textId="77777777" w:rsidR="000D5981" w:rsidRDefault="000D5981" w:rsidP="00076B42">
      <w:pPr>
        <w:spacing w:line="240" w:lineRule="auto"/>
      </w:pPr>
      <w:r>
        <w:separator/>
      </w:r>
    </w:p>
  </w:footnote>
  <w:footnote w:type="continuationSeparator" w:id="0">
    <w:p w14:paraId="64C7B3C0" w14:textId="77777777" w:rsidR="000D5981" w:rsidRDefault="000D5981" w:rsidP="00076B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C2733" w14:textId="2180DB48" w:rsidR="00076B42" w:rsidRDefault="000D5981">
    <w:pPr>
      <w:pStyle w:val="Header"/>
    </w:pPr>
    <w:r>
      <w:rPr>
        <w:noProof/>
      </w:rPr>
      <w:pict w14:anchorId="5A379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329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B180D" w14:textId="2113C45D" w:rsidR="00076B42" w:rsidRDefault="000D5981">
    <w:pPr>
      <w:pStyle w:val="Header"/>
    </w:pPr>
    <w:r>
      <w:rPr>
        <w:noProof/>
      </w:rPr>
      <w:pict w14:anchorId="793FD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329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A3DE8" w14:textId="2080929E" w:rsidR="00076B42" w:rsidRDefault="000D5981">
    <w:pPr>
      <w:pStyle w:val="Header"/>
    </w:pPr>
    <w:r>
      <w:rPr>
        <w:noProof/>
      </w:rPr>
      <w:pict w14:anchorId="04A747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329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2142D"/>
    <w:multiLevelType w:val="multilevel"/>
    <w:tmpl w:val="8A3CC046"/>
    <w:lvl w:ilvl="0">
      <w:start w:val="1"/>
      <w:numFmt w:val="bullet"/>
      <w:lvlText w:val="●"/>
      <w:lvlJc w:val="left"/>
      <w:pPr>
        <w:ind w:left="720" w:hanging="360"/>
      </w:pPr>
      <w:rPr>
        <w:rFonts w:ascii="Times New Roman" w:eastAsia="Times New Roman" w:hAnsi="Times New Roman" w:cs="Times New Roman"/>
        <w:b w:val="0"/>
        <w:bCs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543"/>
    <w:rsid w:val="00076B42"/>
    <w:rsid w:val="000A4F1F"/>
    <w:rsid w:val="000D5981"/>
    <w:rsid w:val="00102637"/>
    <w:rsid w:val="001C5E27"/>
    <w:rsid w:val="00844EF9"/>
    <w:rsid w:val="00C36543"/>
    <w:rsid w:val="00E80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97758"/>
  <w15:docId w15:val="{2A70B241-E7F0-44A5-BED3-41263D05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076B42"/>
    <w:pPr>
      <w:tabs>
        <w:tab w:val="center" w:pos="4680"/>
        <w:tab w:val="right" w:pos="9360"/>
      </w:tabs>
      <w:spacing w:line="240" w:lineRule="auto"/>
    </w:pPr>
  </w:style>
  <w:style w:type="character" w:customStyle="1" w:styleId="HeaderChar">
    <w:name w:val="Header Char"/>
    <w:basedOn w:val="DefaultParagraphFont"/>
    <w:link w:val="Header"/>
    <w:uiPriority w:val="99"/>
    <w:rsid w:val="00076B42"/>
  </w:style>
  <w:style w:type="paragraph" w:styleId="Footer">
    <w:name w:val="footer"/>
    <w:basedOn w:val="Normal"/>
    <w:link w:val="FooterChar"/>
    <w:uiPriority w:val="99"/>
    <w:unhideWhenUsed/>
    <w:rsid w:val="00076B42"/>
    <w:pPr>
      <w:tabs>
        <w:tab w:val="center" w:pos="4680"/>
        <w:tab w:val="right" w:pos="9360"/>
      </w:tabs>
      <w:spacing w:line="240" w:lineRule="auto"/>
    </w:pPr>
  </w:style>
  <w:style w:type="character" w:customStyle="1" w:styleId="FooterChar">
    <w:name w:val="Footer Char"/>
    <w:basedOn w:val="DefaultParagraphFont"/>
    <w:link w:val="Footer"/>
    <w:uiPriority w:val="99"/>
    <w:rsid w:val="00076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2307/249008" TargetMode="External"/><Relationship Id="rId18" Type="http://schemas.openxmlformats.org/officeDocument/2006/relationships/hyperlink" Target="https://doi.org/10.48175/ijarsct-29691" TargetMode="External"/><Relationship Id="rId26" Type="http://schemas.openxmlformats.org/officeDocument/2006/relationships/hyperlink" Target="https://doi.org/10.1056/NEJMp2005835" TargetMode="External"/><Relationship Id="rId39" Type="http://schemas.openxmlformats.org/officeDocument/2006/relationships/header" Target="header1.xml"/><Relationship Id="rId21" Type="http://schemas.openxmlformats.org/officeDocument/2006/relationships/hyperlink" Target="https://doi.org/10.1080/15332861.2017.1378650" TargetMode="External"/><Relationship Id="rId34" Type="http://schemas.openxmlformats.org/officeDocument/2006/relationships/hyperlink" Target="https://doi.org/10.1177/01410768221086157" TargetMode="External"/><Relationship Id="rId42" Type="http://schemas.openxmlformats.org/officeDocument/2006/relationships/footer" Target="footer2.xml"/><Relationship Id="rId7" Type="http://schemas.openxmlformats.org/officeDocument/2006/relationships/hyperlink" Target="https://doi.org/10.1287/isre.1100.0327" TargetMode="External"/><Relationship Id="rId2" Type="http://schemas.openxmlformats.org/officeDocument/2006/relationships/styles" Target="styles.xml"/><Relationship Id="rId16" Type="http://schemas.openxmlformats.org/officeDocument/2006/relationships/hyperlink" Target="https://doi.org/10.1016/j.ijinfomgt.2020.102168" TargetMode="External"/><Relationship Id="rId29" Type="http://schemas.openxmlformats.org/officeDocument/2006/relationships/hyperlink" Target="https://doi.org/10.1509/jm.15.04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257/jep.25.2.3" TargetMode="External"/><Relationship Id="rId24" Type="http://schemas.openxmlformats.org/officeDocument/2006/relationships/hyperlink" Target="https://doi.org/10.1016/j.ijresmar.2016.11.006" TargetMode="External"/><Relationship Id="rId32" Type="http://schemas.openxmlformats.org/officeDocument/2006/relationships/hyperlink" Target="https://www.researchgate.net/publication/382462638_CUSTOMERS'_TENDENCY_TO_ADOPT_DIGITAL_WALLETS_IN_MUMBAI_CITY" TargetMode="External"/><Relationship Id="rId37" Type="http://schemas.openxmlformats.org/officeDocument/2006/relationships/hyperlink" Target="https://doi.org/10.1016/j.dss.2012.10.034"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ijinfomgt.2020.102168" TargetMode="External"/><Relationship Id="rId23" Type="http://schemas.openxmlformats.org/officeDocument/2006/relationships/hyperlink" Target="https://doi.org/10.1016/j.dsx.2020.06.036" TargetMode="External"/><Relationship Id="rId28" Type="http://schemas.openxmlformats.org/officeDocument/2006/relationships/hyperlink" Target="https://doi.org/10.1509/jm.15.0415" TargetMode="External"/><Relationship Id="rId36" Type="http://schemas.openxmlformats.org/officeDocument/2006/relationships/hyperlink" Target="https://doi.org/10.1108/IntR-12-2012-0244" TargetMode="External"/><Relationship Id="rId10" Type="http://schemas.openxmlformats.org/officeDocument/2006/relationships/hyperlink" Target="https://doi.org/10.1016/j.jretconser.2022.103153" TargetMode="External"/><Relationship Id="rId19" Type="http://schemas.openxmlformats.org/officeDocument/2006/relationships/hyperlink" Target="https://www.researchgate.net/publication/398661022_Analysis_of_the_Factors_that_Affect_Customer_Satisfaction_when_Using_a_Service" TargetMode="External"/><Relationship Id="rId31" Type="http://schemas.openxmlformats.org/officeDocument/2006/relationships/hyperlink" Target="https://doi.org/10.1787/2d2f6d30-en"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016/j.jretconser.2022.103153" TargetMode="External"/><Relationship Id="rId14" Type="http://schemas.openxmlformats.org/officeDocument/2006/relationships/hyperlink" Target="https://doi.org/10.2307/249008" TargetMode="External"/><Relationship Id="rId22" Type="http://schemas.openxmlformats.org/officeDocument/2006/relationships/hyperlink" Target="https://doi.org/10.1016/j.dsx.2020.06.036" TargetMode="External"/><Relationship Id="rId27" Type="http://schemas.openxmlformats.org/officeDocument/2006/relationships/hyperlink" Target="https://doi.org/10.1056/NEJMp2005835" TargetMode="External"/><Relationship Id="rId30" Type="http://schemas.openxmlformats.org/officeDocument/2006/relationships/hyperlink" Target="https://doi.org/10.1787/2d2f6d30-en" TargetMode="External"/><Relationship Id="rId35" Type="http://schemas.openxmlformats.org/officeDocument/2006/relationships/hyperlink" Target="https://doi.org/10.1108/IntR-12-2012-0244" TargetMode="External"/><Relationship Id="rId43" Type="http://schemas.openxmlformats.org/officeDocument/2006/relationships/header" Target="header3.xml"/><Relationship Id="rId8" Type="http://schemas.openxmlformats.org/officeDocument/2006/relationships/hyperlink" Target="https://doi.org/10.1287/isre.1100.0327" TargetMode="External"/><Relationship Id="rId3" Type="http://schemas.openxmlformats.org/officeDocument/2006/relationships/settings" Target="settings.xml"/><Relationship Id="rId12" Type="http://schemas.openxmlformats.org/officeDocument/2006/relationships/hyperlink" Target="https://doi.org/10.1257/jep.25.2.3" TargetMode="External"/><Relationship Id="rId17" Type="http://schemas.openxmlformats.org/officeDocument/2006/relationships/hyperlink" Target="https://www.researchgate.net/publication/394102839_Digital_Hurdles_Women%27s_Challenges_and_Smart_Precautions_with_Mobile_Wallet_Usage" TargetMode="External"/><Relationship Id="rId25" Type="http://schemas.openxmlformats.org/officeDocument/2006/relationships/hyperlink" Target="https://doi.org/10.1016/j.ijresmar.2016.11.006" TargetMode="External"/><Relationship Id="rId33" Type="http://schemas.openxmlformats.org/officeDocument/2006/relationships/hyperlink" Target="https://doi.org/10.1177/01410768221086157" TargetMode="External"/><Relationship Id="rId38" Type="http://schemas.openxmlformats.org/officeDocument/2006/relationships/hyperlink" Target="https://doi.org/10.1016/j.dss.2012.10.034" TargetMode="External"/><Relationship Id="rId46" Type="http://schemas.openxmlformats.org/officeDocument/2006/relationships/theme" Target="theme/theme1.xml"/><Relationship Id="rId20" Type="http://schemas.openxmlformats.org/officeDocument/2006/relationships/hyperlink" Target="https://doi.org/10.1080/15332861.2017.1378650"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6283</Words>
  <Characters>35816</Characters>
  <Application>Microsoft Office Word</Application>
  <DocSecurity>0</DocSecurity>
  <Lines>298</Lines>
  <Paragraphs>84</Paragraphs>
  <ScaleCrop>false</ScaleCrop>
  <Company/>
  <LinksUpToDate>false</LinksUpToDate>
  <CharactersWithSpaces>42015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5</cp:revision>
  <dcterms:created xsi:type="dcterms:W3CDTF">2026-01-19T09:40:00Z</dcterms:created>
  <dcterms:modified xsi:type="dcterms:W3CDTF">2026-01-23T05:00:00Z</dcterms:modified>
</cp:coreProperties>
</file>