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6F2F2" w14:textId="62B582B2" w:rsidR="00D77CE3" w:rsidRPr="00964918" w:rsidRDefault="00D77CE3" w:rsidP="00D77CE3">
      <w:pPr>
        <w:jc w:val="center"/>
        <w:rPr>
          <w:b/>
        </w:rPr>
      </w:pPr>
      <w:r w:rsidRPr="00964918">
        <w:rPr>
          <w:b/>
        </w:rPr>
        <w:t>Fabrication and Optimization of Dye</w:t>
      </w:r>
      <w:r w:rsidR="00816682" w:rsidRPr="00964918">
        <w:rPr>
          <w:b/>
        </w:rPr>
        <w:t>-</w:t>
      </w:r>
      <w:r w:rsidRPr="00964918">
        <w:rPr>
          <w:b/>
        </w:rPr>
        <w:t>Sensitized Solar Cell</w:t>
      </w:r>
      <w:r w:rsidR="001123B6" w:rsidRPr="00964918">
        <w:rPr>
          <w:b/>
        </w:rPr>
        <w:t>s</w:t>
      </w:r>
      <w:r w:rsidR="00F45B23" w:rsidRPr="00964918">
        <w:rPr>
          <w:b/>
        </w:rPr>
        <w:t xml:space="preserve"> </w:t>
      </w:r>
      <w:r w:rsidRPr="00964918">
        <w:rPr>
          <w:b/>
        </w:rPr>
        <w:t xml:space="preserve">Incorporating </w:t>
      </w:r>
      <w:proofErr w:type="spellStart"/>
      <w:r w:rsidRPr="00964918">
        <w:rPr>
          <w:b/>
        </w:rPr>
        <w:t>P</w:t>
      </w:r>
      <w:r w:rsidR="00BD71C6" w:rsidRPr="00964918">
        <w:rPr>
          <w:b/>
        </w:rPr>
        <w:t>b</w:t>
      </w:r>
      <w:r w:rsidRPr="00964918">
        <w:rPr>
          <w:b/>
        </w:rPr>
        <w:t>S</w:t>
      </w:r>
      <w:proofErr w:type="spellEnd"/>
      <w:r w:rsidRPr="00964918">
        <w:rPr>
          <w:b/>
        </w:rPr>
        <w:t xml:space="preserve"> Q</w:t>
      </w:r>
      <w:r w:rsidR="00816682" w:rsidRPr="00964918">
        <w:rPr>
          <w:b/>
        </w:rPr>
        <w:t xml:space="preserve">uantum </w:t>
      </w:r>
      <w:r w:rsidRPr="00964918">
        <w:rPr>
          <w:b/>
        </w:rPr>
        <w:t>D</w:t>
      </w:r>
      <w:r w:rsidR="00816682" w:rsidRPr="00964918">
        <w:rPr>
          <w:b/>
        </w:rPr>
        <w:t>ot</w:t>
      </w:r>
      <w:r w:rsidR="00BD71C6" w:rsidRPr="00964918">
        <w:rPr>
          <w:b/>
        </w:rPr>
        <w:t>s</w:t>
      </w:r>
    </w:p>
    <w:p w14:paraId="1C271BEC" w14:textId="77777777" w:rsidR="00D77CE3" w:rsidRPr="00964918" w:rsidRDefault="00D77CE3" w:rsidP="00D77CE3">
      <w:pPr>
        <w:spacing w:line="480" w:lineRule="auto"/>
      </w:pPr>
    </w:p>
    <w:p w14:paraId="4939B59B" w14:textId="77777777" w:rsidR="001A4454" w:rsidRDefault="001A4454" w:rsidP="00D77CE3">
      <w:pPr>
        <w:pStyle w:val="Heading1"/>
        <w:spacing w:line="480" w:lineRule="auto"/>
        <w:jc w:val="center"/>
      </w:pPr>
    </w:p>
    <w:p w14:paraId="6BCD6EEB" w14:textId="4C328589" w:rsidR="00D77CE3" w:rsidRPr="00964918" w:rsidRDefault="00D77CE3" w:rsidP="00D77CE3">
      <w:pPr>
        <w:pStyle w:val="Heading1"/>
        <w:spacing w:line="480" w:lineRule="auto"/>
        <w:jc w:val="center"/>
      </w:pPr>
      <w:bookmarkStart w:id="0" w:name="_GoBack"/>
      <w:bookmarkEnd w:id="0"/>
      <w:r w:rsidRPr="00964918">
        <w:t>ABSTRACT</w:t>
      </w:r>
    </w:p>
    <w:p w14:paraId="09EE2B5C" w14:textId="5EF4A848" w:rsidR="002C02ED" w:rsidRPr="00964918" w:rsidRDefault="006345C6" w:rsidP="00785485">
      <w:pPr>
        <w:spacing w:line="480" w:lineRule="auto"/>
        <w:jc w:val="both"/>
        <w:rPr>
          <w:b/>
        </w:rPr>
      </w:pPr>
      <w:r w:rsidRPr="00964918">
        <w:t>Lead sulfide (</w:t>
      </w:r>
      <w:proofErr w:type="spellStart"/>
      <w:r w:rsidRPr="00964918">
        <w:t>PbS</w:t>
      </w:r>
      <w:proofErr w:type="spellEnd"/>
      <w:r w:rsidRPr="00964918">
        <w:t xml:space="preserve">) quantum dots (QDs) were prepared and incorporated into dye-sensitized solar cells (DSSCs) employing natural </w:t>
      </w:r>
      <w:r w:rsidRPr="00964918">
        <w:rPr>
          <w:i/>
          <w:iCs/>
        </w:rPr>
        <w:t>Hibiscus sabdariffa</w:t>
      </w:r>
      <w:r w:rsidRPr="00964918">
        <w:t xml:space="preserve"> dye as the primary sensitizer. The optical properties of the fabricated devices were analyzed using UV–Vis spectroscopy, which revealed significant enhancement in absorption across the ultraviolet, visible, and near-infrared regions, confirming that </w:t>
      </w:r>
      <w:proofErr w:type="spellStart"/>
      <w:r w:rsidRPr="00964918">
        <w:t>PbS</w:t>
      </w:r>
      <w:proofErr w:type="spellEnd"/>
      <w:r w:rsidRPr="00964918">
        <w:t xml:space="preserve"> QDs effectively broadened the spectral response and improved the light-harvesting capability of the system. Photovoltaic performance was evaluated through current–voltage (I–V) characterization under simulated solar illumination at 100 </w:t>
      </w:r>
      <w:proofErr w:type="spellStart"/>
      <w:r w:rsidRPr="00964918">
        <w:t>mW</w:t>
      </w:r>
      <w:proofErr w:type="spellEnd"/>
      <w:r w:rsidRPr="00964918">
        <w:t xml:space="preserve">/cm². The DSSCs containing a 0.05 M concentration of </w:t>
      </w:r>
      <w:proofErr w:type="spellStart"/>
      <w:r w:rsidRPr="00964918">
        <w:t>PbS</w:t>
      </w:r>
      <w:proofErr w:type="spellEnd"/>
      <w:r w:rsidRPr="00964918">
        <w:t xml:space="preserve"> QDs exhibited notable improvements in device parameters, achieving a short-circuit current density (</w:t>
      </w:r>
      <w:proofErr w:type="spellStart"/>
      <w:r w:rsidRPr="00964918">
        <w:t>Jsc</w:t>
      </w:r>
      <w:proofErr w:type="spellEnd"/>
      <w:r w:rsidRPr="00964918">
        <w:t xml:space="preserve">) of 5.3 </w:t>
      </w:r>
      <w:r w:rsidR="001903B4" w:rsidRPr="00964918">
        <w:t>mA cm⁻²</w:t>
      </w:r>
      <w:r w:rsidRPr="00964918">
        <w:t xml:space="preserve">, an open-circuit voltage (Voc) of 0.680 V, a fill factor (FF) of 0.557, and an overall energy conversion efficiency (η) of 2.01 %. </w:t>
      </w:r>
      <w:r w:rsidR="00785485" w:rsidRPr="00964918">
        <w:rPr>
          <w:color w:val="000000" w:themeColor="text1"/>
        </w:rPr>
        <w:t xml:space="preserve">These values were substantially higher </w:t>
      </w:r>
      <w:r w:rsidR="00785485" w:rsidRPr="00964918">
        <w:rPr>
          <w:rStyle w:val="Strong"/>
          <w:b w:val="0"/>
          <w:color w:val="000000" w:themeColor="text1"/>
        </w:rPr>
        <w:t xml:space="preserve">than those of control DSSCs fabricated without </w:t>
      </w:r>
      <w:proofErr w:type="spellStart"/>
      <w:r w:rsidR="00785485" w:rsidRPr="00964918">
        <w:rPr>
          <w:rStyle w:val="Strong"/>
          <w:b w:val="0"/>
          <w:color w:val="000000" w:themeColor="text1"/>
        </w:rPr>
        <w:t>PbS</w:t>
      </w:r>
      <w:proofErr w:type="spellEnd"/>
      <w:r w:rsidR="00785485" w:rsidRPr="00964918">
        <w:rPr>
          <w:rStyle w:val="Strong"/>
          <w:b w:val="0"/>
          <w:color w:val="000000" w:themeColor="text1"/>
        </w:rPr>
        <w:t xml:space="preserve"> QDs</w:t>
      </w:r>
      <w:r w:rsidRPr="00964918">
        <w:t xml:space="preserve">, highlighting the beneficial role of QDs in enhancing the photovoltaic response. The observed performance improvement can be attributed to the unique optoelectronic properties of </w:t>
      </w:r>
      <w:proofErr w:type="spellStart"/>
      <w:r w:rsidRPr="00964918">
        <w:t>PbS</w:t>
      </w:r>
      <w:proofErr w:type="spellEnd"/>
      <w:r w:rsidRPr="00964918">
        <w:t xml:space="preserve">, including their tunable bandgap and high charge transport </w:t>
      </w:r>
      <w:r w:rsidR="00B238AB" w:rsidRPr="00964918">
        <w:t>characteristics</w:t>
      </w:r>
      <w:r w:rsidRPr="00964918">
        <w:t xml:space="preserve">, which facilitated more effective electron injection into the </w:t>
      </w:r>
      <w:proofErr w:type="spellStart"/>
      <w:r w:rsidRPr="00964918">
        <w:t>TiO</w:t>
      </w:r>
      <w:proofErr w:type="spellEnd"/>
      <w:r w:rsidRPr="00964918">
        <w:t xml:space="preserve">₂ conduction band and minimized electron–hole recombination losses. In addition, favorable energy level alignment between </w:t>
      </w:r>
      <w:proofErr w:type="spellStart"/>
      <w:r w:rsidRPr="00964918">
        <w:t>PbS</w:t>
      </w:r>
      <w:proofErr w:type="spellEnd"/>
      <w:r w:rsidRPr="00964918">
        <w:t xml:space="preserve"> QDs and </w:t>
      </w:r>
      <w:proofErr w:type="spellStart"/>
      <w:r w:rsidRPr="00964918">
        <w:t>TiO</w:t>
      </w:r>
      <w:proofErr w:type="spellEnd"/>
      <w:r w:rsidRPr="00964918">
        <w:t xml:space="preserve">₂ contributed to improved charge separation and transport dynamics, thereby increasing both photocurrent and photovoltage outputs. Overall, the study demonstrates that the integration of </w:t>
      </w:r>
      <w:proofErr w:type="spellStart"/>
      <w:r w:rsidRPr="00964918">
        <w:t>PbS</w:t>
      </w:r>
      <w:proofErr w:type="spellEnd"/>
      <w:r w:rsidRPr="00964918">
        <w:t xml:space="preserve"> QDs with natural dyes in DSSCs represents a cost-effective and sustainable strategy to enhance solar energy conversion. These findings provide </w:t>
      </w:r>
      <w:r w:rsidRPr="00964918">
        <w:lastRenderedPageBreak/>
        <w:t>insight into the potential of quantum dot–dye hybrid systems for next-generation photovoltaics, opening pathways for the development of high-performance and environmentally friendly solar energy devices.</w:t>
      </w:r>
    </w:p>
    <w:p w14:paraId="2692302E" w14:textId="302FE36D" w:rsidR="00A65E28" w:rsidRPr="00964918" w:rsidRDefault="004328DC" w:rsidP="00016AC3">
      <w:pPr>
        <w:spacing w:line="480" w:lineRule="auto"/>
      </w:pPr>
      <w:r w:rsidRPr="00964918">
        <w:rPr>
          <w:b/>
          <w:bCs/>
          <w:color w:val="000000" w:themeColor="text1"/>
        </w:rPr>
        <w:t>Keywords:</w:t>
      </w:r>
      <w:r w:rsidRPr="00964918">
        <w:rPr>
          <w:b/>
          <w:bCs/>
          <w:color w:val="000000" w:themeColor="text1"/>
        </w:rPr>
        <w:tab/>
      </w:r>
      <w:r w:rsidR="00A65E28" w:rsidRPr="00964918">
        <w:t>Dye-sensitized solar cells, Lead sulfide quantum dots (</w:t>
      </w:r>
      <w:proofErr w:type="spellStart"/>
      <w:r w:rsidR="00A65E28" w:rsidRPr="00964918">
        <w:t>PbS</w:t>
      </w:r>
      <w:proofErr w:type="spellEnd"/>
      <w:r w:rsidR="00A65E28" w:rsidRPr="00964918">
        <w:t xml:space="preserve"> QDs), </w:t>
      </w:r>
      <w:r w:rsidR="00B24093" w:rsidRPr="00964918">
        <w:t>optimi</w:t>
      </w:r>
      <w:r w:rsidR="00144CC7" w:rsidRPr="00964918">
        <w:t>z</w:t>
      </w:r>
      <w:r w:rsidR="00B24093" w:rsidRPr="00964918">
        <w:t>ation</w:t>
      </w:r>
      <w:r w:rsidR="00A65E28" w:rsidRPr="00964918">
        <w:t>, Photovoltaic efficiency, UV-Vis spectroscopy</w:t>
      </w:r>
    </w:p>
    <w:p w14:paraId="338F8887" w14:textId="77777777" w:rsidR="00A65E28" w:rsidRPr="00964918" w:rsidRDefault="00A65E28" w:rsidP="00A65E28">
      <w:pPr>
        <w:spacing w:line="480" w:lineRule="auto"/>
      </w:pPr>
    </w:p>
    <w:p w14:paraId="2C9C1DAC" w14:textId="77777777" w:rsidR="00A65E28" w:rsidRPr="00964918" w:rsidRDefault="008D5821" w:rsidP="00297CCC">
      <w:pPr>
        <w:spacing w:line="480" w:lineRule="auto"/>
        <w:jc w:val="both"/>
        <w:rPr>
          <w:b/>
        </w:rPr>
      </w:pPr>
      <w:r w:rsidRPr="00964918">
        <w:rPr>
          <w:b/>
        </w:rPr>
        <w:t>INTRODUCTION</w:t>
      </w:r>
    </w:p>
    <w:p w14:paraId="68954535" w14:textId="642CFABD" w:rsidR="00D77CE3" w:rsidRPr="00964918" w:rsidRDefault="00D77CE3" w:rsidP="00297CCC">
      <w:pPr>
        <w:spacing w:line="480" w:lineRule="auto"/>
        <w:jc w:val="both"/>
      </w:pPr>
      <w:r w:rsidRPr="00964918">
        <w:t>Dye-sensitized solar cells (DSSCs) have attracted considerable attention as next-generation photovoltaic devices owing to their low fabrication cost, simple processing, and potential for achieving high efficiencies. These devices utilize photosensitive dyes to capture solar energy and convert it into electricity. Despite their promise, the performance of DSSCs is constrained by issues such as limited dye stability, narrow absorption spectra, and significant electron recombination losses. To address these challenges, recent studies have investigated the incorporation of semiconductor nanomaterials, particularly quantum dots (QDs), into DSSC architectures (Concina, 2015). Among these, lead sulfide quantum dots (</w:t>
      </w:r>
      <w:proofErr w:type="spellStart"/>
      <w:r w:rsidRPr="00964918">
        <w:t>PbS</w:t>
      </w:r>
      <w:proofErr w:type="spellEnd"/>
      <w:r w:rsidRPr="00964918">
        <w:t xml:space="preserve"> QDs) have shown great potential for enhancing device performance due to their tunable near-infrared band gaps, which are size-dependent and highly advantageous for photovoltaic applications (Meyer et al., 2019). Their distinctive electronic characteristics allow for efficient light harvesting in solution-processed devices (Yuan et al., 2016), while additional benefits include strong absorption coefficients, multiple exciton generation (MEG), and facile processability (Eslami et al., 2023).</w:t>
      </w:r>
    </w:p>
    <w:p w14:paraId="418CFB30" w14:textId="099F1FF9" w:rsidR="00D77CE3" w:rsidRPr="00964918" w:rsidRDefault="00D77CE3" w:rsidP="00297CCC">
      <w:pPr>
        <w:pStyle w:val="NormalWeb"/>
        <w:spacing w:line="480" w:lineRule="auto"/>
        <w:jc w:val="both"/>
      </w:pPr>
      <w:r w:rsidRPr="00964918">
        <w:t xml:space="preserve">Advancements in </w:t>
      </w:r>
      <w:proofErr w:type="spellStart"/>
      <w:r w:rsidRPr="00964918">
        <w:t>PbS</w:t>
      </w:r>
      <w:proofErr w:type="spellEnd"/>
      <w:r w:rsidRPr="00964918">
        <w:t xml:space="preserve">-based solar cells have demonstrated further improvements through strategies such as incorporating thin organic bulk-heterojunction interlayers (Zhang et al., 2020), employing ferroelectric field effect modulation at heterojunctions to facilitate charge carrier mobility (Shi et al., 2013), and introducing surface passivation methods to enhance </w:t>
      </w:r>
      <w:r w:rsidRPr="00964918">
        <w:lastRenderedPageBreak/>
        <w:t xml:space="preserve">stability and suppress non-radiative recombination (Wang et al., 2018). Other approaches include doping metal oxides and mitigating trap states to minimize interfacial recombination (Basit et al., 2023), while passivation has been shown to reduce open-circuit voltage losses and improve overall efficiency (Liu et al., 2023). Moreover, the use of narrow-bandgap </w:t>
      </w:r>
      <w:proofErr w:type="spellStart"/>
      <w:r w:rsidRPr="00964918">
        <w:t>PbS</w:t>
      </w:r>
      <w:proofErr w:type="spellEnd"/>
      <w:r w:rsidRPr="00964918">
        <w:t xml:space="preserve"> hole transport layers </w:t>
      </w:r>
      <w:r w:rsidR="004D4AA0" w:rsidRPr="00964918">
        <w:t>have</w:t>
      </w:r>
      <w:r w:rsidRPr="00964918">
        <w:t xml:space="preserve"> emerged as a promising pathway for fabricating cost-effective, high-performance devices (Tavakoli et al., 2019).</w:t>
      </w:r>
    </w:p>
    <w:p w14:paraId="5BC72D9D" w14:textId="74077EAD" w:rsidR="0018618C" w:rsidRPr="00964918" w:rsidRDefault="00D77CE3" w:rsidP="00297CCC">
      <w:pPr>
        <w:pStyle w:val="NormalWeb"/>
        <w:spacing w:line="480" w:lineRule="auto"/>
        <w:jc w:val="both"/>
      </w:pPr>
      <w:r w:rsidRPr="00964918">
        <w:t xml:space="preserve">Overall, integrating </w:t>
      </w:r>
      <w:proofErr w:type="spellStart"/>
      <w:r w:rsidRPr="00964918">
        <w:t>PbS</w:t>
      </w:r>
      <w:proofErr w:type="spellEnd"/>
      <w:r w:rsidRPr="00964918">
        <w:t xml:space="preserve"> QDs into DSSCs offers a compelling route to improve photovoltaic efficiency and device stability. By leveraging the inherent optical and electronic advantages of </w:t>
      </w:r>
      <w:proofErr w:type="spellStart"/>
      <w:r w:rsidRPr="00964918">
        <w:t>PbS</w:t>
      </w:r>
      <w:proofErr w:type="spellEnd"/>
      <w:r w:rsidRPr="00964918">
        <w:t xml:space="preserve"> QDs, alongside optimization strategies such as surface passivation, interfacial engineering, and doping, this technology holds significant potential for advancing sustainable solar energy applications.</w:t>
      </w:r>
    </w:p>
    <w:p w14:paraId="33835B84" w14:textId="77777777" w:rsidR="00E56365" w:rsidRPr="00964918" w:rsidRDefault="00E56365" w:rsidP="00297CCC">
      <w:pPr>
        <w:spacing w:line="480" w:lineRule="auto"/>
        <w:jc w:val="both"/>
        <w:rPr>
          <w:b/>
          <w:bCs/>
        </w:rPr>
      </w:pPr>
    </w:p>
    <w:p w14:paraId="1B0CFDA9" w14:textId="4E516213" w:rsidR="00E56365" w:rsidRPr="00964918" w:rsidRDefault="00E56365" w:rsidP="00297CCC">
      <w:pPr>
        <w:spacing w:line="480" w:lineRule="auto"/>
        <w:jc w:val="both"/>
        <w:rPr>
          <w:b/>
          <w:bCs/>
        </w:rPr>
      </w:pPr>
    </w:p>
    <w:p w14:paraId="232C4241" w14:textId="0042E60A" w:rsidR="002C7D8D" w:rsidRPr="00964918" w:rsidRDefault="002C7D8D" w:rsidP="00297CCC">
      <w:pPr>
        <w:spacing w:line="480" w:lineRule="auto"/>
        <w:jc w:val="both"/>
        <w:rPr>
          <w:b/>
          <w:bCs/>
        </w:rPr>
      </w:pPr>
    </w:p>
    <w:p w14:paraId="217FC7A1" w14:textId="3E1A3598" w:rsidR="004A5F4E" w:rsidRPr="00964918" w:rsidRDefault="004A5F4E" w:rsidP="00297CCC">
      <w:pPr>
        <w:spacing w:line="480" w:lineRule="auto"/>
        <w:jc w:val="both"/>
        <w:rPr>
          <w:b/>
          <w:bCs/>
        </w:rPr>
      </w:pPr>
    </w:p>
    <w:p w14:paraId="0E86E2BC" w14:textId="67B509F4" w:rsidR="004A5F4E" w:rsidRPr="00964918" w:rsidRDefault="004A5F4E" w:rsidP="00297CCC">
      <w:pPr>
        <w:spacing w:line="480" w:lineRule="auto"/>
        <w:jc w:val="both"/>
        <w:rPr>
          <w:b/>
          <w:bCs/>
        </w:rPr>
      </w:pPr>
    </w:p>
    <w:p w14:paraId="274BD6AB" w14:textId="23772FB8" w:rsidR="004A5F4E" w:rsidRPr="00964918" w:rsidRDefault="004A5F4E" w:rsidP="00297CCC">
      <w:pPr>
        <w:spacing w:line="480" w:lineRule="auto"/>
        <w:jc w:val="both"/>
        <w:rPr>
          <w:b/>
          <w:bCs/>
        </w:rPr>
      </w:pPr>
    </w:p>
    <w:p w14:paraId="2E6E7844" w14:textId="77777777" w:rsidR="004A5F4E" w:rsidRPr="00964918" w:rsidRDefault="004A5F4E" w:rsidP="00297CCC">
      <w:pPr>
        <w:spacing w:line="480" w:lineRule="auto"/>
        <w:jc w:val="both"/>
        <w:rPr>
          <w:b/>
          <w:bCs/>
        </w:rPr>
      </w:pPr>
    </w:p>
    <w:p w14:paraId="51852B5C" w14:textId="7CDD4EFF" w:rsidR="002C7D8D" w:rsidRPr="00964918" w:rsidRDefault="002C7D8D" w:rsidP="00297CCC">
      <w:pPr>
        <w:spacing w:line="480" w:lineRule="auto"/>
        <w:jc w:val="both"/>
        <w:rPr>
          <w:b/>
          <w:bCs/>
        </w:rPr>
      </w:pPr>
    </w:p>
    <w:p w14:paraId="512C8007" w14:textId="77777777" w:rsidR="002C7D8D" w:rsidRPr="00964918" w:rsidRDefault="002C7D8D" w:rsidP="00297CCC">
      <w:pPr>
        <w:spacing w:line="480" w:lineRule="auto"/>
        <w:jc w:val="both"/>
        <w:rPr>
          <w:b/>
          <w:bCs/>
        </w:rPr>
      </w:pPr>
    </w:p>
    <w:p w14:paraId="4D8A4EC6" w14:textId="515A94D8" w:rsidR="0048074B" w:rsidRPr="00964918" w:rsidRDefault="0048074B" w:rsidP="00F04DE1">
      <w:pPr>
        <w:spacing w:line="480" w:lineRule="auto"/>
        <w:rPr>
          <w:b/>
          <w:bCs/>
        </w:rPr>
      </w:pPr>
      <w:r w:rsidRPr="00964918">
        <w:rPr>
          <w:b/>
          <w:bCs/>
        </w:rPr>
        <w:t>MATERIALS AND METHODS</w:t>
      </w:r>
    </w:p>
    <w:p w14:paraId="1799865C" w14:textId="586445B9" w:rsidR="00853BED" w:rsidRPr="00964918" w:rsidRDefault="003C7F17" w:rsidP="00F04DE1">
      <w:pPr>
        <w:spacing w:line="480" w:lineRule="auto"/>
        <w:rPr>
          <w:b/>
          <w:bCs/>
        </w:rPr>
      </w:pPr>
      <w:r w:rsidRPr="00964918">
        <w:rPr>
          <w:b/>
          <w:bCs/>
        </w:rPr>
        <w:t>MATERIALS</w:t>
      </w:r>
    </w:p>
    <w:p w14:paraId="5B60DA74" w14:textId="37065BE8" w:rsidR="000618C4" w:rsidRPr="00964918" w:rsidRDefault="000618C4" w:rsidP="00F04DE1">
      <w:pPr>
        <w:pStyle w:val="NormalWeb"/>
        <w:spacing w:line="480" w:lineRule="auto"/>
        <w:jc w:val="both"/>
      </w:pPr>
      <w:r w:rsidRPr="00964918">
        <w:t>Fluorine-doped tin oxide (FTO) glass substrates were used as the conducting electrodes. Titanium dioxide (</w:t>
      </w:r>
      <w:proofErr w:type="spellStart"/>
      <w:r w:rsidRPr="00964918">
        <w:t>TiO</w:t>
      </w:r>
      <w:proofErr w:type="spellEnd"/>
      <w:r w:rsidRPr="00964918">
        <w:t>₂) paste was employed as the photoanode material. Lead and sul</w:t>
      </w:r>
      <w:r w:rsidR="00237AA4" w:rsidRPr="00964918">
        <w:t>f</w:t>
      </w:r>
      <w:r w:rsidRPr="00964918">
        <w:t xml:space="preserve">ur </w:t>
      </w:r>
      <w:r w:rsidRPr="00964918">
        <w:lastRenderedPageBreak/>
        <w:t xml:space="preserve">precursor salts were used for the preparation of </w:t>
      </w:r>
      <w:proofErr w:type="spellStart"/>
      <w:r w:rsidRPr="00964918">
        <w:t>PbS</w:t>
      </w:r>
      <w:proofErr w:type="spellEnd"/>
      <w:r w:rsidRPr="00964918">
        <w:t xml:space="preserve"> quantum dots. Natural Hibiscus dye was extracted and used as the sensitizer. The electrolyte was based on an iodide/triiodide redox couple. Graphite/carbon material, ethanol, acetone, and distilled water were used for electrode preparation and cleaning.</w:t>
      </w:r>
    </w:p>
    <w:p w14:paraId="2DA9758D" w14:textId="41734ED8"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 xml:space="preserve">Preparation of </w:t>
      </w:r>
      <w:proofErr w:type="spellStart"/>
      <w:r w:rsidRPr="00964918">
        <w:rPr>
          <w:rFonts w:ascii="Times New Roman" w:hAnsi="Times New Roman" w:cs="Times New Roman"/>
          <w:b/>
          <w:color w:val="000000" w:themeColor="text1"/>
        </w:rPr>
        <w:t>TiO</w:t>
      </w:r>
      <w:proofErr w:type="spellEnd"/>
      <w:r w:rsidRPr="00964918">
        <w:rPr>
          <w:rFonts w:ascii="Times New Roman" w:hAnsi="Times New Roman" w:cs="Times New Roman"/>
          <w:b/>
          <w:color w:val="000000" w:themeColor="text1"/>
        </w:rPr>
        <w:t>₂ Photoanode</w:t>
      </w:r>
    </w:p>
    <w:p w14:paraId="233D7208" w14:textId="77777777" w:rsidR="005C16F2" w:rsidRPr="00964918" w:rsidRDefault="000618C4" w:rsidP="005C16F2">
      <w:pPr>
        <w:spacing w:line="480" w:lineRule="auto"/>
        <w:jc w:val="both"/>
      </w:pPr>
      <w:r w:rsidRPr="00964918">
        <w:t xml:space="preserve">The FTO glass substrates were cleaned sequentially with detergent solution, distilled water, ethanol, and acetone to remove surface contaminants. A layer of </w:t>
      </w:r>
      <w:proofErr w:type="spellStart"/>
      <w:r w:rsidRPr="00964918">
        <w:t>TiO</w:t>
      </w:r>
      <w:proofErr w:type="spellEnd"/>
      <w:r w:rsidRPr="00964918">
        <w:t xml:space="preserve">₂ paste was deposited on the conductive side of the FTO glass using the doctor-blade technique, with adhesive tape employed as a spacer to control film thickness. The coated substrates were air-dried and subsequently sintered at elevated temperature </w:t>
      </w:r>
      <w:r w:rsidR="005C16F2" w:rsidRPr="00964918">
        <w:t>(</w:t>
      </w:r>
      <w:r w:rsidR="005C16F2" w:rsidRPr="00964918">
        <w:rPr>
          <w:rStyle w:val="Strong"/>
          <w:b w:val="0"/>
        </w:rPr>
        <w:t>typically 450–500 °C</w:t>
      </w:r>
      <w:r w:rsidR="005C16F2" w:rsidRPr="00964918">
        <w:t>) to enhance adhesion and electronic properties.</w:t>
      </w:r>
    </w:p>
    <w:p w14:paraId="3D1AFCE8" w14:textId="05EB6DD1" w:rsidR="000618C4" w:rsidRPr="00964918" w:rsidRDefault="000618C4" w:rsidP="00F04DE1">
      <w:pPr>
        <w:pStyle w:val="NormalWeb"/>
        <w:spacing w:line="480" w:lineRule="auto"/>
        <w:jc w:val="both"/>
      </w:pPr>
      <w:r w:rsidRPr="00964918">
        <w:t xml:space="preserve">to enhance adhesion and improve the electronic properties of the </w:t>
      </w:r>
      <w:proofErr w:type="spellStart"/>
      <w:r w:rsidRPr="00964918">
        <w:t>TiO</w:t>
      </w:r>
      <w:proofErr w:type="spellEnd"/>
      <w:r w:rsidRPr="00964918">
        <w:t>₂ film.</w:t>
      </w:r>
    </w:p>
    <w:p w14:paraId="4F651DFB" w14:textId="5FD1EE20"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 xml:space="preserve">Dye and </w:t>
      </w:r>
      <w:proofErr w:type="spellStart"/>
      <w:r w:rsidRPr="00964918">
        <w:rPr>
          <w:rFonts w:ascii="Times New Roman" w:hAnsi="Times New Roman" w:cs="Times New Roman"/>
          <w:b/>
          <w:color w:val="000000" w:themeColor="text1"/>
        </w:rPr>
        <w:t>PbS</w:t>
      </w:r>
      <w:proofErr w:type="spellEnd"/>
      <w:r w:rsidRPr="00964918">
        <w:rPr>
          <w:rFonts w:ascii="Times New Roman" w:hAnsi="Times New Roman" w:cs="Times New Roman"/>
          <w:b/>
          <w:color w:val="000000" w:themeColor="text1"/>
        </w:rPr>
        <w:t xml:space="preserve"> Quantum Dot Sensitization</w:t>
      </w:r>
    </w:p>
    <w:p w14:paraId="4FE3566D" w14:textId="325B9ABC" w:rsidR="00535BD5" w:rsidRPr="00964918" w:rsidRDefault="000618C4" w:rsidP="00535BD5">
      <w:pPr>
        <w:pStyle w:val="NormalWeb"/>
        <w:spacing w:line="480" w:lineRule="auto"/>
        <w:jc w:val="both"/>
      </w:pPr>
      <w:r w:rsidRPr="00964918">
        <w:t xml:space="preserve">Natural dye was extracted from Hibiscus petals using ethanol as solvent. The prepared </w:t>
      </w:r>
      <w:proofErr w:type="spellStart"/>
      <w:r w:rsidRPr="00964918">
        <w:t>TiO</w:t>
      </w:r>
      <w:proofErr w:type="spellEnd"/>
      <w:r w:rsidRPr="00964918">
        <w:t xml:space="preserve">₂ photoanodes were immersed in the dye solution for effective adsorption of the dye molecules onto the </w:t>
      </w:r>
      <w:proofErr w:type="spellStart"/>
      <w:r w:rsidRPr="00964918">
        <w:t>TiO</w:t>
      </w:r>
      <w:proofErr w:type="spellEnd"/>
      <w:r w:rsidRPr="00964918">
        <w:t xml:space="preserve">₂ surface. </w:t>
      </w:r>
      <w:proofErr w:type="spellStart"/>
      <w:r w:rsidRPr="00964918">
        <w:t>PbS</w:t>
      </w:r>
      <w:proofErr w:type="spellEnd"/>
      <w:r w:rsidRPr="00964918">
        <w:t xml:space="preserve"> quantum dots were subsequently introduced by immersing the dye-sensitized </w:t>
      </w:r>
      <w:proofErr w:type="spellStart"/>
      <w:r w:rsidRPr="00964918">
        <w:t>TiO</w:t>
      </w:r>
      <w:proofErr w:type="spellEnd"/>
      <w:r w:rsidRPr="00964918">
        <w:t xml:space="preserve">₂ electrodes in the </w:t>
      </w:r>
      <w:proofErr w:type="spellStart"/>
      <w:r w:rsidRPr="00964918">
        <w:t>PbS</w:t>
      </w:r>
      <w:proofErr w:type="spellEnd"/>
      <w:r w:rsidRPr="00964918">
        <w:t xml:space="preserve"> quantum dot solution </w:t>
      </w:r>
      <w:r w:rsidR="00535BD5" w:rsidRPr="00964918">
        <w:t>under dark conditions to prevent photo degradation</w:t>
      </w:r>
    </w:p>
    <w:p w14:paraId="01518570" w14:textId="73138BB3" w:rsidR="000618C4" w:rsidRPr="00964918" w:rsidRDefault="000618C4" w:rsidP="00535BD5">
      <w:pPr>
        <w:pStyle w:val="NormalWeb"/>
        <w:spacing w:line="480" w:lineRule="auto"/>
        <w:jc w:val="both"/>
        <w:rPr>
          <w:b/>
          <w:color w:val="000000" w:themeColor="text1"/>
        </w:rPr>
      </w:pPr>
      <w:r w:rsidRPr="00964918">
        <w:rPr>
          <w:b/>
          <w:color w:val="000000" w:themeColor="text1"/>
        </w:rPr>
        <w:t>Counter Electrode Preparation</w:t>
      </w:r>
    </w:p>
    <w:p w14:paraId="4694CAC1" w14:textId="0899102D" w:rsidR="000618C4" w:rsidRPr="00964918" w:rsidRDefault="000618C4" w:rsidP="00F04DE1">
      <w:pPr>
        <w:pStyle w:val="NormalWeb"/>
        <w:spacing w:line="480" w:lineRule="auto"/>
        <w:jc w:val="both"/>
      </w:pPr>
      <w:r w:rsidRPr="00964918">
        <w:t>The counter electrode was prepared by depositing a thin carbon layer on cleaned FTO glass substrates. Graphite/carbon material was uniformly spread on the conductive surface and gently heated to improve adhesion and electrical conductivity.</w:t>
      </w:r>
    </w:p>
    <w:p w14:paraId="730E42DF" w14:textId="77777777" w:rsidR="005C16F2" w:rsidRPr="00964918" w:rsidRDefault="005C16F2" w:rsidP="00F04DE1">
      <w:pPr>
        <w:pStyle w:val="NormalWeb"/>
        <w:spacing w:line="480" w:lineRule="auto"/>
        <w:jc w:val="both"/>
      </w:pPr>
    </w:p>
    <w:p w14:paraId="553317F4" w14:textId="4FAA862E"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Electrolyte Preparation and Cell Assembly</w:t>
      </w:r>
    </w:p>
    <w:p w14:paraId="1ACF4FDD" w14:textId="2FA87343" w:rsidR="000618C4" w:rsidRPr="00964918" w:rsidRDefault="000618C4" w:rsidP="00F04DE1">
      <w:pPr>
        <w:pStyle w:val="NormalWeb"/>
        <w:spacing w:line="480" w:lineRule="auto"/>
        <w:jc w:val="both"/>
      </w:pPr>
      <w:r w:rsidRPr="00964918">
        <w:t xml:space="preserve">The electrolyte solution was prepared using an iodide/triiodide redox couple dissolved in an appropriate solvent. The dye- and </w:t>
      </w:r>
      <w:proofErr w:type="spellStart"/>
      <w:r w:rsidRPr="00964918">
        <w:t>PbS</w:t>
      </w:r>
      <w:proofErr w:type="spellEnd"/>
      <w:r w:rsidRPr="00964918">
        <w:t xml:space="preserve">-sensitized </w:t>
      </w:r>
      <w:proofErr w:type="spellStart"/>
      <w:r w:rsidRPr="00964918">
        <w:t>TiO</w:t>
      </w:r>
      <w:proofErr w:type="spellEnd"/>
      <w:r w:rsidRPr="00964918">
        <w:t>₂ photoanode and the carbon-coated counter electrode were assembled in a sandwich configuration, with the electrolyte introduced between the electrodes by capillary action.</w:t>
      </w:r>
    </w:p>
    <w:p w14:paraId="1E378B22" w14:textId="1783BA6F"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Photovoltaic Characterization</w:t>
      </w:r>
    </w:p>
    <w:p w14:paraId="53E15385" w14:textId="77777777" w:rsidR="000618C4" w:rsidRPr="00964918" w:rsidRDefault="000618C4" w:rsidP="00F04DE1">
      <w:pPr>
        <w:pStyle w:val="NormalWeb"/>
        <w:spacing w:line="480" w:lineRule="auto"/>
        <w:jc w:val="both"/>
      </w:pPr>
      <w:r w:rsidRPr="00964918">
        <w:t>The assembled dye-sensitized solar cells were characterized under simulated solar illumination. Current density–voltage (J–V) measurements were recorded to determine the short-circuit current density (</w:t>
      </w:r>
      <w:proofErr w:type="spellStart"/>
      <w:r w:rsidRPr="00964918">
        <w:t>Jsc</w:t>
      </w:r>
      <w:proofErr w:type="spellEnd"/>
      <w:r w:rsidRPr="00964918">
        <w:t>), open-circuit voltage (</w:t>
      </w:r>
      <w:proofErr w:type="spellStart"/>
      <w:r w:rsidRPr="00964918">
        <w:t>Voc</w:t>
      </w:r>
      <w:proofErr w:type="spellEnd"/>
      <w:r w:rsidRPr="00964918">
        <w:t>), fill factor (FF), and power conversion efficiency (η). The power conversion efficiency was calculated using:</w:t>
      </w:r>
    </w:p>
    <w:p w14:paraId="5339A56B" w14:textId="1840CCDD" w:rsidR="000618C4" w:rsidRPr="00964918" w:rsidRDefault="000618C4" w:rsidP="00F04DE1">
      <w:pPr>
        <w:pStyle w:val="NormalWeb"/>
        <w:spacing w:line="480" w:lineRule="auto"/>
        <w:jc w:val="both"/>
      </w:pPr>
      <w:r w:rsidRPr="00964918">
        <w:t xml:space="preserve">                 Efficiency  </w:t>
      </w:r>
      <m:oMath>
        <m:r>
          <m:rPr>
            <m:sty m:val="p"/>
          </m:rPr>
          <w:rPr>
            <w:rFonts w:ascii="Cambria Math" w:eastAsia="Cambria Math" w:hAnsi="Cambria Math"/>
          </w:rPr>
          <m:t>(</m:t>
        </m:r>
        <m:r>
          <m:rPr>
            <m:sty m:val="p"/>
          </m:rPr>
          <w:rPr>
            <w:rFonts w:ascii="Cambria Math" w:hAnsi="Cambria Math"/>
          </w:rPr>
          <m:t>η</m:t>
        </m:r>
        <m:r>
          <m:rPr>
            <m:sty m:val="p"/>
          </m:rP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i/>
                  </w:rPr>
                </m:ctrlPr>
              </m:sSubPr>
              <m:e>
                <m:r>
                  <w:rPr>
                    <w:rFonts w:ascii="Cambria Math" w:eastAsia="Cambria Math" w:hAnsi="Cambria Math"/>
                  </w:rPr>
                  <m:t>J</m:t>
                </m:r>
              </m:e>
              <m:sub>
                <m:r>
                  <w:rPr>
                    <w:rFonts w:ascii="Cambria Math" w:eastAsia="Cambria Math" w:hAnsi="Cambria Math"/>
                  </w:rPr>
                  <m:t>sc</m:t>
                </m:r>
              </m:sub>
            </m:sSub>
            <m:r>
              <m:rPr>
                <m:sty m:val="p"/>
              </m:rPr>
              <w:rPr>
                <w:rFonts w:ascii="Cambria Math" w:eastAsia="Cambria Math" w:hAnsi="Cambria Math"/>
              </w:rPr>
              <m:t xml:space="preserve"> × </m:t>
            </m:r>
            <m:sSub>
              <m:sSubPr>
                <m:ctrlPr>
                  <w:rPr>
                    <w:rFonts w:ascii="Cambria Math" w:eastAsia="Cambria Math" w:hAnsi="Cambria Math"/>
                    <w:i/>
                  </w:rPr>
                </m:ctrlPr>
              </m:sSubPr>
              <m:e>
                <m:r>
                  <w:rPr>
                    <w:rFonts w:ascii="Cambria Math" w:eastAsia="Cambria Math" w:hAnsi="Cambria Math"/>
                  </w:rPr>
                  <m:t>v</m:t>
                </m:r>
              </m:e>
              <m:sub>
                <m:r>
                  <w:rPr>
                    <w:rFonts w:ascii="Cambria Math" w:eastAsia="Cambria Math" w:hAnsi="Cambria Math"/>
                  </w:rPr>
                  <m:t>oc</m:t>
                </m:r>
              </m:sub>
            </m:sSub>
            <m:r>
              <m:rPr>
                <m:sty m:val="p"/>
              </m:rPr>
              <w:rPr>
                <w:rFonts w:ascii="Cambria Math" w:eastAsia="Cambria Math" w:hAnsi="Cambria Math"/>
              </w:rPr>
              <m:t xml:space="preserve"> × </m:t>
            </m:r>
            <m:r>
              <w:rPr>
                <w:rFonts w:ascii="Cambria Math" w:eastAsia="Cambria Math" w:hAnsi="Cambria Math"/>
              </w:rPr>
              <m:t>FF</m:t>
            </m:r>
          </m:num>
          <m:den>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in</m:t>
                </m:r>
              </m:sub>
            </m:sSub>
          </m:den>
        </m:f>
      </m:oMath>
      <w:r w:rsidRPr="00964918">
        <w:t xml:space="preserve">                                                                      </w:t>
      </w:r>
    </w:p>
    <w:p w14:paraId="0BAFCF7F" w14:textId="27D029F2" w:rsidR="00C8368F" w:rsidRPr="00964918" w:rsidRDefault="00094F9A" w:rsidP="00F03F54">
      <w:pPr>
        <w:spacing w:line="480" w:lineRule="auto"/>
      </w:pPr>
      <w:r w:rsidRPr="00964918">
        <w:t xml:space="preserve">Where </w:t>
      </w:r>
      <m:oMath>
        <m:sSub>
          <m:sSubPr>
            <m:ctrlPr>
              <w:rPr>
                <w:rFonts w:ascii="Cambria Math" w:eastAsia="Cambria Math" w:hAnsi="Cambria Math"/>
                <w:i/>
              </w:rPr>
            </m:ctrlPr>
          </m:sSubPr>
          <m:e>
            <m:r>
              <w:rPr>
                <w:rFonts w:ascii="Cambria Math" w:eastAsia="Cambria Math" w:hAnsi="Cambria Math"/>
              </w:rPr>
              <m:t>J</m:t>
            </m:r>
          </m:e>
          <m:sub>
            <m:r>
              <w:rPr>
                <w:rFonts w:ascii="Cambria Math" w:eastAsia="Cambria Math" w:hAnsi="Cambria Math"/>
              </w:rPr>
              <m:t>sc</m:t>
            </m:r>
          </m:sub>
        </m:sSub>
      </m:oMath>
      <w:r w:rsidRPr="00964918">
        <w:t xml:space="preserve"> is the short-circuit current density (mA cm⁻²),</w:t>
      </w:r>
      <w:r w:rsidRPr="00964918">
        <w:br/>
      </w:r>
      <m:oMath>
        <m:sSub>
          <m:sSubPr>
            <m:ctrlPr>
              <w:rPr>
                <w:rFonts w:ascii="Cambria Math" w:eastAsia="Cambria Math" w:hAnsi="Cambria Math"/>
                <w:i/>
              </w:rPr>
            </m:ctrlPr>
          </m:sSubPr>
          <m:e>
            <m:r>
              <w:rPr>
                <w:rFonts w:ascii="Cambria Math" w:eastAsia="Cambria Math" w:hAnsi="Cambria Math"/>
              </w:rPr>
              <m:t>v</m:t>
            </m:r>
          </m:e>
          <m:sub>
            <m:r>
              <w:rPr>
                <w:rFonts w:ascii="Cambria Math" w:eastAsia="Cambria Math" w:hAnsi="Cambria Math"/>
              </w:rPr>
              <m:t>oc</m:t>
            </m:r>
          </m:sub>
        </m:sSub>
        <m:r>
          <w:rPr>
            <w:rFonts w:ascii="Cambria Math" w:eastAsia="Cambria Math" w:hAnsi="Cambria Math"/>
          </w:rPr>
          <m:t xml:space="preserve">  </m:t>
        </m:r>
      </m:oMath>
      <w:r w:rsidRPr="00964918">
        <w:t>is the open-circuit voltage (V),</w:t>
      </w:r>
      <w:r w:rsidRPr="00964918">
        <w:br/>
      </w:r>
      <w:r w:rsidRPr="00964918">
        <w:rPr>
          <w:rStyle w:val="mord"/>
        </w:rPr>
        <w:t>FF</w:t>
      </w:r>
      <w:r w:rsidRPr="00964918">
        <w:t xml:space="preserve"> is the fill factor, and</w:t>
      </w:r>
      <w:r w:rsidRPr="00964918">
        <w:br/>
      </w:r>
      <m:oMath>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in</m:t>
            </m:r>
          </m:sub>
        </m:sSub>
      </m:oMath>
      <w:r w:rsidRPr="00964918">
        <w:rPr>
          <w:rStyle w:val="katex-mathml"/>
        </w:rPr>
        <w:t xml:space="preserve"> </w:t>
      </w:r>
      <w:r w:rsidRPr="00964918">
        <w:t xml:space="preserve">is the incident light power density (100 </w:t>
      </w:r>
      <w:proofErr w:type="spellStart"/>
      <w:r w:rsidRPr="00964918">
        <w:t>mW</w:t>
      </w:r>
      <w:proofErr w:type="spellEnd"/>
      <w:r w:rsidRPr="00964918">
        <w:t xml:space="preserve"> cm⁻²).</w:t>
      </w:r>
    </w:p>
    <w:p w14:paraId="1785D4F9" w14:textId="77777777" w:rsidR="00C8368F" w:rsidRPr="00964918" w:rsidRDefault="00C8368F">
      <w:pPr>
        <w:rPr>
          <w:b/>
          <w:bCs/>
        </w:rPr>
      </w:pPr>
    </w:p>
    <w:p w14:paraId="49B6101F" w14:textId="72B7FD85" w:rsidR="00D77CE3" w:rsidRPr="00964918" w:rsidRDefault="00425E76" w:rsidP="00E059B4">
      <w:pPr>
        <w:spacing w:line="480" w:lineRule="auto"/>
        <w:rPr>
          <w:b/>
          <w:bCs/>
        </w:rPr>
      </w:pPr>
      <w:r w:rsidRPr="00964918">
        <w:rPr>
          <w:b/>
          <w:bCs/>
        </w:rPr>
        <w:t>RESULTS AND DISCUSSION</w:t>
      </w:r>
    </w:p>
    <w:p w14:paraId="5C0360E1" w14:textId="66EB8B7C" w:rsidR="0047127A" w:rsidRPr="00964918" w:rsidRDefault="00262300" w:rsidP="00E059B4">
      <w:pPr>
        <w:spacing w:line="480" w:lineRule="auto"/>
        <w:jc w:val="both"/>
      </w:pPr>
      <w:r w:rsidRPr="00964918">
        <w:t>The results of this study are presented in Table 1 - 5 and Figures 1 – 5:</w:t>
      </w:r>
      <w:bookmarkStart w:id="1" w:name="_heading=h.dkdgnu63nanc" w:colFirst="0" w:colLast="0"/>
      <w:bookmarkEnd w:id="1"/>
    </w:p>
    <w:p w14:paraId="7C3C6EDE" w14:textId="1AD2EC83" w:rsidR="00262300" w:rsidRPr="00964918" w:rsidRDefault="00262300" w:rsidP="0047127A">
      <w:pPr>
        <w:spacing w:line="480" w:lineRule="auto"/>
        <w:rPr>
          <w:color w:val="000000"/>
        </w:rPr>
      </w:pPr>
      <w:r w:rsidRPr="00964918">
        <w:rPr>
          <w:b/>
        </w:rPr>
        <w:t xml:space="preserve">Table 1: </w:t>
      </w:r>
      <w:r w:rsidRPr="00964918">
        <w:t>Absorbance Characteristics of Hibiscus DSSC</w:t>
      </w:r>
    </w:p>
    <w:tbl>
      <w:tblPr>
        <w:tblW w:w="3860" w:type="dxa"/>
        <w:jc w:val="center"/>
        <w:tblLayout w:type="fixed"/>
        <w:tblLook w:val="0400" w:firstRow="0" w:lastRow="0" w:firstColumn="0" w:lastColumn="0" w:noHBand="0" w:noVBand="1"/>
      </w:tblPr>
      <w:tblGrid>
        <w:gridCol w:w="1568"/>
        <w:gridCol w:w="2292"/>
      </w:tblGrid>
      <w:tr w:rsidR="00B33EA0" w:rsidRPr="00964918" w14:paraId="648F6011" w14:textId="77777777" w:rsidTr="009007FE">
        <w:trPr>
          <w:trHeight w:val="157"/>
          <w:tblHeader/>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1568DB9A" w14:textId="77777777" w:rsidR="00B33EA0" w:rsidRPr="00964918" w:rsidRDefault="00B33EA0" w:rsidP="002C02ED">
            <w:pPr>
              <w:rPr>
                <w:b/>
              </w:rPr>
            </w:pPr>
            <w:r w:rsidRPr="00964918">
              <w:rPr>
                <w:b/>
              </w:rPr>
              <w:t>Wavelength (nm)</w:t>
            </w:r>
          </w:p>
        </w:tc>
        <w:tc>
          <w:tcPr>
            <w:tcW w:w="2292" w:type="dxa"/>
            <w:tcBorders>
              <w:top w:val="single" w:sz="4" w:space="0" w:color="000000"/>
              <w:left w:val="single" w:sz="4" w:space="0" w:color="000000"/>
              <w:bottom w:val="single" w:sz="4" w:space="0" w:color="000000"/>
              <w:right w:val="single" w:sz="4" w:space="0" w:color="000000"/>
            </w:tcBorders>
            <w:vAlign w:val="center"/>
          </w:tcPr>
          <w:p w14:paraId="72BD55BE" w14:textId="45EE5DA6" w:rsidR="00B33EA0" w:rsidRPr="00964918" w:rsidRDefault="00B33EA0" w:rsidP="00DF3E61">
            <w:pPr>
              <w:rPr>
                <w:b/>
              </w:rPr>
            </w:pPr>
            <w:r w:rsidRPr="00964918">
              <w:rPr>
                <w:b/>
              </w:rPr>
              <w:t xml:space="preserve"> Hibiscus Absorbance (%)</w:t>
            </w:r>
          </w:p>
        </w:tc>
      </w:tr>
      <w:tr w:rsidR="00B33EA0" w:rsidRPr="00964918" w14:paraId="43383D09"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2CBC59C2" w14:textId="77777777" w:rsidR="00B33EA0" w:rsidRPr="00964918" w:rsidRDefault="00B33EA0" w:rsidP="002C02ED">
            <w:pPr>
              <w:jc w:val="center"/>
            </w:pPr>
            <w:r w:rsidRPr="00964918">
              <w:t>200</w:t>
            </w:r>
          </w:p>
        </w:tc>
        <w:tc>
          <w:tcPr>
            <w:tcW w:w="2292" w:type="dxa"/>
            <w:tcBorders>
              <w:top w:val="single" w:sz="4" w:space="0" w:color="000000"/>
              <w:left w:val="single" w:sz="4" w:space="0" w:color="000000"/>
              <w:bottom w:val="single" w:sz="4" w:space="0" w:color="000000"/>
              <w:right w:val="single" w:sz="4" w:space="0" w:color="000000"/>
            </w:tcBorders>
            <w:vAlign w:val="center"/>
          </w:tcPr>
          <w:p w14:paraId="50CC2870" w14:textId="77777777" w:rsidR="00B33EA0" w:rsidRPr="00964918" w:rsidRDefault="00B33EA0" w:rsidP="002C02ED">
            <w:pPr>
              <w:jc w:val="center"/>
            </w:pPr>
            <w:r w:rsidRPr="00964918">
              <w:t>2.00</w:t>
            </w:r>
          </w:p>
        </w:tc>
      </w:tr>
      <w:tr w:rsidR="00B33EA0" w:rsidRPr="00964918" w14:paraId="3BDB240E" w14:textId="77777777" w:rsidTr="009007FE">
        <w:trPr>
          <w:trHeight w:val="166"/>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7FCC6DD" w14:textId="77777777" w:rsidR="00B33EA0" w:rsidRPr="00964918" w:rsidRDefault="00B33EA0" w:rsidP="002C02ED">
            <w:pPr>
              <w:jc w:val="center"/>
            </w:pPr>
            <w:r w:rsidRPr="00964918">
              <w:t>250</w:t>
            </w:r>
          </w:p>
        </w:tc>
        <w:tc>
          <w:tcPr>
            <w:tcW w:w="2292" w:type="dxa"/>
            <w:tcBorders>
              <w:top w:val="single" w:sz="4" w:space="0" w:color="000000"/>
              <w:left w:val="single" w:sz="4" w:space="0" w:color="000000"/>
              <w:bottom w:val="single" w:sz="4" w:space="0" w:color="000000"/>
              <w:right w:val="single" w:sz="4" w:space="0" w:color="000000"/>
            </w:tcBorders>
            <w:vAlign w:val="center"/>
          </w:tcPr>
          <w:p w14:paraId="1765EA53" w14:textId="77777777" w:rsidR="00B33EA0" w:rsidRPr="00964918" w:rsidRDefault="00B33EA0" w:rsidP="002C02ED">
            <w:pPr>
              <w:jc w:val="center"/>
            </w:pPr>
            <w:r w:rsidRPr="00964918">
              <w:t>1.70</w:t>
            </w:r>
          </w:p>
        </w:tc>
      </w:tr>
      <w:tr w:rsidR="00B33EA0" w:rsidRPr="00964918" w14:paraId="3BD02364"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4C054594" w14:textId="77777777" w:rsidR="00B33EA0" w:rsidRPr="00964918" w:rsidRDefault="00B33EA0" w:rsidP="002C02ED">
            <w:pPr>
              <w:jc w:val="center"/>
            </w:pPr>
            <w:r w:rsidRPr="00964918">
              <w:lastRenderedPageBreak/>
              <w:t>300</w:t>
            </w:r>
          </w:p>
        </w:tc>
        <w:tc>
          <w:tcPr>
            <w:tcW w:w="2292" w:type="dxa"/>
            <w:tcBorders>
              <w:top w:val="single" w:sz="4" w:space="0" w:color="000000"/>
              <w:left w:val="single" w:sz="4" w:space="0" w:color="000000"/>
              <w:bottom w:val="single" w:sz="4" w:space="0" w:color="000000"/>
              <w:right w:val="single" w:sz="4" w:space="0" w:color="000000"/>
            </w:tcBorders>
            <w:vAlign w:val="center"/>
          </w:tcPr>
          <w:p w14:paraId="014B2B7E" w14:textId="77777777" w:rsidR="00B33EA0" w:rsidRPr="00964918" w:rsidRDefault="00B33EA0" w:rsidP="002C02ED">
            <w:pPr>
              <w:jc w:val="center"/>
            </w:pPr>
            <w:r w:rsidRPr="00964918">
              <w:t>1.50</w:t>
            </w:r>
          </w:p>
        </w:tc>
      </w:tr>
      <w:tr w:rsidR="00B33EA0" w:rsidRPr="00964918" w14:paraId="770CB631"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2BDCD30" w14:textId="77777777" w:rsidR="00B33EA0" w:rsidRPr="00964918" w:rsidRDefault="00B33EA0" w:rsidP="002C02ED">
            <w:pPr>
              <w:jc w:val="center"/>
            </w:pPr>
            <w:r w:rsidRPr="00964918">
              <w:t>350</w:t>
            </w:r>
          </w:p>
        </w:tc>
        <w:tc>
          <w:tcPr>
            <w:tcW w:w="2292" w:type="dxa"/>
            <w:tcBorders>
              <w:top w:val="single" w:sz="4" w:space="0" w:color="000000"/>
              <w:left w:val="single" w:sz="4" w:space="0" w:color="000000"/>
              <w:bottom w:val="single" w:sz="4" w:space="0" w:color="000000"/>
              <w:right w:val="single" w:sz="4" w:space="0" w:color="000000"/>
            </w:tcBorders>
            <w:vAlign w:val="center"/>
          </w:tcPr>
          <w:p w14:paraId="56758F71" w14:textId="77777777" w:rsidR="00B33EA0" w:rsidRPr="00964918" w:rsidRDefault="00B33EA0" w:rsidP="002C02ED">
            <w:pPr>
              <w:jc w:val="center"/>
            </w:pPr>
            <w:r w:rsidRPr="00964918">
              <w:t>1.30</w:t>
            </w:r>
          </w:p>
        </w:tc>
      </w:tr>
      <w:tr w:rsidR="00B33EA0" w:rsidRPr="00964918" w14:paraId="249F5394"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1BBFF75A" w14:textId="77777777" w:rsidR="00B33EA0" w:rsidRPr="00964918" w:rsidRDefault="00B33EA0" w:rsidP="002C02ED">
            <w:pPr>
              <w:jc w:val="center"/>
            </w:pPr>
            <w:r w:rsidRPr="00964918">
              <w:t>400</w:t>
            </w:r>
          </w:p>
        </w:tc>
        <w:tc>
          <w:tcPr>
            <w:tcW w:w="2292" w:type="dxa"/>
            <w:tcBorders>
              <w:top w:val="single" w:sz="4" w:space="0" w:color="000000"/>
              <w:left w:val="single" w:sz="4" w:space="0" w:color="000000"/>
              <w:bottom w:val="single" w:sz="4" w:space="0" w:color="000000"/>
              <w:right w:val="single" w:sz="4" w:space="0" w:color="000000"/>
            </w:tcBorders>
            <w:vAlign w:val="center"/>
          </w:tcPr>
          <w:p w14:paraId="2E80F763" w14:textId="77777777" w:rsidR="00B33EA0" w:rsidRPr="00964918" w:rsidRDefault="00B33EA0" w:rsidP="002C02ED">
            <w:pPr>
              <w:jc w:val="center"/>
            </w:pPr>
            <w:r w:rsidRPr="00964918">
              <w:t>1.20</w:t>
            </w:r>
          </w:p>
        </w:tc>
      </w:tr>
      <w:tr w:rsidR="00B33EA0" w:rsidRPr="00964918" w14:paraId="346E96A4" w14:textId="77777777" w:rsidTr="009007FE">
        <w:trPr>
          <w:trHeight w:val="166"/>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75474482" w14:textId="77777777" w:rsidR="00B33EA0" w:rsidRPr="00964918" w:rsidRDefault="00B33EA0" w:rsidP="002C02ED">
            <w:pPr>
              <w:jc w:val="center"/>
            </w:pPr>
            <w:r w:rsidRPr="00964918">
              <w:t>450</w:t>
            </w:r>
          </w:p>
        </w:tc>
        <w:tc>
          <w:tcPr>
            <w:tcW w:w="2292" w:type="dxa"/>
            <w:tcBorders>
              <w:top w:val="single" w:sz="4" w:space="0" w:color="000000"/>
              <w:left w:val="single" w:sz="4" w:space="0" w:color="000000"/>
              <w:bottom w:val="single" w:sz="4" w:space="0" w:color="000000"/>
              <w:right w:val="single" w:sz="4" w:space="0" w:color="000000"/>
            </w:tcBorders>
            <w:vAlign w:val="center"/>
          </w:tcPr>
          <w:p w14:paraId="4A1C22C4" w14:textId="77777777" w:rsidR="00B33EA0" w:rsidRPr="00964918" w:rsidRDefault="00B33EA0" w:rsidP="002C02ED">
            <w:pPr>
              <w:jc w:val="center"/>
            </w:pPr>
            <w:r w:rsidRPr="00964918">
              <w:t>1.10</w:t>
            </w:r>
          </w:p>
        </w:tc>
      </w:tr>
      <w:tr w:rsidR="00B33EA0" w:rsidRPr="00964918" w14:paraId="18CC2965"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C9DFA43" w14:textId="77777777" w:rsidR="00B33EA0" w:rsidRPr="00964918" w:rsidRDefault="00B33EA0" w:rsidP="002C02ED">
            <w:pPr>
              <w:jc w:val="center"/>
            </w:pPr>
            <w:r w:rsidRPr="00964918">
              <w:t>500</w:t>
            </w:r>
          </w:p>
        </w:tc>
        <w:tc>
          <w:tcPr>
            <w:tcW w:w="2292" w:type="dxa"/>
            <w:tcBorders>
              <w:top w:val="single" w:sz="4" w:space="0" w:color="000000"/>
              <w:left w:val="single" w:sz="4" w:space="0" w:color="000000"/>
              <w:bottom w:val="single" w:sz="4" w:space="0" w:color="000000"/>
              <w:right w:val="single" w:sz="4" w:space="0" w:color="000000"/>
            </w:tcBorders>
            <w:vAlign w:val="center"/>
          </w:tcPr>
          <w:p w14:paraId="1396BC8D" w14:textId="77777777" w:rsidR="00B33EA0" w:rsidRPr="00964918" w:rsidRDefault="00B33EA0" w:rsidP="002C02ED">
            <w:pPr>
              <w:jc w:val="center"/>
            </w:pPr>
            <w:r w:rsidRPr="00964918">
              <w:t>1.00</w:t>
            </w:r>
          </w:p>
        </w:tc>
      </w:tr>
      <w:tr w:rsidR="00B33EA0" w:rsidRPr="00964918" w14:paraId="38E77C82"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EB35BBB" w14:textId="77777777" w:rsidR="00B33EA0" w:rsidRPr="00964918" w:rsidRDefault="00B33EA0" w:rsidP="002C02ED">
            <w:pPr>
              <w:jc w:val="center"/>
            </w:pPr>
            <w:r w:rsidRPr="00964918">
              <w:t>550</w:t>
            </w:r>
          </w:p>
        </w:tc>
        <w:tc>
          <w:tcPr>
            <w:tcW w:w="2292" w:type="dxa"/>
            <w:tcBorders>
              <w:top w:val="single" w:sz="4" w:space="0" w:color="000000"/>
              <w:left w:val="single" w:sz="4" w:space="0" w:color="000000"/>
              <w:bottom w:val="single" w:sz="4" w:space="0" w:color="000000"/>
              <w:right w:val="single" w:sz="4" w:space="0" w:color="000000"/>
            </w:tcBorders>
            <w:vAlign w:val="center"/>
          </w:tcPr>
          <w:p w14:paraId="21D30EB2" w14:textId="77777777" w:rsidR="00B33EA0" w:rsidRPr="00964918" w:rsidRDefault="00B33EA0" w:rsidP="002C02ED">
            <w:pPr>
              <w:jc w:val="center"/>
            </w:pPr>
            <w:r w:rsidRPr="00964918">
              <w:t>0.95</w:t>
            </w:r>
          </w:p>
        </w:tc>
      </w:tr>
      <w:tr w:rsidR="00B33EA0" w:rsidRPr="00964918" w14:paraId="1FBBC075"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C060BD8" w14:textId="77777777" w:rsidR="00B33EA0" w:rsidRPr="00964918" w:rsidRDefault="00B33EA0" w:rsidP="002C02ED">
            <w:pPr>
              <w:jc w:val="center"/>
            </w:pPr>
            <w:r w:rsidRPr="00964918">
              <w:t>600</w:t>
            </w:r>
          </w:p>
        </w:tc>
        <w:tc>
          <w:tcPr>
            <w:tcW w:w="2292" w:type="dxa"/>
            <w:tcBorders>
              <w:top w:val="single" w:sz="4" w:space="0" w:color="000000"/>
              <w:left w:val="single" w:sz="4" w:space="0" w:color="000000"/>
              <w:bottom w:val="single" w:sz="4" w:space="0" w:color="000000"/>
              <w:right w:val="single" w:sz="4" w:space="0" w:color="000000"/>
            </w:tcBorders>
            <w:vAlign w:val="center"/>
          </w:tcPr>
          <w:p w14:paraId="6F014B89" w14:textId="77777777" w:rsidR="00B33EA0" w:rsidRPr="00964918" w:rsidRDefault="00B33EA0" w:rsidP="002C02ED">
            <w:pPr>
              <w:jc w:val="center"/>
            </w:pPr>
            <w:r w:rsidRPr="00964918">
              <w:t>0.90</w:t>
            </w:r>
          </w:p>
        </w:tc>
      </w:tr>
      <w:tr w:rsidR="00B33EA0" w:rsidRPr="00964918" w14:paraId="08A6C959" w14:textId="77777777" w:rsidTr="009007FE">
        <w:trPr>
          <w:trHeight w:val="166"/>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9029EE4" w14:textId="77777777" w:rsidR="00B33EA0" w:rsidRPr="00964918" w:rsidRDefault="00B33EA0" w:rsidP="002C02ED">
            <w:pPr>
              <w:jc w:val="center"/>
            </w:pPr>
            <w:r w:rsidRPr="00964918">
              <w:t>650</w:t>
            </w:r>
          </w:p>
        </w:tc>
        <w:tc>
          <w:tcPr>
            <w:tcW w:w="2292" w:type="dxa"/>
            <w:tcBorders>
              <w:top w:val="single" w:sz="4" w:space="0" w:color="000000"/>
              <w:left w:val="single" w:sz="4" w:space="0" w:color="000000"/>
              <w:bottom w:val="single" w:sz="4" w:space="0" w:color="000000"/>
              <w:right w:val="single" w:sz="4" w:space="0" w:color="000000"/>
            </w:tcBorders>
            <w:vAlign w:val="center"/>
          </w:tcPr>
          <w:p w14:paraId="349664D3" w14:textId="77777777" w:rsidR="00B33EA0" w:rsidRPr="00964918" w:rsidRDefault="00B33EA0" w:rsidP="002C02ED">
            <w:pPr>
              <w:jc w:val="center"/>
            </w:pPr>
            <w:r w:rsidRPr="00964918">
              <w:t>0.85</w:t>
            </w:r>
          </w:p>
        </w:tc>
      </w:tr>
      <w:tr w:rsidR="00B33EA0" w:rsidRPr="00964918" w14:paraId="5524A988" w14:textId="77777777" w:rsidTr="009007FE">
        <w:trPr>
          <w:trHeight w:val="261"/>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638C266" w14:textId="77777777" w:rsidR="00B33EA0" w:rsidRPr="00964918" w:rsidRDefault="00B33EA0" w:rsidP="002C02ED">
            <w:pPr>
              <w:jc w:val="center"/>
            </w:pPr>
            <w:r w:rsidRPr="00964918">
              <w:t>700</w:t>
            </w:r>
          </w:p>
        </w:tc>
        <w:tc>
          <w:tcPr>
            <w:tcW w:w="2292" w:type="dxa"/>
            <w:tcBorders>
              <w:top w:val="single" w:sz="4" w:space="0" w:color="000000"/>
              <w:left w:val="single" w:sz="4" w:space="0" w:color="000000"/>
              <w:bottom w:val="single" w:sz="4" w:space="0" w:color="000000"/>
              <w:right w:val="single" w:sz="4" w:space="0" w:color="000000"/>
            </w:tcBorders>
            <w:vAlign w:val="center"/>
          </w:tcPr>
          <w:p w14:paraId="3A86818C" w14:textId="77777777" w:rsidR="00B33EA0" w:rsidRPr="00964918" w:rsidRDefault="00B33EA0" w:rsidP="002C02ED">
            <w:pPr>
              <w:jc w:val="center"/>
            </w:pPr>
            <w:r w:rsidRPr="00964918">
              <w:t>0.80</w:t>
            </w:r>
          </w:p>
        </w:tc>
      </w:tr>
    </w:tbl>
    <w:p w14:paraId="4033DE04" w14:textId="77777777" w:rsidR="00E059B4" w:rsidRPr="00964918" w:rsidRDefault="00262300" w:rsidP="001F6338">
      <w:pPr>
        <w:spacing w:before="280" w:after="280" w:line="480" w:lineRule="auto"/>
        <w:jc w:val="both"/>
      </w:pPr>
      <w:r w:rsidRPr="00964918">
        <w:t>The result in Table 1 shows that hibiscus dye exhibits minimal and inconsistent absor</w:t>
      </w:r>
      <w:r w:rsidR="00515715" w:rsidRPr="00964918">
        <w:t>b</w:t>
      </w:r>
      <w:r w:rsidRPr="00964918">
        <w:t>ance in the UV region (200–400 nm). In the visible range (400–700 nm), the absor</w:t>
      </w:r>
      <w:r w:rsidR="00515715" w:rsidRPr="00964918">
        <w:t>b</w:t>
      </w:r>
      <w:r w:rsidRPr="00964918">
        <w:t xml:space="preserve">ance is relatively stable but close to zero, suggesting weak absorption by the dye. </w:t>
      </w:r>
      <w:r w:rsidR="00736ADE" w:rsidRPr="00964918">
        <w:t>Fig</w:t>
      </w:r>
      <w:r w:rsidR="00CA4CD9" w:rsidRPr="00964918">
        <w:t>ure</w:t>
      </w:r>
      <w:r w:rsidR="00736ADE" w:rsidRPr="00964918">
        <w:t xml:space="preserve"> 1</w:t>
      </w:r>
      <w:r w:rsidR="001F6338" w:rsidRPr="00964918">
        <w:t>.</w:t>
      </w:r>
    </w:p>
    <w:p w14:paraId="1C36B832" w14:textId="3FF1F43F" w:rsidR="00872572" w:rsidRPr="00964918" w:rsidRDefault="00B33EA0" w:rsidP="00E059B4">
      <w:pPr>
        <w:spacing w:before="280" w:after="280" w:line="480" w:lineRule="auto"/>
        <w:jc w:val="center"/>
      </w:pPr>
      <w:r w:rsidRPr="00964918">
        <w:rPr>
          <w:noProof/>
        </w:rPr>
        <w:drawing>
          <wp:inline distT="0" distB="0" distL="0" distR="0" wp14:anchorId="5A91BE48" wp14:editId="0BBC598E">
            <wp:extent cx="4654193" cy="2455524"/>
            <wp:effectExtent l="0" t="0" r="6985" b="8890"/>
            <wp:docPr id="18" name="Chart 18">
              <a:extLst xmlns:a="http://schemas.openxmlformats.org/drawingml/2006/main">
                <a:ext uri="{FF2B5EF4-FFF2-40B4-BE49-F238E27FC236}">
                  <a16:creationId xmlns:a16="http://schemas.microsoft.com/office/drawing/2014/main" id="{B06F3571-271E-DC4A-997E-BDD98E60A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7967E6" w14:textId="41A80629" w:rsidR="00685E24" w:rsidRPr="00964918" w:rsidRDefault="00685E24" w:rsidP="00685E24">
      <w:pPr>
        <w:pStyle w:val="NormalWeb"/>
        <w:spacing w:line="360" w:lineRule="auto"/>
        <w:jc w:val="both"/>
      </w:pPr>
      <w:r w:rsidRPr="00964918">
        <w:rPr>
          <w:rStyle w:val="Strong"/>
        </w:rPr>
        <w:t>Figure 1:</w:t>
      </w:r>
      <w:r w:rsidRPr="00964918">
        <w:t xml:space="preserve"> (a) UV–Visible absorbance spectrum of Hibiscus dye plotted as absorbance (</w:t>
      </w:r>
      <w:proofErr w:type="spellStart"/>
      <w:r w:rsidR="005F1AB9" w:rsidRPr="00964918">
        <w:t>a.u</w:t>
      </w:r>
      <w:proofErr w:type="spellEnd"/>
      <w:r w:rsidR="005F1AB9" w:rsidRPr="00964918">
        <w:t>.</w:t>
      </w:r>
      <w:r w:rsidRPr="00964918">
        <w:t>) versus wavelength (</w:t>
      </w:r>
      <w:r w:rsidRPr="00964918">
        <w:rPr>
          <w:rStyle w:val="Strong"/>
        </w:rPr>
        <w:t>200–700 nm</w:t>
      </w:r>
      <w:r w:rsidRPr="00964918">
        <w:t>)</w:t>
      </w:r>
      <w:r w:rsidR="00FA2030" w:rsidRPr="00964918">
        <w:t>.</w:t>
      </w:r>
    </w:p>
    <w:p w14:paraId="057490FB" w14:textId="77777777" w:rsidR="003E4DEE" w:rsidRPr="00964918" w:rsidRDefault="003E4DEE" w:rsidP="006B78B7">
      <w:pPr>
        <w:spacing w:before="280" w:after="280" w:line="480" w:lineRule="auto"/>
        <w:jc w:val="both"/>
        <w:rPr>
          <w:b/>
        </w:rPr>
      </w:pPr>
    </w:p>
    <w:p w14:paraId="7F58E57C" w14:textId="22D334A5" w:rsidR="00262300" w:rsidRPr="00964918" w:rsidRDefault="00262300" w:rsidP="006B78B7">
      <w:pPr>
        <w:spacing w:before="280" w:after="280" w:line="480" w:lineRule="auto"/>
        <w:jc w:val="both"/>
      </w:pPr>
      <w:r w:rsidRPr="00964918">
        <w:rPr>
          <w:b/>
        </w:rPr>
        <w:t xml:space="preserve">Table 2: </w:t>
      </w:r>
      <w:r w:rsidRPr="00964918">
        <w:t xml:space="preserve">Absorbance Characteristics for </w:t>
      </w:r>
      <w:proofErr w:type="spellStart"/>
      <w:r w:rsidRPr="00964918">
        <w:t>PbS</w:t>
      </w:r>
      <w:proofErr w:type="spellEnd"/>
      <w:r w:rsidRPr="00964918">
        <w:t xml:space="preserve"> Quantum dot</w:t>
      </w:r>
    </w:p>
    <w:tbl>
      <w:tblPr>
        <w:tblW w:w="4005" w:type="dxa"/>
        <w:jc w:val="center"/>
        <w:tblLayout w:type="fixed"/>
        <w:tblLook w:val="0400" w:firstRow="0" w:lastRow="0" w:firstColumn="0" w:lastColumn="0" w:noHBand="0" w:noVBand="1"/>
      </w:tblPr>
      <w:tblGrid>
        <w:gridCol w:w="1965"/>
        <w:gridCol w:w="2040"/>
      </w:tblGrid>
      <w:tr w:rsidR="00C928BF" w:rsidRPr="00964918" w14:paraId="7A58ABDC"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1E98B647" w14:textId="77777777" w:rsidR="00C928BF" w:rsidRPr="00964918" w:rsidRDefault="00C928BF" w:rsidP="002C02ED">
            <w:pPr>
              <w:rPr>
                <w:b/>
              </w:rPr>
            </w:pPr>
            <w:bookmarkStart w:id="2" w:name="bookmark=id.z98wlzn4fx80" w:colFirst="0" w:colLast="0"/>
            <w:bookmarkEnd w:id="2"/>
            <w:r w:rsidRPr="00964918">
              <w:rPr>
                <w:b/>
              </w:rPr>
              <w:t>Wavelength (nm)</w:t>
            </w:r>
          </w:p>
        </w:tc>
        <w:tc>
          <w:tcPr>
            <w:tcW w:w="2040" w:type="dxa"/>
            <w:tcBorders>
              <w:top w:val="single" w:sz="4" w:space="0" w:color="000000"/>
              <w:left w:val="single" w:sz="4" w:space="0" w:color="000000"/>
              <w:bottom w:val="single" w:sz="4" w:space="0" w:color="000000"/>
              <w:right w:val="single" w:sz="4" w:space="0" w:color="000000"/>
            </w:tcBorders>
            <w:vAlign w:val="center"/>
          </w:tcPr>
          <w:p w14:paraId="63958693" w14:textId="4B9CD4E1" w:rsidR="00C928BF" w:rsidRPr="00964918" w:rsidRDefault="00C928BF" w:rsidP="00DF3E61">
            <w:pPr>
              <w:rPr>
                <w:b/>
              </w:rPr>
            </w:pPr>
            <w:proofErr w:type="spellStart"/>
            <w:r w:rsidRPr="00964918">
              <w:rPr>
                <w:b/>
              </w:rPr>
              <w:t>PbS</w:t>
            </w:r>
            <w:proofErr w:type="spellEnd"/>
            <w:r w:rsidRPr="00964918">
              <w:rPr>
                <w:b/>
              </w:rPr>
              <w:t xml:space="preserve"> Absorbance (</w:t>
            </w:r>
            <w:proofErr w:type="spellStart"/>
            <w:r w:rsidRPr="00964918">
              <w:rPr>
                <w:b/>
              </w:rPr>
              <w:t>a.u</w:t>
            </w:r>
            <w:proofErr w:type="spellEnd"/>
            <w:r w:rsidRPr="00964918">
              <w:rPr>
                <w:b/>
              </w:rPr>
              <w:t>.)</w:t>
            </w:r>
          </w:p>
        </w:tc>
      </w:tr>
      <w:tr w:rsidR="00C928BF" w:rsidRPr="00964918" w14:paraId="5F049145"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6971CCC9" w14:textId="77777777" w:rsidR="00C928BF" w:rsidRPr="00964918" w:rsidRDefault="00C928BF" w:rsidP="002C02ED">
            <w:pPr>
              <w:jc w:val="center"/>
            </w:pPr>
            <w:r w:rsidRPr="00964918">
              <w:t>200</w:t>
            </w:r>
          </w:p>
        </w:tc>
        <w:tc>
          <w:tcPr>
            <w:tcW w:w="2040" w:type="dxa"/>
            <w:tcBorders>
              <w:top w:val="single" w:sz="4" w:space="0" w:color="000000"/>
              <w:left w:val="single" w:sz="4" w:space="0" w:color="000000"/>
              <w:bottom w:val="single" w:sz="4" w:space="0" w:color="000000"/>
              <w:right w:val="single" w:sz="4" w:space="0" w:color="000000"/>
            </w:tcBorders>
            <w:vAlign w:val="center"/>
          </w:tcPr>
          <w:p w14:paraId="4DCA2544" w14:textId="77777777" w:rsidR="00C928BF" w:rsidRPr="00964918" w:rsidRDefault="00C928BF" w:rsidP="002C02ED">
            <w:pPr>
              <w:jc w:val="center"/>
            </w:pPr>
            <w:r w:rsidRPr="00964918">
              <w:t>2.00</w:t>
            </w:r>
          </w:p>
        </w:tc>
      </w:tr>
      <w:tr w:rsidR="00C928BF" w:rsidRPr="00964918" w14:paraId="41C61130"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0F08204E" w14:textId="77777777" w:rsidR="00C928BF" w:rsidRPr="00964918" w:rsidRDefault="00C928BF" w:rsidP="002C02ED">
            <w:pPr>
              <w:jc w:val="center"/>
            </w:pPr>
            <w:r w:rsidRPr="00964918">
              <w:t>250</w:t>
            </w:r>
          </w:p>
        </w:tc>
        <w:tc>
          <w:tcPr>
            <w:tcW w:w="2040" w:type="dxa"/>
            <w:tcBorders>
              <w:top w:val="single" w:sz="4" w:space="0" w:color="000000"/>
              <w:left w:val="single" w:sz="4" w:space="0" w:color="000000"/>
              <w:bottom w:val="single" w:sz="4" w:space="0" w:color="000000"/>
              <w:right w:val="single" w:sz="4" w:space="0" w:color="000000"/>
            </w:tcBorders>
            <w:vAlign w:val="center"/>
          </w:tcPr>
          <w:p w14:paraId="45CC181E" w14:textId="77777777" w:rsidR="00C928BF" w:rsidRPr="00964918" w:rsidRDefault="00C928BF" w:rsidP="002C02ED">
            <w:pPr>
              <w:jc w:val="center"/>
            </w:pPr>
            <w:r w:rsidRPr="00964918">
              <w:t>10.00</w:t>
            </w:r>
          </w:p>
        </w:tc>
      </w:tr>
      <w:tr w:rsidR="00C928BF" w:rsidRPr="00964918" w14:paraId="59A9105C"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785CB59C" w14:textId="77777777" w:rsidR="00C928BF" w:rsidRPr="00964918" w:rsidRDefault="00C928BF" w:rsidP="002C02ED">
            <w:pPr>
              <w:jc w:val="center"/>
            </w:pPr>
            <w:r w:rsidRPr="00964918">
              <w:lastRenderedPageBreak/>
              <w:t>300</w:t>
            </w:r>
          </w:p>
        </w:tc>
        <w:tc>
          <w:tcPr>
            <w:tcW w:w="2040" w:type="dxa"/>
            <w:tcBorders>
              <w:top w:val="single" w:sz="4" w:space="0" w:color="000000"/>
              <w:left w:val="single" w:sz="4" w:space="0" w:color="000000"/>
              <w:bottom w:val="single" w:sz="4" w:space="0" w:color="000000"/>
              <w:right w:val="single" w:sz="4" w:space="0" w:color="000000"/>
            </w:tcBorders>
            <w:vAlign w:val="center"/>
          </w:tcPr>
          <w:p w14:paraId="17B01883" w14:textId="77777777" w:rsidR="00C928BF" w:rsidRPr="00964918" w:rsidRDefault="00C928BF" w:rsidP="002C02ED">
            <w:pPr>
              <w:jc w:val="center"/>
            </w:pPr>
            <w:r w:rsidRPr="00964918">
              <w:t>25.00</w:t>
            </w:r>
          </w:p>
        </w:tc>
      </w:tr>
      <w:tr w:rsidR="00C928BF" w:rsidRPr="00964918" w14:paraId="3DDED4D0"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12FE8F6A" w14:textId="77777777" w:rsidR="00C928BF" w:rsidRPr="00964918" w:rsidRDefault="00C928BF" w:rsidP="002C02ED">
            <w:pPr>
              <w:jc w:val="center"/>
            </w:pPr>
            <w:r w:rsidRPr="00964918">
              <w:t>350</w:t>
            </w:r>
          </w:p>
        </w:tc>
        <w:tc>
          <w:tcPr>
            <w:tcW w:w="2040" w:type="dxa"/>
            <w:tcBorders>
              <w:top w:val="single" w:sz="4" w:space="0" w:color="000000"/>
              <w:left w:val="single" w:sz="4" w:space="0" w:color="000000"/>
              <w:bottom w:val="single" w:sz="4" w:space="0" w:color="000000"/>
              <w:right w:val="single" w:sz="4" w:space="0" w:color="000000"/>
            </w:tcBorders>
            <w:vAlign w:val="center"/>
          </w:tcPr>
          <w:p w14:paraId="4AD08DDB" w14:textId="77777777" w:rsidR="00C928BF" w:rsidRPr="00964918" w:rsidRDefault="00C928BF" w:rsidP="002C02ED">
            <w:pPr>
              <w:jc w:val="center"/>
            </w:pPr>
            <w:r w:rsidRPr="00964918">
              <w:t>28.00</w:t>
            </w:r>
          </w:p>
        </w:tc>
      </w:tr>
      <w:tr w:rsidR="00C928BF" w:rsidRPr="00964918" w14:paraId="3E42D338"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455925B4" w14:textId="77777777" w:rsidR="00C928BF" w:rsidRPr="00964918" w:rsidRDefault="00C928BF" w:rsidP="002C02ED">
            <w:pPr>
              <w:jc w:val="center"/>
            </w:pPr>
            <w:r w:rsidRPr="00964918">
              <w:t>400</w:t>
            </w:r>
          </w:p>
        </w:tc>
        <w:tc>
          <w:tcPr>
            <w:tcW w:w="2040" w:type="dxa"/>
            <w:tcBorders>
              <w:top w:val="single" w:sz="4" w:space="0" w:color="000000"/>
              <w:left w:val="single" w:sz="4" w:space="0" w:color="000000"/>
              <w:bottom w:val="single" w:sz="4" w:space="0" w:color="000000"/>
              <w:right w:val="single" w:sz="4" w:space="0" w:color="000000"/>
            </w:tcBorders>
            <w:vAlign w:val="center"/>
          </w:tcPr>
          <w:p w14:paraId="0808376C" w14:textId="77777777" w:rsidR="00C928BF" w:rsidRPr="00964918" w:rsidRDefault="00C928BF" w:rsidP="002C02ED">
            <w:pPr>
              <w:jc w:val="center"/>
            </w:pPr>
            <w:r w:rsidRPr="00964918">
              <w:t>29.50</w:t>
            </w:r>
          </w:p>
        </w:tc>
      </w:tr>
      <w:tr w:rsidR="00C928BF" w:rsidRPr="00964918" w14:paraId="5DE9C29F"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404C1614" w14:textId="77777777" w:rsidR="00C928BF" w:rsidRPr="00964918" w:rsidRDefault="00C928BF" w:rsidP="002C02ED">
            <w:pPr>
              <w:jc w:val="center"/>
            </w:pPr>
            <w:r w:rsidRPr="00964918">
              <w:t>450</w:t>
            </w:r>
          </w:p>
        </w:tc>
        <w:tc>
          <w:tcPr>
            <w:tcW w:w="2040" w:type="dxa"/>
            <w:tcBorders>
              <w:top w:val="single" w:sz="4" w:space="0" w:color="000000"/>
              <w:left w:val="single" w:sz="4" w:space="0" w:color="000000"/>
              <w:bottom w:val="single" w:sz="4" w:space="0" w:color="000000"/>
              <w:right w:val="single" w:sz="4" w:space="0" w:color="000000"/>
            </w:tcBorders>
            <w:vAlign w:val="center"/>
          </w:tcPr>
          <w:p w14:paraId="41F7E3C5" w14:textId="77777777" w:rsidR="00C928BF" w:rsidRPr="00964918" w:rsidRDefault="00C928BF" w:rsidP="002C02ED">
            <w:pPr>
              <w:jc w:val="center"/>
            </w:pPr>
            <w:r w:rsidRPr="00964918">
              <w:t>29.80</w:t>
            </w:r>
          </w:p>
        </w:tc>
      </w:tr>
      <w:tr w:rsidR="00C928BF" w:rsidRPr="00964918" w14:paraId="4CA4F822"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7CB37964" w14:textId="77777777" w:rsidR="00C928BF" w:rsidRPr="00964918" w:rsidRDefault="00C928BF" w:rsidP="002C02ED">
            <w:pPr>
              <w:jc w:val="center"/>
            </w:pPr>
            <w:r w:rsidRPr="00964918">
              <w:t>500</w:t>
            </w:r>
          </w:p>
        </w:tc>
        <w:tc>
          <w:tcPr>
            <w:tcW w:w="2040" w:type="dxa"/>
            <w:tcBorders>
              <w:top w:val="single" w:sz="4" w:space="0" w:color="000000"/>
              <w:left w:val="single" w:sz="4" w:space="0" w:color="000000"/>
              <w:bottom w:val="single" w:sz="4" w:space="0" w:color="000000"/>
              <w:right w:val="single" w:sz="4" w:space="0" w:color="000000"/>
            </w:tcBorders>
            <w:vAlign w:val="center"/>
          </w:tcPr>
          <w:p w14:paraId="0C44F62E" w14:textId="77777777" w:rsidR="00C928BF" w:rsidRPr="00964918" w:rsidRDefault="00C928BF" w:rsidP="002C02ED">
            <w:pPr>
              <w:jc w:val="center"/>
            </w:pPr>
            <w:r w:rsidRPr="00964918">
              <w:t>30.00</w:t>
            </w:r>
          </w:p>
        </w:tc>
      </w:tr>
      <w:tr w:rsidR="00C928BF" w:rsidRPr="00964918" w14:paraId="1C675B5A"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1E1209B9" w14:textId="77777777" w:rsidR="00C928BF" w:rsidRPr="00964918" w:rsidRDefault="00C928BF" w:rsidP="002C02ED">
            <w:pPr>
              <w:jc w:val="center"/>
            </w:pPr>
            <w:r w:rsidRPr="00964918">
              <w:t>550</w:t>
            </w:r>
          </w:p>
        </w:tc>
        <w:tc>
          <w:tcPr>
            <w:tcW w:w="2040" w:type="dxa"/>
            <w:tcBorders>
              <w:top w:val="single" w:sz="4" w:space="0" w:color="000000"/>
              <w:left w:val="single" w:sz="4" w:space="0" w:color="000000"/>
              <w:bottom w:val="single" w:sz="4" w:space="0" w:color="000000"/>
              <w:right w:val="single" w:sz="4" w:space="0" w:color="000000"/>
            </w:tcBorders>
            <w:vAlign w:val="center"/>
          </w:tcPr>
          <w:p w14:paraId="350BAFE3" w14:textId="77777777" w:rsidR="00C928BF" w:rsidRPr="00964918" w:rsidRDefault="00C928BF" w:rsidP="002C02ED">
            <w:pPr>
              <w:jc w:val="center"/>
            </w:pPr>
            <w:r w:rsidRPr="00964918">
              <w:t>30.00</w:t>
            </w:r>
          </w:p>
        </w:tc>
      </w:tr>
      <w:tr w:rsidR="00C928BF" w:rsidRPr="00964918" w14:paraId="7A07B242"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5A4DE727" w14:textId="77777777" w:rsidR="00C928BF" w:rsidRPr="00964918" w:rsidRDefault="00C928BF" w:rsidP="002C02ED">
            <w:pPr>
              <w:jc w:val="center"/>
            </w:pPr>
            <w:r w:rsidRPr="00964918">
              <w:t>600</w:t>
            </w:r>
          </w:p>
        </w:tc>
        <w:tc>
          <w:tcPr>
            <w:tcW w:w="2040" w:type="dxa"/>
            <w:tcBorders>
              <w:top w:val="single" w:sz="4" w:space="0" w:color="000000"/>
              <w:left w:val="single" w:sz="4" w:space="0" w:color="000000"/>
              <w:bottom w:val="single" w:sz="4" w:space="0" w:color="000000"/>
              <w:right w:val="single" w:sz="4" w:space="0" w:color="000000"/>
            </w:tcBorders>
            <w:vAlign w:val="center"/>
          </w:tcPr>
          <w:p w14:paraId="79A996B6" w14:textId="77777777" w:rsidR="00C928BF" w:rsidRPr="00964918" w:rsidRDefault="00C928BF" w:rsidP="002C02ED">
            <w:pPr>
              <w:jc w:val="center"/>
            </w:pPr>
            <w:r w:rsidRPr="00964918">
              <w:t>29.80</w:t>
            </w:r>
          </w:p>
        </w:tc>
      </w:tr>
      <w:tr w:rsidR="00C928BF" w:rsidRPr="00964918" w14:paraId="7B5CDE02"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24C84B6D" w14:textId="77777777" w:rsidR="00C928BF" w:rsidRPr="00964918" w:rsidRDefault="00C928BF" w:rsidP="002C02ED">
            <w:pPr>
              <w:jc w:val="center"/>
            </w:pPr>
            <w:r w:rsidRPr="00964918">
              <w:t>650</w:t>
            </w:r>
          </w:p>
        </w:tc>
        <w:tc>
          <w:tcPr>
            <w:tcW w:w="2040" w:type="dxa"/>
            <w:tcBorders>
              <w:top w:val="single" w:sz="4" w:space="0" w:color="000000"/>
              <w:left w:val="single" w:sz="4" w:space="0" w:color="000000"/>
              <w:bottom w:val="single" w:sz="4" w:space="0" w:color="000000"/>
              <w:right w:val="single" w:sz="4" w:space="0" w:color="000000"/>
            </w:tcBorders>
            <w:vAlign w:val="center"/>
          </w:tcPr>
          <w:p w14:paraId="330253FD" w14:textId="77777777" w:rsidR="00C928BF" w:rsidRPr="00964918" w:rsidRDefault="00C928BF" w:rsidP="002C02ED">
            <w:pPr>
              <w:jc w:val="center"/>
            </w:pPr>
            <w:r w:rsidRPr="00964918">
              <w:t>29.50</w:t>
            </w:r>
          </w:p>
        </w:tc>
      </w:tr>
      <w:tr w:rsidR="00C928BF" w:rsidRPr="00964918" w14:paraId="0AD430DF"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75964C35" w14:textId="77777777" w:rsidR="00C928BF" w:rsidRPr="00964918" w:rsidRDefault="00C928BF" w:rsidP="002C02ED">
            <w:pPr>
              <w:jc w:val="center"/>
            </w:pPr>
            <w:r w:rsidRPr="00964918">
              <w:t>700</w:t>
            </w:r>
          </w:p>
        </w:tc>
        <w:tc>
          <w:tcPr>
            <w:tcW w:w="2040" w:type="dxa"/>
            <w:tcBorders>
              <w:top w:val="single" w:sz="4" w:space="0" w:color="000000"/>
              <w:left w:val="single" w:sz="4" w:space="0" w:color="000000"/>
              <w:bottom w:val="single" w:sz="4" w:space="0" w:color="000000"/>
              <w:right w:val="single" w:sz="4" w:space="0" w:color="000000"/>
            </w:tcBorders>
            <w:vAlign w:val="center"/>
          </w:tcPr>
          <w:p w14:paraId="21F68EE2" w14:textId="77777777" w:rsidR="00C928BF" w:rsidRPr="00964918" w:rsidRDefault="00C928BF" w:rsidP="002C02ED">
            <w:pPr>
              <w:jc w:val="center"/>
            </w:pPr>
            <w:r w:rsidRPr="00964918">
              <w:t>29.00</w:t>
            </w:r>
          </w:p>
        </w:tc>
      </w:tr>
    </w:tbl>
    <w:p w14:paraId="07C22B29" w14:textId="2B0400E4" w:rsidR="005D7DDB" w:rsidRPr="00964918" w:rsidRDefault="00262300" w:rsidP="00BA538A">
      <w:pPr>
        <w:spacing w:before="280" w:after="280" w:line="480" w:lineRule="auto"/>
        <w:jc w:val="both"/>
      </w:pPr>
      <w:r w:rsidRPr="00964918">
        <w:t>Table</w:t>
      </w:r>
      <w:r w:rsidR="008B6E2C" w:rsidRPr="00964918">
        <w:t xml:space="preserve"> </w:t>
      </w:r>
      <w:r w:rsidRPr="00964918">
        <w:t xml:space="preserve">2 shows that </w:t>
      </w:r>
      <w:proofErr w:type="spellStart"/>
      <w:r w:rsidRPr="00964918">
        <w:t>PbS</w:t>
      </w:r>
      <w:proofErr w:type="spellEnd"/>
      <w:r w:rsidRPr="00964918">
        <w:t xml:space="preserve"> nanoparticles exhibit strong absor</w:t>
      </w:r>
      <w:r w:rsidR="00515715" w:rsidRPr="00964918">
        <w:t>b</w:t>
      </w:r>
      <w:r w:rsidRPr="00964918">
        <w:t>ance in the UV region (200–400 nm), with a noticeable rise starting around 300 nm, attributed to their high optical density and quantum confinement effects. Unlike hibiscus dye, the absor</w:t>
      </w:r>
      <w:r w:rsidR="00515715" w:rsidRPr="00964918">
        <w:t>b</w:t>
      </w:r>
      <w:r w:rsidRPr="00964918">
        <w:t xml:space="preserve">ance trend is smoother. In the visible region (400–700 nm), </w:t>
      </w:r>
      <w:proofErr w:type="spellStart"/>
      <w:r w:rsidRPr="00964918">
        <w:t>PbS</w:t>
      </w:r>
      <w:proofErr w:type="spellEnd"/>
      <w:r w:rsidRPr="00964918">
        <w:t xml:space="preserve"> maintains high absor</w:t>
      </w:r>
      <w:r w:rsidR="00515715" w:rsidRPr="00964918">
        <w:t>b</w:t>
      </w:r>
      <w:r w:rsidRPr="00964918">
        <w:t>ance, peaking at approximately 10%, demonstrating its effectiveness in harvesting light across the solar spectrum. Fig</w:t>
      </w:r>
      <w:r w:rsidR="00CA4CD9" w:rsidRPr="00964918">
        <w:t>ure</w:t>
      </w:r>
      <w:r w:rsidRPr="00964918">
        <w:t xml:space="preserve"> </w:t>
      </w:r>
      <w:r w:rsidR="00F77773" w:rsidRPr="00964918">
        <w:t>2</w:t>
      </w:r>
    </w:p>
    <w:p w14:paraId="019D93B3" w14:textId="58CAAD53" w:rsidR="003E34EF" w:rsidRPr="00964918" w:rsidRDefault="004773DE" w:rsidP="00262300">
      <w:pPr>
        <w:spacing w:before="280" w:after="280" w:line="480" w:lineRule="auto"/>
        <w:jc w:val="center"/>
        <w:rPr>
          <w:rFonts w:eastAsia="SimSun"/>
        </w:rPr>
      </w:pPr>
      <w:r w:rsidRPr="00964918">
        <w:rPr>
          <w:noProof/>
        </w:rPr>
        <w:drawing>
          <wp:inline distT="0" distB="0" distL="0" distR="0" wp14:anchorId="452179DD" wp14:editId="304CEF00">
            <wp:extent cx="4572000" cy="2743200"/>
            <wp:effectExtent l="0" t="0" r="12700" b="12700"/>
            <wp:docPr id="1" name="Chart 1">
              <a:extLst xmlns:a="http://schemas.openxmlformats.org/drawingml/2006/main">
                <a:ext uri="{FF2B5EF4-FFF2-40B4-BE49-F238E27FC236}">
                  <a16:creationId xmlns:a16="http://schemas.microsoft.com/office/drawing/2014/main" id="{82372B8B-5B62-714B-B522-12F71CB94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8B28B" w14:textId="44C68F3D" w:rsidR="00BB74FF" w:rsidRPr="00964918" w:rsidRDefault="001F3069" w:rsidP="003E34EF">
      <w:pPr>
        <w:pStyle w:val="NormalWeb"/>
        <w:spacing w:line="360" w:lineRule="auto"/>
        <w:jc w:val="both"/>
      </w:pPr>
      <w:r w:rsidRPr="00964918">
        <w:rPr>
          <w:rStyle w:val="Strong"/>
        </w:rPr>
        <w:t>Figure 2:</w:t>
      </w:r>
      <w:r w:rsidRPr="00964918">
        <w:t xml:space="preserve"> (a) UV–Visible absorbance spectrum of </w:t>
      </w:r>
      <w:proofErr w:type="spellStart"/>
      <w:r w:rsidRPr="00964918">
        <w:t>PbS</w:t>
      </w:r>
      <w:proofErr w:type="spellEnd"/>
      <w:r w:rsidRPr="00964918">
        <w:t xml:space="preserve"> quantum dots (QDs) plotted as absorbance (</w:t>
      </w:r>
      <w:proofErr w:type="spellStart"/>
      <w:r w:rsidR="00446D05" w:rsidRPr="00964918">
        <w:t>a.u</w:t>
      </w:r>
      <w:proofErr w:type="spellEnd"/>
      <w:r w:rsidR="00446D05" w:rsidRPr="00964918">
        <w:t>.</w:t>
      </w:r>
      <w:r w:rsidRPr="00964918">
        <w:t>) versus wavelength (</w:t>
      </w:r>
      <w:r w:rsidRPr="00964918">
        <w:rPr>
          <w:rStyle w:val="Strong"/>
        </w:rPr>
        <w:t>200–700 nm</w:t>
      </w:r>
      <w:r w:rsidRPr="00964918">
        <w:t>)</w:t>
      </w:r>
      <w:r w:rsidR="003E34EF" w:rsidRPr="00964918">
        <w:t>.</w:t>
      </w:r>
    </w:p>
    <w:p w14:paraId="0DCD3BD9" w14:textId="4EA631A0" w:rsidR="00E638E7" w:rsidRPr="00964918" w:rsidRDefault="00262300" w:rsidP="00262300">
      <w:pPr>
        <w:spacing w:before="280" w:after="280" w:line="480" w:lineRule="auto"/>
        <w:jc w:val="both"/>
      </w:pPr>
      <w:r w:rsidRPr="00964918">
        <w:rPr>
          <w:b/>
        </w:rPr>
        <w:t xml:space="preserve">Table </w:t>
      </w:r>
      <w:r w:rsidR="00B04E29" w:rsidRPr="00964918">
        <w:rPr>
          <w:b/>
        </w:rPr>
        <w:t>3</w:t>
      </w:r>
      <w:r w:rsidRPr="00964918">
        <w:rPr>
          <w:b/>
        </w:rPr>
        <w:t xml:space="preserve">: </w:t>
      </w:r>
      <w:r w:rsidRPr="00964918">
        <w:t xml:space="preserve">Absorbance Characterization for Optimized DSSC (integration of </w:t>
      </w:r>
      <w:proofErr w:type="spellStart"/>
      <w:r w:rsidRPr="00964918">
        <w:t>PbS</w:t>
      </w:r>
      <w:proofErr w:type="spellEnd"/>
      <w:r w:rsidRPr="00964918">
        <w:t xml:space="preserve"> Quantum dot into DSSC)</w:t>
      </w:r>
      <w:r w:rsidR="00BB74FF" w:rsidRPr="00964918">
        <w:t>.</w:t>
      </w:r>
    </w:p>
    <w:tbl>
      <w:tblPr>
        <w:tblW w:w="558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319"/>
      </w:tblGrid>
      <w:tr w:rsidR="004773DE" w:rsidRPr="00964918" w14:paraId="0AAB8DD5" w14:textId="77777777" w:rsidTr="004773DE">
        <w:trPr>
          <w:trHeight w:val="361"/>
          <w:tblHeader/>
          <w:jc w:val="center"/>
        </w:trPr>
        <w:tc>
          <w:tcPr>
            <w:tcW w:w="2268" w:type="dxa"/>
            <w:tcBorders>
              <w:top w:val="single" w:sz="4" w:space="0" w:color="auto"/>
            </w:tcBorders>
            <w:vAlign w:val="center"/>
          </w:tcPr>
          <w:p w14:paraId="6AAA9AA0" w14:textId="77777777" w:rsidR="004773DE" w:rsidRPr="00964918" w:rsidRDefault="004773DE" w:rsidP="002C02ED">
            <w:pPr>
              <w:jc w:val="center"/>
              <w:rPr>
                <w:b/>
              </w:rPr>
            </w:pPr>
            <w:r w:rsidRPr="00964918">
              <w:rPr>
                <w:b/>
              </w:rPr>
              <w:lastRenderedPageBreak/>
              <w:t>Wavelength (nm)</w:t>
            </w:r>
          </w:p>
        </w:tc>
        <w:tc>
          <w:tcPr>
            <w:tcW w:w="3319" w:type="dxa"/>
            <w:tcBorders>
              <w:top w:val="single" w:sz="4" w:space="0" w:color="auto"/>
            </w:tcBorders>
            <w:vAlign w:val="center"/>
          </w:tcPr>
          <w:p w14:paraId="2DFAD434" w14:textId="1EF5D25B" w:rsidR="004773DE" w:rsidRPr="00964918" w:rsidRDefault="004773DE" w:rsidP="002C02ED">
            <w:pPr>
              <w:jc w:val="center"/>
              <w:rPr>
                <w:b/>
              </w:rPr>
            </w:pPr>
            <w:r w:rsidRPr="00964918">
              <w:rPr>
                <w:b/>
              </w:rPr>
              <w:t>Absorbance (</w:t>
            </w:r>
            <w:proofErr w:type="spellStart"/>
            <w:r w:rsidRPr="00964918">
              <w:rPr>
                <w:b/>
              </w:rPr>
              <w:t>a.u</w:t>
            </w:r>
            <w:proofErr w:type="spellEnd"/>
            <w:r w:rsidRPr="00964918">
              <w:rPr>
                <w:b/>
              </w:rPr>
              <w:t>.)</w:t>
            </w:r>
          </w:p>
        </w:tc>
      </w:tr>
      <w:tr w:rsidR="004773DE" w:rsidRPr="00964918" w14:paraId="18B406A4" w14:textId="77777777" w:rsidTr="004773DE">
        <w:trPr>
          <w:trHeight w:val="361"/>
          <w:jc w:val="center"/>
        </w:trPr>
        <w:tc>
          <w:tcPr>
            <w:tcW w:w="2268" w:type="dxa"/>
            <w:vAlign w:val="center"/>
          </w:tcPr>
          <w:p w14:paraId="57F497F3" w14:textId="77777777" w:rsidR="004773DE" w:rsidRPr="00964918" w:rsidRDefault="004773DE" w:rsidP="002C02ED">
            <w:pPr>
              <w:jc w:val="center"/>
            </w:pPr>
            <w:r w:rsidRPr="00964918">
              <w:t>200</w:t>
            </w:r>
          </w:p>
        </w:tc>
        <w:tc>
          <w:tcPr>
            <w:tcW w:w="3319" w:type="dxa"/>
            <w:vAlign w:val="center"/>
          </w:tcPr>
          <w:p w14:paraId="5D76269C" w14:textId="77777777" w:rsidR="004773DE" w:rsidRPr="00964918" w:rsidRDefault="004773DE" w:rsidP="002C02ED">
            <w:pPr>
              <w:jc w:val="center"/>
            </w:pPr>
            <w:r w:rsidRPr="00964918">
              <w:t>1.00</w:t>
            </w:r>
          </w:p>
        </w:tc>
      </w:tr>
      <w:tr w:rsidR="004773DE" w:rsidRPr="00964918" w14:paraId="2EE6EE6C" w14:textId="77777777" w:rsidTr="004773DE">
        <w:trPr>
          <w:trHeight w:val="361"/>
          <w:jc w:val="center"/>
        </w:trPr>
        <w:tc>
          <w:tcPr>
            <w:tcW w:w="2268" w:type="dxa"/>
            <w:vAlign w:val="center"/>
          </w:tcPr>
          <w:p w14:paraId="49549B76" w14:textId="77777777" w:rsidR="004773DE" w:rsidRPr="00964918" w:rsidRDefault="004773DE" w:rsidP="002C02ED">
            <w:pPr>
              <w:jc w:val="center"/>
            </w:pPr>
            <w:r w:rsidRPr="00964918">
              <w:t>250</w:t>
            </w:r>
          </w:p>
        </w:tc>
        <w:tc>
          <w:tcPr>
            <w:tcW w:w="3319" w:type="dxa"/>
            <w:vAlign w:val="center"/>
          </w:tcPr>
          <w:p w14:paraId="4DDCE917" w14:textId="77777777" w:rsidR="004773DE" w:rsidRPr="00964918" w:rsidRDefault="004773DE" w:rsidP="002C02ED">
            <w:pPr>
              <w:jc w:val="center"/>
            </w:pPr>
            <w:r w:rsidRPr="00964918">
              <w:t>5.00</w:t>
            </w:r>
          </w:p>
        </w:tc>
      </w:tr>
      <w:tr w:rsidR="004773DE" w:rsidRPr="00964918" w14:paraId="4FEB35DD" w14:textId="77777777" w:rsidTr="004773DE">
        <w:trPr>
          <w:trHeight w:val="361"/>
          <w:jc w:val="center"/>
        </w:trPr>
        <w:tc>
          <w:tcPr>
            <w:tcW w:w="2268" w:type="dxa"/>
            <w:vAlign w:val="center"/>
          </w:tcPr>
          <w:p w14:paraId="275A892E" w14:textId="77777777" w:rsidR="004773DE" w:rsidRPr="00964918" w:rsidRDefault="004773DE" w:rsidP="002C02ED">
            <w:pPr>
              <w:jc w:val="center"/>
            </w:pPr>
            <w:r w:rsidRPr="00964918">
              <w:t>300</w:t>
            </w:r>
          </w:p>
        </w:tc>
        <w:tc>
          <w:tcPr>
            <w:tcW w:w="3319" w:type="dxa"/>
            <w:vAlign w:val="center"/>
          </w:tcPr>
          <w:p w14:paraId="574D6A13" w14:textId="77777777" w:rsidR="004773DE" w:rsidRPr="00964918" w:rsidRDefault="004773DE" w:rsidP="002C02ED">
            <w:pPr>
              <w:jc w:val="center"/>
            </w:pPr>
            <w:r w:rsidRPr="00964918">
              <w:t>18.00</w:t>
            </w:r>
          </w:p>
        </w:tc>
      </w:tr>
      <w:tr w:rsidR="004773DE" w:rsidRPr="00964918" w14:paraId="2BBF6E5A" w14:textId="77777777" w:rsidTr="004773DE">
        <w:trPr>
          <w:trHeight w:val="361"/>
          <w:jc w:val="center"/>
        </w:trPr>
        <w:tc>
          <w:tcPr>
            <w:tcW w:w="2268" w:type="dxa"/>
            <w:vAlign w:val="center"/>
          </w:tcPr>
          <w:p w14:paraId="4153706A" w14:textId="77777777" w:rsidR="004773DE" w:rsidRPr="00964918" w:rsidRDefault="004773DE" w:rsidP="002C02ED">
            <w:pPr>
              <w:jc w:val="center"/>
            </w:pPr>
            <w:r w:rsidRPr="00964918">
              <w:t>350</w:t>
            </w:r>
          </w:p>
        </w:tc>
        <w:tc>
          <w:tcPr>
            <w:tcW w:w="3319" w:type="dxa"/>
            <w:vAlign w:val="center"/>
          </w:tcPr>
          <w:p w14:paraId="390C665A" w14:textId="77777777" w:rsidR="004773DE" w:rsidRPr="00964918" w:rsidRDefault="004773DE" w:rsidP="002C02ED">
            <w:pPr>
              <w:jc w:val="center"/>
            </w:pPr>
            <w:r w:rsidRPr="00964918">
              <w:t>38.00</w:t>
            </w:r>
          </w:p>
        </w:tc>
      </w:tr>
      <w:tr w:rsidR="004773DE" w:rsidRPr="00964918" w14:paraId="6AF6B6E2" w14:textId="77777777" w:rsidTr="004773DE">
        <w:trPr>
          <w:trHeight w:val="361"/>
          <w:jc w:val="center"/>
        </w:trPr>
        <w:tc>
          <w:tcPr>
            <w:tcW w:w="2268" w:type="dxa"/>
            <w:vAlign w:val="center"/>
          </w:tcPr>
          <w:p w14:paraId="1992D11F" w14:textId="77777777" w:rsidR="004773DE" w:rsidRPr="00964918" w:rsidRDefault="004773DE" w:rsidP="002C02ED">
            <w:pPr>
              <w:jc w:val="center"/>
            </w:pPr>
            <w:r w:rsidRPr="00964918">
              <w:t>400</w:t>
            </w:r>
          </w:p>
        </w:tc>
        <w:tc>
          <w:tcPr>
            <w:tcW w:w="3319" w:type="dxa"/>
            <w:vAlign w:val="center"/>
          </w:tcPr>
          <w:p w14:paraId="306D44D7" w14:textId="77777777" w:rsidR="004773DE" w:rsidRPr="00964918" w:rsidRDefault="004773DE" w:rsidP="002C02ED">
            <w:pPr>
              <w:jc w:val="center"/>
            </w:pPr>
            <w:r w:rsidRPr="00964918">
              <w:t>45.00</w:t>
            </w:r>
          </w:p>
        </w:tc>
      </w:tr>
      <w:tr w:rsidR="004773DE" w:rsidRPr="00964918" w14:paraId="5EAD97FD" w14:textId="77777777" w:rsidTr="004773DE">
        <w:trPr>
          <w:trHeight w:val="361"/>
          <w:jc w:val="center"/>
        </w:trPr>
        <w:tc>
          <w:tcPr>
            <w:tcW w:w="2268" w:type="dxa"/>
            <w:vAlign w:val="center"/>
          </w:tcPr>
          <w:p w14:paraId="55FE7DEF" w14:textId="77777777" w:rsidR="004773DE" w:rsidRPr="00964918" w:rsidRDefault="004773DE" w:rsidP="002C02ED">
            <w:pPr>
              <w:jc w:val="center"/>
            </w:pPr>
            <w:r w:rsidRPr="00964918">
              <w:t>450</w:t>
            </w:r>
          </w:p>
        </w:tc>
        <w:tc>
          <w:tcPr>
            <w:tcW w:w="3319" w:type="dxa"/>
            <w:vAlign w:val="center"/>
          </w:tcPr>
          <w:p w14:paraId="1F321072" w14:textId="77777777" w:rsidR="004773DE" w:rsidRPr="00964918" w:rsidRDefault="004773DE" w:rsidP="002C02ED">
            <w:pPr>
              <w:jc w:val="center"/>
            </w:pPr>
            <w:r w:rsidRPr="00964918">
              <w:t>47.00</w:t>
            </w:r>
          </w:p>
        </w:tc>
      </w:tr>
      <w:tr w:rsidR="004773DE" w:rsidRPr="00964918" w14:paraId="6387C469" w14:textId="77777777" w:rsidTr="004773DE">
        <w:trPr>
          <w:trHeight w:val="361"/>
          <w:jc w:val="center"/>
        </w:trPr>
        <w:tc>
          <w:tcPr>
            <w:tcW w:w="2268" w:type="dxa"/>
            <w:vAlign w:val="center"/>
          </w:tcPr>
          <w:p w14:paraId="30D0F534" w14:textId="77777777" w:rsidR="004773DE" w:rsidRPr="00964918" w:rsidRDefault="004773DE" w:rsidP="002C02ED">
            <w:pPr>
              <w:jc w:val="center"/>
            </w:pPr>
            <w:r w:rsidRPr="00964918">
              <w:t>500</w:t>
            </w:r>
          </w:p>
        </w:tc>
        <w:tc>
          <w:tcPr>
            <w:tcW w:w="3319" w:type="dxa"/>
            <w:vAlign w:val="center"/>
          </w:tcPr>
          <w:p w14:paraId="5B5B959E" w14:textId="77777777" w:rsidR="004773DE" w:rsidRPr="00964918" w:rsidRDefault="004773DE" w:rsidP="002C02ED">
            <w:pPr>
              <w:jc w:val="center"/>
            </w:pPr>
            <w:r w:rsidRPr="00964918">
              <w:t>48.00</w:t>
            </w:r>
          </w:p>
        </w:tc>
      </w:tr>
      <w:tr w:rsidR="004773DE" w:rsidRPr="00964918" w14:paraId="1121863F" w14:textId="77777777" w:rsidTr="004773DE">
        <w:trPr>
          <w:trHeight w:val="361"/>
          <w:jc w:val="center"/>
        </w:trPr>
        <w:tc>
          <w:tcPr>
            <w:tcW w:w="2268" w:type="dxa"/>
            <w:vAlign w:val="center"/>
          </w:tcPr>
          <w:p w14:paraId="507B34A8" w14:textId="77777777" w:rsidR="004773DE" w:rsidRPr="00964918" w:rsidRDefault="004773DE" w:rsidP="002C02ED">
            <w:pPr>
              <w:jc w:val="center"/>
            </w:pPr>
            <w:r w:rsidRPr="00964918">
              <w:t>550</w:t>
            </w:r>
          </w:p>
        </w:tc>
        <w:tc>
          <w:tcPr>
            <w:tcW w:w="3319" w:type="dxa"/>
            <w:vAlign w:val="center"/>
          </w:tcPr>
          <w:p w14:paraId="219FF909" w14:textId="77777777" w:rsidR="004773DE" w:rsidRPr="00964918" w:rsidRDefault="004773DE" w:rsidP="002C02ED">
            <w:pPr>
              <w:jc w:val="center"/>
            </w:pPr>
            <w:r w:rsidRPr="00964918">
              <w:t>47.75</w:t>
            </w:r>
          </w:p>
        </w:tc>
      </w:tr>
      <w:tr w:rsidR="004773DE" w:rsidRPr="00964918" w14:paraId="24F58EC6" w14:textId="77777777" w:rsidTr="004773DE">
        <w:trPr>
          <w:trHeight w:val="361"/>
          <w:jc w:val="center"/>
        </w:trPr>
        <w:tc>
          <w:tcPr>
            <w:tcW w:w="2268" w:type="dxa"/>
            <w:vAlign w:val="center"/>
          </w:tcPr>
          <w:p w14:paraId="66EF4047" w14:textId="77777777" w:rsidR="004773DE" w:rsidRPr="00964918" w:rsidRDefault="004773DE" w:rsidP="002C02ED">
            <w:pPr>
              <w:jc w:val="center"/>
            </w:pPr>
            <w:r w:rsidRPr="00964918">
              <w:t>600</w:t>
            </w:r>
          </w:p>
        </w:tc>
        <w:tc>
          <w:tcPr>
            <w:tcW w:w="3319" w:type="dxa"/>
            <w:vAlign w:val="center"/>
          </w:tcPr>
          <w:p w14:paraId="0381C880" w14:textId="77777777" w:rsidR="004773DE" w:rsidRPr="00964918" w:rsidRDefault="004773DE" w:rsidP="002C02ED">
            <w:pPr>
              <w:jc w:val="center"/>
            </w:pPr>
            <w:r w:rsidRPr="00964918">
              <w:t>47.50</w:t>
            </w:r>
          </w:p>
        </w:tc>
      </w:tr>
      <w:tr w:rsidR="004773DE" w:rsidRPr="00964918" w14:paraId="6BC64149" w14:textId="77777777" w:rsidTr="004773DE">
        <w:trPr>
          <w:trHeight w:val="343"/>
          <w:jc w:val="center"/>
        </w:trPr>
        <w:tc>
          <w:tcPr>
            <w:tcW w:w="2268" w:type="dxa"/>
            <w:vAlign w:val="center"/>
          </w:tcPr>
          <w:p w14:paraId="069BED2B" w14:textId="77777777" w:rsidR="004773DE" w:rsidRPr="00964918" w:rsidRDefault="004773DE" w:rsidP="002C02ED">
            <w:pPr>
              <w:jc w:val="center"/>
            </w:pPr>
            <w:r w:rsidRPr="00964918">
              <w:t>650</w:t>
            </w:r>
          </w:p>
        </w:tc>
        <w:tc>
          <w:tcPr>
            <w:tcW w:w="3319" w:type="dxa"/>
            <w:vAlign w:val="center"/>
          </w:tcPr>
          <w:p w14:paraId="26E64A89" w14:textId="77777777" w:rsidR="004773DE" w:rsidRPr="00964918" w:rsidRDefault="004773DE" w:rsidP="002C02ED">
            <w:pPr>
              <w:jc w:val="center"/>
            </w:pPr>
            <w:r w:rsidRPr="00964918">
              <w:t>47.25</w:t>
            </w:r>
          </w:p>
        </w:tc>
      </w:tr>
      <w:tr w:rsidR="004773DE" w:rsidRPr="00964918" w14:paraId="64B19AA8" w14:textId="77777777" w:rsidTr="004773DE">
        <w:trPr>
          <w:trHeight w:val="361"/>
          <w:jc w:val="center"/>
        </w:trPr>
        <w:tc>
          <w:tcPr>
            <w:tcW w:w="2268" w:type="dxa"/>
            <w:vAlign w:val="center"/>
          </w:tcPr>
          <w:p w14:paraId="7746FBD2" w14:textId="77777777" w:rsidR="004773DE" w:rsidRPr="00964918" w:rsidRDefault="004773DE" w:rsidP="002C02ED">
            <w:pPr>
              <w:jc w:val="center"/>
            </w:pPr>
            <w:r w:rsidRPr="00964918">
              <w:t>700</w:t>
            </w:r>
          </w:p>
        </w:tc>
        <w:tc>
          <w:tcPr>
            <w:tcW w:w="3319" w:type="dxa"/>
            <w:vAlign w:val="center"/>
          </w:tcPr>
          <w:p w14:paraId="7937973B" w14:textId="77777777" w:rsidR="004773DE" w:rsidRPr="00964918" w:rsidRDefault="004773DE" w:rsidP="002C02ED">
            <w:pPr>
              <w:jc w:val="center"/>
            </w:pPr>
            <w:r w:rsidRPr="00964918">
              <w:t>47.00</w:t>
            </w:r>
          </w:p>
        </w:tc>
      </w:tr>
    </w:tbl>
    <w:p w14:paraId="34D7A8B7" w14:textId="0BEFB19E" w:rsidR="00262300" w:rsidRPr="00964918" w:rsidRDefault="00262300" w:rsidP="00262300">
      <w:pPr>
        <w:spacing w:before="280" w:after="280" w:line="480" w:lineRule="auto"/>
        <w:jc w:val="both"/>
      </w:pPr>
      <w:r w:rsidRPr="00964918">
        <w:t>Table 3 Shows the absor</w:t>
      </w:r>
      <w:r w:rsidR="00C70A09" w:rsidRPr="00964918">
        <w:t>b</w:t>
      </w:r>
      <w:r w:rsidRPr="00964918">
        <w:t xml:space="preserve">ance vs. wavelength for a hybrid material integrating hibiscus dye and </w:t>
      </w:r>
      <w:proofErr w:type="spellStart"/>
      <w:r w:rsidRPr="00964918">
        <w:t>PbS</w:t>
      </w:r>
      <w:proofErr w:type="spellEnd"/>
      <w:r w:rsidRPr="00964918">
        <w:t xml:space="preserve"> in the UV region (200–400 nm), absor</w:t>
      </w:r>
      <w:r w:rsidR="00C70A09" w:rsidRPr="00964918">
        <w:t>b</w:t>
      </w:r>
      <w:r w:rsidRPr="00964918">
        <w:t xml:space="preserve">ance rises sharply around 300 nm, dominated by </w:t>
      </w:r>
      <w:proofErr w:type="spellStart"/>
      <w:r w:rsidRPr="00964918">
        <w:t>PbS's</w:t>
      </w:r>
      <w:proofErr w:type="spellEnd"/>
      <w:r w:rsidRPr="00964918">
        <w:t xml:space="preserve"> strong UV </w:t>
      </w:r>
      <w:proofErr w:type="spellStart"/>
      <w:r w:rsidRPr="00964918">
        <w:t>absor</w:t>
      </w:r>
      <w:r w:rsidR="00C70A09" w:rsidRPr="00964918">
        <w:t>b</w:t>
      </w:r>
      <w:r w:rsidRPr="00964918">
        <w:t>ion</w:t>
      </w:r>
      <w:proofErr w:type="spellEnd"/>
      <w:r w:rsidRPr="00964918">
        <w:t>, as hibiscus alone shows minimal absorption. In the visible range (400–700 nm), absor</w:t>
      </w:r>
      <w:r w:rsidR="00C70A09" w:rsidRPr="00964918">
        <w:t>b</w:t>
      </w:r>
      <w:r w:rsidRPr="00964918">
        <w:t xml:space="preserve">ance stabilizes at 40–45 %, significantly higher than either material individually, suggesting a synergistic enhancement where hibiscus complements </w:t>
      </w:r>
      <w:proofErr w:type="spellStart"/>
      <w:r w:rsidRPr="00964918">
        <w:t>PbS's</w:t>
      </w:r>
      <w:proofErr w:type="spellEnd"/>
      <w:r w:rsidRPr="00964918">
        <w:t xml:space="preserve"> spectrum. This hybrid system demonstrates enhanced light-harvesting capabilities, with hibiscus contributing to visible spectrum absorption and </w:t>
      </w:r>
      <w:proofErr w:type="spellStart"/>
      <w:r w:rsidRPr="00964918">
        <w:t>PbS</w:t>
      </w:r>
      <w:proofErr w:type="spellEnd"/>
      <w:r w:rsidRPr="00964918">
        <w:t xml:space="preserve"> providing UV coverage. The integration effectively broadens the spectral range for photon absorption, making it a promising candidate for improving dye-sensitized solar cell efficiency. Fig</w:t>
      </w:r>
      <w:r w:rsidR="00BC7173" w:rsidRPr="00964918">
        <w:t xml:space="preserve">ure </w:t>
      </w:r>
      <w:r w:rsidR="00035057" w:rsidRPr="00964918">
        <w:t>3</w:t>
      </w:r>
      <w:r w:rsidRPr="00964918">
        <w:t>.</w:t>
      </w:r>
    </w:p>
    <w:p w14:paraId="507039CA" w14:textId="77777777" w:rsidR="00262300" w:rsidRPr="00964918" w:rsidRDefault="00262300" w:rsidP="00262300">
      <w:pPr>
        <w:pBdr>
          <w:top w:val="nil"/>
          <w:left w:val="nil"/>
          <w:bottom w:val="nil"/>
          <w:right w:val="nil"/>
          <w:between w:val="nil"/>
        </w:pBdr>
        <w:rPr>
          <w:b/>
          <w:color w:val="000000"/>
        </w:rPr>
      </w:pPr>
    </w:p>
    <w:p w14:paraId="4D677C72" w14:textId="77777777" w:rsidR="00262300" w:rsidRPr="00964918" w:rsidRDefault="00262300" w:rsidP="00262300">
      <w:pPr>
        <w:pBdr>
          <w:top w:val="nil"/>
          <w:left w:val="nil"/>
          <w:bottom w:val="nil"/>
          <w:right w:val="nil"/>
          <w:between w:val="nil"/>
        </w:pBdr>
        <w:jc w:val="center"/>
        <w:rPr>
          <w:b/>
          <w:color w:val="000000"/>
        </w:rPr>
      </w:pPr>
    </w:p>
    <w:p w14:paraId="161DF423" w14:textId="1658FB02" w:rsidR="00262300" w:rsidRPr="00964918" w:rsidRDefault="0090017A" w:rsidP="00262300">
      <w:pPr>
        <w:pBdr>
          <w:top w:val="nil"/>
          <w:left w:val="nil"/>
          <w:bottom w:val="nil"/>
          <w:right w:val="nil"/>
          <w:between w:val="nil"/>
        </w:pBdr>
        <w:jc w:val="center"/>
        <w:rPr>
          <w:b/>
          <w:color w:val="000000"/>
        </w:rPr>
      </w:pPr>
      <w:r w:rsidRPr="00964918">
        <w:rPr>
          <w:noProof/>
        </w:rPr>
        <w:lastRenderedPageBreak/>
        <w:drawing>
          <wp:inline distT="0" distB="0" distL="0" distR="0" wp14:anchorId="6EA22875" wp14:editId="5DF6FB33">
            <wp:extent cx="4572000" cy="2743200"/>
            <wp:effectExtent l="0" t="0" r="12700" b="12700"/>
            <wp:docPr id="19" name="Chart 19">
              <a:extLst xmlns:a="http://schemas.openxmlformats.org/drawingml/2006/main">
                <a:ext uri="{FF2B5EF4-FFF2-40B4-BE49-F238E27FC236}">
                  <a16:creationId xmlns:a16="http://schemas.microsoft.com/office/drawing/2014/main" id="{51898856-EC94-5B45-99B5-643C461B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2BAA93" w14:textId="77777777" w:rsidR="00262300" w:rsidRPr="00964918" w:rsidRDefault="00262300" w:rsidP="00262300">
      <w:pPr>
        <w:pBdr>
          <w:top w:val="nil"/>
          <w:left w:val="nil"/>
          <w:bottom w:val="nil"/>
          <w:right w:val="nil"/>
          <w:between w:val="nil"/>
        </w:pBdr>
        <w:jc w:val="center"/>
        <w:rPr>
          <w:b/>
          <w:color w:val="000000"/>
        </w:rPr>
      </w:pPr>
    </w:p>
    <w:p w14:paraId="26DAB48D" w14:textId="218C5F0A" w:rsidR="004E546E" w:rsidRPr="00964918" w:rsidRDefault="007E2442" w:rsidP="00B21D1E">
      <w:pPr>
        <w:spacing w:line="360" w:lineRule="auto"/>
        <w:jc w:val="both"/>
      </w:pPr>
      <w:r w:rsidRPr="00964918">
        <w:rPr>
          <w:b/>
          <w:bCs/>
        </w:rPr>
        <w:t>Figure 3:</w:t>
      </w:r>
      <w:r w:rsidRPr="00964918">
        <w:t xml:space="preserve"> UV–Visible absorbance spectrum of the optimized DSSC incorporating Hibiscus dye and </w:t>
      </w:r>
      <w:proofErr w:type="spellStart"/>
      <w:r w:rsidRPr="00964918">
        <w:t>PbS</w:t>
      </w:r>
      <w:proofErr w:type="spellEnd"/>
      <w:r w:rsidRPr="00964918">
        <w:t xml:space="preserve"> quantum dots, showing absorbance (</w:t>
      </w:r>
      <w:proofErr w:type="spellStart"/>
      <w:r w:rsidR="00446D05" w:rsidRPr="00964918">
        <w:t>a.u</w:t>
      </w:r>
      <w:proofErr w:type="spellEnd"/>
      <w:r w:rsidR="00446D05" w:rsidRPr="00964918">
        <w:t>.</w:t>
      </w:r>
      <w:r w:rsidRPr="00964918">
        <w:t>) as a function of wavelength (</w:t>
      </w:r>
      <w:r w:rsidRPr="00964918">
        <w:rPr>
          <w:b/>
          <w:bCs/>
        </w:rPr>
        <w:t>200–700 nm</w:t>
      </w:r>
      <w:r w:rsidRPr="00964918">
        <w:t>)</w:t>
      </w:r>
      <w:r w:rsidR="00787C70" w:rsidRPr="00964918">
        <w:t xml:space="preserve">. </w:t>
      </w:r>
    </w:p>
    <w:p w14:paraId="199DAD0C" w14:textId="694775A5" w:rsidR="00262300" w:rsidRPr="00964918" w:rsidRDefault="00262300" w:rsidP="00D25E71">
      <w:pPr>
        <w:spacing w:before="280" w:after="280" w:line="480" w:lineRule="auto"/>
        <w:jc w:val="both"/>
      </w:pPr>
      <w:r w:rsidRPr="00964918">
        <w:rPr>
          <w:b/>
        </w:rPr>
        <w:t xml:space="preserve">Table 4: </w:t>
      </w:r>
      <w:r w:rsidRPr="00964918">
        <w:t xml:space="preserve">Comparative absorbance characterization for Optimized DSSC (integrated of </w:t>
      </w:r>
      <w:proofErr w:type="spellStart"/>
      <w:r w:rsidRPr="00964918">
        <w:t>PbS</w:t>
      </w:r>
      <w:proofErr w:type="spellEnd"/>
      <w:r w:rsidRPr="00964918">
        <w:t xml:space="preserve"> Quantum dot into DSSC), Hibiscus dye and </w:t>
      </w:r>
      <w:proofErr w:type="spellStart"/>
      <w:r w:rsidRPr="00964918">
        <w:t>PbS</w:t>
      </w:r>
      <w:proofErr w:type="spellEnd"/>
      <w:r w:rsidRPr="00964918">
        <w:t xml:space="preserve"> Quantum dot.</w:t>
      </w:r>
    </w:p>
    <w:tbl>
      <w:tblPr>
        <w:tblW w:w="6563" w:type="dxa"/>
        <w:jc w:val="center"/>
        <w:tblLayout w:type="fixed"/>
        <w:tblLook w:val="0400" w:firstRow="0" w:lastRow="0" w:firstColumn="0" w:lastColumn="0" w:noHBand="0" w:noVBand="1"/>
      </w:tblPr>
      <w:tblGrid>
        <w:gridCol w:w="2112"/>
        <w:gridCol w:w="1506"/>
        <w:gridCol w:w="1322"/>
        <w:gridCol w:w="1623"/>
      </w:tblGrid>
      <w:tr w:rsidR="00C40E16" w:rsidRPr="00964918" w14:paraId="52AE9526" w14:textId="77777777" w:rsidTr="00D25E71">
        <w:trPr>
          <w:trHeight w:val="769"/>
          <w:tblHeader/>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EEABA40" w14:textId="77777777" w:rsidR="00C40E16" w:rsidRPr="00964918" w:rsidRDefault="00C40E16" w:rsidP="00D25E71">
            <w:pPr>
              <w:jc w:val="center"/>
              <w:rPr>
                <w:b/>
              </w:rPr>
            </w:pPr>
            <w:r w:rsidRPr="00964918">
              <w:rPr>
                <w:b/>
              </w:rPr>
              <w:t>Wavelength (nm)</w:t>
            </w:r>
          </w:p>
        </w:tc>
        <w:tc>
          <w:tcPr>
            <w:tcW w:w="1506" w:type="dxa"/>
            <w:tcBorders>
              <w:top w:val="single" w:sz="4" w:space="0" w:color="000000"/>
              <w:left w:val="single" w:sz="4" w:space="0" w:color="000000"/>
              <w:bottom w:val="single" w:sz="4" w:space="0" w:color="000000"/>
              <w:right w:val="single" w:sz="4" w:space="0" w:color="000000"/>
            </w:tcBorders>
            <w:vAlign w:val="center"/>
          </w:tcPr>
          <w:p w14:paraId="7DF803E9" w14:textId="5C69E52A" w:rsidR="00C40E16" w:rsidRPr="00964918" w:rsidRDefault="00C40E16" w:rsidP="00D25E71">
            <w:pPr>
              <w:jc w:val="center"/>
              <w:rPr>
                <w:b/>
              </w:rPr>
            </w:pPr>
            <w:r w:rsidRPr="00964918">
              <w:rPr>
                <w:b/>
              </w:rPr>
              <w:t>Hibiscus dye Absorbance (</w:t>
            </w:r>
            <w:proofErr w:type="spellStart"/>
            <w:r w:rsidRPr="00964918">
              <w:rPr>
                <w:b/>
              </w:rPr>
              <w:t>a.u</w:t>
            </w:r>
            <w:proofErr w:type="spellEnd"/>
            <w:r w:rsidRPr="00964918">
              <w:rPr>
                <w:b/>
              </w:rPr>
              <w:t>.)</w:t>
            </w:r>
          </w:p>
        </w:tc>
        <w:tc>
          <w:tcPr>
            <w:tcW w:w="1322" w:type="dxa"/>
            <w:tcBorders>
              <w:top w:val="single" w:sz="4" w:space="0" w:color="000000"/>
              <w:left w:val="single" w:sz="4" w:space="0" w:color="000000"/>
              <w:bottom w:val="single" w:sz="4" w:space="0" w:color="000000"/>
              <w:right w:val="single" w:sz="4" w:space="0" w:color="000000"/>
            </w:tcBorders>
            <w:vAlign w:val="center"/>
          </w:tcPr>
          <w:p w14:paraId="2EBAF99B" w14:textId="70EBA11D" w:rsidR="00C40E16" w:rsidRPr="00964918" w:rsidRDefault="00C40E16" w:rsidP="00D25E71">
            <w:pPr>
              <w:jc w:val="center"/>
              <w:rPr>
                <w:b/>
              </w:rPr>
            </w:pPr>
            <w:proofErr w:type="spellStart"/>
            <w:r w:rsidRPr="00964918">
              <w:rPr>
                <w:b/>
              </w:rPr>
              <w:t>PbS</w:t>
            </w:r>
            <w:proofErr w:type="spellEnd"/>
            <w:r w:rsidRPr="00964918">
              <w:rPr>
                <w:b/>
              </w:rPr>
              <w:t xml:space="preserve"> QD Absorbance (</w:t>
            </w:r>
            <w:proofErr w:type="spellStart"/>
            <w:r w:rsidRPr="00964918">
              <w:rPr>
                <w:b/>
              </w:rPr>
              <w:t>a.u</w:t>
            </w:r>
            <w:proofErr w:type="spellEnd"/>
            <w:r w:rsidRPr="00964918">
              <w:rPr>
                <w:b/>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560681CE" w14:textId="4D0A0053" w:rsidR="00C40E16" w:rsidRPr="00964918" w:rsidRDefault="00C40E16" w:rsidP="00D25E71">
            <w:pPr>
              <w:jc w:val="center"/>
              <w:rPr>
                <w:b/>
              </w:rPr>
            </w:pPr>
            <w:proofErr w:type="spellStart"/>
            <w:r w:rsidRPr="00964918">
              <w:rPr>
                <w:b/>
              </w:rPr>
              <w:t>PbS</w:t>
            </w:r>
            <w:proofErr w:type="spellEnd"/>
            <w:r w:rsidRPr="00964918">
              <w:rPr>
                <w:b/>
              </w:rPr>
              <w:t>/Hibiscus Absorbance (</w:t>
            </w:r>
            <w:proofErr w:type="spellStart"/>
            <w:r w:rsidRPr="00964918">
              <w:rPr>
                <w:b/>
              </w:rPr>
              <w:t>a.u</w:t>
            </w:r>
            <w:proofErr w:type="spellEnd"/>
            <w:r w:rsidRPr="00964918">
              <w:rPr>
                <w:b/>
              </w:rPr>
              <w:t>.)</w:t>
            </w:r>
          </w:p>
        </w:tc>
      </w:tr>
      <w:tr w:rsidR="00C40E16" w:rsidRPr="00964918" w14:paraId="59CBF522"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E8EE579" w14:textId="77777777" w:rsidR="00C40E16" w:rsidRPr="00964918" w:rsidRDefault="00C40E16" w:rsidP="00D25E71">
            <w:pPr>
              <w:jc w:val="center"/>
            </w:pPr>
            <w:r w:rsidRPr="00964918">
              <w:t>200</w:t>
            </w:r>
          </w:p>
        </w:tc>
        <w:tc>
          <w:tcPr>
            <w:tcW w:w="1506" w:type="dxa"/>
            <w:tcBorders>
              <w:top w:val="single" w:sz="4" w:space="0" w:color="000000"/>
              <w:left w:val="single" w:sz="4" w:space="0" w:color="000000"/>
              <w:bottom w:val="single" w:sz="4" w:space="0" w:color="000000"/>
              <w:right w:val="single" w:sz="4" w:space="0" w:color="000000"/>
            </w:tcBorders>
            <w:vAlign w:val="center"/>
          </w:tcPr>
          <w:p w14:paraId="3B061E8F" w14:textId="77777777" w:rsidR="00C40E16" w:rsidRPr="00964918" w:rsidRDefault="00C40E16" w:rsidP="00D25E71">
            <w:pPr>
              <w:jc w:val="center"/>
            </w:pPr>
            <w:r w:rsidRPr="00964918">
              <w:t>2.00</w:t>
            </w:r>
          </w:p>
        </w:tc>
        <w:tc>
          <w:tcPr>
            <w:tcW w:w="1322" w:type="dxa"/>
            <w:tcBorders>
              <w:top w:val="single" w:sz="4" w:space="0" w:color="000000"/>
              <w:left w:val="single" w:sz="4" w:space="0" w:color="000000"/>
              <w:bottom w:val="single" w:sz="4" w:space="0" w:color="000000"/>
              <w:right w:val="single" w:sz="4" w:space="0" w:color="000000"/>
            </w:tcBorders>
            <w:vAlign w:val="center"/>
          </w:tcPr>
          <w:p w14:paraId="74CF385A" w14:textId="77777777" w:rsidR="00C40E16" w:rsidRPr="00964918" w:rsidRDefault="00C40E16" w:rsidP="00D25E71">
            <w:pPr>
              <w:jc w:val="center"/>
            </w:pPr>
            <w:r w:rsidRPr="00964918">
              <w:t>2.00</w:t>
            </w:r>
          </w:p>
        </w:tc>
        <w:tc>
          <w:tcPr>
            <w:tcW w:w="1623" w:type="dxa"/>
            <w:tcBorders>
              <w:top w:val="single" w:sz="4" w:space="0" w:color="000000"/>
              <w:left w:val="single" w:sz="4" w:space="0" w:color="000000"/>
              <w:bottom w:val="single" w:sz="4" w:space="0" w:color="000000"/>
              <w:right w:val="single" w:sz="4" w:space="0" w:color="000000"/>
            </w:tcBorders>
            <w:vAlign w:val="center"/>
          </w:tcPr>
          <w:p w14:paraId="4CB1BDD2" w14:textId="77777777" w:rsidR="00C40E16" w:rsidRPr="00964918" w:rsidRDefault="00C40E16" w:rsidP="00D25E71">
            <w:pPr>
              <w:jc w:val="center"/>
            </w:pPr>
            <w:r w:rsidRPr="00964918">
              <w:t>1.00</w:t>
            </w:r>
          </w:p>
        </w:tc>
      </w:tr>
      <w:tr w:rsidR="00C40E16" w:rsidRPr="00964918" w14:paraId="50D0E538"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7C01FF87" w14:textId="77777777" w:rsidR="00C40E16" w:rsidRPr="00964918" w:rsidRDefault="00C40E16" w:rsidP="00D25E71">
            <w:pPr>
              <w:jc w:val="center"/>
            </w:pPr>
            <w:r w:rsidRPr="00964918">
              <w:t>250</w:t>
            </w:r>
          </w:p>
        </w:tc>
        <w:tc>
          <w:tcPr>
            <w:tcW w:w="1506" w:type="dxa"/>
            <w:tcBorders>
              <w:top w:val="single" w:sz="4" w:space="0" w:color="000000"/>
              <w:left w:val="single" w:sz="4" w:space="0" w:color="000000"/>
              <w:bottom w:val="single" w:sz="4" w:space="0" w:color="000000"/>
              <w:right w:val="single" w:sz="4" w:space="0" w:color="000000"/>
            </w:tcBorders>
            <w:vAlign w:val="center"/>
          </w:tcPr>
          <w:p w14:paraId="73B4DB06" w14:textId="77777777" w:rsidR="00C40E16" w:rsidRPr="00964918" w:rsidRDefault="00C40E16" w:rsidP="00D25E71">
            <w:pPr>
              <w:jc w:val="center"/>
            </w:pPr>
            <w:r w:rsidRPr="00964918">
              <w:t>1.70</w:t>
            </w:r>
          </w:p>
        </w:tc>
        <w:tc>
          <w:tcPr>
            <w:tcW w:w="1322" w:type="dxa"/>
            <w:tcBorders>
              <w:top w:val="single" w:sz="4" w:space="0" w:color="000000"/>
              <w:left w:val="single" w:sz="4" w:space="0" w:color="000000"/>
              <w:bottom w:val="single" w:sz="4" w:space="0" w:color="000000"/>
              <w:right w:val="single" w:sz="4" w:space="0" w:color="000000"/>
            </w:tcBorders>
            <w:vAlign w:val="center"/>
          </w:tcPr>
          <w:p w14:paraId="7C4359A8" w14:textId="77777777" w:rsidR="00C40E16" w:rsidRPr="00964918" w:rsidRDefault="00C40E16" w:rsidP="00D25E71">
            <w:pPr>
              <w:jc w:val="center"/>
            </w:pPr>
            <w:r w:rsidRPr="00964918">
              <w:t>10.00</w:t>
            </w:r>
          </w:p>
        </w:tc>
        <w:tc>
          <w:tcPr>
            <w:tcW w:w="1623" w:type="dxa"/>
            <w:tcBorders>
              <w:top w:val="single" w:sz="4" w:space="0" w:color="000000"/>
              <w:left w:val="single" w:sz="4" w:space="0" w:color="000000"/>
              <w:bottom w:val="single" w:sz="4" w:space="0" w:color="000000"/>
              <w:right w:val="single" w:sz="4" w:space="0" w:color="000000"/>
            </w:tcBorders>
            <w:vAlign w:val="center"/>
          </w:tcPr>
          <w:p w14:paraId="3ED37233" w14:textId="77777777" w:rsidR="00C40E16" w:rsidRPr="00964918" w:rsidRDefault="00C40E16" w:rsidP="00D25E71">
            <w:pPr>
              <w:jc w:val="center"/>
            </w:pPr>
            <w:r w:rsidRPr="00964918">
              <w:t>5.00</w:t>
            </w:r>
          </w:p>
        </w:tc>
      </w:tr>
      <w:tr w:rsidR="00C40E16" w:rsidRPr="00964918" w14:paraId="3FC0FA25" w14:textId="77777777" w:rsidTr="00D25E71">
        <w:trPr>
          <w:trHeight w:val="248"/>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1FD0546" w14:textId="77777777" w:rsidR="00C40E16" w:rsidRPr="00964918" w:rsidRDefault="00C40E16" w:rsidP="00D25E71">
            <w:pPr>
              <w:jc w:val="center"/>
            </w:pPr>
            <w:r w:rsidRPr="00964918">
              <w:t>300</w:t>
            </w:r>
          </w:p>
        </w:tc>
        <w:tc>
          <w:tcPr>
            <w:tcW w:w="1506" w:type="dxa"/>
            <w:tcBorders>
              <w:top w:val="single" w:sz="4" w:space="0" w:color="000000"/>
              <w:left w:val="single" w:sz="4" w:space="0" w:color="000000"/>
              <w:bottom w:val="single" w:sz="4" w:space="0" w:color="000000"/>
              <w:right w:val="single" w:sz="4" w:space="0" w:color="000000"/>
            </w:tcBorders>
            <w:vAlign w:val="center"/>
          </w:tcPr>
          <w:p w14:paraId="02C00D00" w14:textId="77777777" w:rsidR="00C40E16" w:rsidRPr="00964918" w:rsidRDefault="00C40E16" w:rsidP="00D25E71">
            <w:pPr>
              <w:jc w:val="center"/>
            </w:pPr>
            <w:r w:rsidRPr="00964918">
              <w:t>1.50</w:t>
            </w:r>
          </w:p>
        </w:tc>
        <w:tc>
          <w:tcPr>
            <w:tcW w:w="1322" w:type="dxa"/>
            <w:tcBorders>
              <w:top w:val="single" w:sz="4" w:space="0" w:color="000000"/>
              <w:left w:val="single" w:sz="4" w:space="0" w:color="000000"/>
              <w:bottom w:val="single" w:sz="4" w:space="0" w:color="000000"/>
              <w:right w:val="single" w:sz="4" w:space="0" w:color="000000"/>
            </w:tcBorders>
            <w:vAlign w:val="center"/>
          </w:tcPr>
          <w:p w14:paraId="1CBF5FD1" w14:textId="77777777" w:rsidR="00C40E16" w:rsidRPr="00964918" w:rsidRDefault="00C40E16" w:rsidP="00D25E71">
            <w:pPr>
              <w:jc w:val="center"/>
            </w:pPr>
            <w:r w:rsidRPr="00964918">
              <w:t>25.00</w:t>
            </w:r>
          </w:p>
        </w:tc>
        <w:tc>
          <w:tcPr>
            <w:tcW w:w="1623" w:type="dxa"/>
            <w:tcBorders>
              <w:top w:val="single" w:sz="4" w:space="0" w:color="000000"/>
              <w:left w:val="single" w:sz="4" w:space="0" w:color="000000"/>
              <w:bottom w:val="single" w:sz="4" w:space="0" w:color="000000"/>
              <w:right w:val="single" w:sz="4" w:space="0" w:color="000000"/>
            </w:tcBorders>
            <w:vAlign w:val="center"/>
          </w:tcPr>
          <w:p w14:paraId="74CB8BD9" w14:textId="77777777" w:rsidR="00C40E16" w:rsidRPr="00964918" w:rsidRDefault="00C40E16" w:rsidP="00D25E71">
            <w:pPr>
              <w:jc w:val="center"/>
            </w:pPr>
            <w:r w:rsidRPr="00964918">
              <w:t>18.00</w:t>
            </w:r>
          </w:p>
        </w:tc>
      </w:tr>
      <w:tr w:rsidR="00C40E16" w:rsidRPr="00964918" w14:paraId="4F53EBA4"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37C6A33F" w14:textId="77777777" w:rsidR="00C40E16" w:rsidRPr="00964918" w:rsidRDefault="00C40E16" w:rsidP="00D25E71">
            <w:pPr>
              <w:jc w:val="center"/>
            </w:pPr>
            <w:r w:rsidRPr="00964918">
              <w:t>350</w:t>
            </w:r>
          </w:p>
        </w:tc>
        <w:tc>
          <w:tcPr>
            <w:tcW w:w="1506" w:type="dxa"/>
            <w:tcBorders>
              <w:top w:val="single" w:sz="4" w:space="0" w:color="000000"/>
              <w:left w:val="single" w:sz="4" w:space="0" w:color="000000"/>
              <w:bottom w:val="single" w:sz="4" w:space="0" w:color="000000"/>
              <w:right w:val="single" w:sz="4" w:space="0" w:color="000000"/>
            </w:tcBorders>
            <w:vAlign w:val="center"/>
          </w:tcPr>
          <w:p w14:paraId="5A7166E6" w14:textId="77777777" w:rsidR="00C40E16" w:rsidRPr="00964918" w:rsidRDefault="00C40E16" w:rsidP="00D25E71">
            <w:pPr>
              <w:jc w:val="center"/>
            </w:pPr>
            <w:r w:rsidRPr="00964918">
              <w:t>1.30</w:t>
            </w:r>
          </w:p>
        </w:tc>
        <w:tc>
          <w:tcPr>
            <w:tcW w:w="1322" w:type="dxa"/>
            <w:tcBorders>
              <w:top w:val="single" w:sz="4" w:space="0" w:color="000000"/>
              <w:left w:val="single" w:sz="4" w:space="0" w:color="000000"/>
              <w:bottom w:val="single" w:sz="4" w:space="0" w:color="000000"/>
              <w:right w:val="single" w:sz="4" w:space="0" w:color="000000"/>
            </w:tcBorders>
            <w:vAlign w:val="center"/>
          </w:tcPr>
          <w:p w14:paraId="4B857C8A" w14:textId="77777777" w:rsidR="00C40E16" w:rsidRPr="00964918" w:rsidRDefault="00C40E16" w:rsidP="00D25E71">
            <w:pPr>
              <w:jc w:val="center"/>
            </w:pPr>
            <w:r w:rsidRPr="00964918">
              <w:t>28.00</w:t>
            </w:r>
          </w:p>
        </w:tc>
        <w:tc>
          <w:tcPr>
            <w:tcW w:w="1623" w:type="dxa"/>
            <w:tcBorders>
              <w:top w:val="single" w:sz="4" w:space="0" w:color="000000"/>
              <w:left w:val="single" w:sz="4" w:space="0" w:color="000000"/>
              <w:bottom w:val="single" w:sz="4" w:space="0" w:color="000000"/>
              <w:right w:val="single" w:sz="4" w:space="0" w:color="000000"/>
            </w:tcBorders>
            <w:vAlign w:val="center"/>
          </w:tcPr>
          <w:p w14:paraId="5B07A50E" w14:textId="77777777" w:rsidR="00C40E16" w:rsidRPr="00964918" w:rsidRDefault="00C40E16" w:rsidP="00D25E71">
            <w:pPr>
              <w:jc w:val="center"/>
            </w:pPr>
            <w:r w:rsidRPr="00964918">
              <w:t>38.00</w:t>
            </w:r>
          </w:p>
        </w:tc>
      </w:tr>
      <w:tr w:rsidR="00C40E16" w:rsidRPr="00964918" w14:paraId="5FAF2A5F"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1B2015B2" w14:textId="77777777" w:rsidR="00C40E16" w:rsidRPr="00964918" w:rsidRDefault="00C40E16" w:rsidP="00D25E71">
            <w:pPr>
              <w:jc w:val="center"/>
            </w:pPr>
            <w:r w:rsidRPr="00964918">
              <w:t>400</w:t>
            </w:r>
          </w:p>
        </w:tc>
        <w:tc>
          <w:tcPr>
            <w:tcW w:w="1506" w:type="dxa"/>
            <w:tcBorders>
              <w:top w:val="single" w:sz="4" w:space="0" w:color="000000"/>
              <w:left w:val="single" w:sz="4" w:space="0" w:color="000000"/>
              <w:bottom w:val="single" w:sz="4" w:space="0" w:color="000000"/>
              <w:right w:val="single" w:sz="4" w:space="0" w:color="000000"/>
            </w:tcBorders>
            <w:vAlign w:val="center"/>
          </w:tcPr>
          <w:p w14:paraId="38ED1C1D" w14:textId="77777777" w:rsidR="00C40E16" w:rsidRPr="00964918" w:rsidRDefault="00C40E16" w:rsidP="00D25E71">
            <w:pPr>
              <w:jc w:val="center"/>
            </w:pPr>
            <w:r w:rsidRPr="00964918">
              <w:t>1.20</w:t>
            </w:r>
          </w:p>
        </w:tc>
        <w:tc>
          <w:tcPr>
            <w:tcW w:w="1322" w:type="dxa"/>
            <w:tcBorders>
              <w:top w:val="single" w:sz="4" w:space="0" w:color="000000"/>
              <w:left w:val="single" w:sz="4" w:space="0" w:color="000000"/>
              <w:bottom w:val="single" w:sz="4" w:space="0" w:color="000000"/>
              <w:right w:val="single" w:sz="4" w:space="0" w:color="000000"/>
            </w:tcBorders>
            <w:vAlign w:val="center"/>
          </w:tcPr>
          <w:p w14:paraId="7B5C6530" w14:textId="77777777" w:rsidR="00C40E16" w:rsidRPr="00964918" w:rsidRDefault="00C40E16" w:rsidP="00D25E71">
            <w:pPr>
              <w:jc w:val="center"/>
            </w:pPr>
            <w:r w:rsidRPr="00964918">
              <w:t>29.50</w:t>
            </w:r>
          </w:p>
        </w:tc>
        <w:tc>
          <w:tcPr>
            <w:tcW w:w="1623" w:type="dxa"/>
            <w:tcBorders>
              <w:top w:val="single" w:sz="4" w:space="0" w:color="000000"/>
              <w:left w:val="single" w:sz="4" w:space="0" w:color="000000"/>
              <w:bottom w:val="single" w:sz="4" w:space="0" w:color="000000"/>
              <w:right w:val="single" w:sz="4" w:space="0" w:color="000000"/>
            </w:tcBorders>
            <w:vAlign w:val="center"/>
          </w:tcPr>
          <w:p w14:paraId="22A2EEC8" w14:textId="77777777" w:rsidR="00C40E16" w:rsidRPr="00964918" w:rsidRDefault="00C40E16" w:rsidP="00D25E71">
            <w:pPr>
              <w:jc w:val="center"/>
            </w:pPr>
            <w:r w:rsidRPr="00964918">
              <w:t>45.00</w:t>
            </w:r>
          </w:p>
        </w:tc>
      </w:tr>
      <w:tr w:rsidR="00C40E16" w:rsidRPr="00964918" w14:paraId="063D8E8F" w14:textId="77777777" w:rsidTr="00D25E71">
        <w:trPr>
          <w:trHeight w:val="248"/>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4628F38B" w14:textId="77777777" w:rsidR="00C40E16" w:rsidRPr="00964918" w:rsidRDefault="00C40E16" w:rsidP="00D25E71">
            <w:pPr>
              <w:jc w:val="center"/>
            </w:pPr>
            <w:r w:rsidRPr="00964918">
              <w:t>450</w:t>
            </w:r>
          </w:p>
        </w:tc>
        <w:tc>
          <w:tcPr>
            <w:tcW w:w="1506" w:type="dxa"/>
            <w:tcBorders>
              <w:top w:val="single" w:sz="4" w:space="0" w:color="000000"/>
              <w:left w:val="single" w:sz="4" w:space="0" w:color="000000"/>
              <w:bottom w:val="single" w:sz="4" w:space="0" w:color="000000"/>
              <w:right w:val="single" w:sz="4" w:space="0" w:color="000000"/>
            </w:tcBorders>
            <w:vAlign w:val="center"/>
          </w:tcPr>
          <w:p w14:paraId="2C13EC92" w14:textId="77777777" w:rsidR="00C40E16" w:rsidRPr="00964918" w:rsidRDefault="00C40E16" w:rsidP="00D25E71">
            <w:pPr>
              <w:jc w:val="center"/>
            </w:pPr>
            <w:r w:rsidRPr="00964918">
              <w:t>1.10</w:t>
            </w:r>
          </w:p>
        </w:tc>
        <w:tc>
          <w:tcPr>
            <w:tcW w:w="1322" w:type="dxa"/>
            <w:tcBorders>
              <w:top w:val="single" w:sz="4" w:space="0" w:color="000000"/>
              <w:left w:val="single" w:sz="4" w:space="0" w:color="000000"/>
              <w:bottom w:val="single" w:sz="4" w:space="0" w:color="000000"/>
              <w:right w:val="single" w:sz="4" w:space="0" w:color="000000"/>
            </w:tcBorders>
            <w:vAlign w:val="center"/>
          </w:tcPr>
          <w:p w14:paraId="1367650C" w14:textId="77777777" w:rsidR="00C40E16" w:rsidRPr="00964918" w:rsidRDefault="00C40E16" w:rsidP="00D25E71">
            <w:pPr>
              <w:jc w:val="center"/>
            </w:pPr>
            <w:r w:rsidRPr="00964918">
              <w:t>29.80</w:t>
            </w:r>
          </w:p>
        </w:tc>
        <w:tc>
          <w:tcPr>
            <w:tcW w:w="1623" w:type="dxa"/>
            <w:tcBorders>
              <w:top w:val="single" w:sz="4" w:space="0" w:color="000000"/>
              <w:left w:val="single" w:sz="4" w:space="0" w:color="000000"/>
              <w:bottom w:val="single" w:sz="4" w:space="0" w:color="000000"/>
              <w:right w:val="single" w:sz="4" w:space="0" w:color="000000"/>
            </w:tcBorders>
            <w:vAlign w:val="center"/>
          </w:tcPr>
          <w:p w14:paraId="009C4632" w14:textId="77777777" w:rsidR="00C40E16" w:rsidRPr="00964918" w:rsidRDefault="00C40E16" w:rsidP="00D25E71">
            <w:pPr>
              <w:jc w:val="center"/>
            </w:pPr>
            <w:r w:rsidRPr="00964918">
              <w:t>47.00</w:t>
            </w:r>
          </w:p>
        </w:tc>
      </w:tr>
      <w:tr w:rsidR="00C40E16" w:rsidRPr="00964918" w14:paraId="69A514A5"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53B8B510" w14:textId="77777777" w:rsidR="00C40E16" w:rsidRPr="00964918" w:rsidRDefault="00C40E16" w:rsidP="00D25E71">
            <w:pPr>
              <w:jc w:val="center"/>
            </w:pPr>
            <w:r w:rsidRPr="00964918">
              <w:t>500</w:t>
            </w:r>
          </w:p>
        </w:tc>
        <w:tc>
          <w:tcPr>
            <w:tcW w:w="1506" w:type="dxa"/>
            <w:tcBorders>
              <w:top w:val="single" w:sz="4" w:space="0" w:color="000000"/>
              <w:left w:val="single" w:sz="4" w:space="0" w:color="000000"/>
              <w:bottom w:val="single" w:sz="4" w:space="0" w:color="000000"/>
              <w:right w:val="single" w:sz="4" w:space="0" w:color="000000"/>
            </w:tcBorders>
            <w:vAlign w:val="center"/>
          </w:tcPr>
          <w:p w14:paraId="700719BB" w14:textId="77777777" w:rsidR="00C40E16" w:rsidRPr="00964918" w:rsidRDefault="00C40E16" w:rsidP="00D25E71">
            <w:pPr>
              <w:jc w:val="center"/>
            </w:pPr>
            <w:r w:rsidRPr="00964918">
              <w:t>1.00</w:t>
            </w:r>
          </w:p>
        </w:tc>
        <w:tc>
          <w:tcPr>
            <w:tcW w:w="1322" w:type="dxa"/>
            <w:tcBorders>
              <w:top w:val="single" w:sz="4" w:space="0" w:color="000000"/>
              <w:left w:val="single" w:sz="4" w:space="0" w:color="000000"/>
              <w:bottom w:val="single" w:sz="4" w:space="0" w:color="000000"/>
              <w:right w:val="single" w:sz="4" w:space="0" w:color="000000"/>
            </w:tcBorders>
            <w:vAlign w:val="center"/>
          </w:tcPr>
          <w:p w14:paraId="5B72FE10" w14:textId="77777777" w:rsidR="00C40E16" w:rsidRPr="00964918" w:rsidRDefault="00C40E16" w:rsidP="00D25E71">
            <w:pPr>
              <w:jc w:val="center"/>
            </w:pPr>
            <w:r w:rsidRPr="00964918">
              <w:t>30.00</w:t>
            </w:r>
          </w:p>
        </w:tc>
        <w:tc>
          <w:tcPr>
            <w:tcW w:w="1623" w:type="dxa"/>
            <w:tcBorders>
              <w:top w:val="single" w:sz="4" w:space="0" w:color="000000"/>
              <w:left w:val="single" w:sz="4" w:space="0" w:color="000000"/>
              <w:bottom w:val="single" w:sz="4" w:space="0" w:color="000000"/>
              <w:right w:val="single" w:sz="4" w:space="0" w:color="000000"/>
            </w:tcBorders>
            <w:vAlign w:val="center"/>
          </w:tcPr>
          <w:p w14:paraId="658991A3" w14:textId="77777777" w:rsidR="00C40E16" w:rsidRPr="00964918" w:rsidRDefault="00C40E16" w:rsidP="00D25E71">
            <w:pPr>
              <w:jc w:val="center"/>
            </w:pPr>
            <w:r w:rsidRPr="00964918">
              <w:t>48.00</w:t>
            </w:r>
          </w:p>
        </w:tc>
      </w:tr>
      <w:tr w:rsidR="00C40E16" w:rsidRPr="00964918" w14:paraId="1AC2C0CE"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4E9E704E" w14:textId="77777777" w:rsidR="00C40E16" w:rsidRPr="00964918" w:rsidRDefault="00C40E16" w:rsidP="00D25E71">
            <w:pPr>
              <w:jc w:val="center"/>
            </w:pPr>
            <w:r w:rsidRPr="00964918">
              <w:t>550</w:t>
            </w:r>
          </w:p>
        </w:tc>
        <w:tc>
          <w:tcPr>
            <w:tcW w:w="1506" w:type="dxa"/>
            <w:tcBorders>
              <w:top w:val="single" w:sz="4" w:space="0" w:color="000000"/>
              <w:left w:val="single" w:sz="4" w:space="0" w:color="000000"/>
              <w:bottom w:val="single" w:sz="4" w:space="0" w:color="000000"/>
              <w:right w:val="single" w:sz="4" w:space="0" w:color="000000"/>
            </w:tcBorders>
            <w:vAlign w:val="center"/>
          </w:tcPr>
          <w:p w14:paraId="2F473814" w14:textId="77777777" w:rsidR="00C40E16" w:rsidRPr="00964918" w:rsidRDefault="00C40E16" w:rsidP="00D25E71">
            <w:pPr>
              <w:jc w:val="center"/>
            </w:pPr>
            <w:r w:rsidRPr="00964918">
              <w:t>0.95</w:t>
            </w:r>
          </w:p>
        </w:tc>
        <w:tc>
          <w:tcPr>
            <w:tcW w:w="1322" w:type="dxa"/>
            <w:tcBorders>
              <w:top w:val="single" w:sz="4" w:space="0" w:color="000000"/>
              <w:left w:val="single" w:sz="4" w:space="0" w:color="000000"/>
              <w:bottom w:val="single" w:sz="4" w:space="0" w:color="000000"/>
              <w:right w:val="single" w:sz="4" w:space="0" w:color="000000"/>
            </w:tcBorders>
            <w:vAlign w:val="center"/>
          </w:tcPr>
          <w:p w14:paraId="5A3F25A4" w14:textId="77777777" w:rsidR="00C40E16" w:rsidRPr="00964918" w:rsidRDefault="00C40E16" w:rsidP="00D25E71">
            <w:pPr>
              <w:jc w:val="center"/>
            </w:pPr>
            <w:r w:rsidRPr="00964918">
              <w:t>30.00</w:t>
            </w:r>
          </w:p>
        </w:tc>
        <w:tc>
          <w:tcPr>
            <w:tcW w:w="1623" w:type="dxa"/>
            <w:tcBorders>
              <w:top w:val="single" w:sz="4" w:space="0" w:color="000000"/>
              <w:left w:val="single" w:sz="4" w:space="0" w:color="000000"/>
              <w:bottom w:val="single" w:sz="4" w:space="0" w:color="000000"/>
              <w:right w:val="single" w:sz="4" w:space="0" w:color="000000"/>
            </w:tcBorders>
            <w:vAlign w:val="center"/>
          </w:tcPr>
          <w:p w14:paraId="4393DE44" w14:textId="77777777" w:rsidR="00C40E16" w:rsidRPr="00964918" w:rsidRDefault="00C40E16" w:rsidP="00D25E71">
            <w:pPr>
              <w:jc w:val="center"/>
            </w:pPr>
            <w:r w:rsidRPr="00964918">
              <w:t>47.75</w:t>
            </w:r>
          </w:p>
        </w:tc>
      </w:tr>
      <w:tr w:rsidR="00C40E16" w:rsidRPr="00964918" w14:paraId="375B813A"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7D6C8B48" w14:textId="77777777" w:rsidR="00C40E16" w:rsidRPr="00964918" w:rsidRDefault="00C40E16" w:rsidP="00D25E71">
            <w:pPr>
              <w:jc w:val="center"/>
            </w:pPr>
            <w:r w:rsidRPr="00964918">
              <w:t>600</w:t>
            </w:r>
          </w:p>
        </w:tc>
        <w:tc>
          <w:tcPr>
            <w:tcW w:w="1506" w:type="dxa"/>
            <w:tcBorders>
              <w:top w:val="single" w:sz="4" w:space="0" w:color="000000"/>
              <w:left w:val="single" w:sz="4" w:space="0" w:color="000000"/>
              <w:bottom w:val="single" w:sz="4" w:space="0" w:color="000000"/>
              <w:right w:val="single" w:sz="4" w:space="0" w:color="000000"/>
            </w:tcBorders>
            <w:vAlign w:val="center"/>
          </w:tcPr>
          <w:p w14:paraId="48284251" w14:textId="77777777" w:rsidR="00C40E16" w:rsidRPr="00964918" w:rsidRDefault="00C40E16" w:rsidP="00D25E71">
            <w:pPr>
              <w:jc w:val="center"/>
            </w:pPr>
            <w:r w:rsidRPr="00964918">
              <w:t>0.90</w:t>
            </w:r>
          </w:p>
        </w:tc>
        <w:tc>
          <w:tcPr>
            <w:tcW w:w="1322" w:type="dxa"/>
            <w:tcBorders>
              <w:top w:val="single" w:sz="4" w:space="0" w:color="000000"/>
              <w:left w:val="single" w:sz="4" w:space="0" w:color="000000"/>
              <w:bottom w:val="single" w:sz="4" w:space="0" w:color="000000"/>
              <w:right w:val="single" w:sz="4" w:space="0" w:color="000000"/>
            </w:tcBorders>
            <w:vAlign w:val="center"/>
          </w:tcPr>
          <w:p w14:paraId="4B84EC53" w14:textId="77777777" w:rsidR="00C40E16" w:rsidRPr="00964918" w:rsidRDefault="00C40E16" w:rsidP="00D25E71">
            <w:pPr>
              <w:jc w:val="center"/>
            </w:pPr>
            <w:r w:rsidRPr="00964918">
              <w:t>29.80</w:t>
            </w:r>
          </w:p>
        </w:tc>
        <w:tc>
          <w:tcPr>
            <w:tcW w:w="1623" w:type="dxa"/>
            <w:tcBorders>
              <w:top w:val="single" w:sz="4" w:space="0" w:color="000000"/>
              <w:left w:val="single" w:sz="4" w:space="0" w:color="000000"/>
              <w:bottom w:val="single" w:sz="4" w:space="0" w:color="000000"/>
              <w:right w:val="single" w:sz="4" w:space="0" w:color="000000"/>
            </w:tcBorders>
            <w:vAlign w:val="center"/>
          </w:tcPr>
          <w:p w14:paraId="456B1042" w14:textId="77777777" w:rsidR="00C40E16" w:rsidRPr="00964918" w:rsidRDefault="00C40E16" w:rsidP="00D25E71">
            <w:pPr>
              <w:jc w:val="center"/>
            </w:pPr>
            <w:r w:rsidRPr="00964918">
              <w:t>47.50</w:t>
            </w:r>
          </w:p>
        </w:tc>
      </w:tr>
      <w:tr w:rsidR="00C40E16" w:rsidRPr="00964918" w14:paraId="6AF77793" w14:textId="77777777" w:rsidTr="00D25E71">
        <w:trPr>
          <w:trHeight w:val="248"/>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6A23B556" w14:textId="77777777" w:rsidR="00C40E16" w:rsidRPr="00964918" w:rsidRDefault="00C40E16" w:rsidP="00D25E71">
            <w:pPr>
              <w:jc w:val="center"/>
            </w:pPr>
            <w:r w:rsidRPr="00964918">
              <w:t>650</w:t>
            </w:r>
          </w:p>
        </w:tc>
        <w:tc>
          <w:tcPr>
            <w:tcW w:w="1506" w:type="dxa"/>
            <w:tcBorders>
              <w:top w:val="single" w:sz="4" w:space="0" w:color="000000"/>
              <w:left w:val="single" w:sz="4" w:space="0" w:color="000000"/>
              <w:bottom w:val="single" w:sz="4" w:space="0" w:color="000000"/>
              <w:right w:val="single" w:sz="4" w:space="0" w:color="000000"/>
            </w:tcBorders>
            <w:vAlign w:val="center"/>
          </w:tcPr>
          <w:p w14:paraId="76F0A69D" w14:textId="77777777" w:rsidR="00C40E16" w:rsidRPr="00964918" w:rsidRDefault="00C40E16" w:rsidP="00D25E71">
            <w:pPr>
              <w:jc w:val="center"/>
            </w:pPr>
            <w:r w:rsidRPr="00964918">
              <w:t>0.85</w:t>
            </w:r>
          </w:p>
        </w:tc>
        <w:tc>
          <w:tcPr>
            <w:tcW w:w="1322" w:type="dxa"/>
            <w:tcBorders>
              <w:top w:val="single" w:sz="4" w:space="0" w:color="000000"/>
              <w:left w:val="single" w:sz="4" w:space="0" w:color="000000"/>
              <w:bottom w:val="single" w:sz="4" w:space="0" w:color="000000"/>
              <w:right w:val="single" w:sz="4" w:space="0" w:color="000000"/>
            </w:tcBorders>
            <w:vAlign w:val="center"/>
          </w:tcPr>
          <w:p w14:paraId="0934D757" w14:textId="77777777" w:rsidR="00C40E16" w:rsidRPr="00964918" w:rsidRDefault="00C40E16" w:rsidP="00D25E71">
            <w:pPr>
              <w:jc w:val="center"/>
            </w:pPr>
            <w:r w:rsidRPr="00964918">
              <w:t>29.50</w:t>
            </w:r>
          </w:p>
        </w:tc>
        <w:tc>
          <w:tcPr>
            <w:tcW w:w="1623" w:type="dxa"/>
            <w:tcBorders>
              <w:top w:val="single" w:sz="4" w:space="0" w:color="000000"/>
              <w:left w:val="single" w:sz="4" w:space="0" w:color="000000"/>
              <w:bottom w:val="single" w:sz="4" w:space="0" w:color="000000"/>
              <w:right w:val="single" w:sz="4" w:space="0" w:color="000000"/>
            </w:tcBorders>
            <w:vAlign w:val="center"/>
          </w:tcPr>
          <w:p w14:paraId="4B35D349" w14:textId="77777777" w:rsidR="00C40E16" w:rsidRPr="00964918" w:rsidRDefault="00C40E16" w:rsidP="00D25E71">
            <w:pPr>
              <w:jc w:val="center"/>
            </w:pPr>
            <w:r w:rsidRPr="00964918">
              <w:t>47.25</w:t>
            </w:r>
          </w:p>
        </w:tc>
      </w:tr>
      <w:tr w:rsidR="00C40E16" w:rsidRPr="00964918" w14:paraId="4D3EFE6B"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145CF1C" w14:textId="77777777" w:rsidR="00C40E16" w:rsidRPr="00964918" w:rsidRDefault="00C40E16" w:rsidP="00D25E71">
            <w:pPr>
              <w:jc w:val="center"/>
            </w:pPr>
            <w:r w:rsidRPr="00964918">
              <w:t>700</w:t>
            </w:r>
          </w:p>
        </w:tc>
        <w:tc>
          <w:tcPr>
            <w:tcW w:w="1506" w:type="dxa"/>
            <w:tcBorders>
              <w:top w:val="single" w:sz="4" w:space="0" w:color="000000"/>
              <w:left w:val="single" w:sz="4" w:space="0" w:color="000000"/>
              <w:bottom w:val="single" w:sz="4" w:space="0" w:color="000000"/>
              <w:right w:val="single" w:sz="4" w:space="0" w:color="000000"/>
            </w:tcBorders>
            <w:vAlign w:val="center"/>
          </w:tcPr>
          <w:p w14:paraId="0E27331A" w14:textId="77777777" w:rsidR="00C40E16" w:rsidRPr="00964918" w:rsidRDefault="00C40E16" w:rsidP="00D25E71">
            <w:pPr>
              <w:jc w:val="center"/>
            </w:pPr>
            <w:r w:rsidRPr="00964918">
              <w:t>0.80</w:t>
            </w:r>
          </w:p>
        </w:tc>
        <w:tc>
          <w:tcPr>
            <w:tcW w:w="1322" w:type="dxa"/>
            <w:tcBorders>
              <w:top w:val="single" w:sz="4" w:space="0" w:color="000000"/>
              <w:left w:val="single" w:sz="4" w:space="0" w:color="000000"/>
              <w:bottom w:val="single" w:sz="4" w:space="0" w:color="000000"/>
              <w:right w:val="single" w:sz="4" w:space="0" w:color="000000"/>
            </w:tcBorders>
            <w:vAlign w:val="center"/>
          </w:tcPr>
          <w:p w14:paraId="10E01C54" w14:textId="77777777" w:rsidR="00C40E16" w:rsidRPr="00964918" w:rsidRDefault="00C40E16" w:rsidP="00D25E71">
            <w:pPr>
              <w:jc w:val="center"/>
            </w:pPr>
            <w:r w:rsidRPr="00964918">
              <w:t>29.00</w:t>
            </w:r>
          </w:p>
        </w:tc>
        <w:tc>
          <w:tcPr>
            <w:tcW w:w="1623" w:type="dxa"/>
            <w:tcBorders>
              <w:top w:val="single" w:sz="4" w:space="0" w:color="000000"/>
              <w:left w:val="single" w:sz="4" w:space="0" w:color="000000"/>
              <w:bottom w:val="single" w:sz="4" w:space="0" w:color="000000"/>
              <w:right w:val="single" w:sz="4" w:space="0" w:color="000000"/>
            </w:tcBorders>
            <w:vAlign w:val="center"/>
          </w:tcPr>
          <w:p w14:paraId="00AB789E" w14:textId="77777777" w:rsidR="00C40E16" w:rsidRPr="00964918" w:rsidRDefault="00C40E16" w:rsidP="00D25E71">
            <w:pPr>
              <w:jc w:val="center"/>
            </w:pPr>
            <w:r w:rsidRPr="00964918">
              <w:t>47.00</w:t>
            </w:r>
          </w:p>
        </w:tc>
      </w:tr>
    </w:tbl>
    <w:p w14:paraId="04B3317B" w14:textId="77777777" w:rsidR="00262300" w:rsidRPr="00964918" w:rsidRDefault="00262300" w:rsidP="00D25E71">
      <w:pPr>
        <w:spacing w:line="480" w:lineRule="auto"/>
        <w:jc w:val="center"/>
      </w:pPr>
    </w:p>
    <w:p w14:paraId="697DFC1F" w14:textId="11EEA412" w:rsidR="00262300" w:rsidRPr="00964918" w:rsidRDefault="00262300" w:rsidP="00262300">
      <w:pPr>
        <w:spacing w:line="480" w:lineRule="auto"/>
        <w:jc w:val="both"/>
      </w:pPr>
      <w:r w:rsidRPr="00964918">
        <w:t>Table 4</w:t>
      </w:r>
      <w:r w:rsidR="007E174A" w:rsidRPr="00964918">
        <w:t xml:space="preserve"> </w:t>
      </w:r>
      <w:r w:rsidRPr="00964918">
        <w:t xml:space="preserve">shows a summarized absorbance characterization for optimized </w:t>
      </w:r>
      <w:proofErr w:type="spellStart"/>
      <w:r w:rsidRPr="00964918">
        <w:t>dssc</w:t>
      </w:r>
      <w:proofErr w:type="spellEnd"/>
      <w:r w:rsidRPr="00964918">
        <w:t xml:space="preserve"> (integrated </w:t>
      </w:r>
      <w:proofErr w:type="spellStart"/>
      <w:r w:rsidRPr="00964918">
        <w:t>PbS</w:t>
      </w:r>
      <w:proofErr w:type="spellEnd"/>
      <w:r w:rsidRPr="00964918">
        <w:t xml:space="preserve"> quantum dot into DSSC), hibiscus dye and </w:t>
      </w:r>
      <w:proofErr w:type="spellStart"/>
      <w:r w:rsidRPr="00964918">
        <w:t>PbS</w:t>
      </w:r>
      <w:proofErr w:type="spellEnd"/>
      <w:r w:rsidRPr="00964918">
        <w:t xml:space="preserve"> quantum dot. The Hibiscus dye shows low absorbance across the UV-Vis spectrum, peaking slightly around 200 nm. </w:t>
      </w:r>
      <w:proofErr w:type="spellStart"/>
      <w:r w:rsidRPr="00964918">
        <w:t>PbS</w:t>
      </w:r>
      <w:proofErr w:type="spellEnd"/>
      <w:r w:rsidRPr="00964918">
        <w:t xml:space="preserve"> QDs exhibit </w:t>
      </w:r>
      <w:r w:rsidRPr="00964918">
        <w:lastRenderedPageBreak/>
        <w:t xml:space="preserve">much higher absorbance, particularly from 300–500 nm, indicating stronger light-harvesting capability. The combined </w:t>
      </w:r>
      <w:proofErr w:type="spellStart"/>
      <w:r w:rsidRPr="00964918">
        <w:t>PbS</w:t>
      </w:r>
      <w:proofErr w:type="spellEnd"/>
      <w:r w:rsidRPr="00964918">
        <w:t>/Hibiscus absor</w:t>
      </w:r>
      <w:r w:rsidR="00DF3E61" w:rsidRPr="00964918">
        <w:t>b</w:t>
      </w:r>
      <w:r w:rsidRPr="00964918">
        <w:t xml:space="preserve">ance shows a significant enhancement across the visible and near-IR region, peaking around 500 nm. This confirms the synergistic effect of coupling </w:t>
      </w:r>
      <w:proofErr w:type="spellStart"/>
      <w:r w:rsidRPr="00964918">
        <w:t>PbS</w:t>
      </w:r>
      <w:proofErr w:type="spellEnd"/>
      <w:r w:rsidRPr="00964918">
        <w:t xml:space="preserve"> QDs with natural dye for broader and improved light absorption.</w:t>
      </w:r>
    </w:p>
    <w:p w14:paraId="7CE22D61" w14:textId="2C949333" w:rsidR="00E92D6F" w:rsidRPr="00964918" w:rsidRDefault="00262300" w:rsidP="006315D0">
      <w:pPr>
        <w:pBdr>
          <w:top w:val="nil"/>
          <w:left w:val="nil"/>
          <w:bottom w:val="nil"/>
          <w:right w:val="nil"/>
          <w:between w:val="nil"/>
        </w:pBdr>
        <w:rPr>
          <w:color w:val="000000"/>
        </w:rPr>
      </w:pPr>
      <w:r w:rsidRPr="00964918">
        <w:rPr>
          <w:color w:val="000000"/>
        </w:rPr>
        <w:t xml:space="preserve">                    </w:t>
      </w:r>
    </w:p>
    <w:p w14:paraId="23999986" w14:textId="77777777" w:rsidR="00E92D6F" w:rsidRPr="00964918" w:rsidRDefault="00E92D6F" w:rsidP="006315D0">
      <w:pPr>
        <w:pBdr>
          <w:top w:val="nil"/>
          <w:left w:val="nil"/>
          <w:bottom w:val="nil"/>
          <w:right w:val="nil"/>
          <w:between w:val="nil"/>
        </w:pBdr>
        <w:rPr>
          <w:color w:val="000000"/>
        </w:rPr>
      </w:pPr>
    </w:p>
    <w:p w14:paraId="78A8A1F0" w14:textId="0BF3D0B0" w:rsidR="00262300" w:rsidRPr="00964918" w:rsidRDefault="00262300" w:rsidP="006315D0">
      <w:pPr>
        <w:pBdr>
          <w:top w:val="nil"/>
          <w:left w:val="nil"/>
          <w:bottom w:val="nil"/>
          <w:right w:val="nil"/>
          <w:between w:val="nil"/>
        </w:pBdr>
        <w:rPr>
          <w:color w:val="000000"/>
        </w:rPr>
      </w:pPr>
      <w:r w:rsidRPr="00964918">
        <w:rPr>
          <w:color w:val="000000"/>
        </w:rPr>
        <w:t xml:space="preserve">                                                      </w:t>
      </w:r>
      <w:r w:rsidRPr="00964918">
        <w:tab/>
      </w:r>
    </w:p>
    <w:p w14:paraId="785973B6" w14:textId="77777777" w:rsidR="00262300" w:rsidRPr="00964918" w:rsidRDefault="00262300" w:rsidP="00C06BAD">
      <w:pPr>
        <w:jc w:val="center"/>
      </w:pPr>
      <w:r w:rsidRPr="00964918">
        <w:rPr>
          <w:noProof/>
        </w:rPr>
        <w:drawing>
          <wp:inline distT="0" distB="0" distL="0" distR="0" wp14:anchorId="428E6B4A" wp14:editId="2601C2A2">
            <wp:extent cx="4417695" cy="27432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3.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428955" cy="2750192"/>
                    </a:xfrm>
                    <a:prstGeom prst="rect">
                      <a:avLst/>
                    </a:prstGeom>
                  </pic:spPr>
                </pic:pic>
              </a:graphicData>
            </a:graphic>
          </wp:inline>
        </w:drawing>
      </w:r>
    </w:p>
    <w:p w14:paraId="1AB91351" w14:textId="77777777" w:rsidR="00262300" w:rsidRPr="00964918" w:rsidRDefault="00262300" w:rsidP="00262300"/>
    <w:p w14:paraId="221CA452" w14:textId="7D36BDA8" w:rsidR="00262300" w:rsidRPr="00964918" w:rsidRDefault="0099137B" w:rsidP="000E0B26">
      <w:pPr>
        <w:pStyle w:val="NormalWeb"/>
        <w:spacing w:line="360" w:lineRule="auto"/>
        <w:jc w:val="both"/>
      </w:pPr>
      <w:r w:rsidRPr="00964918">
        <w:rPr>
          <w:rStyle w:val="Strong"/>
        </w:rPr>
        <w:t>Figure 4:</w:t>
      </w:r>
      <w:r w:rsidRPr="00964918">
        <w:t xml:space="preserve"> Photograph of fabricated DSSC devices: (a) Hibiscus dye–sensitized DSSC, (b) </w:t>
      </w:r>
      <w:proofErr w:type="spellStart"/>
      <w:r w:rsidRPr="00964918">
        <w:t>PbS</w:t>
      </w:r>
      <w:proofErr w:type="spellEnd"/>
      <w:r w:rsidRPr="00964918">
        <w:t xml:space="preserve"> quantum dot–sensitized DSSC, and (c) optimized DSSC incorporating both Hibiscus dye and </w:t>
      </w:r>
      <w:proofErr w:type="spellStart"/>
      <w:r w:rsidRPr="00964918">
        <w:t>PbS</w:t>
      </w:r>
      <w:proofErr w:type="spellEnd"/>
      <w:r w:rsidRPr="00964918">
        <w:t xml:space="preserve"> quantum dots.</w:t>
      </w:r>
    </w:p>
    <w:p w14:paraId="7A45615D" w14:textId="77777777" w:rsidR="00E92D6F" w:rsidRPr="00964918" w:rsidRDefault="00E92D6F" w:rsidP="00C42385">
      <w:pPr>
        <w:pStyle w:val="NormalWeb"/>
        <w:spacing w:line="360" w:lineRule="auto"/>
        <w:jc w:val="both"/>
        <w:rPr>
          <w:rStyle w:val="Strong"/>
        </w:rPr>
      </w:pPr>
    </w:p>
    <w:p w14:paraId="6C75E897" w14:textId="77777777" w:rsidR="007627A8" w:rsidRPr="00964918" w:rsidRDefault="007627A8" w:rsidP="00C42385">
      <w:pPr>
        <w:pStyle w:val="NormalWeb"/>
        <w:spacing w:line="360" w:lineRule="auto"/>
        <w:jc w:val="both"/>
        <w:rPr>
          <w:rStyle w:val="Strong"/>
        </w:rPr>
      </w:pPr>
    </w:p>
    <w:p w14:paraId="04BE69A8" w14:textId="509AF01F" w:rsidR="00E92D6F" w:rsidRPr="00964918" w:rsidRDefault="006A4F81" w:rsidP="006A4F81">
      <w:pPr>
        <w:pStyle w:val="NormalWeb"/>
        <w:spacing w:line="360" w:lineRule="auto"/>
        <w:jc w:val="center"/>
        <w:rPr>
          <w:rStyle w:val="Strong"/>
        </w:rPr>
      </w:pPr>
      <w:r w:rsidRPr="00964918">
        <w:rPr>
          <w:noProof/>
        </w:rPr>
        <w:lastRenderedPageBreak/>
        <w:drawing>
          <wp:inline distT="0" distB="0" distL="0" distR="0" wp14:anchorId="62FAB338" wp14:editId="46BA6301">
            <wp:extent cx="4572000" cy="2743200"/>
            <wp:effectExtent l="0" t="0" r="12700" b="12700"/>
            <wp:docPr id="20" name="Chart 20">
              <a:extLst xmlns:a="http://schemas.openxmlformats.org/drawingml/2006/main">
                <a:ext uri="{FF2B5EF4-FFF2-40B4-BE49-F238E27FC236}">
                  <a16:creationId xmlns:a16="http://schemas.microsoft.com/office/drawing/2014/main" id="{924BDE36-F733-A244-A5FA-A7E4455C14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94146E" w14:textId="20BF4A49" w:rsidR="00B11F6B" w:rsidRPr="00964918" w:rsidRDefault="001B7B00" w:rsidP="007627A8">
      <w:pPr>
        <w:pStyle w:val="NormalWeb"/>
        <w:spacing w:line="360" w:lineRule="auto"/>
        <w:jc w:val="both"/>
      </w:pPr>
      <w:r w:rsidRPr="00964918">
        <w:rPr>
          <w:rStyle w:val="Strong"/>
        </w:rPr>
        <w:t>Figure 5:</w:t>
      </w:r>
      <w:r w:rsidRPr="00964918">
        <w:t xml:space="preserve"> Comparative UV–Visible absorbance spectra of Hibiscus dye, </w:t>
      </w:r>
      <w:proofErr w:type="spellStart"/>
      <w:r w:rsidRPr="00964918">
        <w:t>PbS</w:t>
      </w:r>
      <w:proofErr w:type="spellEnd"/>
      <w:r w:rsidRPr="00964918">
        <w:t xml:space="preserve"> quantum dots, and the optimized DSSC (</w:t>
      </w:r>
      <w:proofErr w:type="spellStart"/>
      <w:r w:rsidRPr="00964918">
        <w:t>PbS</w:t>
      </w:r>
      <w:proofErr w:type="spellEnd"/>
      <w:r w:rsidRPr="00964918">
        <w:t xml:space="preserve"> QDs/Hibiscus dye), showing absorbance (</w:t>
      </w:r>
      <w:proofErr w:type="spellStart"/>
      <w:r w:rsidR="00787C70" w:rsidRPr="00964918">
        <w:t>a.u</w:t>
      </w:r>
      <w:proofErr w:type="spellEnd"/>
      <w:r w:rsidR="00787C70" w:rsidRPr="00964918">
        <w:t>.</w:t>
      </w:r>
      <w:r w:rsidRPr="00964918">
        <w:t>) as a function of wavelength (</w:t>
      </w:r>
      <w:r w:rsidRPr="00964918">
        <w:rPr>
          <w:rStyle w:val="Strong"/>
        </w:rPr>
        <w:t>200–700 nm</w:t>
      </w:r>
      <w:r w:rsidRPr="00964918">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1342"/>
        <w:gridCol w:w="950"/>
        <w:gridCol w:w="1219"/>
        <w:gridCol w:w="1219"/>
        <w:gridCol w:w="878"/>
        <w:gridCol w:w="1939"/>
      </w:tblGrid>
      <w:tr w:rsidR="00441774" w:rsidRPr="00964918" w14:paraId="2A8A2715" w14:textId="77777777" w:rsidTr="00A92F6C">
        <w:trPr>
          <w:trHeight w:val="288"/>
          <w:jc w:val="center"/>
        </w:trPr>
        <w:tc>
          <w:tcPr>
            <w:tcW w:w="1946" w:type="dxa"/>
          </w:tcPr>
          <w:p w14:paraId="0675A234" w14:textId="77777777" w:rsidR="00441774" w:rsidRPr="00964918" w:rsidRDefault="00441774" w:rsidP="00A92F6C">
            <w:pPr>
              <w:jc w:val="center"/>
            </w:pPr>
            <w:proofErr w:type="spellStart"/>
            <w:r w:rsidRPr="00964918">
              <w:t>PbS</w:t>
            </w:r>
            <w:proofErr w:type="spellEnd"/>
            <w:r w:rsidRPr="00964918">
              <w:t xml:space="preserve"> Concentration (M)  </w:t>
            </w:r>
          </w:p>
        </w:tc>
        <w:tc>
          <w:tcPr>
            <w:tcW w:w="1342" w:type="dxa"/>
          </w:tcPr>
          <w:p w14:paraId="69DC66C0" w14:textId="77777777" w:rsidR="00441774" w:rsidRPr="00964918" w:rsidRDefault="00441774" w:rsidP="00A92F6C">
            <w:pPr>
              <w:jc w:val="center"/>
            </w:pPr>
            <w:proofErr w:type="spellStart"/>
            <w:r w:rsidRPr="00964918">
              <w:t>Jsc</w:t>
            </w:r>
            <w:proofErr w:type="spellEnd"/>
            <w:r w:rsidRPr="00964918">
              <w:t xml:space="preserve"> (mA cm⁻²)  </w:t>
            </w:r>
          </w:p>
        </w:tc>
        <w:tc>
          <w:tcPr>
            <w:tcW w:w="950" w:type="dxa"/>
          </w:tcPr>
          <w:p w14:paraId="475EC6FD" w14:textId="77777777" w:rsidR="00441774" w:rsidRPr="00964918" w:rsidRDefault="00441774" w:rsidP="00A92F6C">
            <w:pPr>
              <w:jc w:val="center"/>
              <w:rPr>
                <w:rFonts w:eastAsia="Calibri"/>
              </w:rPr>
            </w:pPr>
            <w:r w:rsidRPr="00964918">
              <w:t xml:space="preserve">Voc (V)         </w:t>
            </w:r>
          </w:p>
        </w:tc>
        <w:tc>
          <w:tcPr>
            <w:tcW w:w="1219" w:type="dxa"/>
          </w:tcPr>
          <w:p w14:paraId="1A04BFB0" w14:textId="77777777" w:rsidR="00441774" w:rsidRPr="00964918" w:rsidRDefault="00441774" w:rsidP="00A92F6C">
            <w:pPr>
              <w:jc w:val="center"/>
            </w:pPr>
            <w:r w:rsidRPr="00964918">
              <w:t>Imax (</w:t>
            </w:r>
            <w:proofErr w:type="gramStart"/>
            <w:r w:rsidRPr="00964918">
              <w:t xml:space="preserve">mA)   </w:t>
            </w:r>
            <w:proofErr w:type="gramEnd"/>
            <w:r w:rsidRPr="00964918">
              <w:t xml:space="preserve">   </w:t>
            </w:r>
          </w:p>
        </w:tc>
        <w:tc>
          <w:tcPr>
            <w:tcW w:w="1219" w:type="dxa"/>
          </w:tcPr>
          <w:p w14:paraId="433A8C5E" w14:textId="77777777" w:rsidR="00441774" w:rsidRPr="00964918" w:rsidRDefault="00441774" w:rsidP="00A92F6C">
            <w:pPr>
              <w:jc w:val="center"/>
              <w:rPr>
                <w:rFonts w:eastAsia="Calibri"/>
              </w:rPr>
            </w:pPr>
            <w:r w:rsidRPr="00964918">
              <w:t xml:space="preserve">Vmax (V)       </w:t>
            </w:r>
          </w:p>
        </w:tc>
        <w:tc>
          <w:tcPr>
            <w:tcW w:w="878" w:type="dxa"/>
          </w:tcPr>
          <w:p w14:paraId="3827CC4A" w14:textId="77777777" w:rsidR="00441774" w:rsidRPr="00964918" w:rsidRDefault="00441774" w:rsidP="00A92F6C">
            <w:pPr>
              <w:jc w:val="center"/>
              <w:rPr>
                <w:rFonts w:eastAsia="Cambria Math"/>
              </w:rPr>
            </w:pPr>
            <w:r w:rsidRPr="00964918">
              <w:t>FF</w:t>
            </w:r>
          </w:p>
        </w:tc>
        <w:tc>
          <w:tcPr>
            <w:tcW w:w="1939" w:type="dxa"/>
          </w:tcPr>
          <w:p w14:paraId="69D4FA10" w14:textId="52C2D29B" w:rsidR="00441774" w:rsidRPr="00964918" w:rsidRDefault="00441774" w:rsidP="00A92F6C">
            <w:pPr>
              <w:jc w:val="center"/>
            </w:pPr>
            <w:r w:rsidRPr="00964918">
              <w:t>Efficiency (</w:t>
            </w:r>
            <m:oMath>
              <m:r>
                <w:rPr>
                  <w:rFonts w:ascii="Cambria Math" w:hAnsi="Cambria Math"/>
                </w:rPr>
                <m:t>η</m:t>
              </m:r>
            </m:oMath>
            <w:r w:rsidR="00155228" w:rsidRPr="00964918">
              <w:t xml:space="preserve"> </w:t>
            </w:r>
            <w:r w:rsidRPr="00964918">
              <w:t>%)</w:t>
            </w:r>
          </w:p>
        </w:tc>
      </w:tr>
      <w:tr w:rsidR="00441774" w:rsidRPr="00964918" w14:paraId="43C747AC" w14:textId="77777777" w:rsidTr="00A92F6C">
        <w:trPr>
          <w:trHeight w:val="288"/>
          <w:jc w:val="center"/>
        </w:trPr>
        <w:tc>
          <w:tcPr>
            <w:tcW w:w="1946" w:type="dxa"/>
          </w:tcPr>
          <w:p w14:paraId="110A205B" w14:textId="77777777" w:rsidR="00441774" w:rsidRPr="00964918" w:rsidRDefault="00441774" w:rsidP="00A92F6C">
            <w:pPr>
              <w:jc w:val="center"/>
            </w:pPr>
            <w:r w:rsidRPr="00964918">
              <w:t>0.1 cell 1</w:t>
            </w:r>
          </w:p>
        </w:tc>
        <w:tc>
          <w:tcPr>
            <w:tcW w:w="1342" w:type="dxa"/>
          </w:tcPr>
          <w:p w14:paraId="4C8800B9" w14:textId="77777777" w:rsidR="00441774" w:rsidRPr="00964918" w:rsidRDefault="00441774" w:rsidP="00A92F6C">
            <w:pPr>
              <w:jc w:val="center"/>
            </w:pPr>
            <w:r w:rsidRPr="00964918">
              <w:t>0.954</w:t>
            </w:r>
          </w:p>
        </w:tc>
        <w:tc>
          <w:tcPr>
            <w:tcW w:w="950" w:type="dxa"/>
          </w:tcPr>
          <w:p w14:paraId="1890A5DB" w14:textId="77777777" w:rsidR="00441774" w:rsidRPr="00964918" w:rsidRDefault="00441774" w:rsidP="00A92F6C">
            <w:pPr>
              <w:jc w:val="center"/>
              <w:rPr>
                <w:rFonts w:eastAsia="Cambria Math"/>
              </w:rPr>
            </w:pPr>
            <m:oMathPara>
              <m:oMath>
                <m:r>
                  <m:rPr>
                    <m:sty m:val="p"/>
                  </m:rPr>
                  <w:rPr>
                    <w:rFonts w:ascii="Cambria Math" w:eastAsia="Cambria Math" w:hAnsi="Cambria Math"/>
                  </w:rPr>
                  <m:t>0.620</m:t>
                </m:r>
              </m:oMath>
            </m:oMathPara>
          </w:p>
        </w:tc>
        <w:tc>
          <w:tcPr>
            <w:tcW w:w="1219" w:type="dxa"/>
          </w:tcPr>
          <w:p w14:paraId="00378493" w14:textId="77777777" w:rsidR="00441774" w:rsidRPr="00964918" w:rsidRDefault="00441774" w:rsidP="00A92F6C">
            <w:pPr>
              <w:jc w:val="center"/>
            </w:pPr>
            <w:r w:rsidRPr="00964918">
              <w:t>0.743</w:t>
            </w:r>
          </w:p>
        </w:tc>
        <w:tc>
          <w:tcPr>
            <w:tcW w:w="1219" w:type="dxa"/>
          </w:tcPr>
          <w:p w14:paraId="6CE5AFDA" w14:textId="77777777" w:rsidR="00441774" w:rsidRPr="00964918" w:rsidRDefault="00441774" w:rsidP="00A92F6C">
            <w:pPr>
              <w:jc w:val="center"/>
              <w:rPr>
                <w:rFonts w:eastAsia="Cambria Math"/>
              </w:rPr>
            </w:pPr>
            <m:oMathPara>
              <m:oMath>
                <m:r>
                  <m:rPr>
                    <m:sty m:val="p"/>
                  </m:rPr>
                  <w:rPr>
                    <w:rFonts w:ascii="Cambria Math" w:eastAsia="Cambria Math" w:hAnsi="Cambria Math"/>
                  </w:rPr>
                  <m:t>0.443</m:t>
                </m:r>
              </m:oMath>
            </m:oMathPara>
          </w:p>
        </w:tc>
        <w:tc>
          <w:tcPr>
            <w:tcW w:w="878" w:type="dxa"/>
          </w:tcPr>
          <w:p w14:paraId="42981DBB" w14:textId="77777777" w:rsidR="00441774" w:rsidRPr="00964918" w:rsidRDefault="00441774" w:rsidP="00A92F6C">
            <w:pPr>
              <w:jc w:val="center"/>
              <w:rPr>
                <w:rFonts w:eastAsia="Cambria Math"/>
              </w:rPr>
            </w:pPr>
            <m:oMathPara>
              <m:oMath>
                <m:r>
                  <m:rPr>
                    <m:sty m:val="p"/>
                  </m:rPr>
                  <w:rPr>
                    <w:rFonts w:ascii="Cambria Math" w:eastAsia="Cambria Math" w:hAnsi="Cambria Math"/>
                  </w:rPr>
                  <m:t>0.458</m:t>
                </m:r>
              </m:oMath>
            </m:oMathPara>
          </w:p>
        </w:tc>
        <w:tc>
          <w:tcPr>
            <w:tcW w:w="1939" w:type="dxa"/>
          </w:tcPr>
          <w:p w14:paraId="60B96792" w14:textId="77777777" w:rsidR="00441774" w:rsidRPr="00964918" w:rsidRDefault="00441774" w:rsidP="00A92F6C">
            <w:pPr>
              <w:jc w:val="center"/>
            </w:pPr>
            <w:r w:rsidRPr="00964918">
              <w:t>0.33</w:t>
            </w:r>
          </w:p>
        </w:tc>
      </w:tr>
      <w:tr w:rsidR="00441774" w:rsidRPr="00964918" w14:paraId="60A57425" w14:textId="77777777" w:rsidTr="00A92F6C">
        <w:trPr>
          <w:trHeight w:val="647"/>
          <w:jc w:val="center"/>
        </w:trPr>
        <w:tc>
          <w:tcPr>
            <w:tcW w:w="1946" w:type="dxa"/>
          </w:tcPr>
          <w:p w14:paraId="4F156015" w14:textId="77777777" w:rsidR="00441774" w:rsidRPr="00964918" w:rsidRDefault="00441774" w:rsidP="00A92F6C">
            <w:pPr>
              <w:jc w:val="center"/>
            </w:pPr>
            <w:r w:rsidRPr="00964918">
              <w:t>0.05 cell 2</w:t>
            </w:r>
          </w:p>
        </w:tc>
        <w:tc>
          <w:tcPr>
            <w:tcW w:w="1342" w:type="dxa"/>
          </w:tcPr>
          <w:p w14:paraId="0213F43A" w14:textId="77777777" w:rsidR="00441774" w:rsidRPr="00964918" w:rsidRDefault="00441774" w:rsidP="00A92F6C">
            <w:pPr>
              <w:jc w:val="center"/>
            </w:pPr>
            <w:r w:rsidRPr="00964918">
              <w:t>5.30</w:t>
            </w:r>
          </w:p>
        </w:tc>
        <w:tc>
          <w:tcPr>
            <w:tcW w:w="950" w:type="dxa"/>
          </w:tcPr>
          <w:p w14:paraId="528D0C71" w14:textId="77777777" w:rsidR="00441774" w:rsidRPr="00964918" w:rsidRDefault="00441774" w:rsidP="00A92F6C">
            <w:pPr>
              <w:jc w:val="center"/>
            </w:pPr>
            <w:r w:rsidRPr="00964918">
              <w:t>0.680</w:t>
            </w:r>
          </w:p>
        </w:tc>
        <w:tc>
          <w:tcPr>
            <w:tcW w:w="1219" w:type="dxa"/>
          </w:tcPr>
          <w:p w14:paraId="08232DD0" w14:textId="77777777" w:rsidR="00441774" w:rsidRPr="00964918" w:rsidRDefault="00441774" w:rsidP="00A92F6C">
            <w:pPr>
              <w:jc w:val="center"/>
              <w:rPr>
                <w:rFonts w:eastAsia="Cambria Math"/>
              </w:rPr>
            </w:pPr>
            <m:oMathPara>
              <m:oMath>
                <m:r>
                  <m:rPr>
                    <m:sty m:val="p"/>
                  </m:rPr>
                  <w:rPr>
                    <w:rFonts w:ascii="Cambria Math" w:eastAsia="Cambria Math" w:hAnsi="Cambria Math"/>
                  </w:rPr>
                  <m:t>4.13</m:t>
                </m:r>
              </m:oMath>
            </m:oMathPara>
          </w:p>
        </w:tc>
        <w:tc>
          <w:tcPr>
            <w:tcW w:w="1219" w:type="dxa"/>
          </w:tcPr>
          <w:p w14:paraId="48A1381D" w14:textId="77777777" w:rsidR="00441774" w:rsidRPr="00964918" w:rsidRDefault="00441774" w:rsidP="00A92F6C">
            <w:pPr>
              <w:jc w:val="center"/>
              <w:rPr>
                <w:rFonts w:eastAsia="Cambria Math"/>
              </w:rPr>
            </w:pPr>
            <m:oMathPara>
              <m:oMath>
                <m:r>
                  <m:rPr>
                    <m:sty m:val="p"/>
                  </m:rPr>
                  <w:rPr>
                    <w:rFonts w:ascii="Cambria Math" w:eastAsia="Cambria Math" w:hAnsi="Cambria Math"/>
                  </w:rPr>
                  <m:t>0.486</m:t>
                </m:r>
              </m:oMath>
            </m:oMathPara>
          </w:p>
        </w:tc>
        <w:tc>
          <w:tcPr>
            <w:tcW w:w="878" w:type="dxa"/>
          </w:tcPr>
          <w:p w14:paraId="6BF2892C" w14:textId="77777777" w:rsidR="00441774" w:rsidRPr="00964918" w:rsidRDefault="00441774" w:rsidP="00A92F6C">
            <w:pPr>
              <w:jc w:val="center"/>
              <w:rPr>
                <w:rFonts w:eastAsia="Cambria Math"/>
              </w:rPr>
            </w:pPr>
            <m:oMathPara>
              <m:oMath>
                <m:r>
                  <m:rPr>
                    <m:sty m:val="p"/>
                  </m:rPr>
                  <w:rPr>
                    <w:rFonts w:ascii="Cambria Math" w:eastAsia="Cambria Math" w:hAnsi="Cambria Math"/>
                  </w:rPr>
                  <m:t>0.557</m:t>
                </m:r>
              </m:oMath>
            </m:oMathPara>
          </w:p>
        </w:tc>
        <w:tc>
          <w:tcPr>
            <w:tcW w:w="1939" w:type="dxa"/>
          </w:tcPr>
          <w:p w14:paraId="5285589E" w14:textId="77777777" w:rsidR="00441774" w:rsidRPr="00964918" w:rsidRDefault="00441774" w:rsidP="00A92F6C">
            <w:pPr>
              <w:jc w:val="center"/>
            </w:pPr>
            <w:r w:rsidRPr="00964918">
              <w:t>2.01</w:t>
            </w:r>
          </w:p>
        </w:tc>
      </w:tr>
      <w:tr w:rsidR="00441774" w:rsidRPr="00964918" w14:paraId="62FE4794" w14:textId="77777777" w:rsidTr="00A92F6C">
        <w:trPr>
          <w:trHeight w:val="477"/>
          <w:jc w:val="center"/>
        </w:trPr>
        <w:tc>
          <w:tcPr>
            <w:tcW w:w="1946" w:type="dxa"/>
          </w:tcPr>
          <w:p w14:paraId="4665ABF9" w14:textId="77777777" w:rsidR="00441774" w:rsidRPr="00964918" w:rsidRDefault="00441774" w:rsidP="00A92F6C">
            <w:pPr>
              <w:jc w:val="center"/>
            </w:pPr>
            <w:r w:rsidRPr="00964918">
              <w:t>0.01 cell 3</w:t>
            </w:r>
          </w:p>
        </w:tc>
        <w:tc>
          <w:tcPr>
            <w:tcW w:w="1342" w:type="dxa"/>
          </w:tcPr>
          <w:p w14:paraId="458344F3" w14:textId="77777777" w:rsidR="00441774" w:rsidRPr="00964918" w:rsidRDefault="00441774" w:rsidP="00A92F6C">
            <w:pPr>
              <w:jc w:val="center"/>
            </w:pPr>
            <w:r w:rsidRPr="00964918">
              <w:t>2.592</w:t>
            </w:r>
          </w:p>
        </w:tc>
        <w:tc>
          <w:tcPr>
            <w:tcW w:w="950" w:type="dxa"/>
          </w:tcPr>
          <w:p w14:paraId="57F901C8" w14:textId="77777777" w:rsidR="00441774" w:rsidRPr="00964918" w:rsidRDefault="00441774" w:rsidP="00A92F6C">
            <w:pPr>
              <w:jc w:val="center"/>
              <w:rPr>
                <w:rFonts w:eastAsia="Cambria Math"/>
              </w:rPr>
            </w:pPr>
            <m:oMathPara>
              <m:oMath>
                <m:r>
                  <m:rPr>
                    <m:sty m:val="p"/>
                  </m:rPr>
                  <w:rPr>
                    <w:rFonts w:ascii="Cambria Math" w:eastAsia="Cambria Math" w:hAnsi="Cambria Math"/>
                  </w:rPr>
                  <m:t>0.650</m:t>
                </m:r>
              </m:oMath>
            </m:oMathPara>
          </w:p>
        </w:tc>
        <w:tc>
          <w:tcPr>
            <w:tcW w:w="1219" w:type="dxa"/>
          </w:tcPr>
          <w:p w14:paraId="06C637E4" w14:textId="77777777" w:rsidR="00441774" w:rsidRPr="00964918" w:rsidRDefault="00441774" w:rsidP="00A92F6C">
            <w:pPr>
              <w:jc w:val="center"/>
            </w:pPr>
            <w:r w:rsidRPr="00964918">
              <w:t>2.019</w:t>
            </w:r>
          </w:p>
        </w:tc>
        <w:tc>
          <w:tcPr>
            <w:tcW w:w="1219" w:type="dxa"/>
          </w:tcPr>
          <w:p w14:paraId="7D5ADE52" w14:textId="77777777" w:rsidR="00441774" w:rsidRPr="00964918" w:rsidRDefault="00441774" w:rsidP="00A92F6C">
            <w:pPr>
              <w:jc w:val="center"/>
              <w:rPr>
                <w:rFonts w:eastAsia="Cambria Math"/>
              </w:rPr>
            </w:pPr>
            <m:oMathPara>
              <m:oMath>
                <m:r>
                  <m:rPr>
                    <m:sty m:val="p"/>
                  </m:rPr>
                  <w:rPr>
                    <w:rFonts w:ascii="Cambria Math" w:eastAsia="Cambria Math" w:hAnsi="Cambria Math"/>
                  </w:rPr>
                  <m:t>0.464</m:t>
                </m:r>
              </m:oMath>
            </m:oMathPara>
          </w:p>
        </w:tc>
        <w:tc>
          <w:tcPr>
            <w:tcW w:w="878" w:type="dxa"/>
          </w:tcPr>
          <w:p w14:paraId="220FEE58" w14:textId="77777777" w:rsidR="00441774" w:rsidRPr="00964918" w:rsidRDefault="00441774" w:rsidP="00A92F6C">
            <w:pPr>
              <w:jc w:val="center"/>
            </w:pPr>
            <w:r w:rsidRPr="00964918">
              <w:t>0.549</w:t>
            </w:r>
          </w:p>
        </w:tc>
        <w:tc>
          <w:tcPr>
            <w:tcW w:w="1939" w:type="dxa"/>
          </w:tcPr>
          <w:p w14:paraId="583777DD" w14:textId="77777777" w:rsidR="00441774" w:rsidRPr="00964918" w:rsidRDefault="00441774" w:rsidP="00A92F6C">
            <w:pPr>
              <w:jc w:val="center"/>
            </w:pPr>
            <w:r w:rsidRPr="00964918">
              <w:t>0.94</w:t>
            </w:r>
          </w:p>
        </w:tc>
      </w:tr>
    </w:tbl>
    <w:p w14:paraId="7A8E0085" w14:textId="5951E021" w:rsidR="006315D0" w:rsidRPr="00964918" w:rsidRDefault="006315D0" w:rsidP="009302C5">
      <w:pPr>
        <w:spacing w:line="480" w:lineRule="auto"/>
        <w:rPr>
          <w:color w:val="000000"/>
        </w:rPr>
      </w:pPr>
      <w:r w:rsidRPr="00964918">
        <w:rPr>
          <w:b/>
          <w:color w:val="000000"/>
        </w:rPr>
        <w:t xml:space="preserve">Table 5: </w:t>
      </w:r>
      <w:r w:rsidRPr="00964918">
        <w:rPr>
          <w:color w:val="000000"/>
        </w:rPr>
        <w:t xml:space="preserve">Evaluation of photovoltaic performance QD-DSSC with varying </w:t>
      </w:r>
      <w:proofErr w:type="spellStart"/>
      <w:r w:rsidRPr="00964918">
        <w:rPr>
          <w:color w:val="000000"/>
        </w:rPr>
        <w:t>PbS</w:t>
      </w:r>
      <w:proofErr w:type="spellEnd"/>
      <w:r w:rsidRPr="00964918">
        <w:rPr>
          <w:color w:val="000000"/>
        </w:rPr>
        <w:t xml:space="preserve"> concentration.</w:t>
      </w:r>
    </w:p>
    <w:p w14:paraId="757AA004" w14:textId="77777777" w:rsidR="00452C80" w:rsidRPr="00964918" w:rsidRDefault="00452C80" w:rsidP="00262300">
      <w:pPr>
        <w:spacing w:line="480" w:lineRule="auto"/>
        <w:jc w:val="both"/>
      </w:pPr>
    </w:p>
    <w:p w14:paraId="13B5A7E8" w14:textId="7A1EED41" w:rsidR="00262300" w:rsidRPr="00964918" w:rsidRDefault="00262300" w:rsidP="005953AE">
      <w:pPr>
        <w:spacing w:line="480" w:lineRule="auto"/>
        <w:jc w:val="both"/>
      </w:pPr>
      <w:r w:rsidRPr="00964918">
        <w:t xml:space="preserve">The IV characterization of </w:t>
      </w:r>
      <w:proofErr w:type="spellStart"/>
      <w:r w:rsidRPr="00964918">
        <w:t>PbS</w:t>
      </w:r>
      <w:proofErr w:type="spellEnd"/>
      <w:r w:rsidRPr="00964918">
        <w:t xml:space="preserve"> QD solar cells at different concentrations shows varied performance. At 0.1 M, excess </w:t>
      </w:r>
      <w:proofErr w:type="spellStart"/>
      <w:r w:rsidRPr="00964918">
        <w:t>PbS</w:t>
      </w:r>
      <w:proofErr w:type="spellEnd"/>
      <w:r w:rsidRPr="00964918">
        <w:t xml:space="preserve"> causes recombination losses, limiting efficiency despite moderate current. The 0.05 M concentration achieves optimal charge transport with higher current and efficiency. At 0.01 M, poor </w:t>
      </w:r>
      <w:proofErr w:type="spellStart"/>
      <w:r w:rsidRPr="00964918">
        <w:t>PbS</w:t>
      </w:r>
      <w:proofErr w:type="spellEnd"/>
      <w:r w:rsidRPr="00964918">
        <w:t xml:space="preserve"> coverage results in low current and conductivity. Photovoltaic parameter comparison confirms 0.05 M as the most efficient. Higher and lower concentrations either suffer from recombination or insufficient carriers. This highlights the importance of optimizing </w:t>
      </w:r>
      <w:proofErr w:type="spellStart"/>
      <w:r w:rsidRPr="00964918">
        <w:t>PbS</w:t>
      </w:r>
      <w:proofErr w:type="spellEnd"/>
      <w:r w:rsidRPr="00964918">
        <w:t xml:space="preserve"> concentration for better solar cell performance.</w:t>
      </w:r>
    </w:p>
    <w:p w14:paraId="3AF73C88" w14:textId="77777777" w:rsidR="00262300" w:rsidRPr="00964918" w:rsidRDefault="00262300" w:rsidP="00262300"/>
    <w:p w14:paraId="39DA11A9" w14:textId="77777777" w:rsidR="00262300" w:rsidRPr="00964918" w:rsidRDefault="00262300" w:rsidP="00262300"/>
    <w:p w14:paraId="16CA8463" w14:textId="7C40FCFE" w:rsidR="00262300" w:rsidRPr="00964918" w:rsidRDefault="00262300" w:rsidP="00262300"/>
    <w:p w14:paraId="72457B0A" w14:textId="61FB2ED8" w:rsidR="00262300" w:rsidRPr="00964918" w:rsidRDefault="00262300" w:rsidP="00262300"/>
    <w:p w14:paraId="1F904BF0" w14:textId="64FC6C7A" w:rsidR="001B7B00" w:rsidRPr="00964918" w:rsidRDefault="00262300" w:rsidP="001B7B00">
      <w:pPr>
        <w:jc w:val="center"/>
        <w:rPr>
          <w:b/>
        </w:rPr>
      </w:pPr>
      <w:r w:rsidRPr="00964918">
        <w:rPr>
          <w:noProof/>
        </w:rPr>
        <w:drawing>
          <wp:inline distT="0" distB="0" distL="0" distR="0" wp14:anchorId="75583802" wp14:editId="42DA75D6">
            <wp:extent cx="4883303" cy="4174285"/>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883303" cy="4174285"/>
                    </a:xfrm>
                    <a:prstGeom prst="rect">
                      <a:avLst/>
                    </a:prstGeom>
                    <a:ln/>
                  </pic:spPr>
                </pic:pic>
              </a:graphicData>
            </a:graphic>
          </wp:inline>
        </w:drawing>
      </w:r>
      <w:bookmarkStart w:id="3" w:name="_heading=h.nufhtzhqlgai" w:colFirst="0" w:colLast="0"/>
      <w:bookmarkEnd w:id="3"/>
    </w:p>
    <w:p w14:paraId="0345D9EA" w14:textId="7F14B132" w:rsidR="001B7B00" w:rsidRPr="00964918" w:rsidRDefault="001B7B00" w:rsidP="001B7B00">
      <w:pPr>
        <w:pStyle w:val="NormalWeb"/>
        <w:spacing w:line="360" w:lineRule="auto"/>
        <w:jc w:val="both"/>
      </w:pPr>
      <w:r w:rsidRPr="00964918">
        <w:rPr>
          <w:rStyle w:val="Strong"/>
        </w:rPr>
        <w:t>Figure 6:</w:t>
      </w:r>
      <w:r w:rsidRPr="00964918">
        <w:t xml:space="preserve"> Current density–voltage (J–V) characteristics of </w:t>
      </w:r>
      <w:proofErr w:type="spellStart"/>
      <w:r w:rsidRPr="00964918">
        <w:t>PbS</w:t>
      </w:r>
      <w:proofErr w:type="spellEnd"/>
      <w:r w:rsidRPr="00964918">
        <w:t xml:space="preserve"> </w:t>
      </w:r>
      <w:r w:rsidR="003F5805" w:rsidRPr="00964918">
        <w:t xml:space="preserve">QD </w:t>
      </w:r>
      <w:r w:rsidRPr="00964918">
        <w:t xml:space="preserve">sensitized DSSCs fabricated with varying </w:t>
      </w:r>
      <w:proofErr w:type="spellStart"/>
      <w:r w:rsidRPr="00964918">
        <w:t>PbS</w:t>
      </w:r>
      <w:proofErr w:type="spellEnd"/>
      <w:r w:rsidRPr="00964918">
        <w:t xml:space="preserve"> concentrations, measured under simulated solar illumination at </w:t>
      </w:r>
      <w:r w:rsidRPr="00964918">
        <w:rPr>
          <w:rStyle w:val="Strong"/>
        </w:rPr>
        <w:t xml:space="preserve">100 </w:t>
      </w:r>
      <w:proofErr w:type="spellStart"/>
      <w:r w:rsidRPr="00964918">
        <w:rPr>
          <w:rStyle w:val="Strong"/>
        </w:rPr>
        <w:t>mW</w:t>
      </w:r>
      <w:proofErr w:type="spellEnd"/>
      <w:r w:rsidRPr="00964918">
        <w:rPr>
          <w:rStyle w:val="Strong"/>
        </w:rPr>
        <w:t xml:space="preserve"> cm⁻²</w:t>
      </w:r>
      <w:r w:rsidRPr="00964918">
        <w:t xml:space="preserve">, where current density is expressed in </w:t>
      </w:r>
      <w:r w:rsidRPr="00964918">
        <w:rPr>
          <w:rStyle w:val="Strong"/>
        </w:rPr>
        <w:t>mA cm⁻²</w:t>
      </w:r>
      <w:r w:rsidRPr="00964918">
        <w:t xml:space="preserve"> and voltage in </w:t>
      </w:r>
      <w:r w:rsidRPr="00964918">
        <w:rPr>
          <w:rStyle w:val="Strong"/>
        </w:rPr>
        <w:t>V</w:t>
      </w:r>
      <w:r w:rsidRPr="00964918">
        <w:t>.</w:t>
      </w:r>
    </w:p>
    <w:p w14:paraId="79D3CF43" w14:textId="77777777" w:rsidR="001B7B00" w:rsidRPr="00964918" w:rsidRDefault="001B7B00" w:rsidP="007E068E">
      <w:pPr>
        <w:pStyle w:val="NormalWeb"/>
        <w:spacing w:line="360" w:lineRule="auto"/>
        <w:jc w:val="both"/>
      </w:pPr>
    </w:p>
    <w:p w14:paraId="56F57C39" w14:textId="6C58DEDA" w:rsidR="00262300" w:rsidRPr="00964918" w:rsidRDefault="007E068E" w:rsidP="007E068E">
      <w:pPr>
        <w:pStyle w:val="Heading1"/>
        <w:spacing w:line="480" w:lineRule="auto"/>
      </w:pPr>
      <w:r w:rsidRPr="00964918">
        <w:t xml:space="preserve"> </w:t>
      </w:r>
      <w:r w:rsidR="00295838" w:rsidRPr="00964918">
        <w:t>DISCUSSION</w:t>
      </w:r>
    </w:p>
    <w:p w14:paraId="22AB8168" w14:textId="614E2232" w:rsidR="00262300" w:rsidRPr="00964918" w:rsidRDefault="00262300" w:rsidP="00262300">
      <w:pPr>
        <w:spacing w:line="480" w:lineRule="auto"/>
        <w:jc w:val="both"/>
      </w:pPr>
      <w:r w:rsidRPr="00964918">
        <w:t>This study investigated the absor</w:t>
      </w:r>
      <w:r w:rsidR="0034037B" w:rsidRPr="00964918">
        <w:t>b</w:t>
      </w:r>
      <w:r w:rsidRPr="00964918">
        <w:t xml:space="preserve">ance and photovoltaic performance of </w:t>
      </w:r>
      <w:proofErr w:type="spellStart"/>
      <w:r w:rsidRPr="00964918">
        <w:t>PbS</w:t>
      </w:r>
      <w:proofErr w:type="spellEnd"/>
      <w:r w:rsidR="00476DA3" w:rsidRPr="00964918">
        <w:t xml:space="preserve"> QD </w:t>
      </w:r>
      <w:r w:rsidRPr="00964918">
        <w:t xml:space="preserve">sensitized solar cells using Hibiscus dye as a sensitizer. DSSC devices were fabricated with three different </w:t>
      </w:r>
      <w:proofErr w:type="spellStart"/>
      <w:r w:rsidRPr="00964918">
        <w:t>PbS</w:t>
      </w:r>
      <w:proofErr w:type="spellEnd"/>
      <w:r w:rsidRPr="00964918">
        <w:t xml:space="preserve"> concentrations: 0.1 M, 0.05 M, and 0.01 M, to examine the effect of concentration on IV characteristics. The IV curves and absorbance spectra were analyzed to determine charge transport efficiency and light-harvesting capability.</w:t>
      </w:r>
    </w:p>
    <w:p w14:paraId="28903F6F" w14:textId="246C89D7" w:rsidR="00262300" w:rsidRPr="00964918" w:rsidRDefault="00262300" w:rsidP="00262300">
      <w:pPr>
        <w:pStyle w:val="Heading1"/>
      </w:pPr>
      <w:bookmarkStart w:id="4" w:name="_heading=h.o58c61patm78" w:colFirst="0" w:colLast="0"/>
      <w:bookmarkEnd w:id="4"/>
      <w:r w:rsidRPr="00964918">
        <w:lastRenderedPageBreak/>
        <w:t>Characterization of Hibiscus dye-sensitized solar cell (DSSC)</w:t>
      </w:r>
    </w:p>
    <w:p w14:paraId="40DE5832" w14:textId="26EEDF78" w:rsidR="00262300" w:rsidRPr="00964918" w:rsidRDefault="00262300" w:rsidP="00262300">
      <w:pPr>
        <w:spacing w:before="280" w:after="280" w:line="480" w:lineRule="auto"/>
        <w:jc w:val="both"/>
      </w:pPr>
      <w:r w:rsidRPr="00964918">
        <w:t>The absorbance characterization of the Hibiscus dye-sensitized solar cell (DSSC) as presented in Table 1 indicates that the dye displays its highest absorbance at 200 nm (2.0 %) within the ultraviolet (UV) region, with values steadily declining across the visible and near-infrared (NIR) regions. This pattern aligns with the established understanding that natural dyes, particularly anthocyanin-based dyes like hibiscus, possess limited absor</w:t>
      </w:r>
      <w:r w:rsidR="00515715" w:rsidRPr="00964918">
        <w:t>b</w:t>
      </w:r>
      <w:r w:rsidRPr="00964918">
        <w:t xml:space="preserve">ance in both the UV and NIR regions, with moderate performance in the visible spectrum as reported by Calogero </w:t>
      </w:r>
      <w:r w:rsidRPr="00964918">
        <w:rPr>
          <w:i/>
        </w:rPr>
        <w:t>et al.</w:t>
      </w:r>
      <w:r w:rsidRPr="00964918">
        <w:t xml:space="preserve"> (2010). The minimal absorption in the visible range (400–700 nm), ranging between 1.2 % at 400 nm to 0.8 % at 700 nm, suggests suboptimal light-harvesting capability, a challenge frequently associated with plant-extracted dyes as accepted by Narayan (2012).</w:t>
      </w:r>
    </w:p>
    <w:p w14:paraId="2CEA4BF5" w14:textId="77777777" w:rsidR="00262300" w:rsidRPr="00964918" w:rsidRDefault="00262300" w:rsidP="00262300">
      <w:pPr>
        <w:spacing w:before="280" w:after="280" w:line="480" w:lineRule="auto"/>
        <w:jc w:val="both"/>
      </w:pPr>
      <w:r w:rsidRPr="00964918">
        <w:t xml:space="preserve">The observed decline in absorbance from 2.0 % at 200 nm to 0.55 % at 1000 nm underscores the limitations of Hibiscus dye in broad-spectrum photon capture, particularly when compared to metal-based or synthetic dyes as noted by Cherepy et al. (1997). Natural pigments like those from Hibiscus sabdariffa predominantly absorb light in the blue-green region, with anthocyanins contributing to absorption maxima typically between 520–550 nm which agrees with the findings by Hou </w:t>
      </w:r>
      <w:r w:rsidRPr="00964918">
        <w:rPr>
          <w:i/>
        </w:rPr>
        <w:t>et al.</w:t>
      </w:r>
      <w:r w:rsidRPr="00964918">
        <w:t xml:space="preserve"> (2017). However, the recorded absorbance at 550 nm in this study is only 0.95 %, reflecting low anthocyanin content or possible degradation during extraction, an issue similarly noted by Roy </w:t>
      </w:r>
      <w:r w:rsidRPr="00964918">
        <w:rPr>
          <w:i/>
        </w:rPr>
        <w:t>et al.</w:t>
      </w:r>
      <w:r w:rsidRPr="00964918">
        <w:t xml:space="preserve"> (2013) in their work on organic DSSCs.</w:t>
      </w:r>
    </w:p>
    <w:p w14:paraId="3370CF05" w14:textId="77777777" w:rsidR="00262300" w:rsidRPr="00964918" w:rsidRDefault="00262300" w:rsidP="00262300">
      <w:pPr>
        <w:spacing w:before="280" w:after="280" w:line="480" w:lineRule="auto"/>
        <w:jc w:val="both"/>
      </w:pPr>
      <w:r w:rsidRPr="00964918">
        <w:t xml:space="preserve">Comparatively, similar studies by Sharma et al. (2018) and Ezema et al. (2012) demonstrated higher absorbance values for other natural dyes, such as beetroot and henna, suggesting that hibiscus may not be the most effective candidate without modifications or co-sensitization strategies. The suboptimal absorbance values in this study highlight the need for dye enhancement techniques, such as metal-ion doping or coupling with semiconductor </w:t>
      </w:r>
      <w:r w:rsidRPr="00964918">
        <w:lastRenderedPageBreak/>
        <w:t xml:space="preserve">nanoparticles, as advocated by Kumara et al. (2017) and </w:t>
      </w:r>
      <w:proofErr w:type="spellStart"/>
      <w:r w:rsidRPr="00964918">
        <w:t>Funabiki</w:t>
      </w:r>
      <w:proofErr w:type="spellEnd"/>
      <w:r w:rsidRPr="00964918">
        <w:t xml:space="preserve"> et al. (2003), who reported significant improvements in light absorption and device efficiency through such methods.</w:t>
      </w:r>
    </w:p>
    <w:p w14:paraId="09C2C491" w14:textId="159E7E40" w:rsidR="00262300" w:rsidRPr="00964918" w:rsidRDefault="00262300" w:rsidP="00262300">
      <w:pPr>
        <w:spacing w:before="280" w:after="280" w:line="480" w:lineRule="auto"/>
        <w:jc w:val="both"/>
      </w:pPr>
      <w:r w:rsidRPr="00964918">
        <w:t>Moreover, Mphande et al. (2022) indicated that while hibiscus dyes offer advantages in terms of cost and environmental friendliness, their narrow absorption window and photo-instability limit practical application in DSSCs. This observation corresponds with the near-zero absor</w:t>
      </w:r>
      <w:r w:rsidR="00515715" w:rsidRPr="00964918">
        <w:t>b</w:t>
      </w:r>
      <w:r w:rsidRPr="00964918">
        <w:t>ance beyond 700 nm in the current study. Lastly, the general trend and magnitude of absorbance reported here agree with the findings by Adewale et al. (2019), who observed that most anthocyanin-based dyes exhibit absorbance peaks below 550 nm, declining sharply thereafter.</w:t>
      </w:r>
    </w:p>
    <w:p w14:paraId="0FFBA8AC" w14:textId="24CF3F81" w:rsidR="00262300" w:rsidRPr="00964918" w:rsidRDefault="00262300" w:rsidP="00262300">
      <w:pPr>
        <w:pStyle w:val="Heading1"/>
      </w:pPr>
      <w:bookmarkStart w:id="5" w:name="_heading=h.dw43go5y8iu6" w:colFirst="0" w:colLast="0"/>
      <w:bookmarkEnd w:id="5"/>
      <w:r w:rsidRPr="00964918">
        <w:t xml:space="preserve">Characterization of </w:t>
      </w:r>
      <w:proofErr w:type="spellStart"/>
      <w:r w:rsidRPr="00964918">
        <w:t>PbS</w:t>
      </w:r>
      <w:proofErr w:type="spellEnd"/>
      <w:r w:rsidRPr="00964918">
        <w:t xml:space="preserve"> Q</w:t>
      </w:r>
      <w:r w:rsidR="00476DA3" w:rsidRPr="00964918">
        <w:t>D</w:t>
      </w:r>
    </w:p>
    <w:p w14:paraId="44829897" w14:textId="0FFCB766" w:rsidR="00262300" w:rsidRPr="00964918" w:rsidRDefault="00262300" w:rsidP="00262300">
      <w:pPr>
        <w:spacing w:before="280" w:after="280" w:line="480" w:lineRule="auto"/>
        <w:jc w:val="both"/>
      </w:pPr>
      <w:r w:rsidRPr="00964918">
        <w:t xml:space="preserve">The absorbance characteristics of </w:t>
      </w:r>
      <w:proofErr w:type="spellStart"/>
      <w:r w:rsidRPr="00964918">
        <w:t>PbS</w:t>
      </w:r>
      <w:proofErr w:type="spellEnd"/>
      <w:r w:rsidRPr="00964918">
        <w:t xml:space="preserve"> QDs</w:t>
      </w:r>
      <w:r w:rsidR="004F3E4C" w:rsidRPr="00964918">
        <w:t xml:space="preserve"> </w:t>
      </w:r>
      <w:r w:rsidRPr="00964918">
        <w:t>presented in Table 2 reveal a notably high optical response across the UV and</w:t>
      </w:r>
      <w:r w:rsidR="00F14AD8" w:rsidRPr="00964918">
        <w:t xml:space="preserve"> visible</w:t>
      </w:r>
      <w:r w:rsidRPr="00964918">
        <w:t xml:space="preserve"> regions. At 200 nm, the absor</w:t>
      </w:r>
      <w:r w:rsidR="00515715" w:rsidRPr="00964918">
        <w:t>b</w:t>
      </w:r>
      <w:r w:rsidRPr="00964918">
        <w:t xml:space="preserve">ance starts at 2.00 %, sharply increasing to 25.00 % by 300 nm, and peaking around 30.00 % between 450–550 nm. This strong and broad absorption capability is largely attributed to the quantum confinement effect inherent in </w:t>
      </w:r>
      <w:proofErr w:type="spellStart"/>
      <w:r w:rsidRPr="00964918">
        <w:t>PbS</w:t>
      </w:r>
      <w:proofErr w:type="spellEnd"/>
      <w:r w:rsidRPr="00964918">
        <w:t xml:space="preserve"> nanoparticles, which enables tuning of their bandgap with particle size as accepted by Hines et at. (2014). The high absor</w:t>
      </w:r>
      <w:r w:rsidR="00515715" w:rsidRPr="00964918">
        <w:t>b</w:t>
      </w:r>
      <w:r w:rsidRPr="00964918">
        <w:t xml:space="preserve">ance in the UV region aligns with findings by Luther et al. (2010), who reported that </w:t>
      </w:r>
      <w:proofErr w:type="spellStart"/>
      <w:r w:rsidRPr="00964918">
        <w:t>PbS</w:t>
      </w:r>
      <w:proofErr w:type="spellEnd"/>
      <w:r w:rsidRPr="00964918">
        <w:t xml:space="preserve"> QDs exhibit superior light-harvesting abilities due to their size-dependent bandgap modulation and high optical density.</w:t>
      </w:r>
    </w:p>
    <w:p w14:paraId="6124A4FB" w14:textId="2CCD269F" w:rsidR="00262300" w:rsidRPr="00964918" w:rsidRDefault="00262300" w:rsidP="00262300">
      <w:pPr>
        <w:spacing w:before="280" w:after="280" w:line="480" w:lineRule="auto"/>
        <w:jc w:val="both"/>
      </w:pPr>
      <w:r w:rsidRPr="00964918">
        <w:t xml:space="preserve">In the visible region (400–700 nm), </w:t>
      </w:r>
      <w:proofErr w:type="spellStart"/>
      <w:r w:rsidRPr="00964918">
        <w:t>PbS</w:t>
      </w:r>
      <w:proofErr w:type="spellEnd"/>
      <w:r w:rsidRPr="00964918">
        <w:t xml:space="preserve"> maintains a consistent absor</w:t>
      </w:r>
      <w:r w:rsidR="00515715" w:rsidRPr="00964918">
        <w:t>b</w:t>
      </w:r>
      <w:r w:rsidRPr="00964918">
        <w:t>ance above 29.00 %, peaking at 30.00 % at both 500 and 550 nm. This behavior surpasses that of natural dyes like hibiscus, whose absorbance values in the same range barely exceed 1.2 %, as previously noted in works by Calogero et al. (2010). Such sustained high absor</w:t>
      </w:r>
      <w:r w:rsidR="00515715" w:rsidRPr="00964918">
        <w:t>b</w:t>
      </w:r>
      <w:r w:rsidRPr="00964918">
        <w:t xml:space="preserve">ance positions </w:t>
      </w:r>
      <w:proofErr w:type="spellStart"/>
      <w:r w:rsidRPr="00964918">
        <w:t>PbS</w:t>
      </w:r>
      <w:proofErr w:type="spellEnd"/>
      <w:r w:rsidRPr="00964918">
        <w:t xml:space="preserve"> QDs as efficient sensitizers for photovoltaic applications, corroborated by research from </w:t>
      </w:r>
      <w:proofErr w:type="spellStart"/>
      <w:r w:rsidRPr="00964918">
        <w:t>Moreels</w:t>
      </w:r>
      <w:proofErr w:type="spellEnd"/>
      <w:r w:rsidRPr="00964918">
        <w:t xml:space="preserve"> </w:t>
      </w:r>
      <w:r w:rsidRPr="00964918">
        <w:rPr>
          <w:i/>
        </w:rPr>
        <w:t>et al.</w:t>
      </w:r>
      <w:r w:rsidRPr="00964918">
        <w:t xml:space="preserve"> (2018), who emphasized their broad absorption extending into the NIR region.</w:t>
      </w:r>
    </w:p>
    <w:p w14:paraId="55DA2000" w14:textId="34E53E8A" w:rsidR="00262300" w:rsidRPr="00964918" w:rsidRDefault="00262300" w:rsidP="00262300">
      <w:pPr>
        <w:spacing w:before="280" w:after="280" w:line="480" w:lineRule="auto"/>
        <w:jc w:val="both"/>
      </w:pPr>
      <w:r w:rsidRPr="00964918">
        <w:lastRenderedPageBreak/>
        <w:t>The absor</w:t>
      </w:r>
      <w:r w:rsidR="00515715" w:rsidRPr="00964918">
        <w:t>b</w:t>
      </w:r>
      <w:r w:rsidRPr="00964918">
        <w:t xml:space="preserve">ance behavior in Table 2 highlights the distinct optical advantage of </w:t>
      </w:r>
      <w:proofErr w:type="spellStart"/>
      <w:r w:rsidRPr="00964918">
        <w:t>PbS</w:t>
      </w:r>
      <w:proofErr w:type="spellEnd"/>
      <w:r w:rsidRPr="00964918">
        <w:t xml:space="preserve"> QDs over conventional organic sensitizers. </w:t>
      </w:r>
      <w:proofErr w:type="spellStart"/>
      <w:r w:rsidRPr="00964918">
        <w:t>Nazeeruddin</w:t>
      </w:r>
      <w:proofErr w:type="spellEnd"/>
      <w:r w:rsidRPr="00964918">
        <w:t xml:space="preserve"> </w:t>
      </w:r>
      <w:r w:rsidRPr="00964918">
        <w:rPr>
          <w:i/>
        </w:rPr>
        <w:t>et al</w:t>
      </w:r>
      <w:r w:rsidRPr="00964918">
        <w:t xml:space="preserve">. (2001) previously stressed the importance of materials capable of absorbing both visible for next-generation solar cells, a criterion met by </w:t>
      </w:r>
      <w:proofErr w:type="spellStart"/>
      <w:r w:rsidRPr="00964918">
        <w:t>PbS</w:t>
      </w:r>
      <w:proofErr w:type="spellEnd"/>
      <w:r w:rsidRPr="00964918">
        <w:t xml:space="preserve"> QDs in this study. Furthermore, Kumara et al. (2017) compared various QD</w:t>
      </w:r>
      <w:r w:rsidR="00E12612" w:rsidRPr="00964918">
        <w:t>s</w:t>
      </w:r>
      <w:r w:rsidRPr="00964918">
        <w:t xml:space="preserve"> sensitizers and reported that </w:t>
      </w:r>
      <w:proofErr w:type="spellStart"/>
      <w:r w:rsidRPr="00964918">
        <w:t>PbS</w:t>
      </w:r>
      <w:proofErr w:type="spellEnd"/>
      <w:r w:rsidRPr="00964918">
        <w:t xml:space="preserve"> exhibited the highest light absorption due to its narrow bandgap and tunable optical properties. Sharma et al. (2018) further demonstrated that the incorporation of </w:t>
      </w:r>
      <w:proofErr w:type="spellStart"/>
      <w:r w:rsidRPr="00964918">
        <w:t>PbS</w:t>
      </w:r>
      <w:proofErr w:type="spellEnd"/>
      <w:r w:rsidRPr="00964918">
        <w:t xml:space="preserve"> QDs improved overall device efficiency due to enhanced photogeneration in the extended spectral range.</w:t>
      </w:r>
    </w:p>
    <w:p w14:paraId="2C0A92A4" w14:textId="59C6A914" w:rsidR="00262300" w:rsidRPr="00964918" w:rsidRDefault="00262300" w:rsidP="00262300">
      <w:pPr>
        <w:spacing w:before="280" w:after="280" w:line="480" w:lineRule="auto"/>
        <w:jc w:val="both"/>
      </w:pPr>
      <w:r w:rsidRPr="00964918">
        <w:t>Additionally, Choi et al., (2011) highlighted the smooth absor</w:t>
      </w:r>
      <w:r w:rsidR="00515715" w:rsidRPr="00964918">
        <w:t>b</w:t>
      </w:r>
      <w:r w:rsidRPr="00964918">
        <w:t xml:space="preserve">ance trend in QDs as advantageous for reducing optical losses, a characteristic also observed in this work. While Hibiscus dye’s absorbance curve fluctuated with wavelength, </w:t>
      </w:r>
      <w:proofErr w:type="spellStart"/>
      <w:r w:rsidRPr="00964918">
        <w:t>PbS</w:t>
      </w:r>
      <w:proofErr w:type="spellEnd"/>
      <w:r w:rsidRPr="00964918">
        <w:t xml:space="preserve"> displayed a uniform, gradual decline beyond its peak, consistent with observations by Tang et al. (2011), who noted this behavior results in better photon capture stability across operational wavelengths.</w:t>
      </w:r>
    </w:p>
    <w:p w14:paraId="2CA873F9" w14:textId="273093CB" w:rsidR="00262300" w:rsidRPr="00964918" w:rsidRDefault="00262300" w:rsidP="00262300">
      <w:pPr>
        <w:pStyle w:val="Heading1"/>
      </w:pPr>
      <w:bookmarkStart w:id="6" w:name="_heading=h.854ojjac03ok" w:colFirst="0" w:colLast="0"/>
      <w:bookmarkEnd w:id="6"/>
      <w:r w:rsidRPr="00964918">
        <w:t>Optimization Of DSSC</w:t>
      </w:r>
    </w:p>
    <w:p w14:paraId="5575DB7E" w14:textId="599D1191" w:rsidR="00262300" w:rsidRPr="00964918" w:rsidRDefault="00262300" w:rsidP="00262300">
      <w:pPr>
        <w:spacing w:before="280" w:after="280" w:line="480" w:lineRule="auto"/>
        <w:jc w:val="both"/>
      </w:pPr>
      <w:r w:rsidRPr="00964918">
        <w:t>Table 3 presents the absor</w:t>
      </w:r>
      <w:r w:rsidR="00515715" w:rsidRPr="00964918">
        <w:t>b</w:t>
      </w:r>
      <w:r w:rsidRPr="00964918">
        <w:t xml:space="preserve">ance values for the hybrid cell consisting of hibiscus dye and </w:t>
      </w:r>
      <w:proofErr w:type="spellStart"/>
      <w:r w:rsidRPr="00964918">
        <w:t>PbS</w:t>
      </w:r>
      <w:proofErr w:type="spellEnd"/>
      <w:r w:rsidRPr="00964918">
        <w:t xml:space="preserve"> QDs integrated into a Dye-Sensitized Solar Cell (DSSC). The data reveals the absor</w:t>
      </w:r>
      <w:r w:rsidR="00515715" w:rsidRPr="00964918">
        <w:t>b</w:t>
      </w:r>
      <w:r w:rsidRPr="00964918">
        <w:t xml:space="preserve">ance at various wavelengths, ranging from 200 nm to 700 nm, showcasing the cell’s performance in the ultraviolet (UV) and visible regions. This hybrid cell demonstrates superior light-harvesting efficiency due to its synergistic interaction, where both the hibiscus dye and </w:t>
      </w:r>
      <w:proofErr w:type="spellStart"/>
      <w:r w:rsidRPr="00964918">
        <w:t>PbS</w:t>
      </w:r>
      <w:proofErr w:type="spellEnd"/>
      <w:r w:rsidRPr="00964918">
        <w:t xml:space="preserve"> </w:t>
      </w:r>
      <w:r w:rsidR="009F169F" w:rsidRPr="00964918">
        <w:t>QD</w:t>
      </w:r>
      <w:r w:rsidR="00E12612" w:rsidRPr="00964918">
        <w:t>s</w:t>
      </w:r>
      <w:r w:rsidRPr="00964918">
        <w:t xml:space="preserve"> complement each other’s absorption spectra.</w:t>
      </w:r>
    </w:p>
    <w:p w14:paraId="257247EB" w14:textId="79B7D4EB" w:rsidR="00262300" w:rsidRPr="00964918" w:rsidRDefault="00262300" w:rsidP="00262300">
      <w:pPr>
        <w:spacing w:before="280" w:after="280" w:line="480" w:lineRule="auto"/>
        <w:jc w:val="both"/>
      </w:pPr>
      <w:r w:rsidRPr="00964918">
        <w:t>In the UV range (200–400 nm), the absor</w:t>
      </w:r>
      <w:r w:rsidR="00515715" w:rsidRPr="00964918">
        <w:t>b</w:t>
      </w:r>
      <w:r w:rsidRPr="00964918">
        <w:t>ance rises sharply, particularly around 300 nm, with the value jumping from 1 % at 200 nm to 18 % at 300 nm. This increase in absor</w:t>
      </w:r>
      <w:r w:rsidR="00515715" w:rsidRPr="00964918">
        <w:t>b</w:t>
      </w:r>
      <w:r w:rsidRPr="00964918">
        <w:t xml:space="preserve">ance is primarily attributed to the strong UV absorption characteristics of </w:t>
      </w:r>
      <w:proofErr w:type="spellStart"/>
      <w:r w:rsidRPr="00964918">
        <w:t>PbS</w:t>
      </w:r>
      <w:proofErr w:type="spellEnd"/>
      <w:r w:rsidRPr="00964918">
        <w:t xml:space="preserve"> </w:t>
      </w:r>
      <w:r w:rsidR="009F169F" w:rsidRPr="00964918">
        <w:t>QD</w:t>
      </w:r>
      <w:r w:rsidR="00E12612" w:rsidRPr="00964918">
        <w:t>s</w:t>
      </w:r>
      <w:r w:rsidRPr="00964918">
        <w:t xml:space="preserve">, which are known for their significant absorption in the UV region. </w:t>
      </w:r>
      <w:proofErr w:type="spellStart"/>
      <w:r w:rsidRPr="00964918">
        <w:t>PbS</w:t>
      </w:r>
      <w:proofErr w:type="spellEnd"/>
      <w:r w:rsidRPr="00964918">
        <w:t xml:space="preserve"> QDs exhibit a wide absorption band due </w:t>
      </w:r>
      <w:r w:rsidRPr="00964918">
        <w:lastRenderedPageBreak/>
        <w:t xml:space="preserve">to their quantum confinement effects, allowing them to capture a broad range of UV photons, which are otherwise underutilized by conventional dyes as reported by Kamat. (2011). Hibiscus dye, on the other hand, shows minimal absorption in the UV region, confirming that it plays a minimal role in this wavelength range which confirms the findings by Imai et al. (2019). This finding aligns with earlier studies by Tan et al. (2012) and He et al. (2013), who observed similar absorption behavior in hybrid systems involving </w:t>
      </w:r>
      <w:proofErr w:type="spellStart"/>
      <w:r w:rsidRPr="00964918">
        <w:t>PbS</w:t>
      </w:r>
      <w:proofErr w:type="spellEnd"/>
      <w:r w:rsidRPr="00964918">
        <w:t xml:space="preserve"> QDs. </w:t>
      </w:r>
      <w:proofErr w:type="spellStart"/>
      <w:r w:rsidRPr="00964918">
        <w:t>PbS</w:t>
      </w:r>
      <w:proofErr w:type="spellEnd"/>
      <w:r w:rsidRPr="00964918">
        <w:t xml:space="preserve"> QDs in DSSCs have been extensively studied for their role in enhancing the absorption properties, as they can be tuned for efficient UV light harvesting due to their narrow band gaps, typically in the range of 1.3–1.5 eV as accepted by Sarkar </w:t>
      </w:r>
      <w:r w:rsidRPr="00964918">
        <w:rPr>
          <w:i/>
        </w:rPr>
        <w:t>et al.</w:t>
      </w:r>
      <w:r w:rsidRPr="00964918">
        <w:t xml:space="preserve"> (2015). The sharp increase in absor</w:t>
      </w:r>
      <w:r w:rsidR="00515715" w:rsidRPr="00964918">
        <w:t>b</w:t>
      </w:r>
      <w:r w:rsidRPr="00964918">
        <w:t xml:space="preserve">ance observed here (18 % at 300 nm) demonstrates the efficiency of </w:t>
      </w:r>
      <w:proofErr w:type="spellStart"/>
      <w:r w:rsidRPr="00964918">
        <w:t>PbS</w:t>
      </w:r>
      <w:proofErr w:type="spellEnd"/>
      <w:r w:rsidRPr="00964918">
        <w:t xml:space="preserve"> in utilizing the UV region.</w:t>
      </w:r>
    </w:p>
    <w:p w14:paraId="2C3DBF5D" w14:textId="12DCFCD4" w:rsidR="00262300" w:rsidRPr="00964918" w:rsidRDefault="00262300" w:rsidP="00262300">
      <w:pPr>
        <w:spacing w:before="280" w:after="280" w:line="480" w:lineRule="auto"/>
        <w:jc w:val="both"/>
      </w:pPr>
      <w:r w:rsidRPr="00964918">
        <w:t>In the visible region (400–700 nm), the absor</w:t>
      </w:r>
      <w:r w:rsidR="00515715" w:rsidRPr="00964918">
        <w:t>b</w:t>
      </w:r>
      <w:r w:rsidRPr="00964918">
        <w:t>ance stabilizes at around 40–45 %, peaking at 450 nm with an absor</w:t>
      </w:r>
      <w:r w:rsidR="00515715" w:rsidRPr="00964918">
        <w:t>b</w:t>
      </w:r>
      <w:r w:rsidRPr="00964918">
        <w:t>ance of 47 %. This is a significant enhancement compared to the individual absor</w:t>
      </w:r>
      <w:r w:rsidR="00515715" w:rsidRPr="00964918">
        <w:t>b</w:t>
      </w:r>
      <w:r w:rsidRPr="00964918">
        <w:t xml:space="preserve">ance of the hibiscus dye and </w:t>
      </w:r>
      <w:proofErr w:type="spellStart"/>
      <w:r w:rsidRPr="00964918">
        <w:t>PbS</w:t>
      </w:r>
      <w:proofErr w:type="spellEnd"/>
      <w:r w:rsidRPr="00964918">
        <w:t xml:space="preserve"> QDs. However, the addition of </w:t>
      </w:r>
      <w:proofErr w:type="spellStart"/>
      <w:r w:rsidRPr="00964918">
        <w:t>PbS</w:t>
      </w:r>
      <w:proofErr w:type="spellEnd"/>
      <w:r w:rsidRPr="00964918">
        <w:t xml:space="preserve"> </w:t>
      </w:r>
      <w:r w:rsidR="007B4C1C" w:rsidRPr="00964918">
        <w:t>QD</w:t>
      </w:r>
      <w:r w:rsidRPr="00964918">
        <w:t xml:space="preserve"> broadens the spectral range, allowing the material to absorb a wider range of visible light, which is crucial for improving the efficiency of DSSCs. The combination of the hibiscus dye and </w:t>
      </w:r>
      <w:proofErr w:type="spellStart"/>
      <w:r w:rsidRPr="00964918">
        <w:t>PbS</w:t>
      </w:r>
      <w:proofErr w:type="spellEnd"/>
      <w:r w:rsidRPr="00964918">
        <w:t xml:space="preserve"> QDs thus provides a synergistic enhancement in absor</w:t>
      </w:r>
      <w:r w:rsidR="00515715" w:rsidRPr="00964918">
        <w:t>b</w:t>
      </w:r>
      <w:r w:rsidRPr="00964918">
        <w:t xml:space="preserve">ance. The stabilizing effect in the visible range, between 40 % and 47 %, suggests that the hibiscus dye complements the absorption profile of </w:t>
      </w:r>
      <w:proofErr w:type="spellStart"/>
      <w:r w:rsidRPr="00964918">
        <w:t>PbS</w:t>
      </w:r>
      <w:proofErr w:type="spellEnd"/>
      <w:r w:rsidRPr="00964918">
        <w:t xml:space="preserve"> QDs. According to recent research by Kumar </w:t>
      </w:r>
      <w:r w:rsidRPr="00964918">
        <w:rPr>
          <w:i/>
        </w:rPr>
        <w:t>et al.</w:t>
      </w:r>
      <w:r w:rsidR="00026BCC" w:rsidRPr="00964918">
        <w:rPr>
          <w:i/>
        </w:rPr>
        <w:t>,</w:t>
      </w:r>
      <w:r w:rsidRPr="00964918">
        <w:t xml:space="preserve"> (2020), integrating natural dyes like hibiscus with semiconductor materials such as </w:t>
      </w:r>
      <w:proofErr w:type="spellStart"/>
      <w:r w:rsidRPr="00964918">
        <w:t>PbS</w:t>
      </w:r>
      <w:proofErr w:type="spellEnd"/>
      <w:r w:rsidRPr="00964918">
        <w:t xml:space="preserve"> results in the formation of a broader absorption spectrum, extending into regions where either material alone would show limited absorption. This synergistic effect was also observed by Xue </w:t>
      </w:r>
      <w:r w:rsidRPr="00964918">
        <w:rPr>
          <w:i/>
        </w:rPr>
        <w:t>et al.</w:t>
      </w:r>
      <w:r w:rsidR="00E43485" w:rsidRPr="00964918">
        <w:rPr>
          <w:i/>
        </w:rPr>
        <w:t>,</w:t>
      </w:r>
      <w:r w:rsidRPr="00964918">
        <w:t xml:space="preserve"> (2019), who demonstrated that the combination of organic dyes with </w:t>
      </w:r>
      <w:r w:rsidR="007B4C1C" w:rsidRPr="00964918">
        <w:t>QD</w:t>
      </w:r>
      <w:r w:rsidRPr="00964918">
        <w:t xml:space="preserve"> leads to enhanced light harvesting, where the organic dye contributes to visible light absorption, while the </w:t>
      </w:r>
      <w:r w:rsidR="006759DA" w:rsidRPr="00964918">
        <w:t>QD</w:t>
      </w:r>
      <w:r w:rsidRPr="00964918">
        <w:t xml:space="preserve"> extends the absorption into the UV and NIR ranges.</w:t>
      </w:r>
    </w:p>
    <w:p w14:paraId="57E32714" w14:textId="0E249A8B" w:rsidR="00262300" w:rsidRPr="00964918" w:rsidRDefault="00262300" w:rsidP="00262300">
      <w:pPr>
        <w:spacing w:before="280" w:after="280" w:line="480" w:lineRule="auto"/>
        <w:jc w:val="both"/>
      </w:pPr>
      <w:r w:rsidRPr="00964918">
        <w:lastRenderedPageBreak/>
        <w:t xml:space="preserve">This observation is consistent with the findings of Chatterjee </w:t>
      </w:r>
      <w:r w:rsidRPr="00964918">
        <w:rPr>
          <w:i/>
        </w:rPr>
        <w:t>et al.</w:t>
      </w:r>
      <w:r w:rsidR="000820BC" w:rsidRPr="00964918">
        <w:rPr>
          <w:i/>
        </w:rPr>
        <w:t>,</w:t>
      </w:r>
      <w:r w:rsidRPr="00964918">
        <w:t xml:space="preserve"> (2014), who reported that </w:t>
      </w:r>
      <w:r w:rsidR="006759DA" w:rsidRPr="00964918">
        <w:t>QD</w:t>
      </w:r>
      <w:r w:rsidRPr="00964918">
        <w:t xml:space="preserve">, particularly </w:t>
      </w:r>
      <w:proofErr w:type="spellStart"/>
      <w:r w:rsidRPr="00964918">
        <w:t>PbS</w:t>
      </w:r>
      <w:proofErr w:type="spellEnd"/>
      <w:r w:rsidRPr="00964918">
        <w:t xml:space="preserve">, can absorb in the NIR region, thus contributing significantly to the efficiency of DSSCs by harvesting photons that would otherwise not be captured. The hybrid material consisting of hibiscus dye and </w:t>
      </w:r>
      <w:proofErr w:type="spellStart"/>
      <w:r w:rsidRPr="00964918">
        <w:t>PbS</w:t>
      </w:r>
      <w:proofErr w:type="spellEnd"/>
      <w:r w:rsidRPr="00964918">
        <w:t xml:space="preserve"> </w:t>
      </w:r>
      <w:r w:rsidR="006759DA" w:rsidRPr="00964918">
        <w:t>QD</w:t>
      </w:r>
      <w:r w:rsidRPr="00964918">
        <w:t xml:space="preserve"> effectively broadens the spectral range for photon absorption. This is critical for improving the efficiency of DSSCs, as a broader absorption range allows for more efficient use of available sunlight. In particular, the combination of hibiscus dye, which absorbs in the visible range, with </w:t>
      </w:r>
      <w:proofErr w:type="spellStart"/>
      <w:r w:rsidRPr="00964918">
        <w:t>PbS</w:t>
      </w:r>
      <w:proofErr w:type="spellEnd"/>
      <w:r w:rsidRPr="00964918">
        <w:t xml:space="preserve"> QDs, which absorb in the UV regions, creates a more comprehensive absorption spectrum, thus increasing the overall light-harvesting capability.</w:t>
      </w:r>
    </w:p>
    <w:p w14:paraId="405F115E" w14:textId="29791CCD" w:rsidR="00262300" w:rsidRPr="00964918" w:rsidRDefault="00262300" w:rsidP="00262300">
      <w:pPr>
        <w:spacing w:before="280" w:after="280" w:line="480" w:lineRule="auto"/>
        <w:jc w:val="both"/>
      </w:pPr>
      <w:r w:rsidRPr="00964918">
        <w:t xml:space="preserve">Research by Yadav </w:t>
      </w:r>
      <w:r w:rsidRPr="00964918">
        <w:rPr>
          <w:i/>
        </w:rPr>
        <w:t>et al.</w:t>
      </w:r>
      <w:r w:rsidR="00786F7D" w:rsidRPr="00964918">
        <w:rPr>
          <w:i/>
        </w:rPr>
        <w:t>,</w:t>
      </w:r>
      <w:r w:rsidRPr="00964918">
        <w:t xml:space="preserve"> (2017) and Zhang </w:t>
      </w:r>
      <w:r w:rsidRPr="00964918">
        <w:rPr>
          <w:i/>
        </w:rPr>
        <w:t>et al.</w:t>
      </w:r>
      <w:r w:rsidR="000820BC" w:rsidRPr="00964918">
        <w:rPr>
          <w:i/>
        </w:rPr>
        <w:t>,</w:t>
      </w:r>
      <w:r w:rsidR="000820BC" w:rsidRPr="00964918">
        <w:t xml:space="preserve"> </w:t>
      </w:r>
      <w:r w:rsidRPr="00964918">
        <w:t>(2011) has shown that such hybrid systems can result in significant enhancements in energy conversion efficiency by extending the absorption range. The ability to capture UV and visible light in a single material system leads to a higher photocurrent, which is critical for improving DSSC performance.</w:t>
      </w:r>
    </w:p>
    <w:p w14:paraId="70321ED0" w14:textId="5DE33F40" w:rsidR="00C0620F" w:rsidRPr="00964918" w:rsidRDefault="00262300" w:rsidP="00134860">
      <w:pPr>
        <w:pStyle w:val="Heading1"/>
        <w:spacing w:line="480" w:lineRule="auto"/>
      </w:pPr>
      <w:bookmarkStart w:id="7" w:name="_heading=h.2qdfdvblon1i" w:colFirst="0" w:colLast="0"/>
      <w:bookmarkEnd w:id="7"/>
      <w:r w:rsidRPr="00964918">
        <w:t>Evaluation of QD-DSSC Photovoltaic Performance</w:t>
      </w:r>
    </w:p>
    <w:p w14:paraId="5C4AEBB8" w14:textId="25124D24" w:rsidR="00262300" w:rsidRPr="00964918" w:rsidRDefault="00C0620F" w:rsidP="00134860">
      <w:pPr>
        <w:spacing w:line="480" w:lineRule="auto"/>
        <w:jc w:val="both"/>
      </w:pPr>
      <w:r w:rsidRPr="00964918">
        <w:t xml:space="preserve">All J–V measurements were carried out under simulated solar illumination with an intensity of </w:t>
      </w:r>
      <w:r w:rsidRPr="00964918">
        <w:rPr>
          <w:bCs/>
        </w:rPr>
        <w:t xml:space="preserve">100 </w:t>
      </w:r>
      <w:proofErr w:type="spellStart"/>
      <w:r w:rsidRPr="00964918">
        <w:rPr>
          <w:bCs/>
        </w:rPr>
        <w:t>mW</w:t>
      </w:r>
      <w:proofErr w:type="spellEnd"/>
      <w:r w:rsidRPr="00964918">
        <w:rPr>
          <w:bCs/>
        </w:rPr>
        <w:t xml:space="preserve"> cm⁻²</w:t>
      </w:r>
      <w:r w:rsidRPr="00964918">
        <w:t xml:space="preserve">. </w:t>
      </w:r>
      <w:r w:rsidR="00262300" w:rsidRPr="00964918">
        <w:rPr>
          <w:color w:val="000000"/>
        </w:rPr>
        <w:t xml:space="preserve">The current–voltage (IV) characteristics clearly demonstrate the influence of </w:t>
      </w:r>
      <w:proofErr w:type="spellStart"/>
      <w:r w:rsidR="00262300" w:rsidRPr="00964918">
        <w:rPr>
          <w:color w:val="000000"/>
        </w:rPr>
        <w:t>PbS</w:t>
      </w:r>
      <w:proofErr w:type="spellEnd"/>
      <w:r w:rsidR="00262300" w:rsidRPr="00964918">
        <w:rPr>
          <w:color w:val="000000"/>
        </w:rPr>
        <w:t xml:space="preserve"> QD concentration on the photovoltaic performance of the fabricated DSSCs. At the highest loading of 0.10 M, the device produced a short-circuit current (</w:t>
      </w:r>
      <w:proofErr w:type="spellStart"/>
      <w:r w:rsidR="0035344E" w:rsidRPr="00964918">
        <w:t>Jsc</w:t>
      </w:r>
      <w:proofErr w:type="spellEnd"/>
      <w:r w:rsidR="00262300" w:rsidRPr="00964918">
        <w:rPr>
          <w:color w:val="000000"/>
        </w:rPr>
        <w:t>) of 6.80</w:t>
      </w:r>
      <w:r w:rsidR="0035344E" w:rsidRPr="00964918">
        <w:t xml:space="preserve"> mA cm⁻² </w:t>
      </w:r>
      <w:r w:rsidR="00262300" w:rsidRPr="00964918">
        <w:rPr>
          <w:color w:val="000000"/>
        </w:rPr>
        <w:t>and an open-circuit voltage (Voc) of 0.48 V, corresponding to an overall efficiency of 0.33 %. The IV curve at this concentration exhibits a gradual slope in the non-linear region near the maximum power point, which reflects pronounced recombination losses. This behavior is attributed to excessive QD loading, leading to aggregation and the formation of defect states at the QD–</w:t>
      </w:r>
      <w:proofErr w:type="spellStart"/>
      <w:r w:rsidR="00262300" w:rsidRPr="00964918">
        <w:rPr>
          <w:color w:val="000000"/>
        </w:rPr>
        <w:t>TiO</w:t>
      </w:r>
      <w:proofErr w:type="spellEnd"/>
      <w:r w:rsidR="00262300" w:rsidRPr="00964918">
        <w:rPr>
          <w:color w:val="000000"/>
        </w:rPr>
        <w:t xml:space="preserve">₂ interface, thereby accelerating non-radiative recombination pathways. Similar effects </w:t>
      </w:r>
      <w:r w:rsidR="00262300" w:rsidRPr="00964918">
        <w:rPr>
          <w:color w:val="000000"/>
        </w:rPr>
        <w:lastRenderedPageBreak/>
        <w:t>have been reported by Elibol. (2020), where high QD densities reduced carrier lifetimes and enhanced back-electron transfer, ultimately suppressing performance.</w:t>
      </w:r>
    </w:p>
    <w:p w14:paraId="4141DC04" w14:textId="415B49D1" w:rsidR="00262300" w:rsidRPr="00964918" w:rsidRDefault="00262300" w:rsidP="00C0620F">
      <w:pPr>
        <w:pBdr>
          <w:top w:val="nil"/>
          <w:left w:val="nil"/>
          <w:bottom w:val="nil"/>
          <w:right w:val="nil"/>
          <w:between w:val="nil"/>
        </w:pBdr>
        <w:spacing w:before="280" w:after="280" w:line="480" w:lineRule="auto"/>
        <w:jc w:val="both"/>
        <w:rPr>
          <w:color w:val="000000"/>
        </w:rPr>
      </w:pPr>
      <w:r w:rsidRPr="00964918">
        <w:rPr>
          <w:color w:val="000000"/>
        </w:rPr>
        <w:t xml:space="preserve">At the lowest concentration of 0.01 M, the device exhibited a Voc of 0.95 V and an </w:t>
      </w:r>
      <w:proofErr w:type="spellStart"/>
      <w:r w:rsidR="001903B4" w:rsidRPr="00964918">
        <w:rPr>
          <w:color w:val="000000"/>
        </w:rPr>
        <w:t>J</w:t>
      </w:r>
      <w:r w:rsidRPr="00964918">
        <w:rPr>
          <w:color w:val="000000"/>
        </w:rPr>
        <w:t>sc</w:t>
      </w:r>
      <w:proofErr w:type="spellEnd"/>
      <w:r w:rsidRPr="00964918">
        <w:rPr>
          <w:color w:val="000000"/>
        </w:rPr>
        <w:t xml:space="preserve"> of 0.62 </w:t>
      </w:r>
      <w:r w:rsidR="001903B4" w:rsidRPr="00964918">
        <w:t>mA cm⁻²</w:t>
      </w:r>
      <w:r w:rsidRPr="00964918">
        <w:rPr>
          <w:color w:val="000000"/>
        </w:rPr>
        <w:t xml:space="preserve">, with a corresponding efficiency of 0.94 %. The relatively high Voc indicates suppressed recombination due to the lower QD density, which reduces the density of interfacial trap states. However, the low </w:t>
      </w:r>
      <w:proofErr w:type="spellStart"/>
      <w:r w:rsidR="001903B4" w:rsidRPr="00964918">
        <w:rPr>
          <w:color w:val="000000"/>
        </w:rPr>
        <w:t>J</w:t>
      </w:r>
      <w:r w:rsidRPr="00964918">
        <w:rPr>
          <w:color w:val="000000"/>
        </w:rPr>
        <w:t>sc</w:t>
      </w:r>
      <w:proofErr w:type="spellEnd"/>
      <w:r w:rsidRPr="00964918">
        <w:rPr>
          <w:color w:val="000000"/>
        </w:rPr>
        <w:t xml:space="preserve"> demonstrates that photon harvesting was significantly limited because of insufficient QD coverage on the </w:t>
      </w:r>
      <w:proofErr w:type="spellStart"/>
      <w:r w:rsidRPr="00964918">
        <w:rPr>
          <w:color w:val="000000"/>
        </w:rPr>
        <w:t>TiO</w:t>
      </w:r>
      <w:proofErr w:type="spellEnd"/>
      <w:r w:rsidRPr="00964918">
        <w:rPr>
          <w:color w:val="000000"/>
        </w:rPr>
        <w:t xml:space="preserve">₂ surface. This under-sensitization effect is consistent with findings by </w:t>
      </w:r>
      <w:proofErr w:type="spellStart"/>
      <w:r w:rsidRPr="00964918">
        <w:rPr>
          <w:color w:val="000000"/>
        </w:rPr>
        <w:t>Rühle</w:t>
      </w:r>
      <w:proofErr w:type="spellEnd"/>
      <w:r w:rsidRPr="00964918">
        <w:rPr>
          <w:color w:val="000000"/>
        </w:rPr>
        <w:t xml:space="preserve"> et al., (2010), who emphasized that incomplete photoanode sensitization reduces charge injection despite improvements in Voc.</w:t>
      </w:r>
    </w:p>
    <w:p w14:paraId="16A26E0E" w14:textId="3EB4B8C9" w:rsidR="00262300" w:rsidRPr="00964918" w:rsidRDefault="00262300" w:rsidP="00262300">
      <w:pPr>
        <w:pBdr>
          <w:top w:val="nil"/>
          <w:left w:val="nil"/>
          <w:bottom w:val="nil"/>
          <w:right w:val="nil"/>
          <w:between w:val="nil"/>
        </w:pBdr>
        <w:spacing w:before="280" w:after="280" w:line="480" w:lineRule="auto"/>
        <w:jc w:val="both"/>
        <w:rPr>
          <w:color w:val="000000"/>
        </w:rPr>
      </w:pPr>
      <w:r w:rsidRPr="00964918">
        <w:rPr>
          <w:color w:val="000000"/>
        </w:rPr>
        <w:t xml:space="preserve">The most favorable photovoltaic response was observed at the intermediate concentration of 0.05 M. Here, the device achieved a </w:t>
      </w:r>
      <w:proofErr w:type="spellStart"/>
      <w:r w:rsidR="001903B4" w:rsidRPr="00964918">
        <w:rPr>
          <w:color w:val="000000"/>
        </w:rPr>
        <w:t>J</w:t>
      </w:r>
      <w:r w:rsidRPr="00964918">
        <w:rPr>
          <w:color w:val="000000"/>
        </w:rPr>
        <w:t>sc</w:t>
      </w:r>
      <w:proofErr w:type="spellEnd"/>
      <w:r w:rsidRPr="00964918">
        <w:rPr>
          <w:color w:val="000000"/>
        </w:rPr>
        <w:t xml:space="preserve"> of 5.3</w:t>
      </w:r>
      <w:r w:rsidR="0095759A" w:rsidRPr="00964918">
        <w:rPr>
          <w:color w:val="000000"/>
        </w:rPr>
        <w:t>0</w:t>
      </w:r>
      <w:r w:rsidRPr="00964918">
        <w:rPr>
          <w:color w:val="000000"/>
        </w:rPr>
        <w:t xml:space="preserve"> </w:t>
      </w:r>
      <w:r w:rsidR="001903B4" w:rsidRPr="00964918">
        <w:t xml:space="preserve">mA cm⁻² </w:t>
      </w:r>
      <w:r w:rsidRPr="00964918">
        <w:rPr>
          <w:color w:val="000000"/>
        </w:rPr>
        <w:t>and a Voc of 0.</w:t>
      </w:r>
      <w:r w:rsidR="00F16BFD" w:rsidRPr="00964918">
        <w:rPr>
          <w:color w:val="000000"/>
        </w:rPr>
        <w:t>68</w:t>
      </w:r>
      <w:r w:rsidR="001D4820" w:rsidRPr="00964918">
        <w:rPr>
          <w:color w:val="000000"/>
        </w:rPr>
        <w:t>0</w:t>
      </w:r>
      <w:r w:rsidRPr="00964918">
        <w:rPr>
          <w:color w:val="000000"/>
        </w:rPr>
        <w:t xml:space="preserve"> V, yielding the highest efficiency of 2.01 %. The IV curve for this concentration displays a well-defined transition from the ohmic region to saturation, with both </w:t>
      </w:r>
      <w:proofErr w:type="spellStart"/>
      <w:r w:rsidRPr="00964918">
        <w:rPr>
          <w:color w:val="000000"/>
        </w:rPr>
        <w:t>Voc</w:t>
      </w:r>
      <w:proofErr w:type="spellEnd"/>
      <w:r w:rsidRPr="00964918">
        <w:rPr>
          <w:color w:val="000000"/>
        </w:rPr>
        <w:t xml:space="preserve"> and </w:t>
      </w:r>
      <w:proofErr w:type="spellStart"/>
      <w:r w:rsidR="001903B4" w:rsidRPr="00964918">
        <w:rPr>
          <w:color w:val="000000"/>
        </w:rPr>
        <w:t>J</w:t>
      </w:r>
      <w:r w:rsidRPr="00964918">
        <w:rPr>
          <w:color w:val="000000"/>
        </w:rPr>
        <w:t>sc</w:t>
      </w:r>
      <w:proofErr w:type="spellEnd"/>
      <w:r w:rsidRPr="00964918">
        <w:rPr>
          <w:color w:val="000000"/>
        </w:rPr>
        <w:t xml:space="preserve"> sufficiently optimized to balance charge generation and recombination suppression. At this concentration, QD loading ensures adequate photon absorption while maintaining reduced recombination losses. This regime of balanced sensitization is supported by studies from Badawi </w:t>
      </w:r>
      <w:r w:rsidRPr="00964918">
        <w:rPr>
          <w:i/>
          <w:color w:val="000000"/>
        </w:rPr>
        <w:t>et al.</w:t>
      </w:r>
      <w:r w:rsidR="00E32F88" w:rsidRPr="00964918">
        <w:rPr>
          <w:i/>
          <w:color w:val="000000"/>
        </w:rPr>
        <w:t>,</w:t>
      </w:r>
      <w:r w:rsidRPr="00964918">
        <w:rPr>
          <w:color w:val="000000"/>
        </w:rPr>
        <w:t xml:space="preserve"> (2013) who reported that moderate QD densities enhance photocurrent without compromising Voc.</w:t>
      </w:r>
    </w:p>
    <w:p w14:paraId="7064D870" w14:textId="4C175ACA" w:rsidR="00262300" w:rsidRPr="00964918" w:rsidRDefault="00262300" w:rsidP="00262300">
      <w:pPr>
        <w:pBdr>
          <w:top w:val="nil"/>
          <w:left w:val="nil"/>
          <w:bottom w:val="nil"/>
          <w:right w:val="nil"/>
          <w:between w:val="nil"/>
        </w:pBdr>
        <w:spacing w:before="280" w:after="280" w:line="480" w:lineRule="auto"/>
        <w:jc w:val="both"/>
        <w:rPr>
          <w:color w:val="000000"/>
        </w:rPr>
      </w:pPr>
      <w:r w:rsidRPr="00964918">
        <w:rPr>
          <w:color w:val="000000"/>
        </w:rPr>
        <w:t xml:space="preserve">The observed performance trend reflects the characteristic bell-shaped efficiency dependence on QD concentration. As QD concentration increases, </w:t>
      </w:r>
      <w:proofErr w:type="spellStart"/>
      <w:r w:rsidR="001903B4" w:rsidRPr="00964918">
        <w:rPr>
          <w:color w:val="000000"/>
        </w:rPr>
        <w:t>J</w:t>
      </w:r>
      <w:r w:rsidRPr="00964918">
        <w:rPr>
          <w:color w:val="000000"/>
        </w:rPr>
        <w:t>sc</w:t>
      </w:r>
      <w:proofErr w:type="spellEnd"/>
      <w:r w:rsidRPr="00964918">
        <w:rPr>
          <w:color w:val="000000"/>
        </w:rPr>
        <w:t xml:space="preserve"> initially rises due to enhanced light absorption but declines at excessive loading as recombination dominates. In parallel, Voc shows an inverse correlation with trap density and recombination probability, while the fill factor is affected by the interplay of series resistance and interfacial recombination </w:t>
      </w:r>
      <w:r w:rsidR="001A1A66" w:rsidRPr="00964918">
        <w:rPr>
          <w:color w:val="000000"/>
        </w:rPr>
        <w:t xml:space="preserve">kinetics. </w:t>
      </w:r>
      <w:r w:rsidRPr="00964918">
        <w:rPr>
          <w:color w:val="000000"/>
        </w:rPr>
        <w:t xml:space="preserve">The efficiency values obtained in this study — 0.33 % (0.10 M), 2.01 % (0.05 M), and 0.94 % (0.01 M) — strongly support the conclusion that an intermediate QD concentration provides </w:t>
      </w:r>
      <w:r w:rsidRPr="00964918">
        <w:rPr>
          <w:color w:val="000000"/>
        </w:rPr>
        <w:lastRenderedPageBreak/>
        <w:t xml:space="preserve">the optimum balance between light harvesting and recombination suppression. These findings are consistent with earlier reports (Elibol </w:t>
      </w:r>
      <w:r w:rsidRPr="00964918">
        <w:rPr>
          <w:i/>
          <w:color w:val="000000"/>
        </w:rPr>
        <w:t>et al.,</w:t>
      </w:r>
      <w:r w:rsidRPr="00964918">
        <w:rPr>
          <w:color w:val="000000"/>
        </w:rPr>
        <w:t xml:space="preserve"> 2020; R</w:t>
      </w:r>
      <w:r w:rsidR="00A8655A" w:rsidRPr="00964918">
        <w:rPr>
          <w:color w:val="000000"/>
        </w:rPr>
        <w:t>u</w:t>
      </w:r>
      <w:r w:rsidRPr="00964918">
        <w:rPr>
          <w:color w:val="000000"/>
        </w:rPr>
        <w:t xml:space="preserve">hle </w:t>
      </w:r>
      <w:r w:rsidRPr="00964918">
        <w:rPr>
          <w:i/>
          <w:color w:val="000000"/>
        </w:rPr>
        <w:t>et al.,</w:t>
      </w:r>
      <w:r w:rsidRPr="00964918">
        <w:rPr>
          <w:color w:val="000000"/>
        </w:rPr>
        <w:t xml:space="preserve"> 2010), further validating that careful control of QD loading is crucial for maximizing QD-DSSC device performance.</w:t>
      </w:r>
    </w:p>
    <w:p w14:paraId="09FD901D" w14:textId="2871DC74" w:rsidR="000310A0" w:rsidRPr="00964918" w:rsidRDefault="000310A0" w:rsidP="000310A0">
      <w:pPr>
        <w:pStyle w:val="Heading1"/>
        <w:spacing w:line="480" w:lineRule="auto"/>
      </w:pPr>
      <w:r w:rsidRPr="00964918">
        <w:t>Conclusion</w:t>
      </w:r>
    </w:p>
    <w:p w14:paraId="5F8E4EF9" w14:textId="2D5F708E" w:rsidR="000310A0" w:rsidRPr="00964918" w:rsidRDefault="000310A0" w:rsidP="000310A0">
      <w:pPr>
        <w:spacing w:line="480" w:lineRule="auto"/>
        <w:jc w:val="both"/>
      </w:pPr>
      <w:r w:rsidRPr="00964918">
        <w:t xml:space="preserve">The study revealed that hibiscus dye alone demonstrated limited absorption capacity across the solar spectrum, particularly beyond the visible range, thus restricting its solar energy harvesting potential. In contrast, </w:t>
      </w:r>
      <w:proofErr w:type="spellStart"/>
      <w:r w:rsidRPr="00964918">
        <w:t>PbS</w:t>
      </w:r>
      <w:proofErr w:type="spellEnd"/>
      <w:r w:rsidRPr="00964918">
        <w:t xml:space="preserve"> </w:t>
      </w:r>
      <w:r w:rsidR="00D15DAB" w:rsidRPr="00964918">
        <w:t>QD</w:t>
      </w:r>
      <w:r w:rsidRPr="00964918">
        <w:t xml:space="preserve"> exhibited strong, broad-spectrum absorbance due to their quantum confinement properties, enhancing UV, </w:t>
      </w:r>
      <w:r w:rsidR="003E0C77" w:rsidRPr="00964918">
        <w:t xml:space="preserve">and </w:t>
      </w:r>
      <w:r w:rsidRPr="00964918">
        <w:t>visible</w:t>
      </w:r>
      <w:r w:rsidR="004B4C72" w:rsidRPr="00964918">
        <w:t xml:space="preserve"> </w:t>
      </w:r>
      <w:r w:rsidRPr="00964918">
        <w:t xml:space="preserve">light capture. When combined in a hybrid DSSC, hibiscus dye and </w:t>
      </w:r>
      <w:proofErr w:type="spellStart"/>
      <w:r w:rsidRPr="00964918">
        <w:t>PbS</w:t>
      </w:r>
      <w:proofErr w:type="spellEnd"/>
      <w:r w:rsidRPr="00964918">
        <w:t xml:space="preserve"> QDs achieved significantly improved and complementary spectral absorption. Photovoltaic testing indicated that a </w:t>
      </w:r>
      <w:proofErr w:type="spellStart"/>
      <w:r w:rsidRPr="00964918">
        <w:t>PbS</w:t>
      </w:r>
      <w:proofErr w:type="spellEnd"/>
      <w:r w:rsidRPr="00964918">
        <w:t xml:space="preserve"> integration offered the best performance, balancing light absorption and charge transport while minimizing recombination. Consequently, this hybrid approach offers a promising pathway to more efficient DSSCs through strategic sensitizer blending and optimized </w:t>
      </w:r>
      <w:r w:rsidR="00195154" w:rsidRPr="00964918">
        <w:t>QD</w:t>
      </w:r>
      <w:r w:rsidRPr="00964918">
        <w:t xml:space="preserve"> loading</w:t>
      </w:r>
    </w:p>
    <w:p w14:paraId="3A566829" w14:textId="77777777" w:rsidR="00262300" w:rsidRPr="00964918" w:rsidRDefault="00262300" w:rsidP="00262300"/>
    <w:p w14:paraId="1C4F0EED" w14:textId="77777777" w:rsidR="007B3781" w:rsidRPr="00964918" w:rsidRDefault="007B3781" w:rsidP="007B3781">
      <w:pPr>
        <w:spacing w:line="480" w:lineRule="auto"/>
        <w:rPr>
          <w:b/>
          <w:bCs/>
        </w:rPr>
      </w:pPr>
      <w:r w:rsidRPr="00964918">
        <w:rPr>
          <w:b/>
          <w:bCs/>
        </w:rPr>
        <w:t xml:space="preserve">REFERENCES </w:t>
      </w:r>
    </w:p>
    <w:p w14:paraId="78584E63" w14:textId="39778B37" w:rsidR="00176BD8" w:rsidRDefault="0076295E" w:rsidP="0076295E">
      <w:pPr>
        <w:rPr>
          <w:color w:val="222222"/>
        </w:rPr>
      </w:pPr>
      <w:proofErr w:type="spellStart"/>
      <w:r w:rsidRPr="0076295E">
        <w:rPr>
          <w:color w:val="222222"/>
        </w:rPr>
        <w:t>Owoade</w:t>
      </w:r>
      <w:proofErr w:type="spellEnd"/>
      <w:r w:rsidRPr="0076295E">
        <w:rPr>
          <w:color w:val="222222"/>
        </w:rPr>
        <w:t xml:space="preserve">, A. O., Adetutu, A., &amp; </w:t>
      </w:r>
      <w:proofErr w:type="spellStart"/>
      <w:r w:rsidRPr="0076295E">
        <w:rPr>
          <w:color w:val="222222"/>
        </w:rPr>
        <w:t>Olorunnisola</w:t>
      </w:r>
      <w:proofErr w:type="spellEnd"/>
      <w:r w:rsidRPr="0076295E">
        <w:rPr>
          <w:color w:val="222222"/>
        </w:rPr>
        <w:t xml:space="preserve">, O. S. (2019). A review of chemical constituents and pharmacological properties of Hibiscus sabdariffa L. International Journal of Current Research in Biosciences and Plant Biology, 6(4), 42-51. </w:t>
      </w:r>
      <w:hyperlink r:id="rId14" w:history="1">
        <w:r w:rsidRPr="00C92FB5">
          <w:rPr>
            <w:rStyle w:val="Hyperlink"/>
          </w:rPr>
          <w:t>https://doi.org/10.20546/ijcrbp.2019.604.006</w:t>
        </w:r>
      </w:hyperlink>
    </w:p>
    <w:p w14:paraId="1E170A6B" w14:textId="77777777" w:rsidR="0076295E" w:rsidRPr="00964918" w:rsidRDefault="0076295E" w:rsidP="0076295E"/>
    <w:p w14:paraId="77A5965E" w14:textId="3161737B" w:rsidR="00176BD8" w:rsidRDefault="0076295E" w:rsidP="0076295E">
      <w:r w:rsidRPr="0076295E">
        <w:t xml:space="preserve">Basit, M. A., Ali, M. A., Masroor, Z., Tariq, Z., &amp; Bang, J. H. (2023). Quantum dot-sensitized solar cells: a review on interfacial engineering strategies for boosting efficiency. Journal of Industrial and Engineering Chemistry, 120, 1-26. </w:t>
      </w:r>
      <w:hyperlink r:id="rId15" w:history="1">
        <w:r w:rsidRPr="00C92FB5">
          <w:rPr>
            <w:rStyle w:val="Hyperlink"/>
          </w:rPr>
          <w:t>https://doi.org/10.1016/j.jiec.2022.12.016</w:t>
        </w:r>
      </w:hyperlink>
    </w:p>
    <w:p w14:paraId="1B815CD8" w14:textId="77777777" w:rsidR="0076295E" w:rsidRPr="00964918" w:rsidRDefault="0076295E" w:rsidP="0076295E"/>
    <w:p w14:paraId="46F328F8" w14:textId="1019CD6F" w:rsidR="00D54FC2" w:rsidRDefault="0076295E" w:rsidP="0076295E">
      <w:pPr>
        <w:jc w:val="both"/>
        <w:rPr>
          <w:color w:val="222222"/>
        </w:rPr>
      </w:pPr>
      <w:r w:rsidRPr="0076295E">
        <w:rPr>
          <w:color w:val="222222"/>
        </w:rPr>
        <w:t xml:space="preserve">Calogero, G., Di Marco, G., </w:t>
      </w:r>
      <w:proofErr w:type="spellStart"/>
      <w:r w:rsidRPr="0076295E">
        <w:rPr>
          <w:color w:val="222222"/>
        </w:rPr>
        <w:t>Cazzanti</w:t>
      </w:r>
      <w:proofErr w:type="spellEnd"/>
      <w:r w:rsidRPr="0076295E">
        <w:rPr>
          <w:color w:val="222222"/>
        </w:rPr>
        <w:t xml:space="preserve">, S., </w:t>
      </w:r>
      <w:proofErr w:type="spellStart"/>
      <w:r w:rsidRPr="0076295E">
        <w:rPr>
          <w:color w:val="222222"/>
        </w:rPr>
        <w:t>Caramori</w:t>
      </w:r>
      <w:proofErr w:type="spellEnd"/>
      <w:r w:rsidRPr="0076295E">
        <w:rPr>
          <w:color w:val="222222"/>
        </w:rPr>
        <w:t xml:space="preserve">, S., </w:t>
      </w:r>
      <w:proofErr w:type="spellStart"/>
      <w:r w:rsidRPr="0076295E">
        <w:rPr>
          <w:color w:val="222222"/>
        </w:rPr>
        <w:t>Argazzi</w:t>
      </w:r>
      <w:proofErr w:type="spellEnd"/>
      <w:r w:rsidRPr="0076295E">
        <w:rPr>
          <w:color w:val="222222"/>
        </w:rPr>
        <w:t xml:space="preserve">, R., Di Carlo, A., &amp; </w:t>
      </w:r>
      <w:proofErr w:type="spellStart"/>
      <w:r w:rsidRPr="0076295E">
        <w:rPr>
          <w:color w:val="222222"/>
        </w:rPr>
        <w:t>Bignozzi</w:t>
      </w:r>
      <w:proofErr w:type="spellEnd"/>
      <w:r w:rsidRPr="0076295E">
        <w:rPr>
          <w:color w:val="222222"/>
        </w:rPr>
        <w:t xml:space="preserve">, C. A. (2010). Efficient dye-sensitized solar cells using red turnip and purple wild Sicilian prickly pear fruits. International Journal of Molecular Sciences, 11(1), 254-267. </w:t>
      </w:r>
      <w:hyperlink r:id="rId16" w:history="1">
        <w:r w:rsidRPr="00C92FB5">
          <w:rPr>
            <w:rStyle w:val="Hyperlink"/>
          </w:rPr>
          <w:t>https://doi.org/10.3390/ijms11010254</w:t>
        </w:r>
      </w:hyperlink>
    </w:p>
    <w:p w14:paraId="6AD7EEA6" w14:textId="77777777" w:rsidR="0076295E" w:rsidRPr="00964918" w:rsidRDefault="0076295E" w:rsidP="0076295E">
      <w:pPr>
        <w:jc w:val="both"/>
        <w:rPr>
          <w:color w:val="222222"/>
        </w:rPr>
      </w:pPr>
    </w:p>
    <w:p w14:paraId="7B17B7CB" w14:textId="4CD3144E" w:rsidR="00D54FC2" w:rsidRDefault="0076295E" w:rsidP="0076295E">
      <w:pPr>
        <w:jc w:val="both"/>
        <w:rPr>
          <w:color w:val="222222"/>
        </w:rPr>
      </w:pPr>
      <w:r w:rsidRPr="0076295E">
        <w:rPr>
          <w:color w:val="222222"/>
        </w:rPr>
        <w:t xml:space="preserve">Chatterjee, A., Goodman, S. M., Singh, V., Ribot, J. C., &amp; Nagpal, P. (2014). Multiple energy exciton shelves in quantum-dot–DNA </w:t>
      </w:r>
      <w:proofErr w:type="spellStart"/>
      <w:r w:rsidRPr="0076295E">
        <w:rPr>
          <w:color w:val="222222"/>
        </w:rPr>
        <w:t>nanobioelectronics</w:t>
      </w:r>
      <w:proofErr w:type="spellEnd"/>
      <w:r w:rsidRPr="0076295E">
        <w:rPr>
          <w:color w:val="222222"/>
        </w:rPr>
        <w:t xml:space="preserve">. The Journal of Physical Chemistry Letters, 5(21), 3909–3913. </w:t>
      </w:r>
      <w:hyperlink r:id="rId17" w:history="1">
        <w:r w:rsidRPr="00C92FB5">
          <w:rPr>
            <w:rStyle w:val="Hyperlink"/>
          </w:rPr>
          <w:t>https://doi.org/10.1021/jz502058y</w:t>
        </w:r>
      </w:hyperlink>
    </w:p>
    <w:p w14:paraId="7CC3BB4E" w14:textId="77777777" w:rsidR="0076295E" w:rsidRPr="00964918" w:rsidRDefault="0076295E" w:rsidP="0076295E">
      <w:pPr>
        <w:jc w:val="both"/>
      </w:pPr>
    </w:p>
    <w:p w14:paraId="1C310E6C" w14:textId="56CCF3E6" w:rsidR="00D54FC2" w:rsidRDefault="0076295E" w:rsidP="0076295E">
      <w:pPr>
        <w:shd w:val="clear" w:color="auto" w:fill="FFFFFF"/>
        <w:rPr>
          <w:color w:val="222222"/>
        </w:rPr>
      </w:pPr>
      <w:r w:rsidRPr="0076295E">
        <w:rPr>
          <w:color w:val="222222"/>
        </w:rPr>
        <w:lastRenderedPageBreak/>
        <w:t xml:space="preserve">Cherepy, N. J., Smestad, G. P., </w:t>
      </w:r>
      <w:proofErr w:type="spellStart"/>
      <w:r w:rsidRPr="0076295E">
        <w:rPr>
          <w:color w:val="222222"/>
        </w:rPr>
        <w:t>Grätzel</w:t>
      </w:r>
      <w:proofErr w:type="spellEnd"/>
      <w:r w:rsidRPr="0076295E">
        <w:rPr>
          <w:color w:val="222222"/>
        </w:rPr>
        <w:t xml:space="preserve">, M., &amp; Zhang, J. Z. (1997). Ultrafast electron injection: implications for a photoelectrochemical cell utilizing an anthocyanin dye-sensitized TiO2 nanocrystalline electrode. The Journal of Physical Chemistry B, 101(45), 9342-9351. </w:t>
      </w:r>
      <w:hyperlink r:id="rId18" w:history="1">
        <w:r w:rsidRPr="00C92FB5">
          <w:rPr>
            <w:rStyle w:val="Hyperlink"/>
          </w:rPr>
          <w:t>https://doi.org/10.1021/jp972197w</w:t>
        </w:r>
      </w:hyperlink>
    </w:p>
    <w:p w14:paraId="04C0DF4E" w14:textId="77777777" w:rsidR="0076295E" w:rsidRPr="00964918" w:rsidRDefault="0076295E" w:rsidP="0076295E">
      <w:pPr>
        <w:shd w:val="clear" w:color="auto" w:fill="FFFFFF"/>
        <w:rPr>
          <w:color w:val="151515"/>
          <w:sz w:val="18"/>
          <w:szCs w:val="18"/>
        </w:rPr>
      </w:pPr>
    </w:p>
    <w:p w14:paraId="0EC65959" w14:textId="15A2B194" w:rsidR="00D54FC2" w:rsidRDefault="0076295E" w:rsidP="0076295E">
      <w:pPr>
        <w:jc w:val="both"/>
        <w:rPr>
          <w:color w:val="222222"/>
        </w:rPr>
      </w:pPr>
      <w:r w:rsidRPr="0076295E">
        <w:rPr>
          <w:color w:val="222222"/>
        </w:rPr>
        <w:t xml:space="preserve">Concina, I., &amp; </w:t>
      </w:r>
      <w:proofErr w:type="spellStart"/>
      <w:r w:rsidRPr="0076295E">
        <w:rPr>
          <w:color w:val="222222"/>
        </w:rPr>
        <w:t>Vomiero</w:t>
      </w:r>
      <w:proofErr w:type="spellEnd"/>
      <w:r w:rsidRPr="0076295E">
        <w:rPr>
          <w:color w:val="222222"/>
        </w:rPr>
        <w:t xml:space="preserve">, A. (2015). Metal oxide semiconductors for dye- and quantum-dot-sensitized solar cells. Small, 11(15), 1744-1774. </w:t>
      </w:r>
      <w:hyperlink r:id="rId19" w:history="1">
        <w:r w:rsidRPr="00C92FB5">
          <w:rPr>
            <w:rStyle w:val="Hyperlink"/>
          </w:rPr>
          <w:t>https://doi.org/10.1002/smll.201402334</w:t>
        </w:r>
      </w:hyperlink>
    </w:p>
    <w:p w14:paraId="2B5C93A2" w14:textId="77777777" w:rsidR="0076295E" w:rsidRPr="00964918" w:rsidRDefault="0076295E" w:rsidP="0076295E">
      <w:pPr>
        <w:jc w:val="both"/>
      </w:pPr>
    </w:p>
    <w:p w14:paraId="400C2C85" w14:textId="01169DB2" w:rsidR="00D54FC2" w:rsidRDefault="0076295E" w:rsidP="0076295E">
      <w:pPr>
        <w:shd w:val="clear" w:color="auto" w:fill="FFFFFF"/>
        <w:rPr>
          <w:color w:val="222222"/>
        </w:rPr>
      </w:pPr>
      <w:r w:rsidRPr="0076295E">
        <w:rPr>
          <w:color w:val="222222"/>
        </w:rPr>
        <w:t xml:space="preserve">Choi, H., Nicolaescu, R., Paek, S., Ko, J., &amp; Kamat, P. V. (2011). </w:t>
      </w:r>
      <w:proofErr w:type="spellStart"/>
      <w:r w:rsidRPr="0076295E">
        <w:rPr>
          <w:color w:val="222222"/>
        </w:rPr>
        <w:t>Supersensitization</w:t>
      </w:r>
      <w:proofErr w:type="spellEnd"/>
      <w:r w:rsidRPr="0076295E">
        <w:rPr>
          <w:color w:val="222222"/>
        </w:rPr>
        <w:t xml:space="preserve"> of </w:t>
      </w:r>
      <w:proofErr w:type="spellStart"/>
      <w:r w:rsidRPr="0076295E">
        <w:rPr>
          <w:color w:val="222222"/>
        </w:rPr>
        <w:t>CdS</w:t>
      </w:r>
      <w:proofErr w:type="spellEnd"/>
      <w:r w:rsidRPr="0076295E">
        <w:rPr>
          <w:color w:val="222222"/>
        </w:rPr>
        <w:t xml:space="preserve"> quantum dots with a near-infrared organic dye: toward the design of panchromatic hybrid-sensitized solar cells. ACS Nano, 5(11), 9238-9245. </w:t>
      </w:r>
      <w:hyperlink r:id="rId20" w:history="1">
        <w:r w:rsidRPr="00C92FB5">
          <w:rPr>
            <w:rStyle w:val="Hyperlink"/>
          </w:rPr>
          <w:t>https://doi.org/10.1021/nn2035022</w:t>
        </w:r>
      </w:hyperlink>
    </w:p>
    <w:p w14:paraId="6F817C01" w14:textId="77777777" w:rsidR="0076295E" w:rsidRPr="00964918" w:rsidRDefault="0076295E" w:rsidP="0076295E">
      <w:pPr>
        <w:shd w:val="clear" w:color="auto" w:fill="FFFFFF"/>
        <w:rPr>
          <w:color w:val="151515"/>
          <w:sz w:val="18"/>
          <w:szCs w:val="18"/>
        </w:rPr>
      </w:pPr>
    </w:p>
    <w:p w14:paraId="07E73D4C" w14:textId="7092D33C" w:rsidR="0076295E" w:rsidRDefault="0076295E" w:rsidP="0076295E">
      <w:pPr>
        <w:jc w:val="both"/>
        <w:rPr>
          <w:color w:val="222222"/>
        </w:rPr>
      </w:pPr>
      <w:r w:rsidRPr="0076295E">
        <w:rPr>
          <w:color w:val="222222"/>
        </w:rPr>
        <w:t xml:space="preserve">Elibol, E. (2020). Quantum dot sensitized solar cell design with surface passivized </w:t>
      </w:r>
      <w:proofErr w:type="spellStart"/>
      <w:r w:rsidRPr="0076295E">
        <w:rPr>
          <w:color w:val="222222"/>
        </w:rPr>
        <w:t>CdSeTe</w:t>
      </w:r>
      <w:proofErr w:type="spellEnd"/>
      <w:r w:rsidRPr="0076295E">
        <w:rPr>
          <w:color w:val="222222"/>
        </w:rPr>
        <w:t xml:space="preserve"> QDs. Solar Energy, 206, 741-750. </w:t>
      </w:r>
      <w:hyperlink r:id="rId21" w:history="1">
        <w:r w:rsidRPr="00C92FB5">
          <w:rPr>
            <w:rStyle w:val="Hyperlink"/>
          </w:rPr>
          <w:t>https://doi.org/10.1016/j.solener.2020.06.002</w:t>
        </w:r>
      </w:hyperlink>
    </w:p>
    <w:p w14:paraId="57A3B2CE" w14:textId="771DD6FD" w:rsidR="0076295E" w:rsidRDefault="0076295E" w:rsidP="0076295E">
      <w:pPr>
        <w:jc w:val="both"/>
      </w:pPr>
      <w:r w:rsidRPr="0076295E">
        <w:t xml:space="preserve">Eslami, F., &amp; </w:t>
      </w:r>
      <w:proofErr w:type="spellStart"/>
      <w:r w:rsidRPr="0076295E">
        <w:t>Matloub</w:t>
      </w:r>
      <w:proofErr w:type="spellEnd"/>
      <w:r w:rsidRPr="0076295E">
        <w:t xml:space="preserve">, S. (2023). Advancing perovskite solar cell performance: Enhanced efficiency and stability through superimposed </w:t>
      </w:r>
      <w:proofErr w:type="spellStart"/>
      <w:r w:rsidRPr="0076295E">
        <w:t>PbS</w:t>
      </w:r>
      <w:proofErr w:type="spellEnd"/>
      <w:r w:rsidRPr="0076295E">
        <w:t xml:space="preserve"> QDs. Solar Energy. </w:t>
      </w:r>
      <w:hyperlink r:id="rId22" w:history="1">
        <w:r w:rsidRPr="00C92FB5">
          <w:rPr>
            <w:rStyle w:val="Hyperlink"/>
          </w:rPr>
          <w:t>https://doi.org/10.1016/j.solener.2023.112152</w:t>
        </w:r>
      </w:hyperlink>
    </w:p>
    <w:p w14:paraId="01C90104" w14:textId="77777777" w:rsidR="0076295E" w:rsidRPr="00964918" w:rsidRDefault="0076295E" w:rsidP="0076295E">
      <w:pPr>
        <w:jc w:val="both"/>
      </w:pPr>
    </w:p>
    <w:p w14:paraId="2396CD6B" w14:textId="3549FE56" w:rsidR="00D54FC2" w:rsidRDefault="0076295E" w:rsidP="001F685D">
      <w:pPr>
        <w:ind w:left="720" w:hanging="720"/>
        <w:jc w:val="both"/>
        <w:rPr>
          <w:color w:val="222222"/>
        </w:rPr>
      </w:pPr>
      <w:proofErr w:type="spellStart"/>
      <w:r w:rsidRPr="0076295E">
        <w:rPr>
          <w:color w:val="222222"/>
        </w:rPr>
        <w:t>Nwanya</w:t>
      </w:r>
      <w:proofErr w:type="spellEnd"/>
      <w:r w:rsidRPr="0076295E">
        <w:rPr>
          <w:color w:val="222222"/>
        </w:rPr>
        <w:t xml:space="preserve">, A. C., Ugwuoke, P. E., Ejikeme, P. M., </w:t>
      </w:r>
      <w:proofErr w:type="spellStart"/>
      <w:r w:rsidRPr="0076295E">
        <w:rPr>
          <w:color w:val="222222"/>
        </w:rPr>
        <w:t>Oparaku</w:t>
      </w:r>
      <w:proofErr w:type="spellEnd"/>
      <w:r w:rsidRPr="0076295E">
        <w:rPr>
          <w:color w:val="222222"/>
        </w:rPr>
        <w:t xml:space="preserve">, O. U., &amp; Ezema, F. I. (2012). </w:t>
      </w:r>
      <w:proofErr w:type="spellStart"/>
      <w:r w:rsidRPr="0076295E">
        <w:rPr>
          <w:color w:val="222222"/>
        </w:rPr>
        <w:t>Jathropha</w:t>
      </w:r>
      <w:proofErr w:type="spellEnd"/>
      <w:r w:rsidRPr="0076295E">
        <w:rPr>
          <w:color w:val="222222"/>
        </w:rPr>
        <w:t xml:space="preserve"> </w:t>
      </w:r>
      <w:proofErr w:type="spellStart"/>
      <w:r w:rsidRPr="0076295E">
        <w:rPr>
          <w:color w:val="222222"/>
        </w:rPr>
        <w:t>Curcas</w:t>
      </w:r>
      <w:proofErr w:type="spellEnd"/>
      <w:r w:rsidRPr="0076295E">
        <w:rPr>
          <w:color w:val="222222"/>
        </w:rPr>
        <w:t xml:space="preserve"> and Citrus Aurantium Leaves Dye Extract for Use in Dye Sensitized Solar Cell with TiO2 Films. International Journal of Electrochemical Science, 7(11), 11219-11235. </w:t>
      </w:r>
      <w:hyperlink r:id="rId23" w:history="1">
        <w:r w:rsidRPr="00C92FB5">
          <w:rPr>
            <w:rStyle w:val="Hyperlink"/>
          </w:rPr>
          <w:t>https://www.researchgate.net/publication/233900000_Jathropha_Curcas_and_Citrus_Aurantium_Leaves_Dye_Extract_for_Use_in_Dye_Sensitized_Solar_Cell_with_TiO2_Films</w:t>
        </w:r>
      </w:hyperlink>
    </w:p>
    <w:p w14:paraId="72852E0C" w14:textId="77777777" w:rsidR="0076295E" w:rsidRPr="00964918" w:rsidRDefault="0076295E" w:rsidP="001F685D">
      <w:pPr>
        <w:ind w:left="720" w:hanging="720"/>
        <w:jc w:val="both"/>
        <w:rPr>
          <w:color w:val="222222"/>
        </w:rPr>
      </w:pPr>
    </w:p>
    <w:p w14:paraId="77934B0E" w14:textId="57C47F40" w:rsidR="00D54FC2" w:rsidRDefault="0076295E" w:rsidP="0076295E">
      <w:pPr>
        <w:jc w:val="both"/>
        <w:rPr>
          <w:color w:val="222222"/>
        </w:rPr>
      </w:pPr>
      <w:proofErr w:type="spellStart"/>
      <w:r w:rsidRPr="0076295E">
        <w:rPr>
          <w:color w:val="222222"/>
        </w:rPr>
        <w:t>Funabiki</w:t>
      </w:r>
      <w:proofErr w:type="spellEnd"/>
      <w:r w:rsidRPr="0076295E">
        <w:rPr>
          <w:color w:val="222222"/>
        </w:rPr>
        <w:t xml:space="preserve">, K., Wang, M., &amp; Matsui, M. (2003). Synthesis and properties of bis(hetaryl)azo dyes. Dyes and pigments, 57(1), 77-86. </w:t>
      </w:r>
      <w:hyperlink r:id="rId24" w:history="1">
        <w:r w:rsidRPr="00C92FB5">
          <w:rPr>
            <w:rStyle w:val="Hyperlink"/>
          </w:rPr>
          <w:t>https://doi.org/10.1016/S0143-7208(03)00011-1</w:t>
        </w:r>
      </w:hyperlink>
    </w:p>
    <w:p w14:paraId="63E7D6D5" w14:textId="77777777" w:rsidR="0076295E" w:rsidRPr="00964918" w:rsidRDefault="0076295E" w:rsidP="0076295E">
      <w:pPr>
        <w:jc w:val="both"/>
      </w:pPr>
    </w:p>
    <w:p w14:paraId="71336BF4" w14:textId="77777777" w:rsidR="00D91AF1" w:rsidRPr="0076295E" w:rsidRDefault="00D54FC2" w:rsidP="0076295E">
      <w:pPr>
        <w:shd w:val="clear" w:color="auto" w:fill="FFFFFF"/>
        <w:ind w:left="360"/>
        <w:rPr>
          <w:b/>
          <w:bCs/>
        </w:rPr>
      </w:pPr>
      <w:r w:rsidRPr="0076295E">
        <w:rPr>
          <w:color w:val="222222"/>
        </w:rPr>
        <w:t>Hines, D., Zhang, H., and Akins, D. L. (2014). Synthesis of a nanocomposite composed of reduced graphene oxide and gold nanoparticles. </w:t>
      </w:r>
      <w:r w:rsidRPr="0076295E">
        <w:rPr>
          <w:i/>
          <w:color w:val="222222"/>
        </w:rPr>
        <w:t>Dalton Transactions</w:t>
      </w:r>
      <w:r w:rsidRPr="0076295E">
        <w:rPr>
          <w:color w:val="222222"/>
        </w:rPr>
        <w:t>, </w:t>
      </w:r>
      <w:r w:rsidRPr="0076295E">
        <w:rPr>
          <w:i/>
          <w:color w:val="222222"/>
        </w:rPr>
        <w:t>43</w:t>
      </w:r>
      <w:r w:rsidRPr="0076295E">
        <w:rPr>
          <w:color w:val="222222"/>
        </w:rPr>
        <w:t>(6): 2670-2675.</w:t>
      </w:r>
      <w:r w:rsidR="00D91AF1" w:rsidRPr="0076295E">
        <w:rPr>
          <w:color w:val="222222"/>
        </w:rPr>
        <w:t xml:space="preserve"> </w:t>
      </w:r>
      <w:r w:rsidR="00D91AF1" w:rsidRPr="0076295E">
        <w:rPr>
          <w:b/>
          <w:bCs/>
        </w:rPr>
        <w:t>DOI</w:t>
      </w:r>
    </w:p>
    <w:p w14:paraId="5CC168F3" w14:textId="77777777" w:rsidR="00D91AF1" w:rsidRPr="00964918" w:rsidRDefault="00D0079A" w:rsidP="0076295E">
      <w:pPr>
        <w:shd w:val="clear" w:color="auto" w:fill="FFFFFF"/>
        <w:ind w:left="360"/>
        <w:textAlignment w:val="top"/>
      </w:pPr>
      <w:hyperlink r:id="rId25" w:tooltip="Link to landing page via DOI" w:history="1">
        <w:r w:rsidR="00D91AF1" w:rsidRPr="0076295E">
          <w:rPr>
            <w:b/>
            <w:bCs/>
            <w:color w:val="007AAF"/>
            <w:sz w:val="21"/>
            <w:szCs w:val="21"/>
            <w:u w:val="single"/>
          </w:rPr>
          <w:t>https://doi.org/10.1039/C3DT52573B</w:t>
        </w:r>
      </w:hyperlink>
    </w:p>
    <w:p w14:paraId="40A2BF69" w14:textId="6B2CDF7C" w:rsidR="00D54FC2" w:rsidRPr="00964918" w:rsidRDefault="00D54FC2" w:rsidP="0076295E">
      <w:pPr>
        <w:jc w:val="both"/>
      </w:pPr>
    </w:p>
    <w:p w14:paraId="18F99EAE" w14:textId="54AF3121" w:rsidR="00D54FC2" w:rsidRDefault="0076295E" w:rsidP="0076295E">
      <w:pPr>
        <w:jc w:val="both"/>
        <w:rPr>
          <w:color w:val="222222"/>
        </w:rPr>
      </w:pPr>
      <w:r w:rsidRPr="0076295E">
        <w:rPr>
          <w:color w:val="222222"/>
        </w:rPr>
        <w:t xml:space="preserve">Hou, X., Zhou, H., Wang, L., Tang, J., Chen, C., Jiang, G., &amp; Liu, Y. (2017). Multifunctional near-infrared dye-magnetic nanoparticles for bioimaging and cancer therapy. Cancer Letters. </w:t>
      </w:r>
      <w:hyperlink r:id="rId26" w:history="1">
        <w:r w:rsidRPr="00C92FB5">
          <w:rPr>
            <w:rStyle w:val="Hyperlink"/>
          </w:rPr>
          <w:t>https://doi.org/10.1016/j.canlet.2016.12.026</w:t>
        </w:r>
      </w:hyperlink>
    </w:p>
    <w:p w14:paraId="295BEB25" w14:textId="77777777" w:rsidR="0076295E" w:rsidRPr="00964918" w:rsidRDefault="0076295E" w:rsidP="0076295E">
      <w:pPr>
        <w:jc w:val="both"/>
      </w:pPr>
    </w:p>
    <w:p w14:paraId="0415AD27" w14:textId="791D96AE" w:rsidR="00D54FC2" w:rsidRDefault="0076295E" w:rsidP="0076295E">
      <w:pPr>
        <w:jc w:val="both"/>
        <w:rPr>
          <w:color w:val="222222"/>
        </w:rPr>
      </w:pPr>
      <w:r w:rsidRPr="0076295E">
        <w:rPr>
          <w:color w:val="222222"/>
        </w:rPr>
        <w:t xml:space="preserve">Imai, M., </w:t>
      </w:r>
      <w:proofErr w:type="spellStart"/>
      <w:r w:rsidRPr="0076295E">
        <w:rPr>
          <w:color w:val="222222"/>
        </w:rPr>
        <w:t>Kouyama</w:t>
      </w:r>
      <w:proofErr w:type="spellEnd"/>
      <w:r w:rsidRPr="0076295E">
        <w:rPr>
          <w:color w:val="222222"/>
        </w:rPr>
        <w:t xml:space="preserve">, T., Takahashi, Y., Yamazaki, A., Watanabe, S., Yamada, M., Imamura, T., Satoh, T., Nakamura, M., Murakami, S., </w:t>
      </w:r>
      <w:proofErr w:type="spellStart"/>
      <w:r w:rsidRPr="0076295E">
        <w:rPr>
          <w:color w:val="222222"/>
        </w:rPr>
        <w:t>Ogohara</w:t>
      </w:r>
      <w:proofErr w:type="spellEnd"/>
      <w:r w:rsidRPr="0076295E">
        <w:rPr>
          <w:color w:val="222222"/>
        </w:rPr>
        <w:t xml:space="preserve">, K., &amp; Horinouchi, T. (2019). Planetary‐scale variations in winds and UV brightness at the Venusian cloud top: Periodicity and temporal evolution. Journal of Geophysical Research: Planets, 124(10), 2635-2659. </w:t>
      </w:r>
      <w:hyperlink r:id="rId27" w:history="1">
        <w:r w:rsidRPr="00C92FB5">
          <w:rPr>
            <w:rStyle w:val="Hyperlink"/>
          </w:rPr>
          <w:t>https://doi.org/10.1029/2019JE006065</w:t>
        </w:r>
      </w:hyperlink>
    </w:p>
    <w:p w14:paraId="619D5C72" w14:textId="77777777" w:rsidR="0076295E" w:rsidRPr="00964918" w:rsidRDefault="0076295E" w:rsidP="0076295E">
      <w:pPr>
        <w:jc w:val="both"/>
      </w:pPr>
    </w:p>
    <w:p w14:paraId="7A673DEE" w14:textId="3A3E0D4C" w:rsidR="00D54FC2" w:rsidRDefault="0076295E" w:rsidP="0076295E">
      <w:pPr>
        <w:jc w:val="both"/>
        <w:rPr>
          <w:color w:val="222222"/>
        </w:rPr>
      </w:pPr>
      <w:r w:rsidRPr="0076295E">
        <w:rPr>
          <w:color w:val="222222"/>
        </w:rPr>
        <w:t xml:space="preserve">Kumara, N. T. R. N., Lim, A., Lim, C. M., Petra, M. I., &amp; Ekanayake, P. (2017). Recent progress and utilization of natural pigments in dye sensitized solar cells: A review. Renewable and Sustainable Energy Reviews, 78, 301-317. </w:t>
      </w:r>
      <w:hyperlink r:id="rId28" w:history="1">
        <w:r w:rsidRPr="00C92FB5">
          <w:rPr>
            <w:rStyle w:val="Hyperlink"/>
          </w:rPr>
          <w:t>https://doi.org/10.1016/j.rser.2017.04.075</w:t>
        </w:r>
      </w:hyperlink>
    </w:p>
    <w:p w14:paraId="751DE416" w14:textId="77777777" w:rsidR="0076295E" w:rsidRPr="00964918" w:rsidRDefault="0076295E" w:rsidP="0076295E">
      <w:pPr>
        <w:jc w:val="both"/>
        <w:rPr>
          <w:color w:val="222222"/>
        </w:rPr>
      </w:pPr>
    </w:p>
    <w:p w14:paraId="7DAE1E5B" w14:textId="6F2C8EDF" w:rsidR="0076295E" w:rsidRDefault="0076295E" w:rsidP="0076295E">
      <w:pPr>
        <w:jc w:val="both"/>
        <w:rPr>
          <w:color w:val="222222"/>
        </w:rPr>
      </w:pPr>
      <w:r w:rsidRPr="0076295E">
        <w:rPr>
          <w:color w:val="222222"/>
        </w:rPr>
        <w:t xml:space="preserve">Kumar, P., Kumar, A., &amp; </w:t>
      </w:r>
      <w:proofErr w:type="spellStart"/>
      <w:r w:rsidRPr="0076295E">
        <w:rPr>
          <w:color w:val="222222"/>
        </w:rPr>
        <w:t>Khairudin</w:t>
      </w:r>
      <w:proofErr w:type="spellEnd"/>
      <w:r w:rsidRPr="0076295E">
        <w:rPr>
          <w:color w:val="222222"/>
        </w:rPr>
        <w:t xml:space="preserve">, N. A. (2020). In silico enhancement of azo dye adsorption affinity for cellulose </w:t>
      </w:r>
      <w:proofErr w:type="spellStart"/>
      <w:r w:rsidRPr="0076295E">
        <w:rPr>
          <w:color w:val="222222"/>
        </w:rPr>
        <w:t>fibre</w:t>
      </w:r>
      <w:proofErr w:type="spellEnd"/>
      <w:r w:rsidRPr="0076295E">
        <w:rPr>
          <w:color w:val="222222"/>
        </w:rPr>
        <w:t xml:space="preserve"> through mechanistic interpretation under guidance of QSPR models </w:t>
      </w:r>
      <w:r w:rsidRPr="0076295E">
        <w:rPr>
          <w:color w:val="222222"/>
        </w:rPr>
        <w:lastRenderedPageBreak/>
        <w:t xml:space="preserve">using Monte Carlo method with index of ideality correlation. SAR and QSAR in Environmental Research, 31(9), 697-715. </w:t>
      </w:r>
      <w:hyperlink r:id="rId29" w:history="1">
        <w:r w:rsidRPr="00C92FB5">
          <w:rPr>
            <w:rStyle w:val="Hyperlink"/>
          </w:rPr>
          <w:t>https://doi.org/10.1080/1062936X.2020.1806105</w:t>
        </w:r>
      </w:hyperlink>
    </w:p>
    <w:p w14:paraId="48A68753" w14:textId="134CA04B" w:rsidR="00D54FC2" w:rsidRDefault="0076295E" w:rsidP="0076295E">
      <w:pPr>
        <w:jc w:val="both"/>
      </w:pPr>
      <w:r w:rsidRPr="0076295E">
        <w:t xml:space="preserve">Liu, Y., Wu, H., Shi, G., Li, Y., Gao, Y., Fang, S., Tang, H., Chen, W., Ma, T., Khan, I., Wang, K., Wang, C., Li, X., Shen, Q., Liu, Z., &amp; Ma, W. (2023). Merging Passivation in Synthesis Enabling the Lowest Open‐Circuit Voltage Loss for </w:t>
      </w:r>
      <w:proofErr w:type="spellStart"/>
      <w:r w:rsidRPr="0076295E">
        <w:t>PbS</w:t>
      </w:r>
      <w:proofErr w:type="spellEnd"/>
      <w:r w:rsidRPr="0076295E">
        <w:t xml:space="preserve"> Quantum Dot Solar Cells. Advanced Materials, 35(5), 2207293. </w:t>
      </w:r>
      <w:hyperlink r:id="rId30" w:history="1">
        <w:r w:rsidRPr="00C92FB5">
          <w:rPr>
            <w:rStyle w:val="Hyperlink"/>
          </w:rPr>
          <w:t>https://doi.org/10.1002/adma.202207293</w:t>
        </w:r>
      </w:hyperlink>
    </w:p>
    <w:p w14:paraId="47A96CA5" w14:textId="77777777" w:rsidR="0076295E" w:rsidRPr="00964918" w:rsidRDefault="0076295E" w:rsidP="0076295E">
      <w:pPr>
        <w:jc w:val="both"/>
      </w:pPr>
    </w:p>
    <w:p w14:paraId="68B4D0AD" w14:textId="4B61D66E" w:rsidR="00D54FC2" w:rsidRDefault="0076295E" w:rsidP="0076295E">
      <w:pPr>
        <w:jc w:val="both"/>
        <w:rPr>
          <w:color w:val="222222"/>
        </w:rPr>
      </w:pPr>
      <w:r w:rsidRPr="0076295E">
        <w:rPr>
          <w:color w:val="222222"/>
        </w:rPr>
        <w:t xml:space="preserve">Luther, J. M., Gao, J., Lloyd, M. T., </w:t>
      </w:r>
      <w:proofErr w:type="spellStart"/>
      <w:r w:rsidRPr="0076295E">
        <w:rPr>
          <w:color w:val="222222"/>
        </w:rPr>
        <w:t>Semonin</w:t>
      </w:r>
      <w:proofErr w:type="spellEnd"/>
      <w:r w:rsidRPr="0076295E">
        <w:rPr>
          <w:color w:val="222222"/>
        </w:rPr>
        <w:t xml:space="preserve">, O. E., Beard, M. C., &amp; </w:t>
      </w:r>
      <w:proofErr w:type="spellStart"/>
      <w:r w:rsidRPr="0076295E">
        <w:rPr>
          <w:color w:val="222222"/>
        </w:rPr>
        <w:t>Nozik</w:t>
      </w:r>
      <w:proofErr w:type="spellEnd"/>
      <w:r w:rsidRPr="0076295E">
        <w:rPr>
          <w:color w:val="222222"/>
        </w:rPr>
        <w:t xml:space="preserve">, A. J. (2010). Stability assessment on a 3% bilayer </w:t>
      </w:r>
      <w:proofErr w:type="spellStart"/>
      <w:r w:rsidRPr="0076295E">
        <w:rPr>
          <w:color w:val="222222"/>
        </w:rPr>
        <w:t>PbS</w:t>
      </w:r>
      <w:proofErr w:type="spellEnd"/>
      <w:r w:rsidRPr="0076295E">
        <w:rPr>
          <w:color w:val="222222"/>
        </w:rPr>
        <w:t>/</w:t>
      </w:r>
      <w:proofErr w:type="spellStart"/>
      <w:r w:rsidRPr="0076295E">
        <w:rPr>
          <w:color w:val="222222"/>
        </w:rPr>
        <w:t>ZnO</w:t>
      </w:r>
      <w:proofErr w:type="spellEnd"/>
      <w:r w:rsidRPr="0076295E">
        <w:rPr>
          <w:color w:val="222222"/>
        </w:rPr>
        <w:t xml:space="preserve"> quantum dot heterojunction solar cell. Advanced Materials, 22(33), 3704-3707. </w:t>
      </w:r>
      <w:hyperlink r:id="rId31" w:history="1">
        <w:r w:rsidRPr="00C92FB5">
          <w:rPr>
            <w:rStyle w:val="Hyperlink"/>
          </w:rPr>
          <w:t>https://doi.org/10.1002/adma.201001148</w:t>
        </w:r>
      </w:hyperlink>
    </w:p>
    <w:p w14:paraId="53E7E6EB" w14:textId="77777777" w:rsidR="0076295E" w:rsidRPr="00964918" w:rsidRDefault="0076295E" w:rsidP="0076295E">
      <w:pPr>
        <w:jc w:val="both"/>
      </w:pPr>
    </w:p>
    <w:p w14:paraId="225B53BC" w14:textId="1AF1199A" w:rsidR="00D54FC2" w:rsidRDefault="0076295E" w:rsidP="0076295E">
      <w:pPr>
        <w:jc w:val="both"/>
      </w:pPr>
      <w:r w:rsidRPr="0076295E">
        <w:t xml:space="preserve">Meyer, E. L., </w:t>
      </w:r>
      <w:proofErr w:type="spellStart"/>
      <w:r w:rsidRPr="0076295E">
        <w:t>Mbese</w:t>
      </w:r>
      <w:proofErr w:type="spellEnd"/>
      <w:r w:rsidRPr="0076295E">
        <w:t>, J. Z., &amp; Agoro, M. A. (2019). The frontiers of nanomaterials (</w:t>
      </w:r>
      <w:proofErr w:type="spellStart"/>
      <w:r w:rsidRPr="0076295E">
        <w:t>SnS</w:t>
      </w:r>
      <w:proofErr w:type="spellEnd"/>
      <w:r w:rsidRPr="0076295E">
        <w:t xml:space="preserve">, </w:t>
      </w:r>
      <w:proofErr w:type="spellStart"/>
      <w:r w:rsidRPr="0076295E">
        <w:t>PbS</w:t>
      </w:r>
      <w:proofErr w:type="spellEnd"/>
      <w:r w:rsidRPr="0076295E">
        <w:t xml:space="preserve"> and </w:t>
      </w:r>
      <w:proofErr w:type="spellStart"/>
      <w:r w:rsidRPr="0076295E">
        <w:t>CuS</w:t>
      </w:r>
      <w:proofErr w:type="spellEnd"/>
      <w:r w:rsidRPr="0076295E">
        <w:t xml:space="preserve">) for dye-sensitized solar cell applications: An exciting new infrared material. Molecules, 24(23), 4223-4227. </w:t>
      </w:r>
      <w:hyperlink r:id="rId32" w:history="1">
        <w:r w:rsidRPr="00C92FB5">
          <w:rPr>
            <w:rStyle w:val="Hyperlink"/>
          </w:rPr>
          <w:t>https://doi.org/10.3390/molecules24234223</w:t>
        </w:r>
      </w:hyperlink>
    </w:p>
    <w:p w14:paraId="7027D5CD" w14:textId="77777777" w:rsidR="0076295E" w:rsidRPr="00964918" w:rsidRDefault="0076295E" w:rsidP="0076295E">
      <w:pPr>
        <w:jc w:val="both"/>
      </w:pPr>
    </w:p>
    <w:p w14:paraId="5E8E5ACA" w14:textId="035B4239" w:rsidR="00D54FC2" w:rsidRDefault="0076295E" w:rsidP="0076295E">
      <w:pPr>
        <w:shd w:val="clear" w:color="auto" w:fill="FFFFFF"/>
        <w:rPr>
          <w:color w:val="222222"/>
        </w:rPr>
      </w:pPr>
      <w:r w:rsidRPr="0076295E">
        <w:rPr>
          <w:color w:val="222222"/>
        </w:rPr>
        <w:t xml:space="preserve">Lox, J. F. L., Dang, Z., </w:t>
      </w:r>
      <w:proofErr w:type="spellStart"/>
      <w:r w:rsidRPr="0076295E">
        <w:rPr>
          <w:color w:val="222222"/>
        </w:rPr>
        <w:t>Dzhagan</w:t>
      </w:r>
      <w:proofErr w:type="spellEnd"/>
      <w:r w:rsidRPr="0076295E">
        <w:rPr>
          <w:color w:val="222222"/>
        </w:rPr>
        <w:t xml:space="preserve">, V. M., Spittel, D., Martín-García, B., </w:t>
      </w:r>
      <w:proofErr w:type="spellStart"/>
      <w:r w:rsidRPr="0076295E">
        <w:rPr>
          <w:color w:val="222222"/>
        </w:rPr>
        <w:t>Moreels</w:t>
      </w:r>
      <w:proofErr w:type="spellEnd"/>
      <w:r w:rsidRPr="0076295E">
        <w:rPr>
          <w:color w:val="222222"/>
        </w:rPr>
        <w:t xml:space="preserve">, I., Zahn, D. R. T., &amp; Lesnyak, V. (2018). Near-infrared Cu–In–Se-Based Colloidal Nanocrystals via Cation Exchange. Chemistry of Materials, 30(8), 2607-2617. </w:t>
      </w:r>
      <w:hyperlink r:id="rId33" w:history="1">
        <w:r w:rsidRPr="00C92FB5">
          <w:rPr>
            <w:rStyle w:val="Hyperlink"/>
          </w:rPr>
          <w:t>https://doi.org/10.1021/acs.chemmater.7b05187</w:t>
        </w:r>
      </w:hyperlink>
    </w:p>
    <w:p w14:paraId="51FD00F0" w14:textId="77777777" w:rsidR="0076295E" w:rsidRPr="00964918" w:rsidRDefault="0076295E" w:rsidP="0076295E">
      <w:pPr>
        <w:shd w:val="clear" w:color="auto" w:fill="FFFFFF"/>
        <w:rPr>
          <w:color w:val="151515"/>
          <w:sz w:val="18"/>
          <w:szCs w:val="18"/>
        </w:rPr>
      </w:pPr>
    </w:p>
    <w:p w14:paraId="5CB2C7D3" w14:textId="520427D9" w:rsidR="00D54FC2" w:rsidRDefault="0076295E" w:rsidP="0076295E">
      <w:pPr>
        <w:jc w:val="both"/>
        <w:rPr>
          <w:color w:val="222222"/>
        </w:rPr>
      </w:pPr>
      <w:r w:rsidRPr="0076295E">
        <w:rPr>
          <w:color w:val="222222"/>
        </w:rPr>
        <w:t xml:space="preserve">Mphande, T., </w:t>
      </w:r>
      <w:proofErr w:type="spellStart"/>
      <w:r w:rsidRPr="0076295E">
        <w:rPr>
          <w:color w:val="222222"/>
        </w:rPr>
        <w:t>Mataa</w:t>
      </w:r>
      <w:proofErr w:type="spellEnd"/>
      <w:r w:rsidRPr="0076295E">
        <w:rPr>
          <w:color w:val="222222"/>
        </w:rPr>
        <w:t xml:space="preserve">, M., </w:t>
      </w:r>
      <w:proofErr w:type="spellStart"/>
      <w:r w:rsidRPr="0076295E">
        <w:rPr>
          <w:color w:val="222222"/>
        </w:rPr>
        <w:t>Munyinda</w:t>
      </w:r>
      <w:proofErr w:type="spellEnd"/>
      <w:r w:rsidRPr="0076295E">
        <w:rPr>
          <w:color w:val="222222"/>
        </w:rPr>
        <w:t xml:space="preserve">, K., &amp; </w:t>
      </w:r>
      <w:proofErr w:type="spellStart"/>
      <w:r w:rsidRPr="0076295E">
        <w:rPr>
          <w:color w:val="222222"/>
        </w:rPr>
        <w:t>Namanyungu</w:t>
      </w:r>
      <w:proofErr w:type="spellEnd"/>
      <w:r w:rsidRPr="0076295E">
        <w:rPr>
          <w:color w:val="222222"/>
        </w:rPr>
        <w:t xml:space="preserve">, D. (2022). Comparative effects of partial conservation farming practices on plant development and yield. International Journal of Agricultural Research, Innovation and Technology, 12(1), 115-119. </w:t>
      </w:r>
      <w:hyperlink r:id="rId34" w:history="1">
        <w:r w:rsidRPr="00C92FB5">
          <w:rPr>
            <w:rStyle w:val="Hyperlink"/>
          </w:rPr>
          <w:t>https://doi.org/10.3329/ijarit.v12i1.61040</w:t>
        </w:r>
      </w:hyperlink>
    </w:p>
    <w:p w14:paraId="360F3703" w14:textId="77777777" w:rsidR="0076295E" w:rsidRPr="00964918" w:rsidRDefault="0076295E" w:rsidP="0076295E">
      <w:pPr>
        <w:jc w:val="both"/>
        <w:rPr>
          <w:color w:val="222222"/>
        </w:rPr>
      </w:pPr>
    </w:p>
    <w:p w14:paraId="56659C25" w14:textId="1A4CEA8D" w:rsidR="00D54FC2" w:rsidRDefault="0076295E" w:rsidP="0076295E">
      <w:pPr>
        <w:jc w:val="both"/>
        <w:rPr>
          <w:color w:val="222222"/>
        </w:rPr>
      </w:pPr>
      <w:r w:rsidRPr="0076295E">
        <w:rPr>
          <w:color w:val="222222"/>
        </w:rPr>
        <w:t xml:space="preserve">Narayan, M. R. (2012). Dye sensitized solar cells based on natural photosensitizers. Renewable and Sustainable Energy Reviews, 16(1), 208-215. </w:t>
      </w:r>
      <w:hyperlink r:id="rId35" w:history="1">
        <w:r w:rsidRPr="00C92FB5">
          <w:rPr>
            <w:rStyle w:val="Hyperlink"/>
          </w:rPr>
          <w:t>https://doi.org/10.1016/j.rser.2011.07.148</w:t>
        </w:r>
      </w:hyperlink>
    </w:p>
    <w:p w14:paraId="68E6697F" w14:textId="77777777" w:rsidR="0076295E" w:rsidRPr="00964918" w:rsidRDefault="0076295E" w:rsidP="0076295E">
      <w:pPr>
        <w:jc w:val="both"/>
      </w:pPr>
    </w:p>
    <w:p w14:paraId="6CC5A5A6" w14:textId="5E5D39CC" w:rsidR="00D54FC2" w:rsidRDefault="0076295E" w:rsidP="0076295E">
      <w:pPr>
        <w:shd w:val="clear" w:color="auto" w:fill="FFFFFF"/>
        <w:rPr>
          <w:color w:val="222222"/>
        </w:rPr>
      </w:pPr>
      <w:proofErr w:type="spellStart"/>
      <w:r w:rsidRPr="0076295E">
        <w:rPr>
          <w:color w:val="222222"/>
        </w:rPr>
        <w:t>Nazeeruddin</w:t>
      </w:r>
      <w:proofErr w:type="spellEnd"/>
      <w:r w:rsidRPr="0076295E">
        <w:rPr>
          <w:color w:val="222222"/>
        </w:rPr>
        <w:t xml:space="preserve">, M. K., Péchy, P., Renouard, T., </w:t>
      </w:r>
      <w:proofErr w:type="spellStart"/>
      <w:r w:rsidRPr="0076295E">
        <w:rPr>
          <w:color w:val="222222"/>
        </w:rPr>
        <w:t>Zakeeruddin</w:t>
      </w:r>
      <w:proofErr w:type="spellEnd"/>
      <w:r w:rsidRPr="0076295E">
        <w:rPr>
          <w:color w:val="222222"/>
        </w:rPr>
        <w:t xml:space="preserve">, S. M., Humphry-Baker, R., Comte, P., Liska, P., </w:t>
      </w:r>
      <w:proofErr w:type="spellStart"/>
      <w:r w:rsidRPr="0076295E">
        <w:rPr>
          <w:color w:val="222222"/>
        </w:rPr>
        <w:t>Cevey</w:t>
      </w:r>
      <w:proofErr w:type="spellEnd"/>
      <w:r w:rsidRPr="0076295E">
        <w:rPr>
          <w:color w:val="222222"/>
        </w:rPr>
        <w:t xml:space="preserve">, L., Costa, E., </w:t>
      </w:r>
      <w:proofErr w:type="spellStart"/>
      <w:r w:rsidRPr="0076295E">
        <w:rPr>
          <w:color w:val="222222"/>
        </w:rPr>
        <w:t>Shklover</w:t>
      </w:r>
      <w:proofErr w:type="spellEnd"/>
      <w:r w:rsidRPr="0076295E">
        <w:rPr>
          <w:color w:val="222222"/>
        </w:rPr>
        <w:t xml:space="preserve">, V., Spiccia, L., Deacon, G. B., </w:t>
      </w:r>
      <w:proofErr w:type="spellStart"/>
      <w:r w:rsidRPr="0076295E">
        <w:rPr>
          <w:color w:val="222222"/>
        </w:rPr>
        <w:t>Bignozzi</w:t>
      </w:r>
      <w:proofErr w:type="spellEnd"/>
      <w:r w:rsidRPr="0076295E">
        <w:rPr>
          <w:color w:val="222222"/>
        </w:rPr>
        <w:t xml:space="preserve">, C. A., &amp; </w:t>
      </w:r>
      <w:proofErr w:type="spellStart"/>
      <w:r w:rsidRPr="0076295E">
        <w:rPr>
          <w:color w:val="222222"/>
        </w:rPr>
        <w:t>Grätzel</w:t>
      </w:r>
      <w:proofErr w:type="spellEnd"/>
      <w:r w:rsidRPr="0076295E">
        <w:rPr>
          <w:color w:val="222222"/>
        </w:rPr>
        <w:t xml:space="preserve">, M. (2001). Engineering of efficient panchromatic sensitizers for nanocrystalline TiO2-based solar cells. Journal of the American Chemical Society, 123(8), 1613-1624. </w:t>
      </w:r>
      <w:hyperlink r:id="rId36" w:history="1">
        <w:r w:rsidRPr="00C92FB5">
          <w:rPr>
            <w:rStyle w:val="Hyperlink"/>
          </w:rPr>
          <w:t>https://doi.org/10.1021/ja003299u</w:t>
        </w:r>
      </w:hyperlink>
    </w:p>
    <w:p w14:paraId="51BF695A" w14:textId="77777777" w:rsidR="0076295E" w:rsidRPr="00964918" w:rsidRDefault="0076295E" w:rsidP="0076295E">
      <w:pPr>
        <w:shd w:val="clear" w:color="auto" w:fill="FFFFFF"/>
        <w:rPr>
          <w:color w:val="151515"/>
          <w:sz w:val="18"/>
          <w:szCs w:val="18"/>
        </w:rPr>
      </w:pPr>
    </w:p>
    <w:p w14:paraId="13CB8E24" w14:textId="05218544" w:rsidR="0076295E" w:rsidRDefault="0076295E" w:rsidP="0076295E">
      <w:pPr>
        <w:jc w:val="both"/>
        <w:rPr>
          <w:color w:val="222222"/>
        </w:rPr>
      </w:pPr>
      <w:r w:rsidRPr="0076295E">
        <w:rPr>
          <w:color w:val="222222"/>
        </w:rPr>
        <w:t xml:space="preserve">Roy, A., Adhikari, B., &amp; Majumder, S. B. (2013). Equilibrium, kinetic, and thermodynamic studies of azo dye adsorption from aqueous solution by chemically modified lignocellulosic jute fiber. Industrial &amp; Engineering Chemistry Research, 52(19), 6502-6512. </w:t>
      </w:r>
      <w:hyperlink r:id="rId37" w:history="1">
        <w:r w:rsidRPr="00C92FB5">
          <w:rPr>
            <w:rStyle w:val="Hyperlink"/>
          </w:rPr>
          <w:t>https://doi.org/10.1021/ie400236s</w:t>
        </w:r>
      </w:hyperlink>
    </w:p>
    <w:p w14:paraId="322AA257" w14:textId="77777777" w:rsidR="0076295E" w:rsidRPr="00964918" w:rsidRDefault="0076295E" w:rsidP="0076295E">
      <w:pPr>
        <w:jc w:val="both"/>
      </w:pPr>
    </w:p>
    <w:p w14:paraId="745134F9" w14:textId="40FE0511" w:rsidR="00D54FC2" w:rsidRDefault="0076295E" w:rsidP="0076295E">
      <w:pPr>
        <w:jc w:val="both"/>
        <w:rPr>
          <w:color w:val="222222"/>
        </w:rPr>
      </w:pPr>
      <w:proofErr w:type="spellStart"/>
      <w:r w:rsidRPr="0076295E">
        <w:rPr>
          <w:color w:val="222222"/>
        </w:rPr>
        <w:t>Rühle</w:t>
      </w:r>
      <w:proofErr w:type="spellEnd"/>
      <w:r w:rsidRPr="0076295E">
        <w:rPr>
          <w:color w:val="222222"/>
        </w:rPr>
        <w:t xml:space="preserve">, S., Shalom, M., &amp; Zaban, A. (2010). Quantum‐dot‐sensitized solar cells. </w:t>
      </w:r>
      <w:proofErr w:type="spellStart"/>
      <w:r w:rsidRPr="0076295E">
        <w:rPr>
          <w:color w:val="222222"/>
        </w:rPr>
        <w:t>ChemPhysChem</w:t>
      </w:r>
      <w:proofErr w:type="spellEnd"/>
      <w:r w:rsidRPr="0076295E">
        <w:rPr>
          <w:color w:val="222222"/>
        </w:rPr>
        <w:t xml:space="preserve">, 11(11), 2290-2304. </w:t>
      </w:r>
      <w:hyperlink r:id="rId38" w:history="1">
        <w:r w:rsidRPr="00C92FB5">
          <w:rPr>
            <w:rStyle w:val="Hyperlink"/>
          </w:rPr>
          <w:t>https://doi.org/10.1002/cphc.201000069</w:t>
        </w:r>
      </w:hyperlink>
    </w:p>
    <w:p w14:paraId="097536DF" w14:textId="77777777" w:rsidR="0076295E" w:rsidRPr="00964918" w:rsidRDefault="0076295E" w:rsidP="0076295E">
      <w:pPr>
        <w:jc w:val="both"/>
      </w:pPr>
    </w:p>
    <w:p w14:paraId="1153A43A" w14:textId="1FFF049E" w:rsidR="006D7104" w:rsidRDefault="0076295E" w:rsidP="0076295E">
      <w:pPr>
        <w:rPr>
          <w:color w:val="222222"/>
        </w:rPr>
      </w:pPr>
      <w:r w:rsidRPr="0076295E">
        <w:rPr>
          <w:color w:val="222222"/>
        </w:rPr>
        <w:t xml:space="preserve">Sharma, K., Sharma, V., &amp; Sharma, S. S. (2018). Dye-sensitized solar cells: fundamentals and current status. Nanoscale Research Letters, 13(1), 381. </w:t>
      </w:r>
      <w:hyperlink r:id="rId39" w:history="1">
        <w:r w:rsidRPr="00C92FB5">
          <w:rPr>
            <w:rStyle w:val="Hyperlink"/>
          </w:rPr>
          <w:t>https://doi.org/10.1186/s11671-018-2760-6</w:t>
        </w:r>
      </w:hyperlink>
    </w:p>
    <w:p w14:paraId="236DDDCB" w14:textId="77777777" w:rsidR="0076295E" w:rsidRPr="00964918" w:rsidRDefault="0076295E" w:rsidP="0076295E"/>
    <w:p w14:paraId="07422B6B" w14:textId="0E3962A3" w:rsidR="00D54FC2" w:rsidRPr="00964918" w:rsidRDefault="00D54FC2" w:rsidP="0076295E">
      <w:pPr>
        <w:jc w:val="both"/>
        <w:rPr>
          <w:color w:val="222222"/>
        </w:rPr>
      </w:pPr>
    </w:p>
    <w:p w14:paraId="5B2ACB3C" w14:textId="27BD3D3E" w:rsidR="00D54FC2" w:rsidRDefault="0076295E" w:rsidP="0076295E">
      <w:pPr>
        <w:jc w:val="both"/>
      </w:pPr>
      <w:r w:rsidRPr="0076295E">
        <w:t xml:space="preserve">Shi, J., Zhao, P., &amp; Wang, X. (2013). Piezoelectric-polarization-enhanced photovoltaic performance in depleted-heterojunction quantum-dot solar cells. Advanced Materials, 25(6), 916-921. </w:t>
      </w:r>
      <w:hyperlink r:id="rId40" w:history="1">
        <w:r w:rsidRPr="00C92FB5">
          <w:rPr>
            <w:rStyle w:val="Hyperlink"/>
          </w:rPr>
          <w:t>https://doi.org/10.1002/adma.201203021</w:t>
        </w:r>
      </w:hyperlink>
      <w:r>
        <w:t>.</w:t>
      </w:r>
    </w:p>
    <w:p w14:paraId="4554ADE7" w14:textId="77777777" w:rsidR="0076295E" w:rsidRPr="00964918" w:rsidRDefault="0076295E" w:rsidP="0076295E">
      <w:pPr>
        <w:jc w:val="both"/>
      </w:pPr>
    </w:p>
    <w:p w14:paraId="52B00ECA" w14:textId="76C4B124" w:rsidR="00D54FC2" w:rsidRDefault="0076295E" w:rsidP="0076295E">
      <w:pPr>
        <w:shd w:val="clear" w:color="auto" w:fill="FFFFFF"/>
      </w:pPr>
      <w:r w:rsidRPr="0076295E">
        <w:lastRenderedPageBreak/>
        <w:t xml:space="preserve">Tavakoli Dastjerdi, H., Qi, P., Fan, Z., &amp; Tavakoli, M. M. (2019). Cost-effective and semi-transparent </w:t>
      </w:r>
      <w:proofErr w:type="spellStart"/>
      <w:r w:rsidRPr="0076295E">
        <w:t>PbS</w:t>
      </w:r>
      <w:proofErr w:type="spellEnd"/>
      <w:r w:rsidRPr="0076295E">
        <w:t xml:space="preserve"> quantum dot solar cells using copper electrodes. ACS Applied Materials &amp; Interfaces. </w:t>
      </w:r>
      <w:hyperlink r:id="rId41" w:history="1">
        <w:r w:rsidRPr="00C92FB5">
          <w:rPr>
            <w:rStyle w:val="Hyperlink"/>
          </w:rPr>
          <w:t>https://doi.org/10.1021/acsami.9b18487</w:t>
        </w:r>
      </w:hyperlink>
    </w:p>
    <w:p w14:paraId="41F08138" w14:textId="77777777" w:rsidR="0076295E" w:rsidRPr="00964918" w:rsidRDefault="0076295E" w:rsidP="0076295E">
      <w:pPr>
        <w:shd w:val="clear" w:color="auto" w:fill="FFFFFF"/>
        <w:rPr>
          <w:color w:val="151515"/>
          <w:sz w:val="18"/>
          <w:szCs w:val="18"/>
        </w:rPr>
      </w:pPr>
    </w:p>
    <w:p w14:paraId="3A85AAE3" w14:textId="62BC9FC8" w:rsidR="00D54FC2" w:rsidRPr="00964918" w:rsidRDefault="005A4D9F" w:rsidP="0076295E">
      <w:pPr>
        <w:jc w:val="both"/>
        <w:rPr>
          <w:color w:val="222222"/>
        </w:rPr>
      </w:pPr>
      <w:r w:rsidRPr="005A4D9F">
        <w:rPr>
          <w:color w:val="222222"/>
        </w:rPr>
        <w:t>Tang, J., Sun, J., Zhao, L., Chen, T., Huang, T., &amp; Zhou, Y. (2011). Tunable multiwavelength generation based on Brillouin-erbium comb fiber laser assisted by multiple four-wave mixing processes. Optics express, 19(15), 14682-14689. https://doi.org/10.1364/OE.19.014682</w:t>
      </w:r>
    </w:p>
    <w:p w14:paraId="78F08B33" w14:textId="32639FEC" w:rsidR="005A4D9F" w:rsidRPr="005A4D9F" w:rsidRDefault="005A4D9F" w:rsidP="0076295E">
      <w:pPr>
        <w:pStyle w:val="ListParagraph"/>
        <w:numPr>
          <w:ilvl w:val="0"/>
          <w:numId w:val="15"/>
        </w:numPr>
      </w:pPr>
      <w:r w:rsidRPr="005A4D9F">
        <w:rPr>
          <w:color w:val="222222"/>
        </w:rPr>
        <w:t xml:space="preserve">Tan, Z., Wang, C., Diebold, E. D., Hon, N. K., &amp; Jalali, B. (2012). Real-time wavelength and bandwidth-independent optical integrator based on modal dispersion. Optics Express, 20(13), 14109-14116. </w:t>
      </w:r>
      <w:hyperlink r:id="rId42" w:history="1">
        <w:r w:rsidRPr="00C92FB5">
          <w:rPr>
            <w:rStyle w:val="Hyperlink"/>
          </w:rPr>
          <w:t>https://doi.org/10.1364/OE.20.014109</w:t>
        </w:r>
      </w:hyperlink>
    </w:p>
    <w:p w14:paraId="36A47665" w14:textId="4296C64F" w:rsidR="00D54FC2" w:rsidRDefault="005A4D9F" w:rsidP="0076295E">
      <w:pPr>
        <w:jc w:val="both"/>
      </w:pPr>
      <w:r w:rsidRPr="005A4D9F">
        <w:t xml:space="preserve">Wang, Y., Lu, K., Han, L., Liu, Z., Shi, G., Fang, H., Chen, S., Wu, T., Yang, F., Gu, M., Zhou, S., Ling, X., Tang, X., Zheng, J., Loi, M. A., &amp; Ma, W. (2018). In Situ Passivation for Efficient </w:t>
      </w:r>
      <w:proofErr w:type="spellStart"/>
      <w:r w:rsidRPr="005A4D9F">
        <w:t>PbS</w:t>
      </w:r>
      <w:proofErr w:type="spellEnd"/>
      <w:r w:rsidRPr="005A4D9F">
        <w:t xml:space="preserve"> Quantum Dot Solar Cells by Precursor Engineering. Advanced Materials. </w:t>
      </w:r>
      <w:hyperlink r:id="rId43" w:history="1">
        <w:r w:rsidRPr="00C92FB5">
          <w:rPr>
            <w:rStyle w:val="Hyperlink"/>
          </w:rPr>
          <w:t>https://doi.org/10.1002/adma.201704871</w:t>
        </w:r>
      </w:hyperlink>
    </w:p>
    <w:p w14:paraId="4CAF5ABD" w14:textId="77777777" w:rsidR="005A4D9F" w:rsidRPr="00964918" w:rsidRDefault="005A4D9F" w:rsidP="0076295E">
      <w:pPr>
        <w:jc w:val="both"/>
      </w:pPr>
    </w:p>
    <w:p w14:paraId="78E6BA15" w14:textId="488F53D0" w:rsidR="00D54FC2" w:rsidRDefault="005A4D9F" w:rsidP="0076295E">
      <w:pPr>
        <w:shd w:val="clear" w:color="auto" w:fill="FFFFFF"/>
        <w:rPr>
          <w:color w:val="222222"/>
        </w:rPr>
      </w:pPr>
      <w:r w:rsidRPr="005A4D9F">
        <w:rPr>
          <w:color w:val="222222"/>
        </w:rPr>
        <w:t xml:space="preserve">Xue, Y., Yang, F., Yuan, J., Zhang, Y., Gu, M., Xu, Y., &amp; Ma, W. (2019). Toward scalable </w:t>
      </w:r>
      <w:proofErr w:type="spellStart"/>
      <w:r w:rsidRPr="005A4D9F">
        <w:rPr>
          <w:color w:val="222222"/>
        </w:rPr>
        <w:t>PbS</w:t>
      </w:r>
      <w:proofErr w:type="spellEnd"/>
      <w:r w:rsidRPr="005A4D9F">
        <w:rPr>
          <w:color w:val="222222"/>
        </w:rPr>
        <w:t xml:space="preserve"> quantum dot solar cells using a tailored polymeric hole conductor. ACS Energy Letters, 4(12), 2850-2858. </w:t>
      </w:r>
      <w:hyperlink r:id="rId44" w:history="1">
        <w:r w:rsidRPr="00C92FB5">
          <w:rPr>
            <w:rStyle w:val="Hyperlink"/>
          </w:rPr>
          <w:t>https://doi.org/10.1021/acsenergylett.9b02301</w:t>
        </w:r>
      </w:hyperlink>
    </w:p>
    <w:p w14:paraId="168C9FE9" w14:textId="77777777" w:rsidR="005A4D9F" w:rsidRPr="00964918" w:rsidRDefault="005A4D9F" w:rsidP="0076295E">
      <w:pPr>
        <w:shd w:val="clear" w:color="auto" w:fill="FFFFFF"/>
        <w:rPr>
          <w:color w:val="151515"/>
          <w:sz w:val="18"/>
          <w:szCs w:val="18"/>
        </w:rPr>
      </w:pPr>
    </w:p>
    <w:p w14:paraId="5F3061A4" w14:textId="6BCEF28E" w:rsidR="00D54FC2" w:rsidRDefault="005A4D9F" w:rsidP="0076295E">
      <w:pPr>
        <w:jc w:val="both"/>
        <w:rPr>
          <w:color w:val="222222"/>
        </w:rPr>
      </w:pPr>
      <w:r w:rsidRPr="005A4D9F">
        <w:rPr>
          <w:color w:val="222222"/>
        </w:rPr>
        <w:t xml:space="preserve">Yadav, J. P., Kumar, S., Yadav, M., &amp; Yadav, A. (2017). Impact of spatial and climatic conditions on phytochemical diversity and in vitro antioxidant activity of Indian Aloe vera (L.) Burm. f. South African Journal of Botany, 111, 50-59. </w:t>
      </w:r>
      <w:hyperlink r:id="rId45" w:history="1">
        <w:r w:rsidRPr="00C92FB5">
          <w:rPr>
            <w:rStyle w:val="Hyperlink"/>
          </w:rPr>
          <w:t>https://doi.org/10.1016/j.sajb.2017.03.012</w:t>
        </w:r>
      </w:hyperlink>
    </w:p>
    <w:p w14:paraId="4692D865" w14:textId="77777777" w:rsidR="005A4D9F" w:rsidRPr="00964918" w:rsidRDefault="005A4D9F" w:rsidP="0076295E">
      <w:pPr>
        <w:jc w:val="both"/>
        <w:rPr>
          <w:color w:val="222222"/>
        </w:rPr>
      </w:pPr>
    </w:p>
    <w:p w14:paraId="0D212AB6" w14:textId="77777777" w:rsidR="00306382" w:rsidRPr="00964918" w:rsidRDefault="00D54FC2" w:rsidP="005A4D9F">
      <w:pPr>
        <w:ind w:left="360"/>
      </w:pPr>
      <w:r w:rsidRPr="00964918">
        <w:t>Yuan, M., Liu, M., and Sargent, E. H. (2016). Colloidal quantum dot solids for solution-processed solar cells. </w:t>
      </w:r>
      <w:r w:rsidRPr="005A4D9F">
        <w:rPr>
          <w:i/>
        </w:rPr>
        <w:t>Nature Energy</w:t>
      </w:r>
      <w:r w:rsidRPr="00964918">
        <w:t>, 1(3): 1-9.</w:t>
      </w:r>
      <w:r w:rsidR="00306382" w:rsidRPr="00964918">
        <w:t xml:space="preserve"> DOI: 10.1038/NENERGY.2016.16</w:t>
      </w:r>
    </w:p>
    <w:p w14:paraId="5A992FBD" w14:textId="2C2C3F82" w:rsidR="00D54FC2" w:rsidRPr="00964918" w:rsidRDefault="00D54FC2" w:rsidP="0076295E">
      <w:pPr>
        <w:jc w:val="both"/>
      </w:pPr>
    </w:p>
    <w:p w14:paraId="629E2BC3" w14:textId="20EF24E6" w:rsidR="00D54FC2" w:rsidRDefault="005A4D9F" w:rsidP="0076295E">
      <w:pPr>
        <w:shd w:val="clear" w:color="auto" w:fill="FFFFFF"/>
      </w:pPr>
      <w:r w:rsidRPr="005A4D9F">
        <w:t xml:space="preserve">Zhang, Y., Kan, Y., Gao, K., Gu, M., Shi, Y., Zhang, X., Xue, Y., Zhang, X., Liu, Z., Zhang, Y., Yuan, J., Ma, W., &amp; Jen, A. K. Y. (2020). Hybrid quantum dot/organic heterojunction: A route to improve open-circuit voltage in </w:t>
      </w:r>
      <w:proofErr w:type="spellStart"/>
      <w:r w:rsidRPr="005A4D9F">
        <w:t>PbS</w:t>
      </w:r>
      <w:proofErr w:type="spellEnd"/>
      <w:r w:rsidRPr="005A4D9F">
        <w:t xml:space="preserve"> colloidal quantum dot solar cells. ACS Energy Letters, 5(7), 2335-2342. </w:t>
      </w:r>
      <w:hyperlink r:id="rId46" w:history="1">
        <w:r w:rsidRPr="00C92FB5">
          <w:rPr>
            <w:rStyle w:val="Hyperlink"/>
          </w:rPr>
          <w:t>https://doi.org/10.1021/acsenergylett.0c01136</w:t>
        </w:r>
      </w:hyperlink>
    </w:p>
    <w:p w14:paraId="0AE17003" w14:textId="77777777" w:rsidR="005A4D9F" w:rsidRPr="00964918" w:rsidRDefault="005A4D9F" w:rsidP="0076295E">
      <w:pPr>
        <w:shd w:val="clear" w:color="auto" w:fill="FFFFFF"/>
        <w:rPr>
          <w:color w:val="151515"/>
          <w:sz w:val="18"/>
          <w:szCs w:val="18"/>
        </w:rPr>
      </w:pPr>
    </w:p>
    <w:p w14:paraId="042C2DCE" w14:textId="0E9837D7" w:rsidR="00D54FC2" w:rsidRPr="008B61D8" w:rsidRDefault="005A4D9F" w:rsidP="001F685D">
      <w:pPr>
        <w:ind w:left="720" w:hanging="720"/>
        <w:jc w:val="both"/>
        <w:rPr>
          <w:color w:val="222222"/>
        </w:rPr>
      </w:pPr>
      <w:r w:rsidRPr="005A4D9F">
        <w:rPr>
          <w:color w:val="222222"/>
        </w:rPr>
        <w:t>Zhang, Q., &amp; Cao, G. (2011). Nanostructured photoelectrodes for dye-sensitized solar cells. Nano Today. https://doi.org/10.1016/j.nantod.2010.12.007</w:t>
      </w:r>
    </w:p>
    <w:p w14:paraId="1FE6C35D" w14:textId="77777777" w:rsidR="00262300" w:rsidRPr="008B61D8" w:rsidRDefault="00262300" w:rsidP="001F685D"/>
    <w:p w14:paraId="72E191C9" w14:textId="77777777" w:rsidR="00262300" w:rsidRPr="008B61D8" w:rsidRDefault="00262300" w:rsidP="001F685D"/>
    <w:p w14:paraId="52A2C567" w14:textId="77777777" w:rsidR="00262300" w:rsidRPr="008B61D8" w:rsidRDefault="00262300" w:rsidP="001F685D"/>
    <w:p w14:paraId="497BE426" w14:textId="77777777" w:rsidR="00262300" w:rsidRPr="008B61D8" w:rsidRDefault="00262300" w:rsidP="001F685D"/>
    <w:p w14:paraId="30EC5694" w14:textId="77777777" w:rsidR="00262300" w:rsidRPr="008B61D8" w:rsidRDefault="00262300" w:rsidP="001F685D">
      <w:pPr>
        <w:spacing w:before="280" w:after="280"/>
      </w:pPr>
    </w:p>
    <w:p w14:paraId="1CE352A1" w14:textId="77777777" w:rsidR="00262300" w:rsidRPr="008B61D8" w:rsidRDefault="00262300" w:rsidP="001F685D"/>
    <w:sectPr w:rsidR="00262300" w:rsidRPr="008B61D8" w:rsidSect="005C7A56">
      <w:headerReference w:type="even" r:id="rId47"/>
      <w:headerReference w:type="default" r:id="rId48"/>
      <w:footerReference w:type="even" r:id="rId49"/>
      <w:footerReference w:type="default" r:id="rId50"/>
      <w:headerReference w:type="first" r:id="rId51"/>
      <w:footerReference w:type="first" r:id="rId5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E766" w14:textId="77777777" w:rsidR="00D0079A" w:rsidRDefault="00D0079A" w:rsidP="006B5B41">
      <w:r>
        <w:separator/>
      </w:r>
    </w:p>
  </w:endnote>
  <w:endnote w:type="continuationSeparator" w:id="0">
    <w:p w14:paraId="08ED9FCE" w14:textId="77777777" w:rsidR="00D0079A" w:rsidRDefault="00D0079A" w:rsidP="006B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3FA9" w14:textId="77777777" w:rsidR="001A4454" w:rsidRDefault="001A4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A072" w14:textId="77777777" w:rsidR="001A4454" w:rsidRDefault="001A4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3B32" w14:textId="77777777" w:rsidR="001A4454" w:rsidRDefault="001A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7802" w14:textId="77777777" w:rsidR="00D0079A" w:rsidRDefault="00D0079A" w:rsidP="006B5B41">
      <w:r>
        <w:separator/>
      </w:r>
    </w:p>
  </w:footnote>
  <w:footnote w:type="continuationSeparator" w:id="0">
    <w:p w14:paraId="0F59E127" w14:textId="77777777" w:rsidR="00D0079A" w:rsidRDefault="00D0079A" w:rsidP="006B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80FB" w14:textId="1E4CCF54" w:rsidR="001A4454" w:rsidRDefault="001A4454">
    <w:pPr>
      <w:pStyle w:val="Header"/>
    </w:pPr>
    <w:r>
      <w:rPr>
        <w:noProof/>
      </w:rPr>
      <w:pict w14:anchorId="14DDD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0126"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8AD1" w14:textId="560BA5FC" w:rsidR="001A4454" w:rsidRDefault="001A4454">
    <w:pPr>
      <w:pStyle w:val="Header"/>
    </w:pPr>
    <w:r>
      <w:rPr>
        <w:noProof/>
      </w:rPr>
      <w:pict w14:anchorId="77B0D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0127"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8937" w14:textId="5BEC1BAE" w:rsidR="001A4454" w:rsidRDefault="001A4454">
    <w:pPr>
      <w:pStyle w:val="Header"/>
    </w:pPr>
    <w:r>
      <w:rPr>
        <w:noProof/>
      </w:rPr>
      <w:pict w14:anchorId="111E8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0125"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88B"/>
    <w:multiLevelType w:val="hybridMultilevel"/>
    <w:tmpl w:val="C032C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2B81"/>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F8E"/>
    <w:multiLevelType w:val="hybridMultilevel"/>
    <w:tmpl w:val="7806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E6527"/>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75A50"/>
    <w:multiLevelType w:val="multilevel"/>
    <w:tmpl w:val="093C8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37E82"/>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07222"/>
    <w:multiLevelType w:val="multilevel"/>
    <w:tmpl w:val="B0E86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34B93"/>
    <w:multiLevelType w:val="multilevel"/>
    <w:tmpl w:val="23D8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C0E89"/>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C3000"/>
    <w:multiLevelType w:val="multilevel"/>
    <w:tmpl w:val="477E0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D22BA"/>
    <w:multiLevelType w:val="hybridMultilevel"/>
    <w:tmpl w:val="C8529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36289"/>
    <w:multiLevelType w:val="hybridMultilevel"/>
    <w:tmpl w:val="A094F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4A3932"/>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B5BE7"/>
    <w:multiLevelType w:val="hybridMultilevel"/>
    <w:tmpl w:val="CF70B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81193"/>
    <w:multiLevelType w:val="multilevel"/>
    <w:tmpl w:val="EA10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4"/>
  </w:num>
  <w:num w:numId="4">
    <w:abstractNumId w:val="9"/>
  </w:num>
  <w:num w:numId="5">
    <w:abstractNumId w:val="6"/>
  </w:num>
  <w:num w:numId="6">
    <w:abstractNumId w:val="12"/>
  </w:num>
  <w:num w:numId="7">
    <w:abstractNumId w:val="11"/>
  </w:num>
  <w:num w:numId="8">
    <w:abstractNumId w:val="0"/>
  </w:num>
  <w:num w:numId="9">
    <w:abstractNumId w:val="3"/>
  </w:num>
  <w:num w:numId="10">
    <w:abstractNumId w:val="1"/>
  </w:num>
  <w:num w:numId="11">
    <w:abstractNumId w:val="8"/>
  </w:num>
  <w:num w:numId="12">
    <w:abstractNumId w:val="5"/>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E3"/>
    <w:rsid w:val="00006A91"/>
    <w:rsid w:val="00016AC3"/>
    <w:rsid w:val="0002303E"/>
    <w:rsid w:val="00026BCC"/>
    <w:rsid w:val="000310A0"/>
    <w:rsid w:val="00035057"/>
    <w:rsid w:val="0004323E"/>
    <w:rsid w:val="00053F32"/>
    <w:rsid w:val="00061508"/>
    <w:rsid w:val="000618C4"/>
    <w:rsid w:val="00061E15"/>
    <w:rsid w:val="00064C36"/>
    <w:rsid w:val="000665BE"/>
    <w:rsid w:val="000734E2"/>
    <w:rsid w:val="000820BC"/>
    <w:rsid w:val="00084369"/>
    <w:rsid w:val="00094F9A"/>
    <w:rsid w:val="000A1EBA"/>
    <w:rsid w:val="000A3173"/>
    <w:rsid w:val="000B4DF8"/>
    <w:rsid w:val="000C106D"/>
    <w:rsid w:val="000E0B26"/>
    <w:rsid w:val="000E1AE6"/>
    <w:rsid w:val="001056CA"/>
    <w:rsid w:val="001123B6"/>
    <w:rsid w:val="00121892"/>
    <w:rsid w:val="00134860"/>
    <w:rsid w:val="00144CC7"/>
    <w:rsid w:val="001454B3"/>
    <w:rsid w:val="00155228"/>
    <w:rsid w:val="00176BD8"/>
    <w:rsid w:val="0018618C"/>
    <w:rsid w:val="001903B4"/>
    <w:rsid w:val="00194715"/>
    <w:rsid w:val="00195154"/>
    <w:rsid w:val="001A1A66"/>
    <w:rsid w:val="001A4454"/>
    <w:rsid w:val="001A63B2"/>
    <w:rsid w:val="001B1F00"/>
    <w:rsid w:val="001B4921"/>
    <w:rsid w:val="001B7B00"/>
    <w:rsid w:val="001C3BF7"/>
    <w:rsid w:val="001C7C02"/>
    <w:rsid w:val="001D4820"/>
    <w:rsid w:val="001E286B"/>
    <w:rsid w:val="001E33AC"/>
    <w:rsid w:val="001F3069"/>
    <w:rsid w:val="001F6338"/>
    <w:rsid w:val="001F685D"/>
    <w:rsid w:val="00200394"/>
    <w:rsid w:val="00202C8C"/>
    <w:rsid w:val="0021073C"/>
    <w:rsid w:val="0022287D"/>
    <w:rsid w:val="00226C12"/>
    <w:rsid w:val="002378E7"/>
    <w:rsid w:val="00237AA4"/>
    <w:rsid w:val="00243908"/>
    <w:rsid w:val="00255709"/>
    <w:rsid w:val="00262300"/>
    <w:rsid w:val="00265643"/>
    <w:rsid w:val="002746E7"/>
    <w:rsid w:val="00275EF4"/>
    <w:rsid w:val="00284210"/>
    <w:rsid w:val="00287FE2"/>
    <w:rsid w:val="00295838"/>
    <w:rsid w:val="00297CCC"/>
    <w:rsid w:val="002A5F2E"/>
    <w:rsid w:val="002B6482"/>
    <w:rsid w:val="002C02ED"/>
    <w:rsid w:val="002C0708"/>
    <w:rsid w:val="002C1136"/>
    <w:rsid w:val="002C7D8D"/>
    <w:rsid w:val="002D2C65"/>
    <w:rsid w:val="002D65F0"/>
    <w:rsid w:val="002E21E2"/>
    <w:rsid w:val="002E3302"/>
    <w:rsid w:val="00306382"/>
    <w:rsid w:val="00310986"/>
    <w:rsid w:val="00310D95"/>
    <w:rsid w:val="00324AFD"/>
    <w:rsid w:val="00325BBF"/>
    <w:rsid w:val="0033497A"/>
    <w:rsid w:val="0034037B"/>
    <w:rsid w:val="0034054A"/>
    <w:rsid w:val="00342223"/>
    <w:rsid w:val="0035344E"/>
    <w:rsid w:val="00355AC9"/>
    <w:rsid w:val="003A7A4D"/>
    <w:rsid w:val="003B5117"/>
    <w:rsid w:val="003C6A80"/>
    <w:rsid w:val="003C7F17"/>
    <w:rsid w:val="003E0C77"/>
    <w:rsid w:val="003E34EF"/>
    <w:rsid w:val="003E4DEE"/>
    <w:rsid w:val="003E5206"/>
    <w:rsid w:val="003F5805"/>
    <w:rsid w:val="003F6740"/>
    <w:rsid w:val="00417911"/>
    <w:rsid w:val="00425E76"/>
    <w:rsid w:val="004328DC"/>
    <w:rsid w:val="00441774"/>
    <w:rsid w:val="0044232E"/>
    <w:rsid w:val="004467F0"/>
    <w:rsid w:val="00446D05"/>
    <w:rsid w:val="00452C80"/>
    <w:rsid w:val="00455AFD"/>
    <w:rsid w:val="00461A8B"/>
    <w:rsid w:val="0047127A"/>
    <w:rsid w:val="00476DA3"/>
    <w:rsid w:val="004773DE"/>
    <w:rsid w:val="0048074B"/>
    <w:rsid w:val="004917FA"/>
    <w:rsid w:val="004A018F"/>
    <w:rsid w:val="004A02B7"/>
    <w:rsid w:val="004A2EFA"/>
    <w:rsid w:val="004A5EE1"/>
    <w:rsid w:val="004A5F4E"/>
    <w:rsid w:val="004B2709"/>
    <w:rsid w:val="004B4C72"/>
    <w:rsid w:val="004C6599"/>
    <w:rsid w:val="004D4AA0"/>
    <w:rsid w:val="004E546E"/>
    <w:rsid w:val="004E5DFA"/>
    <w:rsid w:val="004E7FFE"/>
    <w:rsid w:val="004F3E4C"/>
    <w:rsid w:val="00501C6D"/>
    <w:rsid w:val="00515715"/>
    <w:rsid w:val="005169F5"/>
    <w:rsid w:val="00527120"/>
    <w:rsid w:val="005308A7"/>
    <w:rsid w:val="00535BD5"/>
    <w:rsid w:val="0056215F"/>
    <w:rsid w:val="0056552D"/>
    <w:rsid w:val="0058670C"/>
    <w:rsid w:val="00586D30"/>
    <w:rsid w:val="00594C10"/>
    <w:rsid w:val="00594ED1"/>
    <w:rsid w:val="005953AE"/>
    <w:rsid w:val="0059776C"/>
    <w:rsid w:val="005A4D9F"/>
    <w:rsid w:val="005B0BC3"/>
    <w:rsid w:val="005B0CD9"/>
    <w:rsid w:val="005C16F2"/>
    <w:rsid w:val="005C4FDE"/>
    <w:rsid w:val="005C7A56"/>
    <w:rsid w:val="005D16DB"/>
    <w:rsid w:val="005D3253"/>
    <w:rsid w:val="005D7DDB"/>
    <w:rsid w:val="005E1ED3"/>
    <w:rsid w:val="005E74BC"/>
    <w:rsid w:val="005F146F"/>
    <w:rsid w:val="005F1AB9"/>
    <w:rsid w:val="005F2CDE"/>
    <w:rsid w:val="006031D4"/>
    <w:rsid w:val="006154BC"/>
    <w:rsid w:val="006315D0"/>
    <w:rsid w:val="006345C6"/>
    <w:rsid w:val="00645C44"/>
    <w:rsid w:val="00650EA2"/>
    <w:rsid w:val="00653A6E"/>
    <w:rsid w:val="0065418B"/>
    <w:rsid w:val="00654CCE"/>
    <w:rsid w:val="006579FE"/>
    <w:rsid w:val="0066045D"/>
    <w:rsid w:val="006759DA"/>
    <w:rsid w:val="0067776C"/>
    <w:rsid w:val="00685305"/>
    <w:rsid w:val="00685E24"/>
    <w:rsid w:val="006A4F81"/>
    <w:rsid w:val="006A5F24"/>
    <w:rsid w:val="006A638C"/>
    <w:rsid w:val="006B5B41"/>
    <w:rsid w:val="006B78B7"/>
    <w:rsid w:val="006C1BF8"/>
    <w:rsid w:val="006C3B01"/>
    <w:rsid w:val="006D7104"/>
    <w:rsid w:val="006E6556"/>
    <w:rsid w:val="007031AC"/>
    <w:rsid w:val="00731E0A"/>
    <w:rsid w:val="00736ADE"/>
    <w:rsid w:val="007509A5"/>
    <w:rsid w:val="007627A8"/>
    <w:rsid w:val="0076295E"/>
    <w:rsid w:val="00785485"/>
    <w:rsid w:val="00786F7D"/>
    <w:rsid w:val="00787C70"/>
    <w:rsid w:val="00795C23"/>
    <w:rsid w:val="00796888"/>
    <w:rsid w:val="007A10B9"/>
    <w:rsid w:val="007B0A7A"/>
    <w:rsid w:val="007B3781"/>
    <w:rsid w:val="007B4C1C"/>
    <w:rsid w:val="007B5AF0"/>
    <w:rsid w:val="007D2545"/>
    <w:rsid w:val="007D2ADE"/>
    <w:rsid w:val="007D740C"/>
    <w:rsid w:val="007E068E"/>
    <w:rsid w:val="007E174A"/>
    <w:rsid w:val="007E2442"/>
    <w:rsid w:val="007E72FE"/>
    <w:rsid w:val="007F1276"/>
    <w:rsid w:val="007F5B9F"/>
    <w:rsid w:val="007F7CD9"/>
    <w:rsid w:val="00800AA2"/>
    <w:rsid w:val="008145D7"/>
    <w:rsid w:val="008153B1"/>
    <w:rsid w:val="00816682"/>
    <w:rsid w:val="008228CD"/>
    <w:rsid w:val="00823CC3"/>
    <w:rsid w:val="00825BCE"/>
    <w:rsid w:val="008304C9"/>
    <w:rsid w:val="00853BED"/>
    <w:rsid w:val="00872572"/>
    <w:rsid w:val="00891E58"/>
    <w:rsid w:val="0089707B"/>
    <w:rsid w:val="008B3E3C"/>
    <w:rsid w:val="008B61D8"/>
    <w:rsid w:val="008B6E2C"/>
    <w:rsid w:val="008B7428"/>
    <w:rsid w:val="008C2C69"/>
    <w:rsid w:val="008C3B38"/>
    <w:rsid w:val="008D1CA7"/>
    <w:rsid w:val="008D4BCC"/>
    <w:rsid w:val="008D5821"/>
    <w:rsid w:val="008E10A2"/>
    <w:rsid w:val="008E5735"/>
    <w:rsid w:val="0090017A"/>
    <w:rsid w:val="009007FE"/>
    <w:rsid w:val="0090313D"/>
    <w:rsid w:val="0091179A"/>
    <w:rsid w:val="0091228E"/>
    <w:rsid w:val="009302C5"/>
    <w:rsid w:val="0094475E"/>
    <w:rsid w:val="00954549"/>
    <w:rsid w:val="0095759A"/>
    <w:rsid w:val="00964918"/>
    <w:rsid w:val="009700DC"/>
    <w:rsid w:val="00970400"/>
    <w:rsid w:val="00975590"/>
    <w:rsid w:val="00987F9B"/>
    <w:rsid w:val="0099137B"/>
    <w:rsid w:val="009B08EA"/>
    <w:rsid w:val="009C1B33"/>
    <w:rsid w:val="009C21BC"/>
    <w:rsid w:val="009D0B61"/>
    <w:rsid w:val="009D685B"/>
    <w:rsid w:val="009E11AC"/>
    <w:rsid w:val="009F169F"/>
    <w:rsid w:val="00A041FF"/>
    <w:rsid w:val="00A07D42"/>
    <w:rsid w:val="00A10C7C"/>
    <w:rsid w:val="00A349E7"/>
    <w:rsid w:val="00A526DF"/>
    <w:rsid w:val="00A52D11"/>
    <w:rsid w:val="00A65E28"/>
    <w:rsid w:val="00A664CD"/>
    <w:rsid w:val="00A6751F"/>
    <w:rsid w:val="00A8655A"/>
    <w:rsid w:val="00A91219"/>
    <w:rsid w:val="00A92F6C"/>
    <w:rsid w:val="00AA2DD6"/>
    <w:rsid w:val="00AA44E5"/>
    <w:rsid w:val="00AC1D3B"/>
    <w:rsid w:val="00AD0F1F"/>
    <w:rsid w:val="00AD2556"/>
    <w:rsid w:val="00AE783A"/>
    <w:rsid w:val="00AF30EF"/>
    <w:rsid w:val="00AF783C"/>
    <w:rsid w:val="00AF7D9C"/>
    <w:rsid w:val="00B00C1D"/>
    <w:rsid w:val="00B04E29"/>
    <w:rsid w:val="00B063B4"/>
    <w:rsid w:val="00B11F6B"/>
    <w:rsid w:val="00B16355"/>
    <w:rsid w:val="00B21D1E"/>
    <w:rsid w:val="00B238AB"/>
    <w:rsid w:val="00B24093"/>
    <w:rsid w:val="00B27A35"/>
    <w:rsid w:val="00B33EA0"/>
    <w:rsid w:val="00B62451"/>
    <w:rsid w:val="00B715F7"/>
    <w:rsid w:val="00B73A38"/>
    <w:rsid w:val="00B73CAA"/>
    <w:rsid w:val="00B81574"/>
    <w:rsid w:val="00B8425C"/>
    <w:rsid w:val="00B87BAC"/>
    <w:rsid w:val="00BA538A"/>
    <w:rsid w:val="00BA58FD"/>
    <w:rsid w:val="00BB3790"/>
    <w:rsid w:val="00BB4483"/>
    <w:rsid w:val="00BB74FF"/>
    <w:rsid w:val="00BC7173"/>
    <w:rsid w:val="00BD3901"/>
    <w:rsid w:val="00BD3E5A"/>
    <w:rsid w:val="00BD71C6"/>
    <w:rsid w:val="00BD77B2"/>
    <w:rsid w:val="00BE03DE"/>
    <w:rsid w:val="00BE46D9"/>
    <w:rsid w:val="00BF0AD7"/>
    <w:rsid w:val="00C05864"/>
    <w:rsid w:val="00C0620F"/>
    <w:rsid w:val="00C06BAD"/>
    <w:rsid w:val="00C14319"/>
    <w:rsid w:val="00C1777F"/>
    <w:rsid w:val="00C26E81"/>
    <w:rsid w:val="00C27A02"/>
    <w:rsid w:val="00C40E16"/>
    <w:rsid w:val="00C42385"/>
    <w:rsid w:val="00C42AF0"/>
    <w:rsid w:val="00C56F9D"/>
    <w:rsid w:val="00C70A09"/>
    <w:rsid w:val="00C746C4"/>
    <w:rsid w:val="00C8368F"/>
    <w:rsid w:val="00C928BF"/>
    <w:rsid w:val="00CA4CD9"/>
    <w:rsid w:val="00CA59B7"/>
    <w:rsid w:val="00CD0D56"/>
    <w:rsid w:val="00CD3533"/>
    <w:rsid w:val="00CE4D6C"/>
    <w:rsid w:val="00CF4C63"/>
    <w:rsid w:val="00D0026A"/>
    <w:rsid w:val="00D0079A"/>
    <w:rsid w:val="00D01001"/>
    <w:rsid w:val="00D01B73"/>
    <w:rsid w:val="00D11D3F"/>
    <w:rsid w:val="00D15DAB"/>
    <w:rsid w:val="00D20246"/>
    <w:rsid w:val="00D22CD2"/>
    <w:rsid w:val="00D25E71"/>
    <w:rsid w:val="00D37101"/>
    <w:rsid w:val="00D46613"/>
    <w:rsid w:val="00D54FC2"/>
    <w:rsid w:val="00D56B2A"/>
    <w:rsid w:val="00D70D4B"/>
    <w:rsid w:val="00D716C5"/>
    <w:rsid w:val="00D77CE3"/>
    <w:rsid w:val="00D806D0"/>
    <w:rsid w:val="00D91AF1"/>
    <w:rsid w:val="00D9755E"/>
    <w:rsid w:val="00DE4C24"/>
    <w:rsid w:val="00DE7A94"/>
    <w:rsid w:val="00DF09F3"/>
    <w:rsid w:val="00DF3E61"/>
    <w:rsid w:val="00E01306"/>
    <w:rsid w:val="00E059B4"/>
    <w:rsid w:val="00E0626A"/>
    <w:rsid w:val="00E070E2"/>
    <w:rsid w:val="00E12612"/>
    <w:rsid w:val="00E210E7"/>
    <w:rsid w:val="00E32F88"/>
    <w:rsid w:val="00E41510"/>
    <w:rsid w:val="00E43485"/>
    <w:rsid w:val="00E45DF3"/>
    <w:rsid w:val="00E54C30"/>
    <w:rsid w:val="00E56365"/>
    <w:rsid w:val="00E57F7E"/>
    <w:rsid w:val="00E619F9"/>
    <w:rsid w:val="00E62C17"/>
    <w:rsid w:val="00E638E7"/>
    <w:rsid w:val="00E65AB4"/>
    <w:rsid w:val="00E66217"/>
    <w:rsid w:val="00E71528"/>
    <w:rsid w:val="00E73784"/>
    <w:rsid w:val="00E742BE"/>
    <w:rsid w:val="00E77E80"/>
    <w:rsid w:val="00E92D6F"/>
    <w:rsid w:val="00E96625"/>
    <w:rsid w:val="00EA21C6"/>
    <w:rsid w:val="00ED4939"/>
    <w:rsid w:val="00EE2AF7"/>
    <w:rsid w:val="00F03F54"/>
    <w:rsid w:val="00F04DE1"/>
    <w:rsid w:val="00F05035"/>
    <w:rsid w:val="00F127E1"/>
    <w:rsid w:val="00F14AD8"/>
    <w:rsid w:val="00F16BFD"/>
    <w:rsid w:val="00F21702"/>
    <w:rsid w:val="00F25A2C"/>
    <w:rsid w:val="00F31C23"/>
    <w:rsid w:val="00F34996"/>
    <w:rsid w:val="00F41F41"/>
    <w:rsid w:val="00F45B23"/>
    <w:rsid w:val="00F50571"/>
    <w:rsid w:val="00F55670"/>
    <w:rsid w:val="00F77773"/>
    <w:rsid w:val="00FA2030"/>
    <w:rsid w:val="00FA6838"/>
    <w:rsid w:val="00FC58C0"/>
    <w:rsid w:val="00FD4B92"/>
    <w:rsid w:val="00FF0CAD"/>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8A8"/>
  <w15:chartTrackingRefBased/>
  <w15:docId w15:val="{F6214B68-79AB-104D-A9CC-433FC767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F9A"/>
    <w:rPr>
      <w:rFonts w:ascii="Times New Roman" w:eastAsia="Times New Roman" w:hAnsi="Times New Roman" w:cs="Times New Roman"/>
    </w:rPr>
  </w:style>
  <w:style w:type="paragraph" w:styleId="Heading1">
    <w:name w:val="heading 1"/>
    <w:basedOn w:val="Normal"/>
    <w:next w:val="Normal"/>
    <w:link w:val="Heading1Char"/>
    <w:uiPriority w:val="9"/>
    <w:qFormat/>
    <w:rsid w:val="00D77CE3"/>
    <w:pPr>
      <w:keepNext/>
      <w:keepLines/>
      <w:spacing w:before="240"/>
      <w:outlineLvl w:val="0"/>
    </w:pPr>
    <w:rPr>
      <w:b/>
      <w:color w:val="000000"/>
    </w:rPr>
  </w:style>
  <w:style w:type="paragraph" w:styleId="Heading3">
    <w:name w:val="heading 3"/>
    <w:basedOn w:val="Normal"/>
    <w:next w:val="Normal"/>
    <w:link w:val="Heading3Char"/>
    <w:uiPriority w:val="9"/>
    <w:unhideWhenUsed/>
    <w:qFormat/>
    <w:rsid w:val="00D77C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7CE3"/>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D77CE3"/>
    <w:pPr>
      <w:spacing w:before="100" w:beforeAutospacing="1" w:after="100" w:afterAutospacing="1"/>
    </w:pPr>
  </w:style>
  <w:style w:type="character" w:customStyle="1" w:styleId="Heading1Char">
    <w:name w:val="Heading 1 Char"/>
    <w:basedOn w:val="DefaultParagraphFont"/>
    <w:link w:val="Heading1"/>
    <w:uiPriority w:val="9"/>
    <w:rsid w:val="00D77CE3"/>
    <w:rPr>
      <w:rFonts w:ascii="Times New Roman" w:eastAsia="Times New Roman" w:hAnsi="Times New Roman" w:cs="Times New Roman"/>
      <w:b/>
      <w:color w:val="000000"/>
    </w:rPr>
  </w:style>
  <w:style w:type="character" w:styleId="Emphasis">
    <w:name w:val="Emphasis"/>
    <w:basedOn w:val="DefaultParagraphFont"/>
    <w:uiPriority w:val="20"/>
    <w:qFormat/>
    <w:rsid w:val="00D77CE3"/>
    <w:rPr>
      <w:i/>
      <w:iCs/>
    </w:rPr>
  </w:style>
  <w:style w:type="paragraph" w:styleId="ListParagraph">
    <w:name w:val="List Paragraph"/>
    <w:basedOn w:val="Normal"/>
    <w:uiPriority w:val="34"/>
    <w:qFormat/>
    <w:rsid w:val="00CA59B7"/>
    <w:pPr>
      <w:ind w:left="720"/>
      <w:contextualSpacing/>
    </w:pPr>
  </w:style>
  <w:style w:type="character" w:customStyle="1" w:styleId="mord">
    <w:name w:val="mord"/>
    <w:basedOn w:val="DefaultParagraphFont"/>
    <w:rsid w:val="00CA59B7"/>
  </w:style>
  <w:style w:type="character" w:customStyle="1" w:styleId="mbin">
    <w:name w:val="mbin"/>
    <w:basedOn w:val="DefaultParagraphFont"/>
    <w:rsid w:val="00CA59B7"/>
  </w:style>
  <w:style w:type="character" w:customStyle="1" w:styleId="mopen">
    <w:name w:val="mopen"/>
    <w:basedOn w:val="DefaultParagraphFont"/>
    <w:rsid w:val="00CA59B7"/>
  </w:style>
  <w:style w:type="character" w:customStyle="1" w:styleId="mclose">
    <w:name w:val="mclose"/>
    <w:basedOn w:val="DefaultParagraphFont"/>
    <w:rsid w:val="00CA59B7"/>
  </w:style>
  <w:style w:type="character" w:customStyle="1" w:styleId="vlist-s">
    <w:name w:val="vlist-s"/>
    <w:basedOn w:val="DefaultParagraphFont"/>
    <w:rsid w:val="00CA59B7"/>
  </w:style>
  <w:style w:type="character" w:customStyle="1" w:styleId="katex-mathml">
    <w:name w:val="katex-mathml"/>
    <w:basedOn w:val="DefaultParagraphFont"/>
    <w:rsid w:val="00CA59B7"/>
  </w:style>
  <w:style w:type="character" w:styleId="Strong">
    <w:name w:val="Strong"/>
    <w:basedOn w:val="DefaultParagraphFont"/>
    <w:uiPriority w:val="22"/>
    <w:qFormat/>
    <w:rsid w:val="00CA59B7"/>
    <w:rPr>
      <w:b/>
      <w:bCs/>
    </w:rPr>
  </w:style>
  <w:style w:type="character" w:customStyle="1" w:styleId="mrel">
    <w:name w:val="mrel"/>
    <w:basedOn w:val="DefaultParagraphFont"/>
    <w:rsid w:val="005E74BC"/>
  </w:style>
  <w:style w:type="paragraph" w:styleId="Header">
    <w:name w:val="header"/>
    <w:basedOn w:val="Normal"/>
    <w:link w:val="HeaderChar"/>
    <w:uiPriority w:val="99"/>
    <w:unhideWhenUsed/>
    <w:rsid w:val="006B5B41"/>
    <w:pPr>
      <w:tabs>
        <w:tab w:val="center" w:pos="4680"/>
        <w:tab w:val="right" w:pos="9360"/>
      </w:tabs>
    </w:pPr>
  </w:style>
  <w:style w:type="character" w:customStyle="1" w:styleId="HeaderChar">
    <w:name w:val="Header Char"/>
    <w:basedOn w:val="DefaultParagraphFont"/>
    <w:link w:val="Header"/>
    <w:uiPriority w:val="99"/>
    <w:rsid w:val="006B5B41"/>
    <w:rPr>
      <w:kern w:val="2"/>
      <w14:ligatures w14:val="standardContextual"/>
    </w:rPr>
  </w:style>
  <w:style w:type="paragraph" w:styleId="Footer">
    <w:name w:val="footer"/>
    <w:basedOn w:val="Normal"/>
    <w:link w:val="FooterChar"/>
    <w:uiPriority w:val="99"/>
    <w:unhideWhenUsed/>
    <w:rsid w:val="006B5B41"/>
    <w:pPr>
      <w:tabs>
        <w:tab w:val="center" w:pos="4680"/>
        <w:tab w:val="right" w:pos="9360"/>
      </w:tabs>
    </w:pPr>
  </w:style>
  <w:style w:type="character" w:customStyle="1" w:styleId="FooterChar">
    <w:name w:val="Footer Char"/>
    <w:basedOn w:val="DefaultParagraphFont"/>
    <w:link w:val="Footer"/>
    <w:uiPriority w:val="99"/>
    <w:rsid w:val="006B5B41"/>
    <w:rPr>
      <w:kern w:val="2"/>
      <w14:ligatures w14:val="standardContextual"/>
    </w:rPr>
  </w:style>
  <w:style w:type="character" w:styleId="Hyperlink">
    <w:name w:val="Hyperlink"/>
    <w:basedOn w:val="DefaultParagraphFont"/>
    <w:uiPriority w:val="99"/>
    <w:unhideWhenUsed/>
    <w:rsid w:val="00A07D42"/>
    <w:rPr>
      <w:color w:val="0000FF"/>
      <w:u w:val="single"/>
    </w:rPr>
  </w:style>
  <w:style w:type="character" w:customStyle="1" w:styleId="anchor-text">
    <w:name w:val="anchor-text"/>
    <w:basedOn w:val="DefaultParagraphFont"/>
    <w:rsid w:val="00A07D42"/>
  </w:style>
  <w:style w:type="character" w:customStyle="1" w:styleId="pub-date">
    <w:name w:val="pub-date"/>
    <w:basedOn w:val="DefaultParagraphFont"/>
    <w:rsid w:val="0044232E"/>
  </w:style>
  <w:style w:type="character" w:customStyle="1" w:styleId="pub-date-value">
    <w:name w:val="pub-date-value"/>
    <w:basedOn w:val="DefaultParagraphFont"/>
    <w:rsid w:val="0044232E"/>
  </w:style>
  <w:style w:type="character" w:customStyle="1" w:styleId="button-link-text">
    <w:name w:val="button-link-text"/>
    <w:basedOn w:val="DefaultParagraphFont"/>
    <w:rsid w:val="00D91AF1"/>
  </w:style>
  <w:style w:type="paragraph" w:customStyle="1" w:styleId="dx-doi">
    <w:name w:val="dx-doi"/>
    <w:basedOn w:val="Normal"/>
    <w:rsid w:val="00B62451"/>
    <w:pPr>
      <w:spacing w:before="100" w:beforeAutospacing="1" w:after="100" w:afterAutospacing="1"/>
    </w:pPr>
  </w:style>
  <w:style w:type="paragraph" w:customStyle="1" w:styleId="article-doi">
    <w:name w:val="article-doi"/>
    <w:basedOn w:val="Normal"/>
    <w:rsid w:val="00275EF4"/>
    <w:pPr>
      <w:spacing w:before="100" w:beforeAutospacing="1" w:after="100" w:afterAutospacing="1"/>
    </w:pPr>
  </w:style>
  <w:style w:type="character" w:styleId="UnresolvedMention">
    <w:name w:val="Unresolved Mention"/>
    <w:basedOn w:val="DefaultParagraphFont"/>
    <w:uiPriority w:val="99"/>
    <w:semiHidden/>
    <w:unhideWhenUsed/>
    <w:rsid w:val="00176BD8"/>
    <w:rPr>
      <w:color w:val="605E5C"/>
      <w:shd w:val="clear" w:color="auto" w:fill="E1DFDD"/>
    </w:rPr>
  </w:style>
  <w:style w:type="paragraph" w:styleId="Caption">
    <w:name w:val="caption"/>
    <w:basedOn w:val="Normal"/>
    <w:next w:val="Normal"/>
    <w:uiPriority w:val="35"/>
    <w:unhideWhenUsed/>
    <w:qFormat/>
    <w:rsid w:val="0056215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9D685B"/>
    <w:rPr>
      <w:sz w:val="16"/>
      <w:szCs w:val="16"/>
    </w:rPr>
  </w:style>
  <w:style w:type="paragraph" w:styleId="CommentText">
    <w:name w:val="annotation text"/>
    <w:basedOn w:val="Normal"/>
    <w:link w:val="CommentTextChar"/>
    <w:uiPriority w:val="99"/>
    <w:semiHidden/>
    <w:unhideWhenUsed/>
    <w:rsid w:val="009D685B"/>
    <w:rPr>
      <w:sz w:val="20"/>
      <w:szCs w:val="20"/>
    </w:rPr>
  </w:style>
  <w:style w:type="character" w:customStyle="1" w:styleId="CommentTextChar">
    <w:name w:val="Comment Text Char"/>
    <w:basedOn w:val="DefaultParagraphFont"/>
    <w:link w:val="CommentText"/>
    <w:uiPriority w:val="99"/>
    <w:semiHidden/>
    <w:rsid w:val="009D68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685B"/>
    <w:rPr>
      <w:b/>
      <w:bCs/>
    </w:rPr>
  </w:style>
  <w:style w:type="character" w:customStyle="1" w:styleId="CommentSubjectChar">
    <w:name w:val="Comment Subject Char"/>
    <w:basedOn w:val="CommentTextChar"/>
    <w:link w:val="CommentSubject"/>
    <w:uiPriority w:val="99"/>
    <w:semiHidden/>
    <w:rsid w:val="009D68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685B"/>
    <w:rPr>
      <w:sz w:val="18"/>
      <w:szCs w:val="18"/>
    </w:rPr>
  </w:style>
  <w:style w:type="character" w:customStyle="1" w:styleId="BalloonTextChar">
    <w:name w:val="Balloon Text Char"/>
    <w:basedOn w:val="DefaultParagraphFont"/>
    <w:link w:val="BalloonText"/>
    <w:uiPriority w:val="99"/>
    <w:semiHidden/>
    <w:rsid w:val="009D685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495">
      <w:bodyDiv w:val="1"/>
      <w:marLeft w:val="0"/>
      <w:marRight w:val="0"/>
      <w:marTop w:val="0"/>
      <w:marBottom w:val="0"/>
      <w:divBdr>
        <w:top w:val="none" w:sz="0" w:space="0" w:color="auto"/>
        <w:left w:val="none" w:sz="0" w:space="0" w:color="auto"/>
        <w:bottom w:val="none" w:sz="0" w:space="0" w:color="auto"/>
        <w:right w:val="none" w:sz="0" w:space="0" w:color="auto"/>
      </w:divBdr>
      <w:divsChild>
        <w:div w:id="425464925">
          <w:marLeft w:val="0"/>
          <w:marRight w:val="0"/>
          <w:marTop w:val="0"/>
          <w:marBottom w:val="0"/>
          <w:divBdr>
            <w:top w:val="none" w:sz="0" w:space="0" w:color="auto"/>
            <w:left w:val="none" w:sz="0" w:space="0" w:color="auto"/>
            <w:bottom w:val="none" w:sz="0" w:space="0" w:color="auto"/>
            <w:right w:val="none" w:sz="0" w:space="0" w:color="auto"/>
          </w:divBdr>
        </w:div>
        <w:div w:id="949043314">
          <w:marLeft w:val="0"/>
          <w:marRight w:val="0"/>
          <w:marTop w:val="0"/>
          <w:marBottom w:val="0"/>
          <w:divBdr>
            <w:top w:val="none" w:sz="0" w:space="0" w:color="auto"/>
            <w:left w:val="none" w:sz="0" w:space="0" w:color="auto"/>
            <w:bottom w:val="none" w:sz="0" w:space="0" w:color="auto"/>
            <w:right w:val="none" w:sz="0" w:space="0" w:color="auto"/>
          </w:divBdr>
        </w:div>
      </w:divsChild>
    </w:div>
    <w:div w:id="67122774">
      <w:bodyDiv w:val="1"/>
      <w:marLeft w:val="0"/>
      <w:marRight w:val="0"/>
      <w:marTop w:val="0"/>
      <w:marBottom w:val="0"/>
      <w:divBdr>
        <w:top w:val="none" w:sz="0" w:space="0" w:color="auto"/>
        <w:left w:val="none" w:sz="0" w:space="0" w:color="auto"/>
        <w:bottom w:val="none" w:sz="0" w:space="0" w:color="auto"/>
        <w:right w:val="none" w:sz="0" w:space="0" w:color="auto"/>
      </w:divBdr>
    </w:div>
    <w:div w:id="71661362">
      <w:bodyDiv w:val="1"/>
      <w:marLeft w:val="0"/>
      <w:marRight w:val="0"/>
      <w:marTop w:val="0"/>
      <w:marBottom w:val="0"/>
      <w:divBdr>
        <w:top w:val="none" w:sz="0" w:space="0" w:color="auto"/>
        <w:left w:val="none" w:sz="0" w:space="0" w:color="auto"/>
        <w:bottom w:val="none" w:sz="0" w:space="0" w:color="auto"/>
        <w:right w:val="none" w:sz="0" w:space="0" w:color="auto"/>
      </w:divBdr>
    </w:div>
    <w:div w:id="75983837">
      <w:bodyDiv w:val="1"/>
      <w:marLeft w:val="0"/>
      <w:marRight w:val="0"/>
      <w:marTop w:val="0"/>
      <w:marBottom w:val="0"/>
      <w:divBdr>
        <w:top w:val="none" w:sz="0" w:space="0" w:color="auto"/>
        <w:left w:val="none" w:sz="0" w:space="0" w:color="auto"/>
        <w:bottom w:val="none" w:sz="0" w:space="0" w:color="auto"/>
        <w:right w:val="none" w:sz="0" w:space="0" w:color="auto"/>
      </w:divBdr>
    </w:div>
    <w:div w:id="163398813">
      <w:bodyDiv w:val="1"/>
      <w:marLeft w:val="0"/>
      <w:marRight w:val="0"/>
      <w:marTop w:val="0"/>
      <w:marBottom w:val="0"/>
      <w:divBdr>
        <w:top w:val="none" w:sz="0" w:space="0" w:color="auto"/>
        <w:left w:val="none" w:sz="0" w:space="0" w:color="auto"/>
        <w:bottom w:val="none" w:sz="0" w:space="0" w:color="auto"/>
        <w:right w:val="none" w:sz="0" w:space="0" w:color="auto"/>
      </w:divBdr>
    </w:div>
    <w:div w:id="200676384">
      <w:bodyDiv w:val="1"/>
      <w:marLeft w:val="0"/>
      <w:marRight w:val="0"/>
      <w:marTop w:val="0"/>
      <w:marBottom w:val="0"/>
      <w:divBdr>
        <w:top w:val="none" w:sz="0" w:space="0" w:color="auto"/>
        <w:left w:val="none" w:sz="0" w:space="0" w:color="auto"/>
        <w:bottom w:val="none" w:sz="0" w:space="0" w:color="auto"/>
        <w:right w:val="none" w:sz="0" w:space="0" w:color="auto"/>
      </w:divBdr>
    </w:div>
    <w:div w:id="256251751">
      <w:bodyDiv w:val="1"/>
      <w:marLeft w:val="0"/>
      <w:marRight w:val="0"/>
      <w:marTop w:val="0"/>
      <w:marBottom w:val="0"/>
      <w:divBdr>
        <w:top w:val="none" w:sz="0" w:space="0" w:color="auto"/>
        <w:left w:val="none" w:sz="0" w:space="0" w:color="auto"/>
        <w:bottom w:val="none" w:sz="0" w:space="0" w:color="auto"/>
        <w:right w:val="none" w:sz="0" w:space="0" w:color="auto"/>
      </w:divBdr>
    </w:div>
    <w:div w:id="264533931">
      <w:bodyDiv w:val="1"/>
      <w:marLeft w:val="0"/>
      <w:marRight w:val="0"/>
      <w:marTop w:val="0"/>
      <w:marBottom w:val="0"/>
      <w:divBdr>
        <w:top w:val="none" w:sz="0" w:space="0" w:color="auto"/>
        <w:left w:val="none" w:sz="0" w:space="0" w:color="auto"/>
        <w:bottom w:val="none" w:sz="0" w:space="0" w:color="auto"/>
        <w:right w:val="none" w:sz="0" w:space="0" w:color="auto"/>
      </w:divBdr>
      <w:divsChild>
        <w:div w:id="626814775">
          <w:marLeft w:val="0"/>
          <w:marRight w:val="0"/>
          <w:marTop w:val="0"/>
          <w:marBottom w:val="0"/>
          <w:divBdr>
            <w:top w:val="none" w:sz="0" w:space="0" w:color="auto"/>
            <w:left w:val="none" w:sz="0" w:space="0" w:color="auto"/>
            <w:bottom w:val="none" w:sz="0" w:space="0" w:color="auto"/>
            <w:right w:val="none" w:sz="0" w:space="0" w:color="auto"/>
          </w:divBdr>
        </w:div>
        <w:div w:id="667557480">
          <w:marLeft w:val="0"/>
          <w:marRight w:val="0"/>
          <w:marTop w:val="0"/>
          <w:marBottom w:val="0"/>
          <w:divBdr>
            <w:top w:val="none" w:sz="0" w:space="0" w:color="auto"/>
            <w:left w:val="none" w:sz="0" w:space="0" w:color="auto"/>
            <w:bottom w:val="none" w:sz="0" w:space="0" w:color="auto"/>
            <w:right w:val="none" w:sz="0" w:space="0" w:color="auto"/>
          </w:divBdr>
        </w:div>
      </w:divsChild>
    </w:div>
    <w:div w:id="269361799">
      <w:bodyDiv w:val="1"/>
      <w:marLeft w:val="0"/>
      <w:marRight w:val="0"/>
      <w:marTop w:val="0"/>
      <w:marBottom w:val="0"/>
      <w:divBdr>
        <w:top w:val="none" w:sz="0" w:space="0" w:color="auto"/>
        <w:left w:val="none" w:sz="0" w:space="0" w:color="auto"/>
        <w:bottom w:val="none" w:sz="0" w:space="0" w:color="auto"/>
        <w:right w:val="none" w:sz="0" w:space="0" w:color="auto"/>
      </w:divBdr>
    </w:div>
    <w:div w:id="276639786">
      <w:bodyDiv w:val="1"/>
      <w:marLeft w:val="0"/>
      <w:marRight w:val="0"/>
      <w:marTop w:val="0"/>
      <w:marBottom w:val="0"/>
      <w:divBdr>
        <w:top w:val="none" w:sz="0" w:space="0" w:color="auto"/>
        <w:left w:val="none" w:sz="0" w:space="0" w:color="auto"/>
        <w:bottom w:val="none" w:sz="0" w:space="0" w:color="auto"/>
        <w:right w:val="none" w:sz="0" w:space="0" w:color="auto"/>
      </w:divBdr>
    </w:div>
    <w:div w:id="278996928">
      <w:bodyDiv w:val="1"/>
      <w:marLeft w:val="0"/>
      <w:marRight w:val="0"/>
      <w:marTop w:val="0"/>
      <w:marBottom w:val="0"/>
      <w:divBdr>
        <w:top w:val="none" w:sz="0" w:space="0" w:color="auto"/>
        <w:left w:val="none" w:sz="0" w:space="0" w:color="auto"/>
        <w:bottom w:val="none" w:sz="0" w:space="0" w:color="auto"/>
        <w:right w:val="none" w:sz="0" w:space="0" w:color="auto"/>
      </w:divBdr>
    </w:div>
    <w:div w:id="302661685">
      <w:bodyDiv w:val="1"/>
      <w:marLeft w:val="0"/>
      <w:marRight w:val="0"/>
      <w:marTop w:val="0"/>
      <w:marBottom w:val="0"/>
      <w:divBdr>
        <w:top w:val="none" w:sz="0" w:space="0" w:color="auto"/>
        <w:left w:val="none" w:sz="0" w:space="0" w:color="auto"/>
        <w:bottom w:val="none" w:sz="0" w:space="0" w:color="auto"/>
        <w:right w:val="none" w:sz="0" w:space="0" w:color="auto"/>
      </w:divBdr>
    </w:div>
    <w:div w:id="322783309">
      <w:bodyDiv w:val="1"/>
      <w:marLeft w:val="0"/>
      <w:marRight w:val="0"/>
      <w:marTop w:val="0"/>
      <w:marBottom w:val="0"/>
      <w:divBdr>
        <w:top w:val="none" w:sz="0" w:space="0" w:color="auto"/>
        <w:left w:val="none" w:sz="0" w:space="0" w:color="auto"/>
        <w:bottom w:val="none" w:sz="0" w:space="0" w:color="auto"/>
        <w:right w:val="none" w:sz="0" w:space="0" w:color="auto"/>
      </w:divBdr>
    </w:div>
    <w:div w:id="325406357">
      <w:bodyDiv w:val="1"/>
      <w:marLeft w:val="0"/>
      <w:marRight w:val="0"/>
      <w:marTop w:val="0"/>
      <w:marBottom w:val="0"/>
      <w:divBdr>
        <w:top w:val="none" w:sz="0" w:space="0" w:color="auto"/>
        <w:left w:val="none" w:sz="0" w:space="0" w:color="auto"/>
        <w:bottom w:val="none" w:sz="0" w:space="0" w:color="auto"/>
        <w:right w:val="none" w:sz="0" w:space="0" w:color="auto"/>
      </w:divBdr>
    </w:div>
    <w:div w:id="390620920">
      <w:bodyDiv w:val="1"/>
      <w:marLeft w:val="0"/>
      <w:marRight w:val="0"/>
      <w:marTop w:val="0"/>
      <w:marBottom w:val="0"/>
      <w:divBdr>
        <w:top w:val="none" w:sz="0" w:space="0" w:color="auto"/>
        <w:left w:val="none" w:sz="0" w:space="0" w:color="auto"/>
        <w:bottom w:val="none" w:sz="0" w:space="0" w:color="auto"/>
        <w:right w:val="none" w:sz="0" w:space="0" w:color="auto"/>
      </w:divBdr>
    </w:div>
    <w:div w:id="399717792">
      <w:bodyDiv w:val="1"/>
      <w:marLeft w:val="0"/>
      <w:marRight w:val="0"/>
      <w:marTop w:val="0"/>
      <w:marBottom w:val="0"/>
      <w:divBdr>
        <w:top w:val="none" w:sz="0" w:space="0" w:color="auto"/>
        <w:left w:val="none" w:sz="0" w:space="0" w:color="auto"/>
        <w:bottom w:val="none" w:sz="0" w:space="0" w:color="auto"/>
        <w:right w:val="none" w:sz="0" w:space="0" w:color="auto"/>
      </w:divBdr>
    </w:div>
    <w:div w:id="406657749">
      <w:bodyDiv w:val="1"/>
      <w:marLeft w:val="0"/>
      <w:marRight w:val="0"/>
      <w:marTop w:val="0"/>
      <w:marBottom w:val="0"/>
      <w:divBdr>
        <w:top w:val="none" w:sz="0" w:space="0" w:color="auto"/>
        <w:left w:val="none" w:sz="0" w:space="0" w:color="auto"/>
        <w:bottom w:val="none" w:sz="0" w:space="0" w:color="auto"/>
        <w:right w:val="none" w:sz="0" w:space="0" w:color="auto"/>
      </w:divBdr>
    </w:div>
    <w:div w:id="477453605">
      <w:bodyDiv w:val="1"/>
      <w:marLeft w:val="0"/>
      <w:marRight w:val="0"/>
      <w:marTop w:val="0"/>
      <w:marBottom w:val="0"/>
      <w:divBdr>
        <w:top w:val="none" w:sz="0" w:space="0" w:color="auto"/>
        <w:left w:val="none" w:sz="0" w:space="0" w:color="auto"/>
        <w:bottom w:val="none" w:sz="0" w:space="0" w:color="auto"/>
        <w:right w:val="none" w:sz="0" w:space="0" w:color="auto"/>
      </w:divBdr>
    </w:div>
    <w:div w:id="510340173">
      <w:bodyDiv w:val="1"/>
      <w:marLeft w:val="0"/>
      <w:marRight w:val="0"/>
      <w:marTop w:val="0"/>
      <w:marBottom w:val="0"/>
      <w:divBdr>
        <w:top w:val="none" w:sz="0" w:space="0" w:color="auto"/>
        <w:left w:val="none" w:sz="0" w:space="0" w:color="auto"/>
        <w:bottom w:val="none" w:sz="0" w:space="0" w:color="auto"/>
        <w:right w:val="none" w:sz="0" w:space="0" w:color="auto"/>
      </w:divBdr>
    </w:div>
    <w:div w:id="526482502">
      <w:bodyDiv w:val="1"/>
      <w:marLeft w:val="0"/>
      <w:marRight w:val="0"/>
      <w:marTop w:val="0"/>
      <w:marBottom w:val="0"/>
      <w:divBdr>
        <w:top w:val="none" w:sz="0" w:space="0" w:color="auto"/>
        <w:left w:val="none" w:sz="0" w:space="0" w:color="auto"/>
        <w:bottom w:val="none" w:sz="0" w:space="0" w:color="auto"/>
        <w:right w:val="none" w:sz="0" w:space="0" w:color="auto"/>
      </w:divBdr>
    </w:div>
    <w:div w:id="546725951">
      <w:bodyDiv w:val="1"/>
      <w:marLeft w:val="0"/>
      <w:marRight w:val="0"/>
      <w:marTop w:val="0"/>
      <w:marBottom w:val="0"/>
      <w:divBdr>
        <w:top w:val="none" w:sz="0" w:space="0" w:color="auto"/>
        <w:left w:val="none" w:sz="0" w:space="0" w:color="auto"/>
        <w:bottom w:val="none" w:sz="0" w:space="0" w:color="auto"/>
        <w:right w:val="none" w:sz="0" w:space="0" w:color="auto"/>
      </w:divBdr>
    </w:div>
    <w:div w:id="575671759">
      <w:bodyDiv w:val="1"/>
      <w:marLeft w:val="0"/>
      <w:marRight w:val="0"/>
      <w:marTop w:val="0"/>
      <w:marBottom w:val="0"/>
      <w:divBdr>
        <w:top w:val="none" w:sz="0" w:space="0" w:color="auto"/>
        <w:left w:val="none" w:sz="0" w:space="0" w:color="auto"/>
        <w:bottom w:val="none" w:sz="0" w:space="0" w:color="auto"/>
        <w:right w:val="none" w:sz="0" w:space="0" w:color="auto"/>
      </w:divBdr>
    </w:div>
    <w:div w:id="581918065">
      <w:bodyDiv w:val="1"/>
      <w:marLeft w:val="0"/>
      <w:marRight w:val="0"/>
      <w:marTop w:val="0"/>
      <w:marBottom w:val="0"/>
      <w:divBdr>
        <w:top w:val="none" w:sz="0" w:space="0" w:color="auto"/>
        <w:left w:val="none" w:sz="0" w:space="0" w:color="auto"/>
        <w:bottom w:val="none" w:sz="0" w:space="0" w:color="auto"/>
        <w:right w:val="none" w:sz="0" w:space="0" w:color="auto"/>
      </w:divBdr>
    </w:div>
    <w:div w:id="587009473">
      <w:bodyDiv w:val="1"/>
      <w:marLeft w:val="0"/>
      <w:marRight w:val="0"/>
      <w:marTop w:val="0"/>
      <w:marBottom w:val="0"/>
      <w:divBdr>
        <w:top w:val="none" w:sz="0" w:space="0" w:color="auto"/>
        <w:left w:val="none" w:sz="0" w:space="0" w:color="auto"/>
        <w:bottom w:val="none" w:sz="0" w:space="0" w:color="auto"/>
        <w:right w:val="none" w:sz="0" w:space="0" w:color="auto"/>
      </w:divBdr>
      <w:divsChild>
        <w:div w:id="690836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796978">
      <w:bodyDiv w:val="1"/>
      <w:marLeft w:val="0"/>
      <w:marRight w:val="0"/>
      <w:marTop w:val="0"/>
      <w:marBottom w:val="0"/>
      <w:divBdr>
        <w:top w:val="none" w:sz="0" w:space="0" w:color="auto"/>
        <w:left w:val="none" w:sz="0" w:space="0" w:color="auto"/>
        <w:bottom w:val="none" w:sz="0" w:space="0" w:color="auto"/>
        <w:right w:val="none" w:sz="0" w:space="0" w:color="auto"/>
      </w:divBdr>
    </w:div>
    <w:div w:id="631206889">
      <w:bodyDiv w:val="1"/>
      <w:marLeft w:val="0"/>
      <w:marRight w:val="0"/>
      <w:marTop w:val="0"/>
      <w:marBottom w:val="0"/>
      <w:divBdr>
        <w:top w:val="none" w:sz="0" w:space="0" w:color="auto"/>
        <w:left w:val="none" w:sz="0" w:space="0" w:color="auto"/>
        <w:bottom w:val="none" w:sz="0" w:space="0" w:color="auto"/>
        <w:right w:val="none" w:sz="0" w:space="0" w:color="auto"/>
      </w:divBdr>
    </w:div>
    <w:div w:id="661936132">
      <w:bodyDiv w:val="1"/>
      <w:marLeft w:val="0"/>
      <w:marRight w:val="0"/>
      <w:marTop w:val="0"/>
      <w:marBottom w:val="0"/>
      <w:divBdr>
        <w:top w:val="none" w:sz="0" w:space="0" w:color="auto"/>
        <w:left w:val="none" w:sz="0" w:space="0" w:color="auto"/>
        <w:bottom w:val="none" w:sz="0" w:space="0" w:color="auto"/>
        <w:right w:val="none" w:sz="0" w:space="0" w:color="auto"/>
      </w:divBdr>
    </w:div>
    <w:div w:id="692650592">
      <w:bodyDiv w:val="1"/>
      <w:marLeft w:val="0"/>
      <w:marRight w:val="0"/>
      <w:marTop w:val="0"/>
      <w:marBottom w:val="0"/>
      <w:divBdr>
        <w:top w:val="none" w:sz="0" w:space="0" w:color="auto"/>
        <w:left w:val="none" w:sz="0" w:space="0" w:color="auto"/>
        <w:bottom w:val="none" w:sz="0" w:space="0" w:color="auto"/>
        <w:right w:val="none" w:sz="0" w:space="0" w:color="auto"/>
      </w:divBdr>
    </w:div>
    <w:div w:id="704020468">
      <w:bodyDiv w:val="1"/>
      <w:marLeft w:val="0"/>
      <w:marRight w:val="0"/>
      <w:marTop w:val="0"/>
      <w:marBottom w:val="0"/>
      <w:divBdr>
        <w:top w:val="none" w:sz="0" w:space="0" w:color="auto"/>
        <w:left w:val="none" w:sz="0" w:space="0" w:color="auto"/>
        <w:bottom w:val="none" w:sz="0" w:space="0" w:color="auto"/>
        <w:right w:val="none" w:sz="0" w:space="0" w:color="auto"/>
      </w:divBdr>
      <w:divsChild>
        <w:div w:id="1916550409">
          <w:marLeft w:val="0"/>
          <w:marRight w:val="0"/>
          <w:marTop w:val="0"/>
          <w:marBottom w:val="0"/>
          <w:divBdr>
            <w:top w:val="none" w:sz="0" w:space="0" w:color="auto"/>
            <w:left w:val="none" w:sz="0" w:space="0" w:color="auto"/>
            <w:bottom w:val="none" w:sz="0" w:space="0" w:color="auto"/>
            <w:right w:val="none" w:sz="0" w:space="0" w:color="auto"/>
          </w:divBdr>
        </w:div>
        <w:div w:id="686447603">
          <w:marLeft w:val="0"/>
          <w:marRight w:val="0"/>
          <w:marTop w:val="0"/>
          <w:marBottom w:val="0"/>
          <w:divBdr>
            <w:top w:val="none" w:sz="0" w:space="0" w:color="auto"/>
            <w:left w:val="none" w:sz="0" w:space="0" w:color="auto"/>
            <w:bottom w:val="none" w:sz="0" w:space="0" w:color="auto"/>
            <w:right w:val="none" w:sz="0" w:space="0" w:color="auto"/>
          </w:divBdr>
        </w:div>
      </w:divsChild>
    </w:div>
    <w:div w:id="753433162">
      <w:bodyDiv w:val="1"/>
      <w:marLeft w:val="0"/>
      <w:marRight w:val="0"/>
      <w:marTop w:val="0"/>
      <w:marBottom w:val="0"/>
      <w:divBdr>
        <w:top w:val="none" w:sz="0" w:space="0" w:color="auto"/>
        <w:left w:val="none" w:sz="0" w:space="0" w:color="auto"/>
        <w:bottom w:val="none" w:sz="0" w:space="0" w:color="auto"/>
        <w:right w:val="none" w:sz="0" w:space="0" w:color="auto"/>
      </w:divBdr>
    </w:div>
    <w:div w:id="793980232">
      <w:bodyDiv w:val="1"/>
      <w:marLeft w:val="0"/>
      <w:marRight w:val="0"/>
      <w:marTop w:val="0"/>
      <w:marBottom w:val="0"/>
      <w:divBdr>
        <w:top w:val="none" w:sz="0" w:space="0" w:color="auto"/>
        <w:left w:val="none" w:sz="0" w:space="0" w:color="auto"/>
        <w:bottom w:val="none" w:sz="0" w:space="0" w:color="auto"/>
        <w:right w:val="none" w:sz="0" w:space="0" w:color="auto"/>
      </w:divBdr>
    </w:div>
    <w:div w:id="801847610">
      <w:bodyDiv w:val="1"/>
      <w:marLeft w:val="0"/>
      <w:marRight w:val="0"/>
      <w:marTop w:val="0"/>
      <w:marBottom w:val="0"/>
      <w:divBdr>
        <w:top w:val="none" w:sz="0" w:space="0" w:color="auto"/>
        <w:left w:val="none" w:sz="0" w:space="0" w:color="auto"/>
        <w:bottom w:val="none" w:sz="0" w:space="0" w:color="auto"/>
        <w:right w:val="none" w:sz="0" w:space="0" w:color="auto"/>
      </w:divBdr>
    </w:div>
    <w:div w:id="817965089">
      <w:bodyDiv w:val="1"/>
      <w:marLeft w:val="0"/>
      <w:marRight w:val="0"/>
      <w:marTop w:val="0"/>
      <w:marBottom w:val="0"/>
      <w:divBdr>
        <w:top w:val="none" w:sz="0" w:space="0" w:color="auto"/>
        <w:left w:val="none" w:sz="0" w:space="0" w:color="auto"/>
        <w:bottom w:val="none" w:sz="0" w:space="0" w:color="auto"/>
        <w:right w:val="none" w:sz="0" w:space="0" w:color="auto"/>
      </w:divBdr>
    </w:div>
    <w:div w:id="820192385">
      <w:bodyDiv w:val="1"/>
      <w:marLeft w:val="0"/>
      <w:marRight w:val="0"/>
      <w:marTop w:val="0"/>
      <w:marBottom w:val="0"/>
      <w:divBdr>
        <w:top w:val="none" w:sz="0" w:space="0" w:color="auto"/>
        <w:left w:val="none" w:sz="0" w:space="0" w:color="auto"/>
        <w:bottom w:val="none" w:sz="0" w:space="0" w:color="auto"/>
        <w:right w:val="none" w:sz="0" w:space="0" w:color="auto"/>
      </w:divBdr>
    </w:div>
    <w:div w:id="838543439">
      <w:bodyDiv w:val="1"/>
      <w:marLeft w:val="0"/>
      <w:marRight w:val="0"/>
      <w:marTop w:val="0"/>
      <w:marBottom w:val="0"/>
      <w:divBdr>
        <w:top w:val="none" w:sz="0" w:space="0" w:color="auto"/>
        <w:left w:val="none" w:sz="0" w:space="0" w:color="auto"/>
        <w:bottom w:val="none" w:sz="0" w:space="0" w:color="auto"/>
        <w:right w:val="none" w:sz="0" w:space="0" w:color="auto"/>
      </w:divBdr>
      <w:divsChild>
        <w:div w:id="810095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277492">
      <w:bodyDiv w:val="1"/>
      <w:marLeft w:val="0"/>
      <w:marRight w:val="0"/>
      <w:marTop w:val="0"/>
      <w:marBottom w:val="0"/>
      <w:divBdr>
        <w:top w:val="none" w:sz="0" w:space="0" w:color="auto"/>
        <w:left w:val="none" w:sz="0" w:space="0" w:color="auto"/>
        <w:bottom w:val="none" w:sz="0" w:space="0" w:color="auto"/>
        <w:right w:val="none" w:sz="0" w:space="0" w:color="auto"/>
      </w:divBdr>
      <w:divsChild>
        <w:div w:id="779031938">
          <w:marLeft w:val="0"/>
          <w:marRight w:val="0"/>
          <w:marTop w:val="0"/>
          <w:marBottom w:val="0"/>
          <w:divBdr>
            <w:top w:val="none" w:sz="0" w:space="0" w:color="auto"/>
            <w:left w:val="none" w:sz="0" w:space="0" w:color="auto"/>
            <w:bottom w:val="none" w:sz="0" w:space="0" w:color="auto"/>
            <w:right w:val="none" w:sz="0" w:space="0" w:color="auto"/>
          </w:divBdr>
        </w:div>
        <w:div w:id="836118832">
          <w:marLeft w:val="0"/>
          <w:marRight w:val="0"/>
          <w:marTop w:val="0"/>
          <w:marBottom w:val="0"/>
          <w:divBdr>
            <w:top w:val="none" w:sz="0" w:space="0" w:color="auto"/>
            <w:left w:val="none" w:sz="0" w:space="0" w:color="auto"/>
            <w:bottom w:val="none" w:sz="0" w:space="0" w:color="auto"/>
            <w:right w:val="none" w:sz="0" w:space="0" w:color="auto"/>
          </w:divBdr>
        </w:div>
      </w:divsChild>
    </w:div>
    <w:div w:id="885603255">
      <w:bodyDiv w:val="1"/>
      <w:marLeft w:val="0"/>
      <w:marRight w:val="0"/>
      <w:marTop w:val="0"/>
      <w:marBottom w:val="0"/>
      <w:divBdr>
        <w:top w:val="none" w:sz="0" w:space="0" w:color="auto"/>
        <w:left w:val="none" w:sz="0" w:space="0" w:color="auto"/>
        <w:bottom w:val="none" w:sz="0" w:space="0" w:color="auto"/>
        <w:right w:val="none" w:sz="0" w:space="0" w:color="auto"/>
      </w:divBdr>
      <w:divsChild>
        <w:div w:id="1028524318">
          <w:marLeft w:val="0"/>
          <w:marRight w:val="0"/>
          <w:marTop w:val="0"/>
          <w:marBottom w:val="0"/>
          <w:divBdr>
            <w:top w:val="none" w:sz="0" w:space="0" w:color="auto"/>
            <w:left w:val="none" w:sz="0" w:space="0" w:color="auto"/>
            <w:bottom w:val="none" w:sz="0" w:space="0" w:color="auto"/>
            <w:right w:val="none" w:sz="0" w:space="0" w:color="auto"/>
          </w:divBdr>
        </w:div>
        <w:div w:id="1129979544">
          <w:marLeft w:val="0"/>
          <w:marRight w:val="0"/>
          <w:marTop w:val="0"/>
          <w:marBottom w:val="0"/>
          <w:divBdr>
            <w:top w:val="none" w:sz="0" w:space="0" w:color="auto"/>
            <w:left w:val="none" w:sz="0" w:space="0" w:color="auto"/>
            <w:bottom w:val="none" w:sz="0" w:space="0" w:color="auto"/>
            <w:right w:val="none" w:sz="0" w:space="0" w:color="auto"/>
          </w:divBdr>
        </w:div>
      </w:divsChild>
    </w:div>
    <w:div w:id="911886028">
      <w:bodyDiv w:val="1"/>
      <w:marLeft w:val="0"/>
      <w:marRight w:val="0"/>
      <w:marTop w:val="0"/>
      <w:marBottom w:val="0"/>
      <w:divBdr>
        <w:top w:val="none" w:sz="0" w:space="0" w:color="auto"/>
        <w:left w:val="none" w:sz="0" w:space="0" w:color="auto"/>
        <w:bottom w:val="none" w:sz="0" w:space="0" w:color="auto"/>
        <w:right w:val="none" w:sz="0" w:space="0" w:color="auto"/>
      </w:divBdr>
    </w:div>
    <w:div w:id="959990655">
      <w:bodyDiv w:val="1"/>
      <w:marLeft w:val="0"/>
      <w:marRight w:val="0"/>
      <w:marTop w:val="0"/>
      <w:marBottom w:val="0"/>
      <w:divBdr>
        <w:top w:val="none" w:sz="0" w:space="0" w:color="auto"/>
        <w:left w:val="none" w:sz="0" w:space="0" w:color="auto"/>
        <w:bottom w:val="none" w:sz="0" w:space="0" w:color="auto"/>
        <w:right w:val="none" w:sz="0" w:space="0" w:color="auto"/>
      </w:divBdr>
    </w:div>
    <w:div w:id="1047140742">
      <w:bodyDiv w:val="1"/>
      <w:marLeft w:val="0"/>
      <w:marRight w:val="0"/>
      <w:marTop w:val="0"/>
      <w:marBottom w:val="0"/>
      <w:divBdr>
        <w:top w:val="none" w:sz="0" w:space="0" w:color="auto"/>
        <w:left w:val="none" w:sz="0" w:space="0" w:color="auto"/>
        <w:bottom w:val="none" w:sz="0" w:space="0" w:color="auto"/>
        <w:right w:val="none" w:sz="0" w:space="0" w:color="auto"/>
      </w:divBdr>
    </w:div>
    <w:div w:id="1111821161">
      <w:bodyDiv w:val="1"/>
      <w:marLeft w:val="0"/>
      <w:marRight w:val="0"/>
      <w:marTop w:val="0"/>
      <w:marBottom w:val="0"/>
      <w:divBdr>
        <w:top w:val="none" w:sz="0" w:space="0" w:color="auto"/>
        <w:left w:val="none" w:sz="0" w:space="0" w:color="auto"/>
        <w:bottom w:val="none" w:sz="0" w:space="0" w:color="auto"/>
        <w:right w:val="none" w:sz="0" w:space="0" w:color="auto"/>
      </w:divBdr>
    </w:div>
    <w:div w:id="1111899210">
      <w:bodyDiv w:val="1"/>
      <w:marLeft w:val="0"/>
      <w:marRight w:val="0"/>
      <w:marTop w:val="0"/>
      <w:marBottom w:val="0"/>
      <w:divBdr>
        <w:top w:val="none" w:sz="0" w:space="0" w:color="auto"/>
        <w:left w:val="none" w:sz="0" w:space="0" w:color="auto"/>
        <w:bottom w:val="none" w:sz="0" w:space="0" w:color="auto"/>
        <w:right w:val="none" w:sz="0" w:space="0" w:color="auto"/>
      </w:divBdr>
    </w:div>
    <w:div w:id="1128741762">
      <w:bodyDiv w:val="1"/>
      <w:marLeft w:val="0"/>
      <w:marRight w:val="0"/>
      <w:marTop w:val="0"/>
      <w:marBottom w:val="0"/>
      <w:divBdr>
        <w:top w:val="none" w:sz="0" w:space="0" w:color="auto"/>
        <w:left w:val="none" w:sz="0" w:space="0" w:color="auto"/>
        <w:bottom w:val="none" w:sz="0" w:space="0" w:color="auto"/>
        <w:right w:val="none" w:sz="0" w:space="0" w:color="auto"/>
      </w:divBdr>
    </w:div>
    <w:div w:id="1132404186">
      <w:bodyDiv w:val="1"/>
      <w:marLeft w:val="0"/>
      <w:marRight w:val="0"/>
      <w:marTop w:val="0"/>
      <w:marBottom w:val="0"/>
      <w:divBdr>
        <w:top w:val="none" w:sz="0" w:space="0" w:color="auto"/>
        <w:left w:val="none" w:sz="0" w:space="0" w:color="auto"/>
        <w:bottom w:val="none" w:sz="0" w:space="0" w:color="auto"/>
        <w:right w:val="none" w:sz="0" w:space="0" w:color="auto"/>
      </w:divBdr>
    </w:div>
    <w:div w:id="1190417240">
      <w:bodyDiv w:val="1"/>
      <w:marLeft w:val="0"/>
      <w:marRight w:val="0"/>
      <w:marTop w:val="0"/>
      <w:marBottom w:val="0"/>
      <w:divBdr>
        <w:top w:val="none" w:sz="0" w:space="0" w:color="auto"/>
        <w:left w:val="none" w:sz="0" w:space="0" w:color="auto"/>
        <w:bottom w:val="none" w:sz="0" w:space="0" w:color="auto"/>
        <w:right w:val="none" w:sz="0" w:space="0" w:color="auto"/>
      </w:divBdr>
    </w:div>
    <w:div w:id="1200584749">
      <w:bodyDiv w:val="1"/>
      <w:marLeft w:val="0"/>
      <w:marRight w:val="0"/>
      <w:marTop w:val="0"/>
      <w:marBottom w:val="0"/>
      <w:divBdr>
        <w:top w:val="none" w:sz="0" w:space="0" w:color="auto"/>
        <w:left w:val="none" w:sz="0" w:space="0" w:color="auto"/>
        <w:bottom w:val="none" w:sz="0" w:space="0" w:color="auto"/>
        <w:right w:val="none" w:sz="0" w:space="0" w:color="auto"/>
      </w:divBdr>
    </w:div>
    <w:div w:id="1211841734">
      <w:bodyDiv w:val="1"/>
      <w:marLeft w:val="0"/>
      <w:marRight w:val="0"/>
      <w:marTop w:val="0"/>
      <w:marBottom w:val="0"/>
      <w:divBdr>
        <w:top w:val="none" w:sz="0" w:space="0" w:color="auto"/>
        <w:left w:val="none" w:sz="0" w:space="0" w:color="auto"/>
        <w:bottom w:val="none" w:sz="0" w:space="0" w:color="auto"/>
        <w:right w:val="none" w:sz="0" w:space="0" w:color="auto"/>
      </w:divBdr>
    </w:div>
    <w:div w:id="1235974283">
      <w:bodyDiv w:val="1"/>
      <w:marLeft w:val="0"/>
      <w:marRight w:val="0"/>
      <w:marTop w:val="0"/>
      <w:marBottom w:val="0"/>
      <w:divBdr>
        <w:top w:val="none" w:sz="0" w:space="0" w:color="auto"/>
        <w:left w:val="none" w:sz="0" w:space="0" w:color="auto"/>
        <w:bottom w:val="none" w:sz="0" w:space="0" w:color="auto"/>
        <w:right w:val="none" w:sz="0" w:space="0" w:color="auto"/>
      </w:divBdr>
      <w:divsChild>
        <w:div w:id="719549147">
          <w:marLeft w:val="0"/>
          <w:marRight w:val="0"/>
          <w:marTop w:val="0"/>
          <w:marBottom w:val="0"/>
          <w:divBdr>
            <w:top w:val="none" w:sz="0" w:space="0" w:color="auto"/>
            <w:left w:val="none" w:sz="0" w:space="0" w:color="auto"/>
            <w:bottom w:val="none" w:sz="0" w:space="0" w:color="auto"/>
            <w:right w:val="none" w:sz="0" w:space="0" w:color="auto"/>
          </w:divBdr>
        </w:div>
        <w:div w:id="1585217270">
          <w:marLeft w:val="0"/>
          <w:marRight w:val="0"/>
          <w:marTop w:val="0"/>
          <w:marBottom w:val="0"/>
          <w:divBdr>
            <w:top w:val="none" w:sz="0" w:space="0" w:color="auto"/>
            <w:left w:val="none" w:sz="0" w:space="0" w:color="auto"/>
            <w:bottom w:val="none" w:sz="0" w:space="0" w:color="auto"/>
            <w:right w:val="none" w:sz="0" w:space="0" w:color="auto"/>
          </w:divBdr>
        </w:div>
      </w:divsChild>
    </w:div>
    <w:div w:id="1308828021">
      <w:bodyDiv w:val="1"/>
      <w:marLeft w:val="0"/>
      <w:marRight w:val="0"/>
      <w:marTop w:val="0"/>
      <w:marBottom w:val="0"/>
      <w:divBdr>
        <w:top w:val="none" w:sz="0" w:space="0" w:color="auto"/>
        <w:left w:val="none" w:sz="0" w:space="0" w:color="auto"/>
        <w:bottom w:val="none" w:sz="0" w:space="0" w:color="auto"/>
        <w:right w:val="none" w:sz="0" w:space="0" w:color="auto"/>
      </w:divBdr>
    </w:div>
    <w:div w:id="1398934329">
      <w:bodyDiv w:val="1"/>
      <w:marLeft w:val="0"/>
      <w:marRight w:val="0"/>
      <w:marTop w:val="0"/>
      <w:marBottom w:val="0"/>
      <w:divBdr>
        <w:top w:val="none" w:sz="0" w:space="0" w:color="auto"/>
        <w:left w:val="none" w:sz="0" w:space="0" w:color="auto"/>
        <w:bottom w:val="none" w:sz="0" w:space="0" w:color="auto"/>
        <w:right w:val="none" w:sz="0" w:space="0" w:color="auto"/>
      </w:divBdr>
    </w:div>
    <w:div w:id="1426456905">
      <w:bodyDiv w:val="1"/>
      <w:marLeft w:val="0"/>
      <w:marRight w:val="0"/>
      <w:marTop w:val="0"/>
      <w:marBottom w:val="0"/>
      <w:divBdr>
        <w:top w:val="none" w:sz="0" w:space="0" w:color="auto"/>
        <w:left w:val="none" w:sz="0" w:space="0" w:color="auto"/>
        <w:bottom w:val="none" w:sz="0" w:space="0" w:color="auto"/>
        <w:right w:val="none" w:sz="0" w:space="0" w:color="auto"/>
      </w:divBdr>
    </w:div>
    <w:div w:id="1438022989">
      <w:bodyDiv w:val="1"/>
      <w:marLeft w:val="0"/>
      <w:marRight w:val="0"/>
      <w:marTop w:val="0"/>
      <w:marBottom w:val="0"/>
      <w:divBdr>
        <w:top w:val="none" w:sz="0" w:space="0" w:color="auto"/>
        <w:left w:val="none" w:sz="0" w:space="0" w:color="auto"/>
        <w:bottom w:val="none" w:sz="0" w:space="0" w:color="auto"/>
        <w:right w:val="none" w:sz="0" w:space="0" w:color="auto"/>
      </w:divBdr>
      <w:divsChild>
        <w:div w:id="1194226818">
          <w:marLeft w:val="0"/>
          <w:marRight w:val="0"/>
          <w:marTop w:val="0"/>
          <w:marBottom w:val="0"/>
          <w:divBdr>
            <w:top w:val="none" w:sz="0" w:space="0" w:color="auto"/>
            <w:left w:val="none" w:sz="0" w:space="0" w:color="auto"/>
            <w:bottom w:val="none" w:sz="0" w:space="0" w:color="auto"/>
            <w:right w:val="none" w:sz="0" w:space="0" w:color="auto"/>
          </w:divBdr>
        </w:div>
      </w:divsChild>
    </w:div>
    <w:div w:id="1460027645">
      <w:bodyDiv w:val="1"/>
      <w:marLeft w:val="0"/>
      <w:marRight w:val="0"/>
      <w:marTop w:val="0"/>
      <w:marBottom w:val="0"/>
      <w:divBdr>
        <w:top w:val="none" w:sz="0" w:space="0" w:color="auto"/>
        <w:left w:val="none" w:sz="0" w:space="0" w:color="auto"/>
        <w:bottom w:val="none" w:sz="0" w:space="0" w:color="auto"/>
        <w:right w:val="none" w:sz="0" w:space="0" w:color="auto"/>
      </w:divBdr>
      <w:divsChild>
        <w:div w:id="640237231">
          <w:marLeft w:val="0"/>
          <w:marRight w:val="0"/>
          <w:marTop w:val="0"/>
          <w:marBottom w:val="0"/>
          <w:divBdr>
            <w:top w:val="none" w:sz="0" w:space="0" w:color="auto"/>
            <w:left w:val="none" w:sz="0" w:space="0" w:color="auto"/>
            <w:bottom w:val="none" w:sz="0" w:space="0" w:color="auto"/>
            <w:right w:val="none" w:sz="0" w:space="0" w:color="auto"/>
          </w:divBdr>
        </w:div>
        <w:div w:id="1319000399">
          <w:marLeft w:val="0"/>
          <w:marRight w:val="0"/>
          <w:marTop w:val="0"/>
          <w:marBottom w:val="0"/>
          <w:divBdr>
            <w:top w:val="none" w:sz="0" w:space="0" w:color="auto"/>
            <w:left w:val="none" w:sz="0" w:space="0" w:color="auto"/>
            <w:bottom w:val="none" w:sz="0" w:space="0" w:color="auto"/>
            <w:right w:val="none" w:sz="0" w:space="0" w:color="auto"/>
          </w:divBdr>
        </w:div>
      </w:divsChild>
    </w:div>
    <w:div w:id="1462990283">
      <w:bodyDiv w:val="1"/>
      <w:marLeft w:val="0"/>
      <w:marRight w:val="0"/>
      <w:marTop w:val="0"/>
      <w:marBottom w:val="0"/>
      <w:divBdr>
        <w:top w:val="none" w:sz="0" w:space="0" w:color="auto"/>
        <w:left w:val="none" w:sz="0" w:space="0" w:color="auto"/>
        <w:bottom w:val="none" w:sz="0" w:space="0" w:color="auto"/>
        <w:right w:val="none" w:sz="0" w:space="0" w:color="auto"/>
      </w:divBdr>
    </w:div>
    <w:div w:id="1484618997">
      <w:bodyDiv w:val="1"/>
      <w:marLeft w:val="0"/>
      <w:marRight w:val="0"/>
      <w:marTop w:val="0"/>
      <w:marBottom w:val="0"/>
      <w:divBdr>
        <w:top w:val="none" w:sz="0" w:space="0" w:color="auto"/>
        <w:left w:val="none" w:sz="0" w:space="0" w:color="auto"/>
        <w:bottom w:val="none" w:sz="0" w:space="0" w:color="auto"/>
        <w:right w:val="none" w:sz="0" w:space="0" w:color="auto"/>
      </w:divBdr>
      <w:divsChild>
        <w:div w:id="137384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496850">
      <w:bodyDiv w:val="1"/>
      <w:marLeft w:val="0"/>
      <w:marRight w:val="0"/>
      <w:marTop w:val="0"/>
      <w:marBottom w:val="0"/>
      <w:divBdr>
        <w:top w:val="none" w:sz="0" w:space="0" w:color="auto"/>
        <w:left w:val="none" w:sz="0" w:space="0" w:color="auto"/>
        <w:bottom w:val="none" w:sz="0" w:space="0" w:color="auto"/>
        <w:right w:val="none" w:sz="0" w:space="0" w:color="auto"/>
      </w:divBdr>
      <w:divsChild>
        <w:div w:id="658734952">
          <w:marLeft w:val="0"/>
          <w:marRight w:val="0"/>
          <w:marTop w:val="0"/>
          <w:marBottom w:val="120"/>
          <w:divBdr>
            <w:top w:val="none" w:sz="0" w:space="0" w:color="auto"/>
            <w:left w:val="none" w:sz="0" w:space="0" w:color="auto"/>
            <w:bottom w:val="none" w:sz="0" w:space="0" w:color="auto"/>
            <w:right w:val="none" w:sz="0" w:space="0" w:color="auto"/>
          </w:divBdr>
          <w:divsChild>
            <w:div w:id="352652567">
              <w:marLeft w:val="0"/>
              <w:marRight w:val="0"/>
              <w:marTop w:val="0"/>
              <w:marBottom w:val="0"/>
              <w:divBdr>
                <w:top w:val="none" w:sz="0" w:space="0" w:color="auto"/>
                <w:left w:val="none" w:sz="0" w:space="0" w:color="auto"/>
                <w:bottom w:val="single" w:sz="6" w:space="0" w:color="000000"/>
                <w:right w:val="none" w:sz="0" w:space="0" w:color="auto"/>
              </w:divBdr>
              <w:divsChild>
                <w:div w:id="1682311976">
                  <w:marLeft w:val="0"/>
                  <w:marRight w:val="0"/>
                  <w:marTop w:val="0"/>
                  <w:marBottom w:val="0"/>
                  <w:divBdr>
                    <w:top w:val="none" w:sz="0" w:space="0" w:color="auto"/>
                    <w:left w:val="none" w:sz="0" w:space="0" w:color="auto"/>
                    <w:bottom w:val="none" w:sz="0" w:space="0" w:color="auto"/>
                    <w:right w:val="none" w:sz="0" w:space="0" w:color="auto"/>
                  </w:divBdr>
                  <w:divsChild>
                    <w:div w:id="719590614">
                      <w:marLeft w:val="0"/>
                      <w:marRight w:val="0"/>
                      <w:marTop w:val="0"/>
                      <w:marBottom w:val="0"/>
                      <w:divBdr>
                        <w:top w:val="none" w:sz="0" w:space="0" w:color="auto"/>
                        <w:left w:val="none" w:sz="0" w:space="0" w:color="auto"/>
                        <w:bottom w:val="none" w:sz="0" w:space="0" w:color="auto"/>
                        <w:right w:val="none" w:sz="0" w:space="0" w:color="auto"/>
                      </w:divBdr>
                      <w:divsChild>
                        <w:div w:id="388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7681">
                  <w:marLeft w:val="0"/>
                  <w:marRight w:val="0"/>
                  <w:marTop w:val="0"/>
                  <w:marBottom w:val="0"/>
                  <w:divBdr>
                    <w:top w:val="none" w:sz="0" w:space="0" w:color="auto"/>
                    <w:left w:val="none" w:sz="0" w:space="0" w:color="auto"/>
                    <w:bottom w:val="none" w:sz="0" w:space="0" w:color="auto"/>
                    <w:right w:val="none" w:sz="0" w:space="0" w:color="auto"/>
                  </w:divBdr>
                  <w:divsChild>
                    <w:div w:id="761796561">
                      <w:marLeft w:val="0"/>
                      <w:marRight w:val="0"/>
                      <w:marTop w:val="0"/>
                      <w:marBottom w:val="0"/>
                      <w:divBdr>
                        <w:top w:val="none" w:sz="0" w:space="0" w:color="auto"/>
                        <w:left w:val="none" w:sz="0" w:space="0" w:color="auto"/>
                        <w:bottom w:val="none" w:sz="0" w:space="0" w:color="auto"/>
                        <w:right w:val="none" w:sz="0" w:space="0" w:color="auto"/>
                      </w:divBdr>
                      <w:divsChild>
                        <w:div w:id="40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67864">
          <w:marLeft w:val="0"/>
          <w:marRight w:val="0"/>
          <w:marTop w:val="0"/>
          <w:marBottom w:val="0"/>
          <w:divBdr>
            <w:top w:val="none" w:sz="0" w:space="0" w:color="auto"/>
            <w:left w:val="none" w:sz="0" w:space="0" w:color="auto"/>
            <w:bottom w:val="none" w:sz="0" w:space="0" w:color="auto"/>
            <w:right w:val="none" w:sz="0" w:space="0" w:color="auto"/>
          </w:divBdr>
        </w:div>
      </w:divsChild>
    </w:div>
    <w:div w:id="1542590994">
      <w:bodyDiv w:val="1"/>
      <w:marLeft w:val="0"/>
      <w:marRight w:val="0"/>
      <w:marTop w:val="0"/>
      <w:marBottom w:val="0"/>
      <w:divBdr>
        <w:top w:val="none" w:sz="0" w:space="0" w:color="auto"/>
        <w:left w:val="none" w:sz="0" w:space="0" w:color="auto"/>
        <w:bottom w:val="none" w:sz="0" w:space="0" w:color="auto"/>
        <w:right w:val="none" w:sz="0" w:space="0" w:color="auto"/>
      </w:divBdr>
    </w:div>
    <w:div w:id="1553425488">
      <w:bodyDiv w:val="1"/>
      <w:marLeft w:val="0"/>
      <w:marRight w:val="0"/>
      <w:marTop w:val="0"/>
      <w:marBottom w:val="0"/>
      <w:divBdr>
        <w:top w:val="none" w:sz="0" w:space="0" w:color="auto"/>
        <w:left w:val="none" w:sz="0" w:space="0" w:color="auto"/>
        <w:bottom w:val="none" w:sz="0" w:space="0" w:color="auto"/>
        <w:right w:val="none" w:sz="0" w:space="0" w:color="auto"/>
      </w:divBdr>
      <w:divsChild>
        <w:div w:id="202319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511728265">
          <w:marLeft w:val="0"/>
          <w:marRight w:val="0"/>
          <w:marTop w:val="0"/>
          <w:marBottom w:val="0"/>
          <w:divBdr>
            <w:top w:val="none" w:sz="0" w:space="0" w:color="auto"/>
            <w:left w:val="none" w:sz="0" w:space="0" w:color="auto"/>
            <w:bottom w:val="none" w:sz="0" w:space="0" w:color="auto"/>
            <w:right w:val="none" w:sz="0" w:space="0" w:color="auto"/>
          </w:divBdr>
        </w:div>
      </w:divsChild>
    </w:div>
    <w:div w:id="1616868848">
      <w:bodyDiv w:val="1"/>
      <w:marLeft w:val="0"/>
      <w:marRight w:val="0"/>
      <w:marTop w:val="0"/>
      <w:marBottom w:val="0"/>
      <w:divBdr>
        <w:top w:val="none" w:sz="0" w:space="0" w:color="auto"/>
        <w:left w:val="none" w:sz="0" w:space="0" w:color="auto"/>
        <w:bottom w:val="none" w:sz="0" w:space="0" w:color="auto"/>
        <w:right w:val="none" w:sz="0" w:space="0" w:color="auto"/>
      </w:divBdr>
    </w:div>
    <w:div w:id="1659576817">
      <w:bodyDiv w:val="1"/>
      <w:marLeft w:val="0"/>
      <w:marRight w:val="0"/>
      <w:marTop w:val="0"/>
      <w:marBottom w:val="0"/>
      <w:divBdr>
        <w:top w:val="none" w:sz="0" w:space="0" w:color="auto"/>
        <w:left w:val="none" w:sz="0" w:space="0" w:color="auto"/>
        <w:bottom w:val="none" w:sz="0" w:space="0" w:color="auto"/>
        <w:right w:val="none" w:sz="0" w:space="0" w:color="auto"/>
      </w:divBdr>
      <w:divsChild>
        <w:div w:id="1119955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966301">
      <w:bodyDiv w:val="1"/>
      <w:marLeft w:val="0"/>
      <w:marRight w:val="0"/>
      <w:marTop w:val="0"/>
      <w:marBottom w:val="0"/>
      <w:divBdr>
        <w:top w:val="none" w:sz="0" w:space="0" w:color="auto"/>
        <w:left w:val="none" w:sz="0" w:space="0" w:color="auto"/>
        <w:bottom w:val="none" w:sz="0" w:space="0" w:color="auto"/>
        <w:right w:val="none" w:sz="0" w:space="0" w:color="auto"/>
      </w:divBdr>
    </w:div>
    <w:div w:id="1677615034">
      <w:bodyDiv w:val="1"/>
      <w:marLeft w:val="0"/>
      <w:marRight w:val="0"/>
      <w:marTop w:val="0"/>
      <w:marBottom w:val="0"/>
      <w:divBdr>
        <w:top w:val="none" w:sz="0" w:space="0" w:color="auto"/>
        <w:left w:val="none" w:sz="0" w:space="0" w:color="auto"/>
        <w:bottom w:val="none" w:sz="0" w:space="0" w:color="auto"/>
        <w:right w:val="none" w:sz="0" w:space="0" w:color="auto"/>
      </w:divBdr>
    </w:div>
    <w:div w:id="1683778963">
      <w:bodyDiv w:val="1"/>
      <w:marLeft w:val="0"/>
      <w:marRight w:val="0"/>
      <w:marTop w:val="0"/>
      <w:marBottom w:val="0"/>
      <w:divBdr>
        <w:top w:val="none" w:sz="0" w:space="0" w:color="auto"/>
        <w:left w:val="none" w:sz="0" w:space="0" w:color="auto"/>
        <w:bottom w:val="none" w:sz="0" w:space="0" w:color="auto"/>
        <w:right w:val="none" w:sz="0" w:space="0" w:color="auto"/>
      </w:divBdr>
      <w:divsChild>
        <w:div w:id="127409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677135">
      <w:bodyDiv w:val="1"/>
      <w:marLeft w:val="0"/>
      <w:marRight w:val="0"/>
      <w:marTop w:val="0"/>
      <w:marBottom w:val="0"/>
      <w:divBdr>
        <w:top w:val="none" w:sz="0" w:space="0" w:color="auto"/>
        <w:left w:val="none" w:sz="0" w:space="0" w:color="auto"/>
        <w:bottom w:val="none" w:sz="0" w:space="0" w:color="auto"/>
        <w:right w:val="none" w:sz="0" w:space="0" w:color="auto"/>
      </w:divBdr>
    </w:div>
    <w:div w:id="1819028876">
      <w:bodyDiv w:val="1"/>
      <w:marLeft w:val="0"/>
      <w:marRight w:val="0"/>
      <w:marTop w:val="0"/>
      <w:marBottom w:val="0"/>
      <w:divBdr>
        <w:top w:val="none" w:sz="0" w:space="0" w:color="auto"/>
        <w:left w:val="none" w:sz="0" w:space="0" w:color="auto"/>
        <w:bottom w:val="none" w:sz="0" w:space="0" w:color="auto"/>
        <w:right w:val="none" w:sz="0" w:space="0" w:color="auto"/>
      </w:divBdr>
      <w:divsChild>
        <w:div w:id="26249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060309">
      <w:bodyDiv w:val="1"/>
      <w:marLeft w:val="0"/>
      <w:marRight w:val="0"/>
      <w:marTop w:val="0"/>
      <w:marBottom w:val="0"/>
      <w:divBdr>
        <w:top w:val="none" w:sz="0" w:space="0" w:color="auto"/>
        <w:left w:val="none" w:sz="0" w:space="0" w:color="auto"/>
        <w:bottom w:val="none" w:sz="0" w:space="0" w:color="auto"/>
        <w:right w:val="none" w:sz="0" w:space="0" w:color="auto"/>
      </w:divBdr>
    </w:div>
    <w:div w:id="1873304458">
      <w:bodyDiv w:val="1"/>
      <w:marLeft w:val="0"/>
      <w:marRight w:val="0"/>
      <w:marTop w:val="0"/>
      <w:marBottom w:val="0"/>
      <w:divBdr>
        <w:top w:val="none" w:sz="0" w:space="0" w:color="auto"/>
        <w:left w:val="none" w:sz="0" w:space="0" w:color="auto"/>
        <w:bottom w:val="none" w:sz="0" w:space="0" w:color="auto"/>
        <w:right w:val="none" w:sz="0" w:space="0" w:color="auto"/>
      </w:divBdr>
    </w:div>
    <w:div w:id="1924338326">
      <w:bodyDiv w:val="1"/>
      <w:marLeft w:val="0"/>
      <w:marRight w:val="0"/>
      <w:marTop w:val="0"/>
      <w:marBottom w:val="0"/>
      <w:divBdr>
        <w:top w:val="none" w:sz="0" w:space="0" w:color="auto"/>
        <w:left w:val="none" w:sz="0" w:space="0" w:color="auto"/>
        <w:bottom w:val="none" w:sz="0" w:space="0" w:color="auto"/>
        <w:right w:val="none" w:sz="0" w:space="0" w:color="auto"/>
      </w:divBdr>
    </w:div>
    <w:div w:id="1945652611">
      <w:bodyDiv w:val="1"/>
      <w:marLeft w:val="0"/>
      <w:marRight w:val="0"/>
      <w:marTop w:val="0"/>
      <w:marBottom w:val="0"/>
      <w:divBdr>
        <w:top w:val="none" w:sz="0" w:space="0" w:color="auto"/>
        <w:left w:val="none" w:sz="0" w:space="0" w:color="auto"/>
        <w:bottom w:val="none" w:sz="0" w:space="0" w:color="auto"/>
        <w:right w:val="none" w:sz="0" w:space="0" w:color="auto"/>
      </w:divBdr>
    </w:div>
    <w:div w:id="2002811157">
      <w:bodyDiv w:val="1"/>
      <w:marLeft w:val="0"/>
      <w:marRight w:val="0"/>
      <w:marTop w:val="0"/>
      <w:marBottom w:val="0"/>
      <w:divBdr>
        <w:top w:val="none" w:sz="0" w:space="0" w:color="auto"/>
        <w:left w:val="none" w:sz="0" w:space="0" w:color="auto"/>
        <w:bottom w:val="none" w:sz="0" w:space="0" w:color="auto"/>
        <w:right w:val="none" w:sz="0" w:space="0" w:color="auto"/>
      </w:divBdr>
    </w:div>
    <w:div w:id="2014646441">
      <w:bodyDiv w:val="1"/>
      <w:marLeft w:val="0"/>
      <w:marRight w:val="0"/>
      <w:marTop w:val="0"/>
      <w:marBottom w:val="0"/>
      <w:divBdr>
        <w:top w:val="none" w:sz="0" w:space="0" w:color="auto"/>
        <w:left w:val="none" w:sz="0" w:space="0" w:color="auto"/>
        <w:bottom w:val="none" w:sz="0" w:space="0" w:color="auto"/>
        <w:right w:val="none" w:sz="0" w:space="0" w:color="auto"/>
      </w:divBdr>
      <w:divsChild>
        <w:div w:id="801851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430435">
      <w:bodyDiv w:val="1"/>
      <w:marLeft w:val="0"/>
      <w:marRight w:val="0"/>
      <w:marTop w:val="0"/>
      <w:marBottom w:val="0"/>
      <w:divBdr>
        <w:top w:val="none" w:sz="0" w:space="0" w:color="auto"/>
        <w:left w:val="none" w:sz="0" w:space="0" w:color="auto"/>
        <w:bottom w:val="none" w:sz="0" w:space="0" w:color="auto"/>
        <w:right w:val="none" w:sz="0" w:space="0" w:color="auto"/>
      </w:divBdr>
    </w:div>
    <w:div w:id="2083604276">
      <w:bodyDiv w:val="1"/>
      <w:marLeft w:val="0"/>
      <w:marRight w:val="0"/>
      <w:marTop w:val="0"/>
      <w:marBottom w:val="0"/>
      <w:divBdr>
        <w:top w:val="none" w:sz="0" w:space="0" w:color="auto"/>
        <w:left w:val="none" w:sz="0" w:space="0" w:color="auto"/>
        <w:bottom w:val="none" w:sz="0" w:space="0" w:color="auto"/>
        <w:right w:val="none" w:sz="0" w:space="0" w:color="auto"/>
      </w:divBdr>
      <w:divsChild>
        <w:div w:id="1435711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21/jp972197w" TargetMode="External"/><Relationship Id="rId26" Type="http://schemas.openxmlformats.org/officeDocument/2006/relationships/hyperlink" Target="https://doi.org/10.1016/j.canlet.2016.12.026" TargetMode="External"/><Relationship Id="rId39" Type="http://schemas.openxmlformats.org/officeDocument/2006/relationships/hyperlink" Target="https://doi.org/10.1186/s11671-018-2760-6" TargetMode="External"/><Relationship Id="rId21" Type="http://schemas.openxmlformats.org/officeDocument/2006/relationships/hyperlink" Target="https://doi.org/10.1016/j.solener.2020.06.002" TargetMode="External"/><Relationship Id="rId34" Type="http://schemas.openxmlformats.org/officeDocument/2006/relationships/hyperlink" Target="https://doi.org/10.3329/ijarit.v12i1.61040" TargetMode="External"/><Relationship Id="rId42" Type="http://schemas.openxmlformats.org/officeDocument/2006/relationships/hyperlink" Target="https://doi.org/10.1364/OE.20.01410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ms11010254" TargetMode="External"/><Relationship Id="rId29" Type="http://schemas.openxmlformats.org/officeDocument/2006/relationships/hyperlink" Target="https://doi.org/10.1080/1062936X.2020.1806105" TargetMode="External"/><Relationship Id="rId11" Type="http://schemas.openxmlformats.org/officeDocument/2006/relationships/image" Target="media/image1.jpeg"/><Relationship Id="rId24" Type="http://schemas.openxmlformats.org/officeDocument/2006/relationships/hyperlink" Target="https://doi.org/10.1016/S0143-7208(03)00011-1" TargetMode="External"/><Relationship Id="rId32" Type="http://schemas.openxmlformats.org/officeDocument/2006/relationships/hyperlink" Target="https://doi.org/10.3390/molecules24234223" TargetMode="External"/><Relationship Id="rId37" Type="http://schemas.openxmlformats.org/officeDocument/2006/relationships/hyperlink" Target="https://doi.org/10.1021/ie400236s" TargetMode="External"/><Relationship Id="rId40" Type="http://schemas.openxmlformats.org/officeDocument/2006/relationships/hyperlink" Target="https://doi.org/10.1002/adma.201203021" TargetMode="External"/><Relationship Id="rId45" Type="http://schemas.openxmlformats.org/officeDocument/2006/relationships/hyperlink" Target="https://doi.org/10.1016/j.sajb.2017.03.01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doi.org/10.1002/smll.201402334" TargetMode="External"/><Relationship Id="rId31" Type="http://schemas.openxmlformats.org/officeDocument/2006/relationships/hyperlink" Target="https://doi.org/10.1002/adma.201001148" TargetMode="External"/><Relationship Id="rId44" Type="http://schemas.openxmlformats.org/officeDocument/2006/relationships/hyperlink" Target="https://doi.org/10.1021/acsenergylett.9b0230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0546/ijcrbp.2019.604.006" TargetMode="External"/><Relationship Id="rId22" Type="http://schemas.openxmlformats.org/officeDocument/2006/relationships/hyperlink" Target="https://doi.org/10.1016/j.solener.2023.112152" TargetMode="External"/><Relationship Id="rId27" Type="http://schemas.openxmlformats.org/officeDocument/2006/relationships/hyperlink" Target="https://doi.org/10.1029/2019JE006065" TargetMode="External"/><Relationship Id="rId30" Type="http://schemas.openxmlformats.org/officeDocument/2006/relationships/hyperlink" Target="https://doi.org/10.1002/adma.202207293" TargetMode="External"/><Relationship Id="rId35" Type="http://schemas.openxmlformats.org/officeDocument/2006/relationships/hyperlink" Target="https://doi.org/10.1016/j.rser.2011.07.148" TargetMode="External"/><Relationship Id="rId43" Type="http://schemas.openxmlformats.org/officeDocument/2006/relationships/hyperlink" Target="https://doi.org/10.1002/adma.201704871" TargetMode="External"/><Relationship Id="rId48"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021/jz502058y" TargetMode="External"/><Relationship Id="rId25" Type="http://schemas.openxmlformats.org/officeDocument/2006/relationships/hyperlink" Target="https://doi.org/10.1039/C3DT52573B" TargetMode="External"/><Relationship Id="rId33" Type="http://schemas.openxmlformats.org/officeDocument/2006/relationships/hyperlink" Target="https://doi.org/10.1021/acs.chemmater.7b05187" TargetMode="External"/><Relationship Id="rId38" Type="http://schemas.openxmlformats.org/officeDocument/2006/relationships/hyperlink" Target="https://doi.org/10.1002/cphc.201000069" TargetMode="External"/><Relationship Id="rId46" Type="http://schemas.openxmlformats.org/officeDocument/2006/relationships/hyperlink" Target="https://doi.org/10.1021/acsenergylett.0c01136" TargetMode="External"/><Relationship Id="rId20" Type="http://schemas.openxmlformats.org/officeDocument/2006/relationships/hyperlink" Target="https://doi.org/10.1021/nn2035022" TargetMode="External"/><Relationship Id="rId41" Type="http://schemas.openxmlformats.org/officeDocument/2006/relationships/hyperlink" Target="https://doi.org/10.1021/acsami.9b1848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iec.2022.12.016" TargetMode="External"/><Relationship Id="rId23" Type="http://schemas.openxmlformats.org/officeDocument/2006/relationships/hyperlink" Target="https://www.researchgate.net/publication/233900000_Jathropha_Curcas_and_Citrus_Aurantium_Leaves_Dye_Extract_for_Use_in_Dye_Sensitized_Solar_Cell_with_TiO2_Films" TargetMode="External"/><Relationship Id="rId28" Type="http://schemas.openxmlformats.org/officeDocument/2006/relationships/hyperlink" Target="https://doi.org/10.1016/j.rser.2017.04.075" TargetMode="External"/><Relationship Id="rId36" Type="http://schemas.openxmlformats.org/officeDocument/2006/relationships/hyperlink" Target="https://doi.org/10.1021/ja003299u"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cbook\Downloads\FIG%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ownloads\fig%202%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cbook\Downloads\fig%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acbook\Downloads\compare%20fig%20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 Hibiscus Absorbance (%)</c:v>
                </c:pt>
              </c:strCache>
            </c:strRef>
          </c:tx>
          <c:spPr>
            <a:ln w="19050" cap="rnd">
              <a:solidFill>
                <a:schemeClr val="accent1"/>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Sheet1!$B$2:$B$12</c:f>
              <c:numCache>
                <c:formatCode>General</c:formatCode>
                <c:ptCount val="11"/>
                <c:pt idx="0">
                  <c:v>2</c:v>
                </c:pt>
                <c:pt idx="1">
                  <c:v>1.7</c:v>
                </c:pt>
                <c:pt idx="2">
                  <c:v>1.5</c:v>
                </c:pt>
                <c:pt idx="3">
                  <c:v>1.3</c:v>
                </c:pt>
                <c:pt idx="4">
                  <c:v>1.2</c:v>
                </c:pt>
                <c:pt idx="5">
                  <c:v>1.1000000000000001</c:v>
                </c:pt>
                <c:pt idx="6">
                  <c:v>1</c:v>
                </c:pt>
                <c:pt idx="7">
                  <c:v>0.95</c:v>
                </c:pt>
                <c:pt idx="8">
                  <c:v>0.9</c:v>
                </c:pt>
                <c:pt idx="9">
                  <c:v>0.85</c:v>
                </c:pt>
                <c:pt idx="10">
                  <c:v>0.8</c:v>
                </c:pt>
              </c:numCache>
            </c:numRef>
          </c:yVal>
          <c:smooth val="1"/>
          <c:extLst>
            <c:ext xmlns:c16="http://schemas.microsoft.com/office/drawing/2014/chart" uri="{C3380CC4-5D6E-409C-BE32-E72D297353CC}">
              <c16:uniqueId val="{00000000-87EE-F245-82A2-8E4CFED0FC6C}"/>
            </c:ext>
          </c:extLst>
        </c:ser>
        <c:dLbls>
          <c:showLegendKey val="0"/>
          <c:showVal val="0"/>
          <c:showCatName val="0"/>
          <c:showSerName val="0"/>
          <c:showPercent val="0"/>
          <c:showBubbleSize val="0"/>
        </c:dLbls>
        <c:axId val="148193216"/>
        <c:axId val="82060592"/>
      </c:scatterChart>
      <c:valAx>
        <c:axId val="148193216"/>
        <c:scaling>
          <c:orientation val="minMax"/>
          <c:max val="70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0" i="0" u="none" strike="noStrike" baseline="0">
                    <a:effectLst/>
                  </a:rPr>
                  <a:t>wavelength (nm)</a:t>
                </a:r>
                <a:endParaRPr lang="en-US" sz="1400" baseline="0"/>
              </a:p>
            </c:rich>
          </c:tx>
          <c:overlay val="0"/>
          <c:spPr>
            <a:noFill/>
            <a:ln w="15875">
              <a:solidFill>
                <a:schemeClr val="accent1"/>
              </a:solid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2060592"/>
        <c:crosses val="autoZero"/>
        <c:crossBetween val="midCat"/>
        <c:majorUnit val="50"/>
      </c:valAx>
      <c:valAx>
        <c:axId val="8206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0" i="0" baseline="0">
                    <a:effectLst/>
                  </a:rPr>
                  <a:t>Absorbance (a.u.)</a:t>
                </a:r>
                <a:endParaRPr lang="en-US" sz="1400" baseline="0">
                  <a:effectLst/>
                </a:endParaRPr>
              </a:p>
            </c:rich>
          </c:tx>
          <c:layout>
            <c:manualLayout>
              <c:xMode val="edge"/>
              <c:yMode val="edge"/>
              <c:x val="8.3333333333333332E-3"/>
              <c:y val="0.1439122193059201"/>
            </c:manualLayout>
          </c:layout>
          <c:overlay val="0"/>
          <c:spPr>
            <a:noFill/>
            <a:ln w="6350">
              <a:solidFill>
                <a:schemeClr val="accent1"/>
              </a:solidFill>
            </a:ln>
            <a:effectLst/>
          </c:spPr>
          <c:txPr>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81932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PbS Absorbance (a.u.)</c:v>
                </c:pt>
              </c:strCache>
            </c:strRef>
          </c:tx>
          <c:spPr>
            <a:ln w="19050" cap="rnd">
              <a:solidFill>
                <a:schemeClr val="accent1"/>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Sheet1!$B$2:$B$12</c:f>
              <c:numCache>
                <c:formatCode>General</c:formatCode>
                <c:ptCount val="11"/>
                <c:pt idx="0">
                  <c:v>2</c:v>
                </c:pt>
                <c:pt idx="1">
                  <c:v>10</c:v>
                </c:pt>
                <c:pt idx="2">
                  <c:v>25</c:v>
                </c:pt>
                <c:pt idx="3">
                  <c:v>28</c:v>
                </c:pt>
                <c:pt idx="4">
                  <c:v>29.5</c:v>
                </c:pt>
                <c:pt idx="5">
                  <c:v>29.8</c:v>
                </c:pt>
                <c:pt idx="6">
                  <c:v>30</c:v>
                </c:pt>
                <c:pt idx="7">
                  <c:v>30</c:v>
                </c:pt>
                <c:pt idx="8">
                  <c:v>29.8</c:v>
                </c:pt>
                <c:pt idx="9">
                  <c:v>29.5</c:v>
                </c:pt>
                <c:pt idx="10">
                  <c:v>29</c:v>
                </c:pt>
              </c:numCache>
            </c:numRef>
          </c:yVal>
          <c:smooth val="1"/>
          <c:extLst>
            <c:ext xmlns:c16="http://schemas.microsoft.com/office/drawing/2014/chart" uri="{C3380CC4-5D6E-409C-BE32-E72D297353CC}">
              <c16:uniqueId val="{00000000-265B-474E-8BCC-FE2C050B7B29}"/>
            </c:ext>
          </c:extLst>
        </c:ser>
        <c:dLbls>
          <c:showLegendKey val="0"/>
          <c:showVal val="0"/>
          <c:showCatName val="0"/>
          <c:showSerName val="0"/>
          <c:showPercent val="0"/>
          <c:showBubbleSize val="0"/>
        </c:dLbls>
        <c:axId val="68896192"/>
        <c:axId val="69154384"/>
      </c:scatterChart>
      <c:valAx>
        <c:axId val="68896192"/>
        <c:scaling>
          <c:orientation val="minMax"/>
          <c:max val="70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aseline="0"/>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154384"/>
        <c:crosses val="autoZero"/>
        <c:crossBetween val="midCat"/>
      </c:valAx>
      <c:valAx>
        <c:axId val="69154384"/>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0" i="0" baseline="0">
                    <a:effectLst/>
                  </a:rPr>
                  <a:t>Absorbance (a.u.)</a:t>
                </a:r>
                <a:endParaRPr lang="en-US" sz="1400" baseline="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8961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Absorbance (a.u.)</c:v>
                </c:pt>
              </c:strCache>
            </c:strRef>
          </c:tx>
          <c:spPr>
            <a:ln w="19050" cap="rnd">
              <a:solidFill>
                <a:schemeClr val="accent1"/>
              </a:solidFill>
              <a:round/>
            </a:ln>
            <a:effectLst/>
          </c:spPr>
          <c:marker>
            <c:symbol val="none"/>
          </c:marker>
          <c:xVal>
            <c:numRef>
              <c:f>Sheet1!$A$2:$A$13</c:f>
              <c:numCache>
                <c:formatCode>General</c:formatCode>
                <c:ptCount val="12"/>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Sheet1!$B$2:$B$13</c:f>
              <c:numCache>
                <c:formatCode>General</c:formatCode>
                <c:ptCount val="12"/>
                <c:pt idx="0">
                  <c:v>1</c:v>
                </c:pt>
                <c:pt idx="1">
                  <c:v>5</c:v>
                </c:pt>
                <c:pt idx="2">
                  <c:v>18</c:v>
                </c:pt>
                <c:pt idx="3">
                  <c:v>38</c:v>
                </c:pt>
                <c:pt idx="4">
                  <c:v>45</c:v>
                </c:pt>
                <c:pt idx="5">
                  <c:v>47</c:v>
                </c:pt>
                <c:pt idx="6">
                  <c:v>48</c:v>
                </c:pt>
                <c:pt idx="7">
                  <c:v>47.75</c:v>
                </c:pt>
                <c:pt idx="8">
                  <c:v>47.5</c:v>
                </c:pt>
                <c:pt idx="9">
                  <c:v>47.25</c:v>
                </c:pt>
                <c:pt idx="10">
                  <c:v>47</c:v>
                </c:pt>
              </c:numCache>
            </c:numRef>
          </c:yVal>
          <c:smooth val="1"/>
          <c:extLst>
            <c:ext xmlns:c16="http://schemas.microsoft.com/office/drawing/2014/chart" uri="{C3380CC4-5D6E-409C-BE32-E72D297353CC}">
              <c16:uniqueId val="{00000000-2847-594E-B4E4-68425F3D8E78}"/>
            </c:ext>
          </c:extLst>
        </c:ser>
        <c:dLbls>
          <c:showLegendKey val="0"/>
          <c:showVal val="0"/>
          <c:showCatName val="0"/>
          <c:showSerName val="0"/>
          <c:showPercent val="0"/>
          <c:showBubbleSize val="0"/>
        </c:dLbls>
        <c:axId val="82067376"/>
        <c:axId val="126775280"/>
      </c:scatterChart>
      <c:valAx>
        <c:axId val="82067376"/>
        <c:scaling>
          <c:orientation val="minMax"/>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aseline="0"/>
                  <a:t>Wavelenght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6775280"/>
        <c:crosses val="autoZero"/>
        <c:crossBetween val="midCat"/>
      </c:valAx>
      <c:valAx>
        <c:axId val="12677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0" baseline="0">
                    <a:effectLst/>
                  </a:rPr>
                  <a:t>Absorbance (a.u.)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20673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Hibiscus dye Absorbance (a.u.)</c:v>
                </c:pt>
              </c:strCache>
            </c:strRef>
          </c:tx>
          <c:spPr>
            <a:ln w="19050" cap="rnd">
              <a:solidFill>
                <a:schemeClr val="accent1"/>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Sheet1!$B$2:$B$12</c:f>
              <c:numCache>
                <c:formatCode>General</c:formatCode>
                <c:ptCount val="11"/>
                <c:pt idx="0">
                  <c:v>2</c:v>
                </c:pt>
                <c:pt idx="1">
                  <c:v>1.7</c:v>
                </c:pt>
                <c:pt idx="2">
                  <c:v>1.5</c:v>
                </c:pt>
                <c:pt idx="3">
                  <c:v>1.3</c:v>
                </c:pt>
                <c:pt idx="4">
                  <c:v>1.2</c:v>
                </c:pt>
                <c:pt idx="5">
                  <c:v>1.1000000000000001</c:v>
                </c:pt>
                <c:pt idx="6">
                  <c:v>1</c:v>
                </c:pt>
                <c:pt idx="7">
                  <c:v>0.95</c:v>
                </c:pt>
                <c:pt idx="8">
                  <c:v>0.9</c:v>
                </c:pt>
                <c:pt idx="9">
                  <c:v>0.85</c:v>
                </c:pt>
                <c:pt idx="10">
                  <c:v>0.8</c:v>
                </c:pt>
              </c:numCache>
            </c:numRef>
          </c:yVal>
          <c:smooth val="1"/>
          <c:extLst>
            <c:ext xmlns:c16="http://schemas.microsoft.com/office/drawing/2014/chart" uri="{C3380CC4-5D6E-409C-BE32-E72D297353CC}">
              <c16:uniqueId val="{00000000-06FF-984C-B802-798B95935262}"/>
            </c:ext>
          </c:extLst>
        </c:ser>
        <c:ser>
          <c:idx val="1"/>
          <c:order val="1"/>
          <c:tx>
            <c:strRef>
              <c:f>Sheet1!$C$1</c:f>
              <c:strCache>
                <c:ptCount val="1"/>
                <c:pt idx="0">
                  <c:v>PbS QD Absorbance (a.u.)</c:v>
                </c:pt>
              </c:strCache>
            </c:strRef>
          </c:tx>
          <c:spPr>
            <a:ln w="19050" cap="rnd">
              <a:solidFill>
                <a:schemeClr val="accent2"/>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Sheet1!$C$2:$C$12</c:f>
              <c:numCache>
                <c:formatCode>General</c:formatCode>
                <c:ptCount val="11"/>
                <c:pt idx="0">
                  <c:v>2</c:v>
                </c:pt>
                <c:pt idx="1">
                  <c:v>10</c:v>
                </c:pt>
                <c:pt idx="2">
                  <c:v>25</c:v>
                </c:pt>
                <c:pt idx="3">
                  <c:v>28</c:v>
                </c:pt>
                <c:pt idx="4">
                  <c:v>29.5</c:v>
                </c:pt>
                <c:pt idx="5">
                  <c:v>29.8</c:v>
                </c:pt>
                <c:pt idx="6">
                  <c:v>30</c:v>
                </c:pt>
                <c:pt idx="7">
                  <c:v>30</c:v>
                </c:pt>
                <c:pt idx="8">
                  <c:v>29.8</c:v>
                </c:pt>
                <c:pt idx="9">
                  <c:v>29.5</c:v>
                </c:pt>
                <c:pt idx="10">
                  <c:v>29</c:v>
                </c:pt>
              </c:numCache>
            </c:numRef>
          </c:yVal>
          <c:smooth val="1"/>
          <c:extLst>
            <c:ext xmlns:c16="http://schemas.microsoft.com/office/drawing/2014/chart" uri="{C3380CC4-5D6E-409C-BE32-E72D297353CC}">
              <c16:uniqueId val="{00000001-06FF-984C-B802-798B95935262}"/>
            </c:ext>
          </c:extLst>
        </c:ser>
        <c:ser>
          <c:idx val="2"/>
          <c:order val="2"/>
          <c:tx>
            <c:strRef>
              <c:f>Sheet1!$D$1</c:f>
              <c:strCache>
                <c:ptCount val="1"/>
                <c:pt idx="0">
                  <c:v>PbS/Hibiscus Absorbance (a.u.)</c:v>
                </c:pt>
              </c:strCache>
            </c:strRef>
          </c:tx>
          <c:spPr>
            <a:ln w="19050" cap="rnd">
              <a:solidFill>
                <a:schemeClr val="accent3"/>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Sheet1!$D$2:$D$12</c:f>
              <c:numCache>
                <c:formatCode>General</c:formatCode>
                <c:ptCount val="11"/>
                <c:pt idx="0">
                  <c:v>1</c:v>
                </c:pt>
                <c:pt idx="1">
                  <c:v>5</c:v>
                </c:pt>
                <c:pt idx="2">
                  <c:v>18</c:v>
                </c:pt>
                <c:pt idx="3">
                  <c:v>38</c:v>
                </c:pt>
                <c:pt idx="4">
                  <c:v>45</c:v>
                </c:pt>
                <c:pt idx="5">
                  <c:v>47</c:v>
                </c:pt>
                <c:pt idx="6">
                  <c:v>48</c:v>
                </c:pt>
                <c:pt idx="7">
                  <c:v>47.75</c:v>
                </c:pt>
                <c:pt idx="8">
                  <c:v>47.5</c:v>
                </c:pt>
                <c:pt idx="9">
                  <c:v>47.25</c:v>
                </c:pt>
                <c:pt idx="10">
                  <c:v>47</c:v>
                </c:pt>
              </c:numCache>
            </c:numRef>
          </c:yVal>
          <c:smooth val="1"/>
          <c:extLst>
            <c:ext xmlns:c16="http://schemas.microsoft.com/office/drawing/2014/chart" uri="{C3380CC4-5D6E-409C-BE32-E72D297353CC}">
              <c16:uniqueId val="{00000002-06FF-984C-B802-798B95935262}"/>
            </c:ext>
          </c:extLst>
        </c:ser>
        <c:dLbls>
          <c:showLegendKey val="0"/>
          <c:showVal val="0"/>
          <c:showCatName val="0"/>
          <c:showSerName val="0"/>
          <c:showPercent val="0"/>
          <c:showBubbleSize val="0"/>
        </c:dLbls>
        <c:axId val="128611904"/>
        <c:axId val="70173856"/>
      </c:scatterChart>
      <c:valAx>
        <c:axId val="128611904"/>
        <c:scaling>
          <c:orientation val="minMax"/>
          <c:max val="70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aseline="0"/>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0173856"/>
        <c:crosses val="autoZero"/>
        <c:crossBetween val="midCat"/>
      </c:valAx>
      <c:valAx>
        <c:axId val="7017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0" i="0" baseline="0">
                    <a:effectLst/>
                  </a:rPr>
                  <a:t>Absorbance (a.u.)</a:t>
                </a:r>
                <a:endParaRPr lang="en-US" sz="1400" baseline="0">
                  <a:effectLst/>
                </a:endParaRPr>
              </a:p>
            </c:rich>
          </c:tx>
          <c:layout>
            <c:manualLayout>
              <c:xMode val="edge"/>
              <c:yMode val="edge"/>
              <c:x val="1.9444444444444445E-2"/>
              <c:y val="0.168173665791775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61190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066A-7A24-48A3-924B-92874B7A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22</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330</cp:revision>
  <dcterms:created xsi:type="dcterms:W3CDTF">2025-09-22T15:10:00Z</dcterms:created>
  <dcterms:modified xsi:type="dcterms:W3CDTF">2025-12-20T12:22:00Z</dcterms:modified>
</cp:coreProperties>
</file>