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8FA7" w14:textId="001A73C5" w:rsidR="00D33CC3" w:rsidRDefault="005C77F8" w:rsidP="005C77F8">
      <w:pPr>
        <w:pStyle w:val="Heading1"/>
        <w:jc w:val="center"/>
        <w:rPr>
          <w:rFonts w:asciiTheme="majorBidi" w:hAnsiTheme="majorBidi"/>
          <w:b/>
          <w:bCs/>
          <w:color w:val="auto"/>
          <w:sz w:val="28"/>
          <w:szCs w:val="28"/>
          <w:lang w:val="en-IN"/>
        </w:rPr>
      </w:pPr>
      <w:r w:rsidRPr="005C77F8">
        <w:rPr>
          <w:rFonts w:asciiTheme="majorBidi" w:hAnsiTheme="majorBidi"/>
          <w:b/>
          <w:bCs/>
          <w:color w:val="auto"/>
          <w:sz w:val="28"/>
          <w:szCs w:val="28"/>
        </w:rPr>
        <w:t>Capital Structure Choices and Shareholder Value Creation in High-Cost Borrowing Environments: Evidence from Listed Manufacturing Firms in Nigeria</w:t>
      </w:r>
    </w:p>
    <w:p w14:paraId="17D86EB5" w14:textId="77777777" w:rsidR="001171E1" w:rsidRPr="001171E1" w:rsidRDefault="001171E1" w:rsidP="001171E1">
      <w:pPr>
        <w:rPr>
          <w:lang w:val="en-IN"/>
        </w:rPr>
      </w:pPr>
    </w:p>
    <w:p w14:paraId="6D338CBF" w14:textId="77777777" w:rsidR="00F94D5E" w:rsidRDefault="00F94D5E" w:rsidP="00D83FEE">
      <w:pPr>
        <w:jc w:val="center"/>
        <w:rPr>
          <w:rFonts w:ascii="Times New Roman" w:hAnsi="Times New Roman" w:cs="Times New Roman"/>
          <w:b/>
          <w:sz w:val="24"/>
          <w:szCs w:val="24"/>
        </w:rPr>
      </w:pPr>
    </w:p>
    <w:p w14:paraId="1BA8340B" w14:textId="5CC0D837" w:rsidR="00E14F99" w:rsidRPr="00E14F99" w:rsidRDefault="00E14F99" w:rsidP="00D83FEE">
      <w:pPr>
        <w:jc w:val="center"/>
        <w:rPr>
          <w:rFonts w:asciiTheme="majorBidi" w:hAnsiTheme="majorBidi" w:cstheme="majorBidi"/>
          <w:b/>
          <w:bCs/>
        </w:rPr>
      </w:pPr>
      <w:r w:rsidRPr="00E14F99">
        <w:rPr>
          <w:rFonts w:asciiTheme="majorBidi" w:hAnsiTheme="majorBidi" w:cstheme="majorBidi"/>
          <w:b/>
          <w:bCs/>
        </w:rPr>
        <w:t>Abstract</w:t>
      </w:r>
    </w:p>
    <w:p w14:paraId="4833AA7B" w14:textId="40B6A749" w:rsidR="00E14F99" w:rsidRDefault="00E14F99" w:rsidP="00E14F99">
      <w:pPr>
        <w:jc w:val="both"/>
        <w:rPr>
          <w:rFonts w:asciiTheme="majorBidi" w:hAnsiTheme="majorBidi" w:cstheme="majorBidi"/>
          <w:i/>
          <w:iCs/>
        </w:rPr>
      </w:pPr>
      <w:r w:rsidRPr="00E14F99">
        <w:rPr>
          <w:rFonts w:asciiTheme="majorBidi" w:hAnsiTheme="majorBidi" w:cstheme="majorBidi"/>
          <w:i/>
          <w:iCs/>
        </w:rPr>
        <w:t>This paper examines how capital structure choices relate to shareholders’ wealth in a high-cost borrowing environment, using panel data for 43 listed Nigerian manufacturing firms over 2013 to 2023 (473 firm-year observations). Shareholders’ wealth is proxied by market capitalisation, with short-term and long-term interest-bearing debt as the principal regressors, cost of debt as a conditioning variable, and profitability and firm size as controls. The empirical strategy relies on pooled Ordinary Least Squares with year effects and firm fixed effects with year effects, with standard errors clustered at the firm level. Interaction terms are constructed from mean-centred debt ratios to aid interpretation and reduce collinearity. The results show that short-term debt is positively and significantly associated with shareholders’ wealth in both estimators, whereas long-term debt is negatively and significantly associated with shareholders’ wealth. The direct effect of the cost of debt is negative and statistically significant in the pooled specification but not in fixed effects. In the fixed-effects framework, the cost of debt significantly moderates the debt–wealth relationship, with a positive interaction with short-term debt and a negative interaction with long-term debt. Overall explanatory power is high in OLS with year effects and, as expected, more modest for within-firm variation. The findings highlight the joint importance of tenor mix and borrowing costs for value creation, with practical implications for treasury policy, investor screening, and credit-market interventions in emerging economies.</w:t>
      </w:r>
    </w:p>
    <w:p w14:paraId="5DF07077" w14:textId="019AEE12" w:rsidR="00E14F99" w:rsidRPr="00E14F99" w:rsidRDefault="00E14F99" w:rsidP="00E14F99">
      <w:pPr>
        <w:jc w:val="both"/>
        <w:rPr>
          <w:rFonts w:asciiTheme="majorBidi" w:hAnsiTheme="majorBidi" w:cstheme="majorBidi"/>
          <w:b/>
          <w:bCs/>
          <w:i/>
          <w:iCs/>
        </w:rPr>
      </w:pPr>
      <w:r>
        <w:rPr>
          <w:rFonts w:asciiTheme="majorBidi" w:hAnsiTheme="majorBidi" w:cstheme="majorBidi"/>
          <w:b/>
          <w:bCs/>
          <w:i/>
          <w:iCs/>
        </w:rPr>
        <w:t xml:space="preserve">Keywords: </w:t>
      </w:r>
      <w:r w:rsidRPr="00E14F99">
        <w:rPr>
          <w:rFonts w:asciiTheme="majorBidi" w:hAnsiTheme="majorBidi" w:cstheme="majorBidi"/>
          <w:b/>
          <w:bCs/>
          <w:i/>
          <w:iCs/>
        </w:rPr>
        <w:t>Capital structure; Shareholders’ wealth; Cost of debt; Short-term debt; Long-term debt; Debt maturity structure; Fixed effects panel; Emerging markets; Nigeria; Manufacturing firms</w:t>
      </w:r>
    </w:p>
    <w:p w14:paraId="284A667C" w14:textId="77777777" w:rsidR="00E14F99" w:rsidRPr="00E14F99" w:rsidRDefault="00E14F99" w:rsidP="005C77F8">
      <w:pPr>
        <w:rPr>
          <w:rFonts w:asciiTheme="majorBidi" w:hAnsiTheme="majorBidi" w:cstheme="majorBidi"/>
          <w:b/>
          <w:bCs/>
        </w:rPr>
      </w:pPr>
    </w:p>
    <w:p w14:paraId="0142BC71" w14:textId="77777777" w:rsidR="005C77F8" w:rsidRPr="005C77F8" w:rsidRDefault="005C77F8" w:rsidP="005C77F8">
      <w:pPr>
        <w:pStyle w:val="Heading2"/>
        <w:rPr>
          <w:rFonts w:asciiTheme="majorBidi" w:hAnsiTheme="majorBidi"/>
          <w:color w:val="auto"/>
          <w:sz w:val="24"/>
          <w:szCs w:val="24"/>
        </w:rPr>
      </w:pPr>
      <w:r w:rsidRPr="005C77F8">
        <w:rPr>
          <w:rFonts w:asciiTheme="majorBidi" w:hAnsiTheme="majorBidi"/>
          <w:b/>
          <w:bCs/>
          <w:color w:val="auto"/>
          <w:sz w:val="24"/>
          <w:szCs w:val="24"/>
        </w:rPr>
        <w:t>Introduction</w:t>
      </w:r>
    </w:p>
    <w:p w14:paraId="1AE6C384" w14:textId="77777777" w:rsidR="00800965" w:rsidRPr="00800965" w:rsidRDefault="00800965" w:rsidP="00800965">
      <w:pPr>
        <w:jc w:val="both"/>
        <w:rPr>
          <w:rFonts w:asciiTheme="majorBidi" w:hAnsiTheme="majorBidi" w:cstheme="majorBidi"/>
          <w:sz w:val="24"/>
          <w:szCs w:val="24"/>
          <w:highlight w:val="yellow"/>
          <w:lang/>
        </w:rPr>
      </w:pPr>
      <w:r w:rsidRPr="00800965">
        <w:rPr>
          <w:rFonts w:asciiTheme="majorBidi" w:hAnsiTheme="majorBidi" w:cstheme="majorBidi"/>
          <w:sz w:val="24"/>
          <w:szCs w:val="24"/>
          <w:highlight w:val="yellow"/>
          <w:lang/>
        </w:rPr>
        <w:t>The choice of capital structure remains a fundamental concern in corporate finance because it directly influences firm valuation and the wealth of shareholders. Seminal international evidence shows that despite institutional differences across countries, firms’ leverage choices are systematically related to a core set of firm-specific characteristics, including profitability, asset tangibility, firm size, and growth opportunities (Rajan &amp; Zingales, 1995). Subsequent synthesis work confirms the robustness of these relationships over long historical periods and across alternative leverage definitions, while also highlighting the role of debt market conditions and inflation expectations in shaping financing behaviour (Frank &amp; Goyal, 2009). In emerging economies, however, where interest rates are persistently high and macroeconomic conditions are unstable, financing decisions take on an even more critical role.</w:t>
      </w:r>
    </w:p>
    <w:p w14:paraId="21E7696F" w14:textId="77777777" w:rsidR="00800965" w:rsidRPr="00800965" w:rsidRDefault="00800965" w:rsidP="00800965">
      <w:pPr>
        <w:jc w:val="both"/>
        <w:rPr>
          <w:rFonts w:asciiTheme="majorBidi" w:hAnsiTheme="majorBidi" w:cstheme="majorBidi"/>
          <w:sz w:val="24"/>
          <w:szCs w:val="24"/>
          <w:highlight w:val="yellow"/>
          <w:lang/>
        </w:rPr>
      </w:pPr>
      <w:r w:rsidRPr="00800965">
        <w:rPr>
          <w:rFonts w:asciiTheme="majorBidi" w:hAnsiTheme="majorBidi" w:cstheme="majorBidi"/>
          <w:sz w:val="24"/>
          <w:szCs w:val="24"/>
          <w:highlight w:val="yellow"/>
          <w:lang/>
        </w:rPr>
        <w:t xml:space="preserve">For firms in Nigeria’s manufacturing and non-financial sectors, borrowing costs are persistently high and access to long-term financing is constrained, making the efficient structuring of debt not merely a theoretical consideration but a practical necessity for survival and competitiveness. In such high-cost borrowing environments, capital structure choices are closely intertwined with debt maturity composition and borrowing costs, which together condition the extent to which leverage enhances or erodes shareholder value. Understanding </w:t>
      </w:r>
      <w:r w:rsidRPr="00800965">
        <w:rPr>
          <w:rFonts w:asciiTheme="majorBidi" w:hAnsiTheme="majorBidi" w:cstheme="majorBidi"/>
          <w:sz w:val="24"/>
          <w:szCs w:val="24"/>
          <w:highlight w:val="yellow"/>
          <w:lang/>
        </w:rPr>
        <w:lastRenderedPageBreak/>
        <w:t>how these financing decisions affect shareholder wealth is therefore of paramount importance to corporate managers, policymakers, and investors (Sike et al., 2022, 2023; Uremadu &amp; Onyekachi, 2018).</w:t>
      </w:r>
    </w:p>
    <w:p w14:paraId="45C48FEE" w14:textId="77777777" w:rsidR="00800965" w:rsidRPr="00800965" w:rsidRDefault="00800965" w:rsidP="00800965">
      <w:pPr>
        <w:jc w:val="both"/>
        <w:rPr>
          <w:rFonts w:asciiTheme="majorBidi" w:hAnsiTheme="majorBidi" w:cstheme="majorBidi"/>
          <w:sz w:val="24"/>
          <w:szCs w:val="24"/>
          <w:highlight w:val="yellow"/>
          <w:lang/>
        </w:rPr>
      </w:pPr>
      <w:r w:rsidRPr="00800965">
        <w:rPr>
          <w:rFonts w:asciiTheme="majorBidi" w:hAnsiTheme="majorBidi" w:cstheme="majorBidi"/>
          <w:sz w:val="24"/>
          <w:szCs w:val="24"/>
          <w:highlight w:val="yellow"/>
          <w:lang/>
        </w:rPr>
        <w:t>Shareholder wealth is generally defined as the market value of a firm’s equity and is most commonly proxied by market capitalisation, dividend returns, and stock price appreciation (Farooq, Su, &amp; Haque, 2016). Capital structure, on the other hand, refers to the mix of debt and equity used to finance a firm’s activities (Modigliani &amp; Miller, 1958). Within this framework, short-term debt offers flexibility and typically lower financing costs but exposes firms to refinancing risk, while long-term debt provides funding stability but can exacerbate financial distress when interest rates are high. The cost of debt, representing the effective interest rate a firm pays on its borrowings, therefore becomes a decisive channel through which macroeconomic conditions translate into firm-level valuation outcomes (Damodaran, 2024). Consistent with this view, Frank and Goyal (2009) emphasise that debt market conditions play a critical role in shaping financing behaviour, even though their primary focus remains on leverage determination rather than shareholder value effects.</w:t>
      </w:r>
    </w:p>
    <w:p w14:paraId="20D277AD" w14:textId="77777777" w:rsidR="00800965" w:rsidRPr="00800965" w:rsidRDefault="00800965" w:rsidP="00800965">
      <w:pPr>
        <w:jc w:val="both"/>
        <w:rPr>
          <w:rFonts w:asciiTheme="majorBidi" w:hAnsiTheme="majorBidi" w:cstheme="majorBidi"/>
          <w:sz w:val="24"/>
          <w:szCs w:val="24"/>
          <w:highlight w:val="yellow"/>
          <w:lang/>
        </w:rPr>
      </w:pPr>
      <w:r w:rsidRPr="00800965">
        <w:rPr>
          <w:rFonts w:asciiTheme="majorBidi" w:hAnsiTheme="majorBidi" w:cstheme="majorBidi"/>
          <w:sz w:val="24"/>
          <w:szCs w:val="24"/>
          <w:highlight w:val="yellow"/>
          <w:lang/>
        </w:rPr>
        <w:t>Extant literature has offered significant insights into the capital structure–firm value relationship. Studies in developed economies generally find that debt can enhance firm value through tax shields up to the point where the risk of financial distress outweighs such benefits (Kraus &amp; Litzenberger, 1973; Jensen &amp; Meckling, 1976). Evidence from emerging markets, however, is less consistent. For instance, Chen and Wang (2017) report that short-term debt depresses market value in China’s manufacturing firms, whereas Froko (2017) finds that short-term financial leverage enhances shareholder wealth in Ghanaian banks. Recent studies further suggest that high borrowing costs can erode the value-enhancing effects of debt financing, particularly long-term debt, in environments characterised by volatile interest rates and currency fluctuations (Bakri, Sufian, &amp; Chin, 2022; Uwuigbe, Otekunrin, &amp; Otekunrin, 2023).</w:t>
      </w:r>
    </w:p>
    <w:p w14:paraId="4545F5FF" w14:textId="77777777" w:rsidR="00800965" w:rsidRPr="00800965" w:rsidRDefault="00800965" w:rsidP="00800965">
      <w:pPr>
        <w:jc w:val="both"/>
        <w:rPr>
          <w:rFonts w:asciiTheme="majorBidi" w:hAnsiTheme="majorBidi" w:cstheme="majorBidi"/>
          <w:sz w:val="24"/>
          <w:szCs w:val="24"/>
          <w:highlight w:val="yellow"/>
          <w:lang/>
        </w:rPr>
      </w:pPr>
      <w:r w:rsidRPr="00800965">
        <w:rPr>
          <w:rFonts w:asciiTheme="majorBidi" w:hAnsiTheme="majorBidi" w:cstheme="majorBidi"/>
          <w:sz w:val="24"/>
          <w:szCs w:val="24"/>
          <w:highlight w:val="yellow"/>
          <w:lang/>
        </w:rPr>
        <w:t>Despite these contributions, important gaps remain in the literature. First, while prior studies have identified firm-level determinants of leverage across countries (Rajan &amp; Zingales, 1995; Frank &amp; Goyal, 2009), most focus on leverage determination rather than on how debt structure and borrowing costs jointly influence shareholder wealth. Second, research in African contexts has disproportionately concentrated on financial institutions, leaving the manufacturing sector underexplored. Third, many studies rely on single-method regression approaches that may not fully capture unobserved firm heterogeneity and time-specific shocks inherent in volatile, high-interest environments. Consequently, there is limited evidence on how the interaction between debt maturity choices and the cost of borrowing shapes shareholder wealth in Nigeria’s manufacturing sector.</w:t>
      </w:r>
    </w:p>
    <w:p w14:paraId="27FB22C9" w14:textId="77777777" w:rsidR="00800965" w:rsidRPr="00800965" w:rsidRDefault="00800965" w:rsidP="00800965">
      <w:pPr>
        <w:jc w:val="both"/>
        <w:rPr>
          <w:rFonts w:asciiTheme="majorBidi" w:hAnsiTheme="majorBidi" w:cstheme="majorBidi"/>
          <w:sz w:val="24"/>
          <w:szCs w:val="24"/>
          <w:highlight w:val="yellow"/>
          <w:lang/>
        </w:rPr>
      </w:pPr>
      <w:r w:rsidRPr="00800965">
        <w:rPr>
          <w:rFonts w:asciiTheme="majorBidi" w:hAnsiTheme="majorBidi" w:cstheme="majorBidi"/>
          <w:sz w:val="24"/>
          <w:szCs w:val="24"/>
          <w:highlight w:val="yellow"/>
          <w:lang/>
        </w:rPr>
        <w:t>This study aims to address these gaps by examining the extent to which short-term and long-term debt affect shareholder wealth and by assessing how the cost of debt moderates these relationships in a high-cost borrowing environment. Using panel data from 43 listed Nigerian manufacturing firms over the period 2013–2023, the study employs Ordinary Least Squares with year effects and firm Fixed Effects with year effects to isolate both cross-sectional and within-firm dynamics. By incorporating interaction terms between debt structure and borrowing costs, the analysis explicitly captures the channel through which adverse debt market conditions influence shareholder value.</w:t>
      </w:r>
    </w:p>
    <w:p w14:paraId="052806D4" w14:textId="29BE2902" w:rsidR="005C77F8" w:rsidRPr="00800965" w:rsidRDefault="00800965" w:rsidP="00800965">
      <w:pPr>
        <w:jc w:val="both"/>
        <w:rPr>
          <w:rFonts w:asciiTheme="majorBidi" w:hAnsiTheme="majorBidi" w:cstheme="majorBidi"/>
          <w:sz w:val="24"/>
          <w:szCs w:val="24"/>
          <w:highlight w:val="yellow"/>
          <w:lang/>
        </w:rPr>
      </w:pPr>
      <w:r w:rsidRPr="00800965">
        <w:rPr>
          <w:rFonts w:asciiTheme="majorBidi" w:hAnsiTheme="majorBidi" w:cstheme="majorBidi"/>
          <w:sz w:val="24"/>
          <w:szCs w:val="24"/>
          <w:highlight w:val="yellow"/>
          <w:lang/>
        </w:rPr>
        <w:lastRenderedPageBreak/>
        <w:t xml:space="preserve">The main contribution of this study is threefold. First, it extends capital structure theory by demonstrating how the traditional benefits and costs of debt are conditioned by borrowing costs in emerging markets. Second, it provides sector-specific empirical evidence from Nigeria’s manufacturing firms, a context largely overlooked in prior research. Third, it offers practical guidance for corporate managers and policymakers by highlighting the importance of cost-efficient debt management strategies for enhancing shareholder value in </w:t>
      </w:r>
      <w:r w:rsidR="00132C30" w:rsidRPr="00800965">
        <w:rPr>
          <w:rFonts w:asciiTheme="majorBidi" w:hAnsiTheme="majorBidi" w:cstheme="majorBidi"/>
          <w:sz w:val="24"/>
          <w:szCs w:val="24"/>
          <w:highlight w:val="yellow"/>
          <w:lang/>
        </w:rPr>
        <w:t>high cost</w:t>
      </w:r>
      <w:r w:rsidRPr="00800965">
        <w:rPr>
          <w:rFonts w:asciiTheme="majorBidi" w:hAnsiTheme="majorBidi" w:cstheme="majorBidi"/>
          <w:sz w:val="24"/>
          <w:szCs w:val="24"/>
          <w:highlight w:val="yellow"/>
          <w:lang/>
        </w:rPr>
        <w:t xml:space="preserve"> borrowing environments</w:t>
      </w:r>
      <w:r w:rsidR="005C77F8" w:rsidRPr="005C77F8">
        <w:rPr>
          <w:rFonts w:asciiTheme="majorBidi" w:hAnsiTheme="majorBidi" w:cstheme="majorBidi"/>
          <w:sz w:val="24"/>
          <w:szCs w:val="24"/>
        </w:rPr>
        <w:t>.</w:t>
      </w:r>
    </w:p>
    <w:p w14:paraId="080B59B2" w14:textId="77777777" w:rsidR="006022F8" w:rsidRPr="006022F8" w:rsidRDefault="006022F8" w:rsidP="006022F8">
      <w:pPr>
        <w:jc w:val="both"/>
        <w:rPr>
          <w:rFonts w:asciiTheme="majorBidi" w:hAnsiTheme="majorBidi" w:cstheme="majorBidi"/>
          <w:b/>
          <w:bCs/>
          <w:sz w:val="24"/>
          <w:szCs w:val="24"/>
        </w:rPr>
      </w:pPr>
      <w:r w:rsidRPr="006022F8">
        <w:rPr>
          <w:rFonts w:asciiTheme="majorBidi" w:hAnsiTheme="majorBidi" w:cstheme="majorBidi"/>
          <w:b/>
          <w:bCs/>
          <w:sz w:val="24"/>
          <w:szCs w:val="24"/>
        </w:rPr>
        <w:t>2. Literature Review</w:t>
      </w:r>
    </w:p>
    <w:p w14:paraId="367CAFF8" w14:textId="77777777" w:rsidR="006022F8" w:rsidRPr="006022F8" w:rsidRDefault="006022F8" w:rsidP="006022F8">
      <w:pPr>
        <w:jc w:val="both"/>
        <w:rPr>
          <w:rFonts w:asciiTheme="majorBidi" w:hAnsiTheme="majorBidi" w:cstheme="majorBidi"/>
          <w:b/>
          <w:bCs/>
          <w:sz w:val="24"/>
          <w:szCs w:val="24"/>
        </w:rPr>
      </w:pPr>
      <w:r w:rsidRPr="006022F8">
        <w:rPr>
          <w:rFonts w:asciiTheme="majorBidi" w:hAnsiTheme="majorBidi" w:cstheme="majorBidi"/>
          <w:b/>
          <w:bCs/>
          <w:sz w:val="24"/>
          <w:szCs w:val="24"/>
        </w:rPr>
        <w:t>2.1 Theoretical Framework</w:t>
      </w:r>
    </w:p>
    <w:p w14:paraId="6877A0AC"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 xml:space="preserve">The relationship between capital structure and shareholder wealth has been explained by several key theories of corporate finance. The most influential among these are the </w:t>
      </w:r>
      <w:r w:rsidRPr="006022F8">
        <w:rPr>
          <w:rFonts w:asciiTheme="majorBidi" w:hAnsiTheme="majorBidi" w:cstheme="majorBidi"/>
          <w:b/>
          <w:bCs/>
          <w:sz w:val="24"/>
          <w:szCs w:val="24"/>
        </w:rPr>
        <w:t>Trade-off Theory</w:t>
      </w:r>
      <w:r w:rsidRPr="006022F8">
        <w:rPr>
          <w:rFonts w:asciiTheme="majorBidi" w:hAnsiTheme="majorBidi" w:cstheme="majorBidi"/>
          <w:sz w:val="24"/>
          <w:szCs w:val="24"/>
        </w:rPr>
        <w:t xml:space="preserve">, the </w:t>
      </w:r>
      <w:r w:rsidRPr="006022F8">
        <w:rPr>
          <w:rFonts w:asciiTheme="majorBidi" w:hAnsiTheme="majorBidi" w:cstheme="majorBidi"/>
          <w:b/>
          <w:bCs/>
          <w:sz w:val="24"/>
          <w:szCs w:val="24"/>
        </w:rPr>
        <w:t>Pecking Order Theory</w:t>
      </w:r>
      <w:r w:rsidRPr="006022F8">
        <w:rPr>
          <w:rFonts w:asciiTheme="majorBidi" w:hAnsiTheme="majorBidi" w:cstheme="majorBidi"/>
          <w:sz w:val="24"/>
          <w:szCs w:val="24"/>
        </w:rPr>
        <w:t xml:space="preserve">, and </w:t>
      </w:r>
      <w:r w:rsidRPr="006022F8">
        <w:rPr>
          <w:rFonts w:asciiTheme="majorBidi" w:hAnsiTheme="majorBidi" w:cstheme="majorBidi"/>
          <w:b/>
          <w:bCs/>
          <w:sz w:val="24"/>
          <w:szCs w:val="24"/>
        </w:rPr>
        <w:t>Agency Theory</w:t>
      </w:r>
      <w:r w:rsidRPr="006022F8">
        <w:rPr>
          <w:rFonts w:asciiTheme="majorBidi" w:hAnsiTheme="majorBidi" w:cstheme="majorBidi"/>
          <w:sz w:val="24"/>
          <w:szCs w:val="24"/>
        </w:rPr>
        <w:t>.</w:t>
      </w:r>
    </w:p>
    <w:p w14:paraId="505BCFAF"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 xml:space="preserve">The </w:t>
      </w:r>
      <w:r w:rsidRPr="006022F8">
        <w:rPr>
          <w:rFonts w:asciiTheme="majorBidi" w:hAnsiTheme="majorBidi" w:cstheme="majorBidi"/>
          <w:b/>
          <w:bCs/>
          <w:sz w:val="24"/>
          <w:szCs w:val="24"/>
        </w:rPr>
        <w:t>Trade-off Theory</w:t>
      </w:r>
      <w:r w:rsidRPr="006022F8">
        <w:rPr>
          <w:rFonts w:asciiTheme="majorBidi" w:hAnsiTheme="majorBidi" w:cstheme="majorBidi"/>
          <w:sz w:val="24"/>
          <w:szCs w:val="24"/>
        </w:rPr>
        <w:t xml:space="preserve"> posits that firms balance the benefits of debt, particularly the tax shield provided by interest deductibility, against the costs of financial distress and bankruptcy (Kraus &amp; Litzenberger, 1973). Under this framework, firms maximise value by choosing an optimal debt level where marginal tax benefits equal marginal distress costs. However, in high-cost borrowing environments, the benefits of debt may be offset more quickly, reducing the likelihood of value creation.</w:t>
      </w:r>
    </w:p>
    <w:p w14:paraId="6D3B474F"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 xml:space="preserve">The </w:t>
      </w:r>
      <w:r w:rsidRPr="006022F8">
        <w:rPr>
          <w:rFonts w:asciiTheme="majorBidi" w:hAnsiTheme="majorBidi" w:cstheme="majorBidi"/>
          <w:b/>
          <w:bCs/>
          <w:sz w:val="24"/>
          <w:szCs w:val="24"/>
        </w:rPr>
        <w:t>Pecking Order Theory</w:t>
      </w:r>
      <w:r w:rsidRPr="006022F8">
        <w:rPr>
          <w:rFonts w:asciiTheme="majorBidi" w:hAnsiTheme="majorBidi" w:cstheme="majorBidi"/>
          <w:sz w:val="24"/>
          <w:szCs w:val="24"/>
        </w:rPr>
        <w:t xml:space="preserve"> (Myers, 1984) suggests that firms prefer internal financing through retained earnings, followed by debt, and only resort to equity as a last option. This hierarchy arises due to information asymmetries between managers and investors, which make external equity more expensive. In contexts such as Nigeria, where borrowing costs are high, this theory predicts an even stronger reliance on internal financing, with debt used cautiously.</w:t>
      </w:r>
    </w:p>
    <w:p w14:paraId="162BA0A1"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b/>
          <w:bCs/>
          <w:sz w:val="24"/>
          <w:szCs w:val="24"/>
        </w:rPr>
        <w:t>Agency Theory</w:t>
      </w:r>
      <w:r w:rsidRPr="006022F8">
        <w:rPr>
          <w:rFonts w:asciiTheme="majorBidi" w:hAnsiTheme="majorBidi" w:cstheme="majorBidi"/>
          <w:sz w:val="24"/>
          <w:szCs w:val="24"/>
        </w:rPr>
        <w:t xml:space="preserve"> (Jensen &amp; Meckling, 1976) explains how debt can discipline managers by limiting free cash flow available for discretionary projects. However, high interest obligations can also increase the likelihood of financial distress, shifting risk from shareholders to debt holders and eroding firm value. The theory thus highlights both the disciplining and constraining roles of debt.</w:t>
      </w:r>
    </w:p>
    <w:p w14:paraId="704FEDD8" w14:textId="2AC81D8A"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Collectively, these theories underscore the contingent nature of capital structure decisions. The extent to which debt enhances or reduces shareholder wealth depends not only on the maturity structure of debt but also on the prevailing cost of borrowing.</w:t>
      </w:r>
    </w:p>
    <w:p w14:paraId="45645D72" w14:textId="77777777" w:rsidR="006022F8" w:rsidRPr="006022F8" w:rsidRDefault="006022F8" w:rsidP="006022F8">
      <w:pPr>
        <w:jc w:val="both"/>
        <w:rPr>
          <w:rFonts w:asciiTheme="majorBidi" w:hAnsiTheme="majorBidi" w:cstheme="majorBidi"/>
          <w:b/>
          <w:bCs/>
          <w:sz w:val="24"/>
          <w:szCs w:val="24"/>
        </w:rPr>
      </w:pPr>
      <w:r w:rsidRPr="006022F8">
        <w:rPr>
          <w:rFonts w:asciiTheme="majorBidi" w:hAnsiTheme="majorBidi" w:cstheme="majorBidi"/>
          <w:b/>
          <w:bCs/>
          <w:sz w:val="24"/>
          <w:szCs w:val="24"/>
        </w:rPr>
        <w:t>2.2 Empirical Review and Hypotheses Development</w:t>
      </w:r>
    </w:p>
    <w:p w14:paraId="3661C07F" w14:textId="77777777" w:rsidR="006022F8" w:rsidRPr="006022F8" w:rsidRDefault="006022F8" w:rsidP="006022F8">
      <w:pPr>
        <w:jc w:val="both"/>
        <w:rPr>
          <w:rFonts w:asciiTheme="majorBidi" w:hAnsiTheme="majorBidi" w:cstheme="majorBidi"/>
          <w:b/>
          <w:bCs/>
          <w:sz w:val="24"/>
          <w:szCs w:val="24"/>
        </w:rPr>
      </w:pPr>
      <w:r w:rsidRPr="006022F8">
        <w:rPr>
          <w:rFonts w:asciiTheme="majorBidi" w:hAnsiTheme="majorBidi" w:cstheme="majorBidi"/>
          <w:b/>
          <w:bCs/>
          <w:sz w:val="24"/>
          <w:szCs w:val="24"/>
        </w:rPr>
        <w:t>2.2.1 Short-Term Debt and Shareholders’ Wealth</w:t>
      </w:r>
    </w:p>
    <w:p w14:paraId="5F22990F"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Short-term debt provides firms with liquidity and flexibility, enabling them to meet working capital needs without committing to long-term obligations. Empirical evidence, however, remains mixed. Smith and Brown (2015) reported a negative association between short-term debt and market capitalisation in United States technology firms, suggesting refinancing risks diminish value. Similarly, Chen and Wang (2017) observed that Chinese manufacturing firms with high short-term debt experienced lower firm valuation.</w:t>
      </w:r>
    </w:p>
    <w:p w14:paraId="4D56B4E2"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 xml:space="preserve">In contrast, Froko (2017) found that higher levels of short-term financial leverage increased shareholder wealth in Ghanaian banks, reflecting the benefits of flexibility in emerging markets. </w:t>
      </w:r>
      <w:r w:rsidRPr="006022F8">
        <w:rPr>
          <w:rFonts w:asciiTheme="majorBidi" w:hAnsiTheme="majorBidi" w:cstheme="majorBidi"/>
          <w:sz w:val="24"/>
          <w:szCs w:val="24"/>
        </w:rPr>
        <w:lastRenderedPageBreak/>
        <w:t>Altaf and Ahmad (2019) also argued that short-term credit can improve firm performance by adjusting quickly to financial needs. However, Baños-Caballero, García-Teruel, and Martínez-Solano (2016) cautioned that excessive reliance on short-term financing heightens refinancing and liquidity risks, which may undermine value.</w:t>
      </w:r>
    </w:p>
    <w:p w14:paraId="1266132D"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In Nigeria, studies are limited but indicate similar dynamics. Oke and Adebayo (2020) found that short-term debt negatively influenced firm valuation in the agricultural sector, emphasising the risks of liquidity shocks in volatile financial environments. Against this backdrop, the study proposes the following hypothesis:</w:t>
      </w:r>
    </w:p>
    <w:p w14:paraId="524204E3" w14:textId="65B02C1F"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b/>
          <w:bCs/>
          <w:sz w:val="24"/>
          <w:szCs w:val="24"/>
        </w:rPr>
        <w:t>H1:</w:t>
      </w:r>
      <w:r w:rsidRPr="006022F8">
        <w:rPr>
          <w:rFonts w:asciiTheme="majorBidi" w:hAnsiTheme="majorBidi" w:cstheme="majorBidi"/>
          <w:sz w:val="24"/>
          <w:szCs w:val="24"/>
        </w:rPr>
        <w:t xml:space="preserve"> </w:t>
      </w:r>
      <w:r w:rsidRPr="006022F8">
        <w:rPr>
          <w:rFonts w:asciiTheme="majorBidi" w:hAnsiTheme="majorBidi" w:cstheme="majorBidi"/>
          <w:i/>
          <w:iCs/>
          <w:sz w:val="24"/>
          <w:szCs w:val="24"/>
        </w:rPr>
        <w:t>Short-term debt has a significant effect on shareholders’ wealth in high-cost borrowing environments.</w:t>
      </w:r>
    </w:p>
    <w:p w14:paraId="49C26795" w14:textId="77777777" w:rsidR="006022F8" w:rsidRPr="006022F8" w:rsidRDefault="006022F8" w:rsidP="006022F8">
      <w:pPr>
        <w:jc w:val="both"/>
        <w:rPr>
          <w:rFonts w:asciiTheme="majorBidi" w:hAnsiTheme="majorBidi" w:cstheme="majorBidi"/>
          <w:b/>
          <w:bCs/>
          <w:sz w:val="24"/>
          <w:szCs w:val="24"/>
        </w:rPr>
      </w:pPr>
      <w:r w:rsidRPr="006022F8">
        <w:rPr>
          <w:rFonts w:asciiTheme="majorBidi" w:hAnsiTheme="majorBidi" w:cstheme="majorBidi"/>
          <w:b/>
          <w:bCs/>
          <w:sz w:val="24"/>
          <w:szCs w:val="24"/>
        </w:rPr>
        <w:t>2.2.2 Long-Term Debt and Shareholders’ Wealth</w:t>
      </w:r>
    </w:p>
    <w:p w14:paraId="420CA748"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Long-term debt is commonly used to finance capital expenditures and strategic growth initiatives. Theoretically, it provides stability and reduces refinancing pressure. However, empirical studies often show adverse effects on shareholder wealth in developing economies. Shubita and Alsawalhah (2012) documented that excessive long-term debt increased bankruptcy risks and reduced profitability among Jordanian firms. Li, Meng, and Sun (2022) highlighted that long-term debt can improve value only when borrowing costs remain manageable.</w:t>
      </w:r>
    </w:p>
    <w:p w14:paraId="7A7A3B10"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In emerging markets, Martinez and Lopez (2016) found that long-term borrowing in Brazil’s energy sector eroded firm valuation when interest rates were high. Similarly, Caragnano, Giacosa, and Mazzoleni (2020) concluded that while long-term debt can limit managerial discretion and overinvestment, its value-enhancing potential declines in environments of financial instability.</w:t>
      </w:r>
    </w:p>
    <w:p w14:paraId="3E38C0B6"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Evidence from Nigeria underscores this trend. Ogundajo and Nwaobia (2021) reported that long-term debt had a negative association with shareholder wealth among listed firms, primarily due to high servicing costs. The findings suggest that reliance on long-term borrowing in volatile environments may constrain investment opportunities and diminish market confidence. Accordingly, the study hypothesises that:</w:t>
      </w:r>
    </w:p>
    <w:p w14:paraId="6B29A8A4" w14:textId="486A1FB5" w:rsidR="006022F8" w:rsidRPr="006022F8" w:rsidRDefault="006022F8" w:rsidP="006022F8">
      <w:pPr>
        <w:jc w:val="both"/>
        <w:rPr>
          <w:rFonts w:asciiTheme="majorBidi" w:hAnsiTheme="majorBidi" w:cstheme="majorBidi"/>
          <w:i/>
          <w:iCs/>
          <w:sz w:val="24"/>
          <w:szCs w:val="24"/>
        </w:rPr>
      </w:pPr>
      <w:r w:rsidRPr="006022F8">
        <w:rPr>
          <w:rFonts w:asciiTheme="majorBidi" w:hAnsiTheme="majorBidi" w:cstheme="majorBidi"/>
          <w:b/>
          <w:bCs/>
          <w:sz w:val="24"/>
          <w:szCs w:val="24"/>
        </w:rPr>
        <w:t>H2:</w:t>
      </w:r>
      <w:r w:rsidRPr="006022F8">
        <w:rPr>
          <w:rFonts w:asciiTheme="majorBidi" w:hAnsiTheme="majorBidi" w:cstheme="majorBidi"/>
          <w:sz w:val="24"/>
          <w:szCs w:val="24"/>
        </w:rPr>
        <w:t xml:space="preserve"> </w:t>
      </w:r>
      <w:r w:rsidRPr="006022F8">
        <w:rPr>
          <w:rFonts w:asciiTheme="majorBidi" w:hAnsiTheme="majorBidi" w:cstheme="majorBidi"/>
          <w:i/>
          <w:iCs/>
          <w:sz w:val="24"/>
          <w:szCs w:val="24"/>
        </w:rPr>
        <w:t>Long-term debt has a significant effect on shareholders’ wealth in high-cost borrowing environments.</w:t>
      </w:r>
    </w:p>
    <w:p w14:paraId="38379DBB" w14:textId="77777777" w:rsidR="006022F8" w:rsidRPr="006022F8" w:rsidRDefault="006022F8" w:rsidP="006022F8">
      <w:pPr>
        <w:jc w:val="both"/>
        <w:rPr>
          <w:rFonts w:asciiTheme="majorBidi" w:hAnsiTheme="majorBidi" w:cstheme="majorBidi"/>
          <w:b/>
          <w:bCs/>
          <w:sz w:val="24"/>
          <w:szCs w:val="24"/>
        </w:rPr>
      </w:pPr>
      <w:r w:rsidRPr="006022F8">
        <w:rPr>
          <w:rFonts w:asciiTheme="majorBidi" w:hAnsiTheme="majorBidi" w:cstheme="majorBidi"/>
          <w:b/>
          <w:bCs/>
          <w:sz w:val="24"/>
          <w:szCs w:val="24"/>
        </w:rPr>
        <w:t>2.2.3 Cost of Debt, Debt Structure, and Shareholders’ Wealth</w:t>
      </w:r>
    </w:p>
    <w:p w14:paraId="48AAD60A"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The cost of debt represents the effective rate a firm pays on its borrowings, reflecting both explicit interest expenses and implicit risks of financial distress. It is a critical determinant of whether debt financing enhances or erodes shareholder wealth. Fama and French (2002) argue that high borrowing costs can neutralise the tax benefits of debt, thereby reducing firm value. Empirical evidence confirms that borrowing costs play a moderating role. Borio and Zabai (2020) demonstrated that rising interest rates increase debt servicing burdens, weakening firm performance.</w:t>
      </w:r>
    </w:p>
    <w:p w14:paraId="5CE225EE"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 xml:space="preserve">In the Nigerian context, where interest rates often fluctuate between 10 and 20 per cent (Central Bank of Nigeria, 2023), the moderating role of borrowing costs is particularly pronounced. Ogundipe, Osho, and Adebayo (2022) showed that during the COVID-19 period, rising </w:t>
      </w:r>
      <w:r w:rsidRPr="006022F8">
        <w:rPr>
          <w:rFonts w:asciiTheme="majorBidi" w:hAnsiTheme="majorBidi" w:cstheme="majorBidi"/>
          <w:sz w:val="24"/>
          <w:szCs w:val="24"/>
        </w:rPr>
        <w:lastRenderedPageBreak/>
        <w:t>borrowing costs amplified financial distress in manufacturing firms, diminishing market valuation. Similarly, Uwuigbe et al. (2023) concluded that firms exposed to high cost of debt experienced reduced capacity to generate shareholder wealth, irrespective of their debt maturity structure.</w:t>
      </w:r>
    </w:p>
    <w:p w14:paraId="6AD615AB" w14:textId="77777777" w:rsid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Integrating these findings suggests that borrowing costs not only directly affect shareholder wealth but also shape the impact of short- and long-term debt on firm value. Consequently, the following hypotheses are proposed:</w:t>
      </w:r>
    </w:p>
    <w:p w14:paraId="38117924" w14:textId="53288ED6" w:rsidR="00A0105B" w:rsidRPr="006022F8" w:rsidRDefault="00A0105B" w:rsidP="00096213">
      <w:pPr>
        <w:jc w:val="both"/>
        <w:rPr>
          <w:rFonts w:asciiTheme="majorBidi" w:hAnsiTheme="majorBidi" w:cstheme="majorBidi"/>
          <w:sz w:val="24"/>
          <w:szCs w:val="24"/>
        </w:rPr>
      </w:pPr>
      <w:r w:rsidRPr="006022F8">
        <w:rPr>
          <w:rFonts w:asciiTheme="majorBidi" w:hAnsiTheme="majorBidi" w:cstheme="majorBidi"/>
          <w:b/>
          <w:bCs/>
          <w:sz w:val="24"/>
          <w:szCs w:val="24"/>
        </w:rPr>
        <w:t>H3:</w:t>
      </w:r>
      <w:r w:rsidRPr="006022F8">
        <w:rPr>
          <w:rFonts w:asciiTheme="majorBidi" w:hAnsiTheme="majorBidi" w:cstheme="majorBidi"/>
          <w:sz w:val="24"/>
          <w:szCs w:val="24"/>
        </w:rPr>
        <w:t xml:space="preserve"> </w:t>
      </w:r>
      <w:r w:rsidRPr="006022F8">
        <w:rPr>
          <w:rFonts w:asciiTheme="majorBidi" w:hAnsiTheme="majorBidi" w:cstheme="majorBidi"/>
          <w:i/>
          <w:iCs/>
          <w:sz w:val="24"/>
          <w:szCs w:val="24"/>
        </w:rPr>
        <w:t xml:space="preserve">The cost of debt </w:t>
      </w:r>
      <w:r w:rsidR="00CE64CC">
        <w:rPr>
          <w:rFonts w:asciiTheme="majorBidi" w:hAnsiTheme="majorBidi" w:cstheme="majorBidi"/>
          <w:i/>
          <w:iCs/>
          <w:sz w:val="24"/>
          <w:szCs w:val="24"/>
        </w:rPr>
        <w:t xml:space="preserve">is negatively </w:t>
      </w:r>
      <w:r w:rsidR="007A079F">
        <w:rPr>
          <w:rFonts w:asciiTheme="majorBidi" w:hAnsiTheme="majorBidi" w:cstheme="majorBidi"/>
          <w:i/>
          <w:iCs/>
          <w:sz w:val="24"/>
          <w:szCs w:val="24"/>
        </w:rPr>
        <w:t xml:space="preserve">associated </w:t>
      </w:r>
      <w:proofErr w:type="gramStart"/>
      <w:r w:rsidR="007A079F">
        <w:rPr>
          <w:rFonts w:asciiTheme="majorBidi" w:hAnsiTheme="majorBidi" w:cstheme="majorBidi"/>
          <w:i/>
          <w:iCs/>
          <w:sz w:val="24"/>
          <w:szCs w:val="24"/>
        </w:rPr>
        <w:t xml:space="preserve">with </w:t>
      </w:r>
      <w:r w:rsidRPr="006022F8">
        <w:rPr>
          <w:rFonts w:asciiTheme="majorBidi" w:hAnsiTheme="majorBidi" w:cstheme="majorBidi"/>
          <w:i/>
          <w:iCs/>
          <w:sz w:val="24"/>
          <w:szCs w:val="24"/>
        </w:rPr>
        <w:t xml:space="preserve"> shareholders</w:t>
      </w:r>
      <w:proofErr w:type="gramEnd"/>
      <w:r w:rsidRPr="006022F8">
        <w:rPr>
          <w:rFonts w:asciiTheme="majorBidi" w:hAnsiTheme="majorBidi" w:cstheme="majorBidi"/>
          <w:i/>
          <w:iCs/>
          <w:sz w:val="24"/>
          <w:szCs w:val="24"/>
        </w:rPr>
        <w:t>’ wealth.</w:t>
      </w:r>
    </w:p>
    <w:p w14:paraId="4A31B03F" w14:textId="6A806968" w:rsidR="006022F8" w:rsidRPr="006022F8" w:rsidRDefault="006022F8" w:rsidP="00C44228">
      <w:pPr>
        <w:jc w:val="both"/>
        <w:rPr>
          <w:rFonts w:asciiTheme="majorBidi" w:hAnsiTheme="majorBidi" w:cstheme="majorBidi"/>
          <w:sz w:val="24"/>
          <w:szCs w:val="24"/>
        </w:rPr>
      </w:pPr>
      <w:r w:rsidRPr="006022F8">
        <w:rPr>
          <w:rFonts w:asciiTheme="majorBidi" w:hAnsiTheme="majorBidi" w:cstheme="majorBidi"/>
          <w:b/>
          <w:bCs/>
          <w:sz w:val="24"/>
          <w:szCs w:val="24"/>
        </w:rPr>
        <w:t>H</w:t>
      </w:r>
      <w:r w:rsidR="00096213">
        <w:rPr>
          <w:rFonts w:asciiTheme="majorBidi" w:hAnsiTheme="majorBidi" w:cstheme="majorBidi"/>
          <w:b/>
          <w:bCs/>
          <w:sz w:val="24"/>
          <w:szCs w:val="24"/>
        </w:rPr>
        <w:t>4</w:t>
      </w:r>
      <w:r w:rsidRPr="006022F8">
        <w:rPr>
          <w:rFonts w:asciiTheme="majorBidi" w:hAnsiTheme="majorBidi" w:cstheme="majorBidi"/>
          <w:b/>
          <w:bCs/>
          <w:sz w:val="24"/>
          <w:szCs w:val="24"/>
        </w:rPr>
        <w:t>:</w:t>
      </w:r>
      <w:r w:rsidRPr="006022F8">
        <w:rPr>
          <w:rFonts w:asciiTheme="majorBidi" w:hAnsiTheme="majorBidi" w:cstheme="majorBidi"/>
          <w:sz w:val="24"/>
          <w:szCs w:val="24"/>
        </w:rPr>
        <w:t xml:space="preserve"> </w:t>
      </w:r>
      <w:r w:rsidR="00C44228" w:rsidRPr="00C44228">
        <w:rPr>
          <w:rFonts w:asciiTheme="majorBidi" w:hAnsiTheme="majorBidi" w:cstheme="majorBidi"/>
          <w:i/>
          <w:iCs/>
          <w:sz w:val="24"/>
          <w:szCs w:val="24"/>
        </w:rPr>
        <w:t>The cost of debt does not significantly moderate the relationship between short-term debt and shareholders’ wealth</w:t>
      </w:r>
      <w:r w:rsidRPr="006022F8">
        <w:rPr>
          <w:rFonts w:asciiTheme="majorBidi" w:hAnsiTheme="majorBidi" w:cstheme="majorBidi"/>
          <w:i/>
          <w:iCs/>
          <w:sz w:val="24"/>
          <w:szCs w:val="24"/>
        </w:rPr>
        <w:t>.</w:t>
      </w:r>
    </w:p>
    <w:p w14:paraId="6F434570" w14:textId="5753E45D" w:rsidR="006022F8" w:rsidRPr="006022F8" w:rsidRDefault="006022F8" w:rsidP="008D7637">
      <w:pPr>
        <w:jc w:val="both"/>
        <w:rPr>
          <w:rFonts w:asciiTheme="majorBidi" w:hAnsiTheme="majorBidi" w:cstheme="majorBidi"/>
          <w:sz w:val="24"/>
          <w:szCs w:val="24"/>
        </w:rPr>
      </w:pPr>
      <w:r w:rsidRPr="006022F8">
        <w:rPr>
          <w:rFonts w:asciiTheme="majorBidi" w:hAnsiTheme="majorBidi" w:cstheme="majorBidi"/>
          <w:b/>
          <w:bCs/>
          <w:sz w:val="24"/>
          <w:szCs w:val="24"/>
        </w:rPr>
        <w:t>H</w:t>
      </w:r>
      <w:r w:rsidR="00096213">
        <w:rPr>
          <w:rFonts w:asciiTheme="majorBidi" w:hAnsiTheme="majorBidi" w:cstheme="majorBidi"/>
          <w:b/>
          <w:bCs/>
          <w:sz w:val="24"/>
          <w:szCs w:val="24"/>
        </w:rPr>
        <w:t>5</w:t>
      </w:r>
      <w:r w:rsidRPr="006022F8">
        <w:rPr>
          <w:rFonts w:asciiTheme="majorBidi" w:hAnsiTheme="majorBidi" w:cstheme="majorBidi"/>
          <w:b/>
          <w:bCs/>
          <w:sz w:val="24"/>
          <w:szCs w:val="24"/>
        </w:rPr>
        <w:t>:</w:t>
      </w:r>
      <w:r w:rsidRPr="006022F8">
        <w:rPr>
          <w:rFonts w:asciiTheme="majorBidi" w:hAnsiTheme="majorBidi" w:cstheme="majorBidi"/>
          <w:sz w:val="24"/>
          <w:szCs w:val="24"/>
        </w:rPr>
        <w:t xml:space="preserve"> </w:t>
      </w:r>
      <w:r w:rsidR="008D7637" w:rsidRPr="008D7637">
        <w:rPr>
          <w:rFonts w:asciiTheme="majorBidi" w:hAnsiTheme="majorBidi" w:cstheme="majorBidi"/>
          <w:i/>
          <w:iCs/>
          <w:sz w:val="24"/>
          <w:szCs w:val="24"/>
        </w:rPr>
        <w:t>The cost of debt does not significantly moderate the relationship between long-term debt and shareholders’ wealth.</w:t>
      </w:r>
    </w:p>
    <w:p w14:paraId="24E9EC7F" w14:textId="77777777" w:rsidR="006022F8" w:rsidRPr="006022F8" w:rsidRDefault="006022F8" w:rsidP="006022F8">
      <w:pPr>
        <w:pStyle w:val="Heading2"/>
        <w:rPr>
          <w:rFonts w:asciiTheme="majorBidi" w:hAnsiTheme="majorBidi"/>
          <w:b/>
          <w:bCs/>
          <w:color w:val="auto"/>
          <w:sz w:val="24"/>
          <w:szCs w:val="24"/>
        </w:rPr>
      </w:pPr>
      <w:r w:rsidRPr="006022F8">
        <w:rPr>
          <w:rFonts w:asciiTheme="majorBidi" w:hAnsiTheme="majorBidi"/>
          <w:b/>
          <w:bCs/>
          <w:color w:val="auto"/>
          <w:sz w:val="24"/>
          <w:szCs w:val="24"/>
        </w:rPr>
        <w:t>3. Methodology</w:t>
      </w:r>
    </w:p>
    <w:p w14:paraId="3D22821A"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This study adopts an ex post facto research design, which is appropriate because the data under investigation already exist in the audited annual reports of firms and cannot be manipulated by the researcher. The population consists of 50 manufacturing firms listed on the Nigerian Exchange Group as at December 2023. A purposive sampling approach was applied to select 43 firms based on the completeness of their annual reports and financial statements for the period 2013 to 2023, yielding an eleven-year balanced panel. Secondary data were obtained from published financial statements, the NGX Factbook, and relevant reports of the Central Bank of Nigeria.</w:t>
      </w:r>
    </w:p>
    <w:p w14:paraId="6FE60199"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The dependent variable is shareholders’ wealth, proxied by market capitalisation, measured as the share price multiplied by the number of outstanding shares. The key explanatory variables are short-term debt, measured as the ratio of current liabilities to total assets, and long-term debt, measured as the ratio of long-term liabilities to total assets. The moderating variable is the cost of debt, calculated as interest expenses divided by total debt. Two control variables are introduced to isolate firm-specific effects: firm size, proxied by the natural logarithm of total assets, and profitability, proxied by return on assets.</w:t>
      </w:r>
    </w:p>
    <w:p w14:paraId="65D848D6" w14:textId="77777777" w:rsidR="006022F8" w:rsidRPr="006022F8" w:rsidRDefault="006022F8" w:rsidP="006022F8">
      <w:pPr>
        <w:jc w:val="both"/>
        <w:rPr>
          <w:rFonts w:asciiTheme="majorBidi" w:hAnsiTheme="majorBidi" w:cstheme="majorBidi"/>
          <w:sz w:val="24"/>
          <w:szCs w:val="24"/>
        </w:rPr>
      </w:pPr>
      <w:r w:rsidRPr="006022F8">
        <w:rPr>
          <w:rFonts w:asciiTheme="majorBidi" w:hAnsiTheme="majorBidi" w:cstheme="majorBidi"/>
          <w:sz w:val="24"/>
          <w:szCs w:val="24"/>
        </w:rPr>
        <w:t>Panel regression techniques were employed to estimate the specified relationships. Two models were used: pooled Ordinary Least Squares (OLS) with year dummies to control for time-specific shocks such as inflation, exchange rate volatility, and the COVID-19 pandemic, and the Fixed Effects (FE) estimator with year dummies to account for unobserved heterogeneity across firms. The models are expressed as follows:</w:t>
      </w:r>
    </w:p>
    <w:p w14:paraId="356F1621" w14:textId="08D6D7ED" w:rsidR="006022F8" w:rsidRPr="00560FFC" w:rsidRDefault="006022F8" w:rsidP="00560FFC">
      <w:pPr>
        <w:jc w:val="both"/>
        <w:rPr>
          <w:rFonts w:asciiTheme="majorBidi" w:hAnsiTheme="majorBidi" w:cstheme="majorBidi"/>
          <w:sz w:val="24"/>
          <w:szCs w:val="24"/>
        </w:rPr>
      </w:pPr>
      <w:proofErr w:type="gramStart"/>
      <w:r w:rsidRPr="006022F8">
        <w:rPr>
          <w:rFonts w:asciiTheme="majorBidi" w:hAnsiTheme="majorBidi" w:cstheme="majorBidi"/>
          <w:sz w:val="24"/>
          <w:szCs w:val="24"/>
        </w:rPr>
        <w:t>ln(</w:t>
      </w:r>
      <w:proofErr w:type="gramEnd"/>
      <w:r w:rsidRPr="006022F8">
        <w:rPr>
          <w:rFonts w:asciiTheme="majorBidi" w:hAnsiTheme="majorBidi" w:cstheme="majorBidi"/>
          <w:sz w:val="24"/>
          <w:szCs w:val="24"/>
        </w:rPr>
        <w:t>SW</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)=β</w:t>
      </w:r>
      <w:r w:rsidRPr="006022F8">
        <w:rPr>
          <w:rFonts w:asciiTheme="majorBidi" w:hAnsiTheme="majorBidi" w:cstheme="majorBidi"/>
          <w:sz w:val="24"/>
          <w:szCs w:val="24"/>
          <w:vertAlign w:val="subscript"/>
        </w:rPr>
        <w:t>0</w:t>
      </w:r>
      <w:r w:rsidRPr="006022F8">
        <w:rPr>
          <w:rFonts w:asciiTheme="majorBidi" w:hAnsiTheme="majorBidi" w:cstheme="majorBidi"/>
          <w:sz w:val="24"/>
          <w:szCs w:val="24"/>
        </w:rPr>
        <w:t>+β</w:t>
      </w:r>
      <w:r w:rsidRPr="006022F8">
        <w:rPr>
          <w:rFonts w:asciiTheme="majorBidi" w:hAnsiTheme="majorBidi" w:cstheme="majorBidi"/>
          <w:sz w:val="24"/>
          <w:szCs w:val="24"/>
          <w:vertAlign w:val="subscript"/>
        </w:rPr>
        <w:t>1</w:t>
      </w:r>
      <w:r w:rsidRPr="006022F8">
        <w:rPr>
          <w:rFonts w:asciiTheme="majorBidi" w:hAnsiTheme="majorBidi" w:cstheme="majorBidi"/>
          <w:sz w:val="24"/>
          <w:szCs w:val="24"/>
        </w:rPr>
        <w:t>STIBD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+β</w:t>
      </w:r>
      <w:r w:rsidRPr="006022F8">
        <w:rPr>
          <w:rFonts w:asciiTheme="majorBidi" w:hAnsiTheme="majorBidi" w:cstheme="majorBidi"/>
          <w:sz w:val="24"/>
          <w:szCs w:val="24"/>
          <w:vertAlign w:val="subscript"/>
        </w:rPr>
        <w:t>2</w:t>
      </w:r>
      <w:r w:rsidRPr="006022F8">
        <w:rPr>
          <w:rFonts w:asciiTheme="majorBidi" w:hAnsiTheme="majorBidi" w:cstheme="majorBidi"/>
          <w:sz w:val="24"/>
          <w:szCs w:val="24"/>
        </w:rPr>
        <w:t>LTIBD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+β</w:t>
      </w:r>
      <w:r w:rsidRPr="006022F8">
        <w:rPr>
          <w:rFonts w:asciiTheme="majorBidi" w:hAnsiTheme="majorBidi" w:cstheme="majorBidi"/>
          <w:sz w:val="24"/>
          <w:szCs w:val="24"/>
          <w:vertAlign w:val="subscript"/>
        </w:rPr>
        <w:t>3</w:t>
      </w:r>
      <w:r w:rsidRPr="006022F8">
        <w:rPr>
          <w:rFonts w:asciiTheme="majorBidi" w:hAnsiTheme="majorBidi" w:cstheme="majorBidi"/>
          <w:sz w:val="24"/>
          <w:szCs w:val="24"/>
        </w:rPr>
        <w:t>CoD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+β</w:t>
      </w:r>
      <w:r w:rsidRPr="006022F8">
        <w:rPr>
          <w:rFonts w:asciiTheme="majorBidi" w:hAnsiTheme="majorBidi" w:cstheme="majorBidi"/>
          <w:sz w:val="24"/>
          <w:szCs w:val="24"/>
          <w:vertAlign w:val="subscript"/>
        </w:rPr>
        <w:t>4</w:t>
      </w:r>
      <w:r w:rsidRPr="006022F8">
        <w:rPr>
          <w:rFonts w:asciiTheme="majorBidi" w:hAnsiTheme="majorBidi" w:cstheme="majorBidi"/>
          <w:sz w:val="24"/>
          <w:szCs w:val="24"/>
        </w:rPr>
        <w:t>(STIBD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w:t>
      </w:r>
      <w:proofErr w:type="gramStart"/>
      <w:r w:rsidRPr="006022F8">
        <w:rPr>
          <w:rFonts w:asciiTheme="majorBidi" w:hAnsiTheme="majorBidi" w:cstheme="majorBidi"/>
          <w:sz w:val="24"/>
          <w:szCs w:val="24"/>
        </w:rPr>
        <w:t>CoD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w:t>
      </w:r>
      <w:proofErr w:type="gramEnd"/>
      <w:r w:rsidRPr="006022F8">
        <w:rPr>
          <w:rFonts w:asciiTheme="majorBidi" w:hAnsiTheme="majorBidi" w:cstheme="majorBidi"/>
          <w:sz w:val="24"/>
          <w:szCs w:val="24"/>
        </w:rPr>
        <w:t>β</w:t>
      </w:r>
      <w:r w:rsidRPr="006022F8">
        <w:rPr>
          <w:rFonts w:asciiTheme="majorBidi" w:hAnsiTheme="majorBidi" w:cstheme="majorBidi"/>
          <w:sz w:val="24"/>
          <w:szCs w:val="24"/>
          <w:vertAlign w:val="subscript"/>
        </w:rPr>
        <w:t>5</w:t>
      </w:r>
      <w:r w:rsidRPr="006022F8">
        <w:rPr>
          <w:rFonts w:asciiTheme="majorBidi" w:hAnsiTheme="majorBidi" w:cstheme="majorBidi"/>
          <w:sz w:val="24"/>
          <w:szCs w:val="24"/>
        </w:rPr>
        <w:t>(LTIBD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w:t>
      </w:r>
      <w:proofErr w:type="gramStart"/>
      <w:r w:rsidRPr="006022F8">
        <w:rPr>
          <w:rFonts w:asciiTheme="majorBidi" w:hAnsiTheme="majorBidi" w:cstheme="majorBidi"/>
          <w:sz w:val="24"/>
          <w:szCs w:val="24"/>
        </w:rPr>
        <w:t>CoD</w:t>
      </w:r>
      <w:r w:rsidRPr="006022F8">
        <w:rPr>
          <w:rFonts w:asciiTheme="majorBidi" w:hAnsiTheme="majorBidi" w:cstheme="majorBidi"/>
          <w:sz w:val="24"/>
          <w:szCs w:val="24"/>
          <w:vertAlign w:val="subscript"/>
        </w:rPr>
        <w:t>it</w:t>
      </w:r>
      <w:r w:rsidRPr="006022F8">
        <w:rPr>
          <w:rFonts w:asciiTheme="majorBidi" w:hAnsiTheme="majorBidi" w:cstheme="majorBidi"/>
          <w:sz w:val="24"/>
          <w:szCs w:val="24"/>
        </w:rPr>
        <w:t>)+</w:t>
      </w:r>
      <w:proofErr w:type="gramEnd"/>
      <w:r w:rsidR="00560FFC">
        <w:rPr>
          <w:rFonts w:asciiTheme="majorBidi" w:hAnsiTheme="majorBidi" w:cstheme="majorBidi"/>
          <w:sz w:val="24"/>
          <w:szCs w:val="24"/>
        </w:rPr>
        <w:t xml:space="preserve"> </w:t>
      </w:r>
      <w:r w:rsidRPr="006022F8">
        <w:rPr>
          <w:rFonts w:asciiTheme="majorBidi" w:hAnsiTheme="majorBidi" w:cstheme="majorBidi"/>
          <w:sz w:val="24"/>
          <w:szCs w:val="24"/>
        </w:rPr>
        <w:t>γ</w:t>
      </w:r>
      <w:r w:rsidRPr="006022F8">
        <w:rPr>
          <w:rFonts w:asciiTheme="majorBidi" w:hAnsiTheme="majorBidi" w:cstheme="majorBidi"/>
          <w:sz w:val="24"/>
          <w:szCs w:val="24"/>
          <w:vertAlign w:val="subscript"/>
        </w:rPr>
        <w:t>1</w:t>
      </w:r>
      <w:r w:rsidRPr="006022F8">
        <w:rPr>
          <w:rFonts w:asciiTheme="majorBidi" w:hAnsiTheme="majorBidi" w:cstheme="majorBidi"/>
          <w:sz w:val="24"/>
          <w:szCs w:val="24"/>
        </w:rPr>
        <w:t>FSIZE</w:t>
      </w:r>
      <w:r w:rsidRPr="006022F8">
        <w:rPr>
          <w:rFonts w:asciiTheme="majorBidi" w:hAnsiTheme="majorBidi" w:cstheme="majorBidi"/>
          <w:sz w:val="24"/>
          <w:szCs w:val="24"/>
          <w:vertAlign w:val="subscript"/>
        </w:rPr>
        <w:t>it</w:t>
      </w:r>
      <w:r w:rsidR="00560FFC">
        <w:rPr>
          <w:rFonts w:asciiTheme="majorBidi" w:hAnsiTheme="majorBidi" w:cstheme="majorBidi"/>
          <w:sz w:val="24"/>
          <w:szCs w:val="24"/>
          <w:vertAlign w:val="subscript"/>
        </w:rPr>
        <w:t xml:space="preserve"> </w:t>
      </w:r>
      <w:r w:rsidRPr="006022F8">
        <w:rPr>
          <w:rFonts w:asciiTheme="majorBidi" w:hAnsiTheme="majorBidi" w:cstheme="majorBidi"/>
          <w:sz w:val="24"/>
          <w:szCs w:val="24"/>
        </w:rPr>
        <w:t>+γ</w:t>
      </w:r>
      <w:r w:rsidRPr="006022F8">
        <w:rPr>
          <w:rFonts w:asciiTheme="majorBidi" w:hAnsiTheme="majorBidi" w:cstheme="majorBidi"/>
          <w:sz w:val="24"/>
          <w:szCs w:val="24"/>
          <w:vertAlign w:val="subscript"/>
        </w:rPr>
        <w:t>2</w:t>
      </w:r>
      <w:r w:rsidRPr="006022F8">
        <w:rPr>
          <w:rFonts w:asciiTheme="majorBidi" w:hAnsiTheme="majorBidi" w:cstheme="majorBidi"/>
          <w:sz w:val="24"/>
          <w:szCs w:val="24"/>
        </w:rPr>
        <w:t>ROA</w:t>
      </w:r>
      <w:r w:rsidRPr="006022F8">
        <w:rPr>
          <w:rFonts w:asciiTheme="majorBidi" w:hAnsiTheme="majorBidi" w:cstheme="majorBidi"/>
          <w:sz w:val="24"/>
          <w:szCs w:val="24"/>
          <w:vertAlign w:val="subscript"/>
        </w:rPr>
        <w:t>it</w:t>
      </w:r>
      <m:oMath>
        <m:r>
          <w:rPr>
            <w:rFonts w:ascii="Cambria Math" w:hAnsi="Cambria Math" w:cstheme="majorBidi"/>
            <w:sz w:val="24"/>
            <w:szCs w:val="24"/>
            <w:vertAlign w:val="subscript"/>
          </w:rPr>
          <m:t>+</m:t>
        </m:r>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2014</m:t>
            </m:r>
          </m:sub>
          <m:sup>
            <m:r>
              <w:rPr>
                <w:rFonts w:ascii="Cambria Math" w:hAnsi="Cambria Math" w:cstheme="majorBidi"/>
                <w:sz w:val="24"/>
                <w:szCs w:val="24"/>
              </w:rPr>
              <m:t>2023</m:t>
            </m:r>
          </m:sup>
          <m:e>
            <m:r>
              <w:rPr>
                <w:rFonts w:ascii="Cambria Math" w:hAnsi="Cambria Math" w:cstheme="majorBidi"/>
                <w:sz w:val="24"/>
                <w:szCs w:val="24"/>
              </w:rPr>
              <m:t>δyDy</m:t>
            </m:r>
          </m:e>
        </m:nary>
      </m:oMath>
      <w:r w:rsidR="0095293B">
        <w:rPr>
          <w:rFonts w:asciiTheme="majorBidi" w:hAnsiTheme="majorBidi" w:cstheme="majorBidi"/>
          <w:sz w:val="24"/>
          <w:szCs w:val="24"/>
        </w:rPr>
        <w:t xml:space="preserve"> </w:t>
      </w:r>
      <w:r w:rsidRPr="006022F8">
        <w:rPr>
          <w:rFonts w:asciiTheme="majorBidi" w:hAnsiTheme="majorBidi" w:cstheme="majorBidi"/>
          <w:sz w:val="24"/>
          <w:szCs w:val="24"/>
        </w:rPr>
        <w:t>+ε</w:t>
      </w:r>
      <w:r w:rsidRPr="006022F8">
        <w:rPr>
          <w:rFonts w:asciiTheme="majorBidi" w:hAnsiTheme="majorBidi" w:cstheme="majorBidi"/>
          <w:sz w:val="24"/>
          <w:szCs w:val="24"/>
          <w:vertAlign w:val="subscript"/>
        </w:rPr>
        <w:t>it</w:t>
      </w:r>
      <w:r w:rsidR="00560FFC">
        <w:rPr>
          <w:rFonts w:asciiTheme="majorBidi" w:hAnsiTheme="majorBidi" w:cstheme="majorBidi"/>
          <w:sz w:val="24"/>
          <w:szCs w:val="24"/>
          <w:vertAlign w:val="subscript"/>
        </w:rPr>
        <w:t xml:space="preserve">                                          </w:t>
      </w:r>
      <w:proofErr w:type="gramStart"/>
      <w:r w:rsidR="00560FFC">
        <w:rPr>
          <w:rFonts w:asciiTheme="majorBidi" w:hAnsiTheme="majorBidi" w:cstheme="majorBidi"/>
          <w:sz w:val="24"/>
          <w:szCs w:val="24"/>
          <w:vertAlign w:val="subscript"/>
        </w:rPr>
        <w:t xml:space="preserve">   </w:t>
      </w:r>
      <w:r w:rsidR="00560FFC">
        <w:rPr>
          <w:rFonts w:asciiTheme="majorBidi" w:hAnsiTheme="majorBidi" w:cstheme="majorBidi"/>
          <w:sz w:val="24"/>
          <w:szCs w:val="24"/>
        </w:rPr>
        <w:t>(</w:t>
      </w:r>
      <w:proofErr w:type="gramEnd"/>
      <w:r w:rsidR="00560FFC">
        <w:rPr>
          <w:rFonts w:asciiTheme="majorBidi" w:hAnsiTheme="majorBidi" w:cstheme="majorBidi"/>
          <w:sz w:val="24"/>
          <w:szCs w:val="24"/>
        </w:rPr>
        <w:t>1)</w:t>
      </w:r>
    </w:p>
    <w:p w14:paraId="3B9D6D7A" w14:textId="3804ED37" w:rsidR="00560FFC" w:rsidRPr="006022F8" w:rsidRDefault="00560FFC" w:rsidP="00560FFC">
      <w:pPr>
        <w:jc w:val="both"/>
        <w:rPr>
          <w:rFonts w:asciiTheme="majorBidi" w:hAnsiTheme="majorBidi" w:cstheme="majorBidi"/>
          <w:sz w:val="24"/>
          <w:szCs w:val="24"/>
        </w:rPr>
      </w:pPr>
      <w:proofErr w:type="gramStart"/>
      <w:r w:rsidRPr="00560FFC">
        <w:rPr>
          <w:rFonts w:asciiTheme="majorBidi" w:hAnsiTheme="majorBidi" w:cstheme="majorBidi"/>
          <w:sz w:val="24"/>
          <w:szCs w:val="24"/>
        </w:rPr>
        <w:t>ln(</w:t>
      </w:r>
      <w:proofErr w:type="gramEnd"/>
      <w:r w:rsidRPr="00560FFC">
        <w:rPr>
          <w:rFonts w:asciiTheme="majorBidi" w:hAnsiTheme="majorBidi" w:cstheme="majorBidi"/>
          <w:sz w:val="24"/>
          <w:szCs w:val="24"/>
        </w:rPr>
        <w:t>SW</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​)=α</w:t>
      </w:r>
      <w:r w:rsidRPr="00560FFC">
        <w:rPr>
          <w:rFonts w:asciiTheme="majorBidi" w:hAnsiTheme="majorBidi" w:cstheme="majorBidi"/>
          <w:sz w:val="24"/>
          <w:szCs w:val="24"/>
          <w:vertAlign w:val="subscript"/>
        </w:rPr>
        <w:t>i</w:t>
      </w:r>
      <w:r w:rsidRPr="00560FFC">
        <w:rPr>
          <w:rFonts w:asciiTheme="majorBidi" w:hAnsiTheme="majorBidi" w:cstheme="majorBidi"/>
          <w:sz w:val="24"/>
          <w:szCs w:val="24"/>
        </w:rPr>
        <w:t>​+β</w:t>
      </w:r>
      <w:r w:rsidRPr="00560FFC">
        <w:rPr>
          <w:rFonts w:asciiTheme="majorBidi" w:hAnsiTheme="majorBidi" w:cstheme="majorBidi"/>
          <w:sz w:val="24"/>
          <w:szCs w:val="24"/>
          <w:vertAlign w:val="subscript"/>
        </w:rPr>
        <w:t>1</w:t>
      </w:r>
      <w:r w:rsidRPr="00560FFC">
        <w:rPr>
          <w:rFonts w:asciiTheme="majorBidi" w:hAnsiTheme="majorBidi" w:cstheme="majorBidi"/>
          <w:sz w:val="24"/>
          <w:szCs w:val="24"/>
        </w:rPr>
        <w:t>​STIBD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​+β</w:t>
      </w:r>
      <w:r w:rsidRPr="00560FFC">
        <w:rPr>
          <w:rFonts w:asciiTheme="majorBidi" w:hAnsiTheme="majorBidi" w:cstheme="majorBidi"/>
          <w:sz w:val="24"/>
          <w:szCs w:val="24"/>
          <w:vertAlign w:val="subscript"/>
        </w:rPr>
        <w:t>2</w:t>
      </w:r>
      <w:r w:rsidRPr="00560FFC">
        <w:rPr>
          <w:rFonts w:asciiTheme="majorBidi" w:hAnsiTheme="majorBidi" w:cstheme="majorBidi"/>
          <w:sz w:val="24"/>
          <w:szCs w:val="24"/>
        </w:rPr>
        <w:t>​LTIBD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​+β</w:t>
      </w:r>
      <w:r w:rsidRPr="00560FFC">
        <w:rPr>
          <w:rFonts w:asciiTheme="majorBidi" w:hAnsiTheme="majorBidi" w:cstheme="majorBidi"/>
          <w:sz w:val="24"/>
          <w:szCs w:val="24"/>
          <w:vertAlign w:val="subscript"/>
        </w:rPr>
        <w:t>3</w:t>
      </w:r>
      <w:r w:rsidRPr="00560FFC">
        <w:rPr>
          <w:rFonts w:asciiTheme="majorBidi" w:hAnsiTheme="majorBidi" w:cstheme="majorBidi"/>
          <w:sz w:val="24"/>
          <w:szCs w:val="24"/>
        </w:rPr>
        <w:t>​CoD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+β</w:t>
      </w:r>
      <w:r w:rsidRPr="00560FFC">
        <w:rPr>
          <w:rFonts w:asciiTheme="majorBidi" w:hAnsiTheme="majorBidi" w:cstheme="majorBidi"/>
          <w:sz w:val="24"/>
          <w:szCs w:val="24"/>
          <w:vertAlign w:val="subscript"/>
        </w:rPr>
        <w:t>4​</w:t>
      </w:r>
      <w:r w:rsidRPr="00560FFC">
        <w:rPr>
          <w:rFonts w:asciiTheme="majorBidi" w:hAnsiTheme="majorBidi" w:cstheme="majorBidi"/>
          <w:sz w:val="24"/>
          <w:szCs w:val="24"/>
        </w:rPr>
        <w:t>(STIBD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w:t>
      </w:r>
      <w:proofErr w:type="gramStart"/>
      <w:r w:rsidRPr="00560FFC">
        <w:rPr>
          <w:rFonts w:asciiTheme="majorBidi" w:hAnsiTheme="majorBidi" w:cstheme="majorBidi"/>
          <w:sz w:val="24"/>
          <w:szCs w:val="24"/>
        </w:rPr>
        <w:t>CoD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w:t>
      </w:r>
      <w:proofErr w:type="gramEnd"/>
      <w:r w:rsidRPr="00560FFC">
        <w:rPr>
          <w:rFonts w:asciiTheme="majorBidi" w:hAnsiTheme="majorBidi" w:cstheme="majorBidi"/>
          <w:sz w:val="24"/>
          <w:szCs w:val="24"/>
        </w:rPr>
        <w:t>β</w:t>
      </w:r>
      <w:r w:rsidRPr="00560FFC">
        <w:rPr>
          <w:rFonts w:asciiTheme="majorBidi" w:hAnsiTheme="majorBidi" w:cstheme="majorBidi"/>
          <w:sz w:val="24"/>
          <w:szCs w:val="24"/>
          <w:vertAlign w:val="subscript"/>
        </w:rPr>
        <w:t>5</w:t>
      </w:r>
      <w:r w:rsidRPr="00560FFC">
        <w:rPr>
          <w:rFonts w:asciiTheme="majorBidi" w:hAnsiTheme="majorBidi" w:cstheme="majorBidi"/>
          <w:sz w:val="24"/>
          <w:szCs w:val="24"/>
        </w:rPr>
        <w:t>​(LTIBD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w:t>
      </w:r>
      <w:proofErr w:type="gramStart"/>
      <w:r w:rsidRPr="00560FFC">
        <w:rPr>
          <w:rFonts w:asciiTheme="majorBidi" w:hAnsiTheme="majorBidi" w:cstheme="majorBidi"/>
          <w:sz w:val="24"/>
          <w:szCs w:val="24"/>
        </w:rPr>
        <w:t>CoD</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w:t>
      </w:r>
      <w:proofErr w:type="gramEnd"/>
      <w:r w:rsidRPr="00560FFC">
        <w:rPr>
          <w:rFonts w:asciiTheme="majorBidi" w:hAnsiTheme="majorBidi" w:cstheme="majorBidi"/>
          <w:sz w:val="24"/>
          <w:szCs w:val="24"/>
        </w:rPr>
        <w:t>γ</w:t>
      </w:r>
      <w:r w:rsidRPr="00560FFC">
        <w:rPr>
          <w:rFonts w:asciiTheme="majorBidi" w:hAnsiTheme="majorBidi" w:cstheme="majorBidi"/>
          <w:sz w:val="24"/>
          <w:szCs w:val="24"/>
          <w:vertAlign w:val="subscript"/>
        </w:rPr>
        <w:t>1</w:t>
      </w:r>
      <w:r w:rsidRPr="00560FFC">
        <w:rPr>
          <w:rFonts w:asciiTheme="majorBidi" w:hAnsiTheme="majorBidi" w:cstheme="majorBidi"/>
          <w:sz w:val="24"/>
          <w:szCs w:val="24"/>
        </w:rPr>
        <w:t>​FSIZE</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​+γ</w:t>
      </w:r>
      <w:r w:rsidRPr="00560FFC">
        <w:rPr>
          <w:rFonts w:asciiTheme="majorBidi" w:hAnsiTheme="majorBidi" w:cstheme="majorBidi"/>
          <w:sz w:val="24"/>
          <w:szCs w:val="24"/>
          <w:vertAlign w:val="subscript"/>
        </w:rPr>
        <w:t>2</w:t>
      </w:r>
      <w:r w:rsidRPr="00560FFC">
        <w:rPr>
          <w:rFonts w:asciiTheme="majorBidi" w:hAnsiTheme="majorBidi" w:cstheme="majorBidi"/>
          <w:sz w:val="24"/>
          <w:szCs w:val="24"/>
        </w:rPr>
        <w:t>​ROA</w:t>
      </w:r>
      <w:r w:rsidRPr="00560FFC">
        <w:rPr>
          <w:rFonts w:asciiTheme="majorBidi" w:hAnsiTheme="majorBidi" w:cstheme="majorBidi"/>
          <w:sz w:val="24"/>
          <w:szCs w:val="24"/>
          <w:vertAlign w:val="subscript"/>
        </w:rPr>
        <w:t>it</w:t>
      </w:r>
      <w:r w:rsidRPr="00560FFC">
        <w:rPr>
          <w:rFonts w:asciiTheme="majorBidi" w:hAnsiTheme="majorBidi" w:cstheme="majorBidi"/>
          <w:sz w:val="24"/>
          <w:szCs w:val="24"/>
        </w:rPr>
        <w:t>​+</w:t>
      </w:r>
      <w:r>
        <w:rPr>
          <w:rFonts w:asciiTheme="majorBidi" w:hAnsiTheme="majorBidi" w:cstheme="majorBidi"/>
          <w:sz w:val="24"/>
          <w:szCs w:val="24"/>
        </w:rPr>
        <w:t xml:space="preserve"> </w:t>
      </w:r>
      <m:oMath>
        <m:r>
          <w:rPr>
            <w:rFonts w:ascii="Cambria Math" w:hAnsi="Cambria Math" w:cstheme="majorBidi"/>
            <w:sz w:val="24"/>
            <w:szCs w:val="24"/>
            <w:vertAlign w:val="subscript"/>
          </w:rPr>
          <m:t>+</m:t>
        </m:r>
        <m:nary>
          <m:naryPr>
            <m:chr m:val="∑"/>
            <m:limLoc m:val="undOvr"/>
            <m:ctrlPr>
              <w:rPr>
                <w:rFonts w:ascii="Cambria Math" w:hAnsi="Cambria Math" w:cstheme="majorBidi"/>
                <w:i/>
                <w:iCs/>
                <w:sz w:val="24"/>
                <w:szCs w:val="24"/>
              </w:rPr>
            </m:ctrlPr>
          </m:naryPr>
          <m:sub>
            <m:r>
              <w:rPr>
                <w:rFonts w:ascii="Cambria Math" w:hAnsi="Cambria Math" w:cstheme="majorBidi"/>
                <w:sz w:val="24"/>
                <w:szCs w:val="24"/>
              </w:rPr>
              <m:t>2014</m:t>
            </m:r>
          </m:sub>
          <m:sup>
            <m:r>
              <w:rPr>
                <w:rFonts w:ascii="Cambria Math" w:hAnsi="Cambria Math" w:cstheme="majorBidi"/>
                <w:sz w:val="24"/>
                <w:szCs w:val="24"/>
              </w:rPr>
              <m:t>2023</m:t>
            </m:r>
          </m:sup>
          <m:e>
            <m:r>
              <w:rPr>
                <w:rFonts w:ascii="Cambria Math" w:hAnsi="Cambria Math" w:cstheme="majorBidi"/>
                <w:sz w:val="24"/>
                <w:szCs w:val="24"/>
              </w:rPr>
              <m:t>δyDy</m:t>
            </m:r>
          </m:e>
        </m:nary>
      </m:oMath>
      <w:r w:rsidRPr="00560FFC">
        <w:rPr>
          <w:rFonts w:asciiTheme="majorBidi" w:hAnsiTheme="majorBidi" w:cstheme="majorBidi"/>
          <w:sz w:val="24"/>
          <w:szCs w:val="24"/>
        </w:rPr>
        <w:t>​+</w:t>
      </w:r>
      <w:r w:rsidRPr="00560FFC">
        <w:rPr>
          <w:rFonts w:asciiTheme="majorBidi" w:hAnsiTheme="majorBidi" w:cstheme="majorBidi"/>
          <w:i/>
          <w:iCs/>
          <w:sz w:val="24"/>
          <w:szCs w:val="24"/>
        </w:rPr>
        <w:t>u</w:t>
      </w:r>
      <w:r>
        <w:rPr>
          <w:rFonts w:asciiTheme="majorBidi" w:hAnsiTheme="majorBidi" w:cstheme="majorBidi"/>
          <w:i/>
          <w:iCs/>
          <w:sz w:val="24"/>
          <w:szCs w:val="24"/>
        </w:rPr>
        <w:t xml:space="preserve">                              </w:t>
      </w:r>
      <w:proofErr w:type="gramStart"/>
      <w:r>
        <w:rPr>
          <w:rFonts w:asciiTheme="majorBidi" w:hAnsiTheme="majorBidi" w:cstheme="majorBidi"/>
          <w:i/>
          <w:iCs/>
          <w:sz w:val="24"/>
          <w:szCs w:val="24"/>
        </w:rPr>
        <w:t xml:space="preserve">   </w:t>
      </w:r>
      <w:r>
        <w:rPr>
          <w:rFonts w:asciiTheme="majorBidi" w:hAnsiTheme="majorBidi" w:cstheme="majorBidi"/>
          <w:sz w:val="24"/>
          <w:szCs w:val="24"/>
        </w:rPr>
        <w:t>(</w:t>
      </w:r>
      <w:proofErr w:type="gramEnd"/>
      <w:r>
        <w:rPr>
          <w:rFonts w:asciiTheme="majorBidi" w:hAnsiTheme="majorBidi" w:cstheme="majorBidi"/>
          <w:sz w:val="24"/>
          <w:szCs w:val="24"/>
        </w:rPr>
        <w:t>2)</w:t>
      </w:r>
    </w:p>
    <w:p w14:paraId="56333FD4" w14:textId="72D0B2B6" w:rsidR="00037485" w:rsidRPr="00037485" w:rsidRDefault="00037485" w:rsidP="00037485">
      <w:pPr>
        <w:jc w:val="both"/>
        <w:rPr>
          <w:rFonts w:asciiTheme="majorBidi" w:hAnsiTheme="majorBidi" w:cstheme="majorBidi"/>
          <w:sz w:val="24"/>
          <w:szCs w:val="24"/>
        </w:rPr>
      </w:pPr>
      <w:r w:rsidRPr="00037485">
        <w:rPr>
          <w:rFonts w:asciiTheme="majorBidi" w:hAnsiTheme="majorBidi" w:cstheme="majorBidi"/>
          <w:sz w:val="24"/>
          <w:szCs w:val="24"/>
        </w:rPr>
        <w:t>SW</w:t>
      </w:r>
      <w:r w:rsidRPr="00037485">
        <w:rPr>
          <w:rFonts w:asciiTheme="majorBidi" w:hAnsiTheme="majorBidi" w:cstheme="majorBidi"/>
          <w:sz w:val="24"/>
          <w:szCs w:val="24"/>
          <w:vertAlign w:val="subscript"/>
        </w:rPr>
        <w:t>it​</w:t>
      </w:r>
      <w:r w:rsidRPr="00037485">
        <w:rPr>
          <w:rFonts w:asciiTheme="majorBidi" w:hAnsiTheme="majorBidi" w:cstheme="majorBidi"/>
          <w:sz w:val="24"/>
          <w:szCs w:val="24"/>
        </w:rPr>
        <w:t xml:space="preserve"> denotes shareholders’ wealth for firm i at time t. α</w:t>
      </w:r>
      <w:r w:rsidRPr="00037485">
        <w:rPr>
          <w:rFonts w:asciiTheme="majorBidi" w:hAnsiTheme="majorBidi" w:cstheme="majorBidi"/>
          <w:sz w:val="24"/>
          <w:szCs w:val="24"/>
          <w:vertAlign w:val="subscript"/>
        </w:rPr>
        <w:t>i</w:t>
      </w:r>
      <w:r w:rsidRPr="00037485">
        <w:rPr>
          <w:rFonts w:asciiTheme="majorBidi" w:hAnsiTheme="majorBidi" w:cstheme="majorBidi"/>
          <w:sz w:val="24"/>
          <w:szCs w:val="24"/>
        </w:rPr>
        <w:t xml:space="preserve"> captures time-invariant firm-specific effects in the fixed-effects specification. </w:t>
      </w:r>
      <m:oMath>
        <m:r>
          <w:rPr>
            <w:rFonts w:ascii="Cambria Math" w:hAnsi="Cambria Math" w:cstheme="majorBidi"/>
            <w:sz w:val="24"/>
            <w:szCs w:val="24"/>
          </w:rPr>
          <m:t>δyDy</m:t>
        </m:r>
      </m:oMath>
      <w:r w:rsidRPr="00037485">
        <w:rPr>
          <w:rFonts w:asciiTheme="majorBidi" w:hAnsiTheme="majorBidi" w:cstheme="majorBidi"/>
          <w:sz w:val="24"/>
          <w:szCs w:val="24"/>
        </w:rPr>
        <w:t xml:space="preserve"> represents a full set of year indicator variables for y=</w:t>
      </w:r>
      <w:proofErr w:type="gramStart"/>
      <w:r w:rsidRPr="00037485">
        <w:rPr>
          <w:rFonts w:asciiTheme="majorBidi" w:hAnsiTheme="majorBidi" w:cstheme="majorBidi"/>
          <w:sz w:val="24"/>
          <w:szCs w:val="24"/>
        </w:rPr>
        <w:t>2014,</w:t>
      </w:r>
      <w:r>
        <w:rPr>
          <w:rFonts w:asciiTheme="majorBidi" w:hAnsiTheme="majorBidi" w:cstheme="majorBidi"/>
          <w:sz w:val="24"/>
          <w:szCs w:val="24"/>
        </w:rPr>
        <w:t>...</w:t>
      </w:r>
      <w:proofErr w:type="gramEnd"/>
      <w:r>
        <w:rPr>
          <w:rFonts w:asciiTheme="majorBidi" w:hAnsiTheme="majorBidi" w:cstheme="majorBidi"/>
          <w:sz w:val="24"/>
          <w:szCs w:val="24"/>
        </w:rPr>
        <w:t>..</w:t>
      </w:r>
      <w:r w:rsidRPr="00037485">
        <w:rPr>
          <w:rFonts w:asciiTheme="majorBidi" w:hAnsiTheme="majorBidi" w:cstheme="majorBidi"/>
          <w:sz w:val="24"/>
          <w:szCs w:val="24"/>
        </w:rPr>
        <w:t>2023, with 2013 omitted as the reference year. β</w:t>
      </w:r>
      <w:r w:rsidRPr="00037485">
        <w:rPr>
          <w:rFonts w:asciiTheme="majorBidi" w:hAnsiTheme="majorBidi" w:cstheme="majorBidi"/>
          <w:sz w:val="24"/>
          <w:szCs w:val="24"/>
          <w:vertAlign w:val="subscript"/>
        </w:rPr>
        <w:t>0</w:t>
      </w:r>
      <w:r w:rsidRPr="00037485">
        <w:rPr>
          <w:rFonts w:asciiTheme="majorBidi" w:hAnsiTheme="majorBidi" w:cstheme="majorBidi"/>
          <w:sz w:val="24"/>
          <w:szCs w:val="24"/>
        </w:rPr>
        <w:t xml:space="preserve"> is the intercept. β</w:t>
      </w:r>
      <w:r w:rsidRPr="00037485">
        <w:rPr>
          <w:rFonts w:asciiTheme="majorBidi" w:hAnsiTheme="majorBidi" w:cstheme="majorBidi"/>
          <w:sz w:val="24"/>
          <w:szCs w:val="24"/>
          <w:vertAlign w:val="subscript"/>
        </w:rPr>
        <w:t>1​</w:t>
      </w:r>
      <w:r w:rsidRPr="00037485">
        <w:rPr>
          <w:rFonts w:asciiTheme="majorBidi" w:hAnsiTheme="majorBidi" w:cstheme="majorBidi"/>
          <w:sz w:val="24"/>
          <w:szCs w:val="24"/>
        </w:rPr>
        <w:t xml:space="preserve"> and β</w:t>
      </w:r>
      <w:r w:rsidRPr="00037485">
        <w:rPr>
          <w:rFonts w:asciiTheme="majorBidi" w:hAnsiTheme="majorBidi" w:cstheme="majorBidi"/>
          <w:sz w:val="24"/>
          <w:szCs w:val="24"/>
          <w:vertAlign w:val="subscript"/>
        </w:rPr>
        <w:t>2</w:t>
      </w:r>
      <w:r w:rsidRPr="00037485">
        <w:rPr>
          <w:rFonts w:asciiTheme="majorBidi" w:hAnsiTheme="majorBidi" w:cstheme="majorBidi"/>
          <w:sz w:val="24"/>
          <w:szCs w:val="24"/>
        </w:rPr>
        <w:t xml:space="preserve"> measure the partial effects of short-term debt and long-term debt, respectively. β</w:t>
      </w:r>
      <w:r w:rsidRPr="00037485">
        <w:rPr>
          <w:rFonts w:asciiTheme="majorBidi" w:hAnsiTheme="majorBidi" w:cstheme="majorBidi"/>
          <w:sz w:val="24"/>
          <w:szCs w:val="24"/>
          <w:vertAlign w:val="subscript"/>
        </w:rPr>
        <w:t>3</w:t>
      </w:r>
      <w:r w:rsidRPr="00037485">
        <w:rPr>
          <w:rFonts w:asciiTheme="majorBidi" w:hAnsiTheme="majorBidi" w:cstheme="majorBidi"/>
          <w:sz w:val="24"/>
          <w:szCs w:val="24"/>
        </w:rPr>
        <w:t xml:space="preserve"> measures the </w:t>
      </w:r>
      <w:r w:rsidRPr="00037485">
        <w:rPr>
          <w:rFonts w:asciiTheme="majorBidi" w:hAnsiTheme="majorBidi" w:cstheme="majorBidi"/>
          <w:sz w:val="24"/>
          <w:szCs w:val="24"/>
        </w:rPr>
        <w:lastRenderedPageBreak/>
        <w:t>effect of the cost of debt. β</w:t>
      </w:r>
      <w:r w:rsidRPr="00037485">
        <w:rPr>
          <w:rFonts w:asciiTheme="majorBidi" w:hAnsiTheme="majorBidi" w:cstheme="majorBidi"/>
          <w:sz w:val="24"/>
          <w:szCs w:val="24"/>
          <w:vertAlign w:val="subscript"/>
        </w:rPr>
        <w:t>4</w:t>
      </w:r>
      <w:r w:rsidRPr="00037485">
        <w:rPr>
          <w:rFonts w:asciiTheme="majorBidi" w:hAnsiTheme="majorBidi" w:cstheme="majorBidi"/>
          <w:sz w:val="24"/>
          <w:szCs w:val="24"/>
        </w:rPr>
        <w:t xml:space="preserve"> and β</w:t>
      </w:r>
      <w:r>
        <w:rPr>
          <w:rFonts w:asciiTheme="majorBidi" w:hAnsiTheme="majorBidi" w:cstheme="majorBidi"/>
          <w:sz w:val="24"/>
          <w:szCs w:val="24"/>
          <w:vertAlign w:val="subscript"/>
        </w:rPr>
        <w:t>5</w:t>
      </w:r>
      <w:r w:rsidRPr="00037485">
        <w:rPr>
          <w:rFonts w:asciiTheme="majorBidi" w:hAnsiTheme="majorBidi" w:cstheme="majorBidi"/>
          <w:sz w:val="24"/>
          <w:szCs w:val="24"/>
        </w:rPr>
        <w:t xml:space="preserve"> are the moderation coefficients on the interaction terms between the cost of debt and, respectively, short-term and long-term debt. γ</w:t>
      </w:r>
      <w:r w:rsidRPr="00037485">
        <w:rPr>
          <w:rFonts w:asciiTheme="majorBidi" w:hAnsiTheme="majorBidi" w:cstheme="majorBidi"/>
          <w:sz w:val="24"/>
          <w:szCs w:val="24"/>
          <w:vertAlign w:val="subscript"/>
        </w:rPr>
        <w:t>1</w:t>
      </w:r>
      <w:r w:rsidRPr="00037485">
        <w:rPr>
          <w:rFonts w:asciiTheme="majorBidi" w:hAnsiTheme="majorBidi" w:cstheme="majorBidi"/>
          <w:sz w:val="24"/>
          <w:szCs w:val="24"/>
        </w:rPr>
        <w:t xml:space="preserve"> and “γ</w:t>
      </w:r>
      <w:r>
        <w:rPr>
          <w:rFonts w:asciiTheme="majorBidi" w:hAnsiTheme="majorBidi" w:cstheme="majorBidi"/>
          <w:sz w:val="24"/>
          <w:szCs w:val="24"/>
          <w:vertAlign w:val="subscript"/>
        </w:rPr>
        <w:t>2</w:t>
      </w:r>
      <w:r w:rsidRPr="00037485">
        <w:rPr>
          <w:rFonts w:asciiTheme="majorBidi" w:hAnsiTheme="majorBidi" w:cstheme="majorBidi"/>
          <w:sz w:val="24"/>
          <w:szCs w:val="24"/>
        </w:rPr>
        <w:t xml:space="preserve"> are the coefficients on the control variables. ε</w:t>
      </w:r>
      <w:r w:rsidRPr="00037485">
        <w:rPr>
          <w:rFonts w:asciiTheme="majorBidi" w:hAnsiTheme="majorBidi" w:cstheme="majorBidi"/>
          <w:sz w:val="24"/>
          <w:szCs w:val="24"/>
          <w:vertAlign w:val="subscript"/>
        </w:rPr>
        <w:t>it</w:t>
      </w:r>
      <w:r w:rsidRPr="00037485">
        <w:rPr>
          <w:rFonts w:asciiTheme="majorBidi" w:hAnsiTheme="majorBidi" w:cstheme="majorBidi"/>
          <w:sz w:val="24"/>
          <w:szCs w:val="24"/>
        </w:rPr>
        <w:t xml:space="preserve"> and u</w:t>
      </w:r>
      <w:r>
        <w:rPr>
          <w:rFonts w:asciiTheme="majorBidi" w:hAnsiTheme="majorBidi" w:cstheme="majorBidi"/>
          <w:sz w:val="24"/>
          <w:szCs w:val="24"/>
          <w:vertAlign w:val="subscript"/>
        </w:rPr>
        <w:t>i</w:t>
      </w:r>
      <w:r w:rsidRPr="00037485">
        <w:rPr>
          <w:rFonts w:asciiTheme="majorBidi" w:hAnsiTheme="majorBidi" w:cstheme="majorBidi"/>
          <w:sz w:val="24"/>
          <w:szCs w:val="24"/>
        </w:rPr>
        <w:t xml:space="preserve"> are idiosyncratic error terms in the pooled OLS and fixed-effects models, respectively.</w:t>
      </w:r>
    </w:p>
    <w:p w14:paraId="158F0C78" w14:textId="39CB4EA6" w:rsidR="00265493" w:rsidRPr="00444344" w:rsidRDefault="00265493" w:rsidP="00265493">
      <w:pPr>
        <w:pStyle w:val="NormalWeb"/>
        <w:spacing w:beforeAutospacing="0" w:afterAutospacing="0" w:line="480" w:lineRule="auto"/>
        <w:jc w:val="both"/>
      </w:pPr>
      <w:r w:rsidRPr="00444344">
        <w:t xml:space="preserve">The key variables, their definitions, and measurement approaches are outlined in Table </w:t>
      </w:r>
      <w:r w:rsidR="00823680">
        <w:t>1</w:t>
      </w:r>
      <w:r w:rsidRPr="00444344">
        <w:t>.</w:t>
      </w:r>
    </w:p>
    <w:p w14:paraId="2BDE0EBE" w14:textId="3AFB3FBD" w:rsidR="00265493" w:rsidRPr="00444344" w:rsidRDefault="00265493" w:rsidP="00265493">
      <w:pPr>
        <w:pStyle w:val="NormalWeb"/>
        <w:spacing w:beforeAutospacing="0" w:afterAutospacing="0"/>
        <w:contextualSpacing/>
        <w:jc w:val="both"/>
      </w:pPr>
      <w:r w:rsidRPr="00444344">
        <w:t xml:space="preserve">Table </w:t>
      </w:r>
      <w:r w:rsidR="00823680">
        <w:t>1</w:t>
      </w:r>
      <w:r w:rsidRPr="00444344">
        <w:t>: Variable Measurement and Description</w:t>
      </w:r>
    </w:p>
    <w:tbl>
      <w:tblPr>
        <w:tblW w:w="0" w:type="auto"/>
        <w:tblLook w:val="04A0" w:firstRow="1" w:lastRow="0" w:firstColumn="1" w:lastColumn="0" w:noHBand="0" w:noVBand="1"/>
      </w:tblPr>
      <w:tblGrid>
        <w:gridCol w:w="1790"/>
        <w:gridCol w:w="2494"/>
        <w:gridCol w:w="2973"/>
        <w:gridCol w:w="1769"/>
      </w:tblGrid>
      <w:tr w:rsidR="00265493" w:rsidRPr="00444344" w14:paraId="7F99C709" w14:textId="77777777" w:rsidTr="00FD303A">
        <w:tc>
          <w:tcPr>
            <w:tcW w:w="0" w:type="auto"/>
            <w:tcBorders>
              <w:top w:val="single" w:sz="4" w:space="0" w:color="auto"/>
              <w:bottom w:val="single" w:sz="4" w:space="0" w:color="auto"/>
            </w:tcBorders>
            <w:hideMark/>
          </w:tcPr>
          <w:p w14:paraId="00E85CE1" w14:textId="77777777" w:rsidR="00265493" w:rsidRPr="00444344" w:rsidRDefault="00265493" w:rsidP="00FD303A">
            <w:pPr>
              <w:pStyle w:val="NormalWeb"/>
              <w:contextualSpacing/>
              <w:jc w:val="both"/>
            </w:pPr>
            <w:r w:rsidRPr="00444344">
              <w:rPr>
                <w:b/>
                <w:bCs/>
              </w:rPr>
              <w:t>Variable</w:t>
            </w:r>
          </w:p>
        </w:tc>
        <w:tc>
          <w:tcPr>
            <w:tcW w:w="0" w:type="auto"/>
            <w:tcBorders>
              <w:top w:val="single" w:sz="4" w:space="0" w:color="auto"/>
              <w:bottom w:val="single" w:sz="4" w:space="0" w:color="auto"/>
            </w:tcBorders>
            <w:hideMark/>
          </w:tcPr>
          <w:p w14:paraId="6D3FCCA6" w14:textId="77777777" w:rsidR="00265493" w:rsidRPr="00444344" w:rsidRDefault="00265493" w:rsidP="00FD303A">
            <w:pPr>
              <w:pStyle w:val="NormalWeb"/>
              <w:contextualSpacing/>
              <w:jc w:val="both"/>
            </w:pPr>
            <w:r w:rsidRPr="00444344">
              <w:rPr>
                <w:b/>
                <w:bCs/>
              </w:rPr>
              <w:t>Description</w:t>
            </w:r>
          </w:p>
        </w:tc>
        <w:tc>
          <w:tcPr>
            <w:tcW w:w="0" w:type="auto"/>
            <w:tcBorders>
              <w:top w:val="single" w:sz="4" w:space="0" w:color="auto"/>
              <w:bottom w:val="single" w:sz="4" w:space="0" w:color="auto"/>
            </w:tcBorders>
            <w:hideMark/>
          </w:tcPr>
          <w:p w14:paraId="439ADCE3" w14:textId="77777777" w:rsidR="00265493" w:rsidRPr="00444344" w:rsidRDefault="00265493" w:rsidP="00FD303A">
            <w:pPr>
              <w:pStyle w:val="NormalWeb"/>
              <w:contextualSpacing/>
              <w:jc w:val="both"/>
            </w:pPr>
            <w:r w:rsidRPr="00444344">
              <w:rPr>
                <w:b/>
                <w:bCs/>
              </w:rPr>
              <w:t>Measurement/Proxy</w:t>
            </w:r>
          </w:p>
        </w:tc>
        <w:tc>
          <w:tcPr>
            <w:tcW w:w="0" w:type="auto"/>
            <w:tcBorders>
              <w:top w:val="single" w:sz="4" w:space="0" w:color="auto"/>
              <w:bottom w:val="single" w:sz="4" w:space="0" w:color="auto"/>
            </w:tcBorders>
            <w:hideMark/>
          </w:tcPr>
          <w:p w14:paraId="2718DB17" w14:textId="77777777" w:rsidR="00265493" w:rsidRPr="00444344" w:rsidRDefault="00265493" w:rsidP="00FD303A">
            <w:pPr>
              <w:pStyle w:val="NormalWeb"/>
              <w:contextualSpacing/>
              <w:jc w:val="both"/>
            </w:pPr>
            <w:r w:rsidRPr="00444344">
              <w:rPr>
                <w:b/>
                <w:bCs/>
              </w:rPr>
              <w:t>Source</w:t>
            </w:r>
          </w:p>
        </w:tc>
      </w:tr>
      <w:tr w:rsidR="00265493" w:rsidRPr="00444344" w14:paraId="19989CAB" w14:textId="77777777" w:rsidTr="00FD303A">
        <w:tc>
          <w:tcPr>
            <w:tcW w:w="0" w:type="auto"/>
            <w:tcBorders>
              <w:top w:val="single" w:sz="4" w:space="0" w:color="auto"/>
            </w:tcBorders>
            <w:hideMark/>
          </w:tcPr>
          <w:p w14:paraId="4975A1A0" w14:textId="77777777" w:rsidR="00265493" w:rsidRPr="00444344" w:rsidRDefault="00265493" w:rsidP="00FD303A">
            <w:pPr>
              <w:pStyle w:val="NormalWeb"/>
              <w:contextualSpacing/>
              <w:jc w:val="both"/>
            </w:pPr>
            <w:r w:rsidRPr="00444344">
              <w:t>Dependent Variable</w:t>
            </w:r>
          </w:p>
        </w:tc>
        <w:tc>
          <w:tcPr>
            <w:tcW w:w="0" w:type="auto"/>
            <w:tcBorders>
              <w:top w:val="single" w:sz="4" w:space="0" w:color="auto"/>
            </w:tcBorders>
            <w:hideMark/>
          </w:tcPr>
          <w:p w14:paraId="40C64C9E" w14:textId="77777777" w:rsidR="00265493" w:rsidRPr="00444344" w:rsidRDefault="00265493" w:rsidP="00FD303A">
            <w:pPr>
              <w:pStyle w:val="NormalWeb"/>
              <w:contextualSpacing/>
              <w:jc w:val="both"/>
            </w:pPr>
          </w:p>
        </w:tc>
        <w:tc>
          <w:tcPr>
            <w:tcW w:w="0" w:type="auto"/>
            <w:tcBorders>
              <w:top w:val="single" w:sz="4" w:space="0" w:color="auto"/>
            </w:tcBorders>
            <w:hideMark/>
          </w:tcPr>
          <w:p w14:paraId="12762CE8" w14:textId="77777777" w:rsidR="00265493" w:rsidRPr="00444344" w:rsidRDefault="00265493" w:rsidP="00FD303A">
            <w:pPr>
              <w:pStyle w:val="NormalWeb"/>
              <w:contextualSpacing/>
              <w:jc w:val="both"/>
            </w:pPr>
          </w:p>
        </w:tc>
        <w:tc>
          <w:tcPr>
            <w:tcW w:w="0" w:type="auto"/>
            <w:tcBorders>
              <w:top w:val="single" w:sz="4" w:space="0" w:color="auto"/>
            </w:tcBorders>
            <w:hideMark/>
          </w:tcPr>
          <w:p w14:paraId="5AA57C26" w14:textId="77777777" w:rsidR="00265493" w:rsidRPr="00444344" w:rsidRDefault="00265493" w:rsidP="00FD303A">
            <w:pPr>
              <w:pStyle w:val="NormalWeb"/>
              <w:contextualSpacing/>
              <w:jc w:val="both"/>
            </w:pPr>
          </w:p>
        </w:tc>
      </w:tr>
      <w:tr w:rsidR="00265493" w:rsidRPr="00444344" w14:paraId="08E7077E" w14:textId="77777777" w:rsidTr="00FD303A">
        <w:tc>
          <w:tcPr>
            <w:tcW w:w="0" w:type="auto"/>
            <w:hideMark/>
          </w:tcPr>
          <w:p w14:paraId="0EBEFDF4" w14:textId="77777777" w:rsidR="00265493" w:rsidRPr="00444344" w:rsidRDefault="00265493" w:rsidP="00FD303A">
            <w:pPr>
              <w:pStyle w:val="NormalWeb"/>
              <w:contextualSpacing/>
              <w:jc w:val="both"/>
            </w:pPr>
            <w:r w:rsidRPr="00444344">
              <w:t>Shareholders' Wealth (SHW)</w:t>
            </w:r>
          </w:p>
        </w:tc>
        <w:tc>
          <w:tcPr>
            <w:tcW w:w="0" w:type="auto"/>
            <w:hideMark/>
          </w:tcPr>
          <w:p w14:paraId="50212519" w14:textId="77777777" w:rsidR="00265493" w:rsidRPr="00444344" w:rsidRDefault="00265493" w:rsidP="00FD303A">
            <w:pPr>
              <w:pStyle w:val="NormalWeb"/>
              <w:contextualSpacing/>
              <w:jc w:val="both"/>
            </w:pPr>
            <w:r w:rsidRPr="00444344">
              <w:t>Financial valuation of shareholders’ stake in the firm.</w:t>
            </w:r>
          </w:p>
        </w:tc>
        <w:tc>
          <w:tcPr>
            <w:tcW w:w="0" w:type="auto"/>
            <w:hideMark/>
          </w:tcPr>
          <w:p w14:paraId="22991769" w14:textId="77777777" w:rsidR="00265493" w:rsidRPr="00444344" w:rsidRDefault="00265493" w:rsidP="00FD303A">
            <w:pPr>
              <w:pStyle w:val="NormalWeb"/>
              <w:contextualSpacing/>
              <w:jc w:val="both"/>
            </w:pPr>
            <w:r w:rsidRPr="00444344">
              <w:t>Market Capitalization (Share Price × Outstanding Shares)</w:t>
            </w:r>
          </w:p>
        </w:tc>
        <w:tc>
          <w:tcPr>
            <w:tcW w:w="0" w:type="auto"/>
            <w:hideMark/>
          </w:tcPr>
          <w:p w14:paraId="6623DD20" w14:textId="77777777" w:rsidR="00265493" w:rsidRPr="00444344" w:rsidRDefault="00265493" w:rsidP="00FD303A">
            <w:pPr>
              <w:pStyle w:val="NormalWeb"/>
              <w:contextualSpacing/>
              <w:jc w:val="both"/>
            </w:pPr>
            <w:r w:rsidRPr="00444344">
              <w:t>Farooq et al. (2016)</w:t>
            </w:r>
          </w:p>
        </w:tc>
      </w:tr>
      <w:tr w:rsidR="00265493" w:rsidRPr="00444344" w14:paraId="739927AA" w14:textId="77777777" w:rsidTr="00FD303A">
        <w:tc>
          <w:tcPr>
            <w:tcW w:w="0" w:type="auto"/>
            <w:hideMark/>
          </w:tcPr>
          <w:p w14:paraId="221731B6" w14:textId="77777777" w:rsidR="00265493" w:rsidRPr="00444344" w:rsidRDefault="00265493" w:rsidP="00FD303A">
            <w:pPr>
              <w:pStyle w:val="NormalWeb"/>
              <w:contextualSpacing/>
              <w:jc w:val="both"/>
            </w:pPr>
            <w:r w:rsidRPr="00444344">
              <w:t>Independent Variables</w:t>
            </w:r>
          </w:p>
        </w:tc>
        <w:tc>
          <w:tcPr>
            <w:tcW w:w="0" w:type="auto"/>
            <w:hideMark/>
          </w:tcPr>
          <w:p w14:paraId="6EDACAC9" w14:textId="77777777" w:rsidR="00265493" w:rsidRPr="00444344" w:rsidRDefault="00265493" w:rsidP="00FD303A">
            <w:pPr>
              <w:pStyle w:val="NormalWeb"/>
              <w:contextualSpacing/>
              <w:jc w:val="both"/>
            </w:pPr>
          </w:p>
        </w:tc>
        <w:tc>
          <w:tcPr>
            <w:tcW w:w="0" w:type="auto"/>
            <w:hideMark/>
          </w:tcPr>
          <w:p w14:paraId="5AA27FA6" w14:textId="77777777" w:rsidR="00265493" w:rsidRPr="00444344" w:rsidRDefault="00265493" w:rsidP="00FD303A">
            <w:pPr>
              <w:pStyle w:val="NormalWeb"/>
              <w:contextualSpacing/>
              <w:jc w:val="both"/>
            </w:pPr>
          </w:p>
        </w:tc>
        <w:tc>
          <w:tcPr>
            <w:tcW w:w="0" w:type="auto"/>
            <w:hideMark/>
          </w:tcPr>
          <w:p w14:paraId="2707DC3F" w14:textId="77777777" w:rsidR="00265493" w:rsidRPr="00444344" w:rsidRDefault="00265493" w:rsidP="00FD303A">
            <w:pPr>
              <w:pStyle w:val="NormalWeb"/>
              <w:contextualSpacing/>
              <w:jc w:val="both"/>
            </w:pPr>
          </w:p>
        </w:tc>
      </w:tr>
      <w:tr w:rsidR="00265493" w:rsidRPr="00444344" w14:paraId="7DD1FF34" w14:textId="77777777" w:rsidTr="00FD303A">
        <w:tc>
          <w:tcPr>
            <w:tcW w:w="0" w:type="auto"/>
            <w:hideMark/>
          </w:tcPr>
          <w:p w14:paraId="5593893C" w14:textId="77777777" w:rsidR="00265493" w:rsidRPr="00444344" w:rsidRDefault="00265493" w:rsidP="00FD303A">
            <w:pPr>
              <w:pStyle w:val="NormalWeb"/>
              <w:contextualSpacing/>
              <w:jc w:val="both"/>
            </w:pPr>
            <w:r w:rsidRPr="00444344">
              <w:t>Short-Term Debt (STD)</w:t>
            </w:r>
          </w:p>
        </w:tc>
        <w:tc>
          <w:tcPr>
            <w:tcW w:w="0" w:type="auto"/>
            <w:hideMark/>
          </w:tcPr>
          <w:p w14:paraId="1804B2F8" w14:textId="77777777" w:rsidR="00265493" w:rsidRPr="00444344" w:rsidRDefault="00265493" w:rsidP="00FD303A">
            <w:pPr>
              <w:pStyle w:val="NormalWeb"/>
              <w:contextualSpacing/>
              <w:jc w:val="both"/>
            </w:pPr>
            <w:r w:rsidRPr="00444344">
              <w:t>Proportion of short-term borrowings in total assets.</w:t>
            </w:r>
          </w:p>
        </w:tc>
        <w:tc>
          <w:tcPr>
            <w:tcW w:w="0" w:type="auto"/>
            <w:hideMark/>
          </w:tcPr>
          <w:p w14:paraId="0752845A" w14:textId="77777777" w:rsidR="00265493" w:rsidRPr="00444344" w:rsidRDefault="00265493" w:rsidP="00FD303A">
            <w:pPr>
              <w:pStyle w:val="NormalWeb"/>
              <w:contextualSpacing/>
              <w:jc w:val="both"/>
            </w:pPr>
            <w:r w:rsidRPr="00444344">
              <w:t>Ratio of Current Liabilities to Total Assets</w:t>
            </w:r>
          </w:p>
        </w:tc>
        <w:tc>
          <w:tcPr>
            <w:tcW w:w="0" w:type="auto"/>
            <w:hideMark/>
          </w:tcPr>
          <w:p w14:paraId="03AC2347" w14:textId="77777777" w:rsidR="00265493" w:rsidRPr="00444344" w:rsidRDefault="00265493" w:rsidP="00FD303A">
            <w:pPr>
              <w:pStyle w:val="NormalWeb"/>
              <w:contextualSpacing/>
              <w:jc w:val="both"/>
            </w:pPr>
            <w:proofErr w:type="spellStart"/>
            <w:r w:rsidRPr="00444344">
              <w:t>Shikumo</w:t>
            </w:r>
            <w:proofErr w:type="spellEnd"/>
            <w:r w:rsidRPr="00444344">
              <w:t xml:space="preserve"> (2020)</w:t>
            </w:r>
          </w:p>
        </w:tc>
      </w:tr>
      <w:tr w:rsidR="00265493" w:rsidRPr="00444344" w14:paraId="6C7C08C8" w14:textId="77777777" w:rsidTr="00FD303A">
        <w:tc>
          <w:tcPr>
            <w:tcW w:w="0" w:type="auto"/>
            <w:hideMark/>
          </w:tcPr>
          <w:p w14:paraId="7C3878BB" w14:textId="77777777" w:rsidR="00265493" w:rsidRPr="00444344" w:rsidRDefault="00265493" w:rsidP="00FD303A">
            <w:pPr>
              <w:pStyle w:val="NormalWeb"/>
              <w:contextualSpacing/>
              <w:jc w:val="both"/>
            </w:pPr>
            <w:r w:rsidRPr="00444344">
              <w:t>Long-Term Debt (LTD)</w:t>
            </w:r>
          </w:p>
        </w:tc>
        <w:tc>
          <w:tcPr>
            <w:tcW w:w="0" w:type="auto"/>
            <w:hideMark/>
          </w:tcPr>
          <w:p w14:paraId="1D7C8E1B" w14:textId="77777777" w:rsidR="00265493" w:rsidRPr="00444344" w:rsidRDefault="00265493" w:rsidP="00FD303A">
            <w:pPr>
              <w:pStyle w:val="NormalWeb"/>
              <w:contextualSpacing/>
              <w:jc w:val="both"/>
            </w:pPr>
            <w:r w:rsidRPr="00444344">
              <w:t>Proportion of long-term debt in total assets.</w:t>
            </w:r>
          </w:p>
        </w:tc>
        <w:tc>
          <w:tcPr>
            <w:tcW w:w="0" w:type="auto"/>
            <w:hideMark/>
          </w:tcPr>
          <w:p w14:paraId="4E645223" w14:textId="77777777" w:rsidR="00265493" w:rsidRPr="00444344" w:rsidRDefault="00265493" w:rsidP="00FD303A">
            <w:pPr>
              <w:pStyle w:val="NormalWeb"/>
              <w:contextualSpacing/>
              <w:jc w:val="both"/>
            </w:pPr>
            <w:r w:rsidRPr="00444344">
              <w:t>Total Long-Term Liabilities divided by Total Assets</w:t>
            </w:r>
          </w:p>
        </w:tc>
        <w:tc>
          <w:tcPr>
            <w:tcW w:w="0" w:type="auto"/>
            <w:hideMark/>
          </w:tcPr>
          <w:p w14:paraId="79AFE89F" w14:textId="77777777" w:rsidR="00265493" w:rsidRPr="00444344" w:rsidRDefault="00265493" w:rsidP="00FD303A">
            <w:pPr>
              <w:pStyle w:val="NormalWeb"/>
              <w:contextualSpacing/>
              <w:jc w:val="both"/>
            </w:pPr>
            <w:r w:rsidRPr="00444344">
              <w:t>Muchiri et al. (2016)</w:t>
            </w:r>
          </w:p>
        </w:tc>
      </w:tr>
      <w:tr w:rsidR="00265493" w:rsidRPr="00444344" w14:paraId="3390B64E" w14:textId="77777777" w:rsidTr="00FD303A">
        <w:tc>
          <w:tcPr>
            <w:tcW w:w="0" w:type="auto"/>
            <w:hideMark/>
          </w:tcPr>
          <w:p w14:paraId="6D69C595" w14:textId="77777777" w:rsidR="00265493" w:rsidRPr="00444344" w:rsidRDefault="00265493" w:rsidP="00FD303A">
            <w:pPr>
              <w:pStyle w:val="NormalWeb"/>
              <w:contextualSpacing/>
              <w:jc w:val="both"/>
            </w:pPr>
            <w:r w:rsidRPr="00444344">
              <w:t>Cost of Debt (COD)</w:t>
            </w:r>
          </w:p>
        </w:tc>
        <w:tc>
          <w:tcPr>
            <w:tcW w:w="0" w:type="auto"/>
            <w:hideMark/>
          </w:tcPr>
          <w:p w14:paraId="0DCDD8BF" w14:textId="77777777" w:rsidR="00265493" w:rsidRPr="00444344" w:rsidRDefault="00265493" w:rsidP="00FD303A">
            <w:pPr>
              <w:pStyle w:val="NormalWeb"/>
              <w:contextualSpacing/>
              <w:jc w:val="both"/>
            </w:pPr>
            <w:r w:rsidRPr="00444344">
              <w:t xml:space="preserve">The </w:t>
            </w:r>
            <w:proofErr w:type="gramStart"/>
            <w:r w:rsidRPr="00444344">
              <w:t>after tax</w:t>
            </w:r>
            <w:proofErr w:type="gramEnd"/>
            <w:r w:rsidRPr="00444344">
              <w:t xml:space="preserve"> weighted cost of borrowed capital.</w:t>
            </w:r>
          </w:p>
        </w:tc>
        <w:tc>
          <w:tcPr>
            <w:tcW w:w="0" w:type="auto"/>
            <w:hideMark/>
          </w:tcPr>
          <w:p w14:paraId="2D00D55B" w14:textId="77777777" w:rsidR="00265493" w:rsidRPr="00444344" w:rsidRDefault="00265493" w:rsidP="00FD303A">
            <w:pPr>
              <w:pStyle w:val="NormalWeb"/>
              <w:contextualSpacing/>
              <w:jc w:val="both"/>
            </w:pPr>
            <w:r w:rsidRPr="00444344">
              <w:t>COD</w:t>
            </w:r>
            <w:r w:rsidRPr="00444344">
              <w:rPr>
                <w:vertAlign w:val="subscript"/>
              </w:rPr>
              <w:t>After tax</w:t>
            </w:r>
            <w:r w:rsidRPr="00444344">
              <w:t xml:space="preserve"> =Interest Expense / Total Interest-Bearing Debt </w:t>
            </w:r>
          </w:p>
          <w:p w14:paraId="1405BFDB" w14:textId="77777777" w:rsidR="00265493" w:rsidRPr="00444344" w:rsidRDefault="00265493" w:rsidP="00FD303A">
            <w:pPr>
              <w:pStyle w:val="NormalWeb"/>
              <w:contextualSpacing/>
              <w:jc w:val="both"/>
            </w:pPr>
          </w:p>
        </w:tc>
        <w:tc>
          <w:tcPr>
            <w:tcW w:w="0" w:type="auto"/>
            <w:hideMark/>
          </w:tcPr>
          <w:p w14:paraId="3B9DE616" w14:textId="77777777" w:rsidR="00265493" w:rsidRPr="00444344" w:rsidRDefault="00265493" w:rsidP="00FD303A">
            <w:pPr>
              <w:pStyle w:val="NormalWeb"/>
              <w:contextualSpacing/>
              <w:jc w:val="both"/>
            </w:pPr>
            <w:r w:rsidRPr="00444344">
              <w:t>Friede et al. (2019)</w:t>
            </w:r>
          </w:p>
        </w:tc>
      </w:tr>
      <w:tr w:rsidR="00265493" w:rsidRPr="00444344" w14:paraId="03577D1D" w14:textId="77777777" w:rsidTr="00FD303A">
        <w:tc>
          <w:tcPr>
            <w:tcW w:w="0" w:type="auto"/>
            <w:hideMark/>
          </w:tcPr>
          <w:p w14:paraId="51AE9FC8" w14:textId="77777777" w:rsidR="00265493" w:rsidRPr="00444344" w:rsidRDefault="00265493" w:rsidP="00FD303A">
            <w:pPr>
              <w:pStyle w:val="NormalWeb"/>
              <w:contextualSpacing/>
              <w:jc w:val="both"/>
            </w:pPr>
            <w:r w:rsidRPr="00444344">
              <w:t>Profitability (PROF)</w:t>
            </w:r>
          </w:p>
        </w:tc>
        <w:tc>
          <w:tcPr>
            <w:tcW w:w="0" w:type="auto"/>
            <w:hideMark/>
          </w:tcPr>
          <w:p w14:paraId="3334A681" w14:textId="77777777" w:rsidR="00265493" w:rsidRPr="00444344" w:rsidRDefault="00265493" w:rsidP="00FD303A">
            <w:pPr>
              <w:pStyle w:val="NormalWeb"/>
              <w:contextualSpacing/>
              <w:jc w:val="both"/>
            </w:pPr>
            <w:r w:rsidRPr="00444344">
              <w:t>Firm’s efficiency in generating earnings from assets.</w:t>
            </w:r>
          </w:p>
        </w:tc>
        <w:tc>
          <w:tcPr>
            <w:tcW w:w="0" w:type="auto"/>
            <w:hideMark/>
          </w:tcPr>
          <w:p w14:paraId="05E47D75" w14:textId="77777777" w:rsidR="00265493" w:rsidRPr="00444344" w:rsidRDefault="00265493" w:rsidP="00FD303A">
            <w:pPr>
              <w:pStyle w:val="NormalWeb"/>
              <w:contextualSpacing/>
              <w:jc w:val="both"/>
            </w:pPr>
            <w:r w:rsidRPr="00444344">
              <w:t>Profit After Tax divided by Total Assets</w:t>
            </w:r>
          </w:p>
        </w:tc>
        <w:tc>
          <w:tcPr>
            <w:tcW w:w="0" w:type="auto"/>
            <w:hideMark/>
          </w:tcPr>
          <w:p w14:paraId="29AD95C5" w14:textId="77777777" w:rsidR="00265493" w:rsidRPr="00444344" w:rsidRDefault="00265493" w:rsidP="00FD303A">
            <w:pPr>
              <w:pStyle w:val="NormalWeb"/>
              <w:contextualSpacing/>
              <w:jc w:val="both"/>
            </w:pPr>
            <w:proofErr w:type="spellStart"/>
            <w:r w:rsidRPr="00444344">
              <w:t>Onumoh</w:t>
            </w:r>
            <w:proofErr w:type="spellEnd"/>
            <w:r w:rsidRPr="00444344">
              <w:t xml:space="preserve"> (2021)</w:t>
            </w:r>
          </w:p>
        </w:tc>
      </w:tr>
      <w:tr w:rsidR="00265493" w:rsidRPr="00444344" w14:paraId="74C6B566" w14:textId="77777777" w:rsidTr="00FD303A">
        <w:tc>
          <w:tcPr>
            <w:tcW w:w="0" w:type="auto"/>
            <w:hideMark/>
          </w:tcPr>
          <w:p w14:paraId="4E676D25" w14:textId="77777777" w:rsidR="00265493" w:rsidRPr="00444344" w:rsidRDefault="00265493" w:rsidP="00FD303A">
            <w:pPr>
              <w:pStyle w:val="NormalWeb"/>
              <w:contextualSpacing/>
              <w:jc w:val="both"/>
            </w:pPr>
            <w:r w:rsidRPr="00444344">
              <w:t>Firm Size (FSIZE)</w:t>
            </w:r>
          </w:p>
        </w:tc>
        <w:tc>
          <w:tcPr>
            <w:tcW w:w="0" w:type="auto"/>
            <w:hideMark/>
          </w:tcPr>
          <w:p w14:paraId="70D2F357" w14:textId="77777777" w:rsidR="00265493" w:rsidRPr="00444344" w:rsidRDefault="00265493" w:rsidP="00FD303A">
            <w:pPr>
              <w:pStyle w:val="NormalWeb"/>
              <w:contextualSpacing/>
              <w:jc w:val="both"/>
            </w:pPr>
            <w:r w:rsidRPr="00444344">
              <w:t>Logarithm of total assets, representing firm scale.</w:t>
            </w:r>
          </w:p>
        </w:tc>
        <w:tc>
          <w:tcPr>
            <w:tcW w:w="0" w:type="auto"/>
            <w:hideMark/>
          </w:tcPr>
          <w:p w14:paraId="67CE34B5" w14:textId="77777777" w:rsidR="00265493" w:rsidRPr="00444344" w:rsidRDefault="00265493" w:rsidP="00FD303A">
            <w:pPr>
              <w:pStyle w:val="NormalWeb"/>
              <w:contextualSpacing/>
              <w:jc w:val="both"/>
            </w:pPr>
            <w:r w:rsidRPr="00444344">
              <w:t>Natural Logarithm of Total Assets</w:t>
            </w:r>
          </w:p>
        </w:tc>
        <w:tc>
          <w:tcPr>
            <w:tcW w:w="0" w:type="auto"/>
            <w:hideMark/>
          </w:tcPr>
          <w:p w14:paraId="6CC8F75E" w14:textId="77777777" w:rsidR="00265493" w:rsidRPr="00444344" w:rsidRDefault="00265493" w:rsidP="00FD303A">
            <w:pPr>
              <w:pStyle w:val="NormalWeb"/>
              <w:contextualSpacing/>
              <w:jc w:val="both"/>
            </w:pPr>
            <w:r w:rsidRPr="00444344">
              <w:t>Orekhova et al. (2019)</w:t>
            </w:r>
          </w:p>
        </w:tc>
      </w:tr>
      <w:tr w:rsidR="00265493" w:rsidRPr="00444344" w14:paraId="33E4602A" w14:textId="77777777" w:rsidTr="00FD303A">
        <w:tc>
          <w:tcPr>
            <w:tcW w:w="0" w:type="auto"/>
            <w:tcBorders>
              <w:bottom w:val="single" w:sz="4" w:space="0" w:color="auto"/>
            </w:tcBorders>
            <w:hideMark/>
          </w:tcPr>
          <w:p w14:paraId="062A0BC2" w14:textId="77777777" w:rsidR="00265493" w:rsidRPr="00444344" w:rsidRDefault="00265493" w:rsidP="00FD303A">
            <w:pPr>
              <w:pStyle w:val="NormalWeb"/>
              <w:contextualSpacing/>
              <w:jc w:val="both"/>
            </w:pPr>
            <w:r w:rsidRPr="00444344">
              <w:t>Year Dummies</w:t>
            </w:r>
          </w:p>
        </w:tc>
        <w:tc>
          <w:tcPr>
            <w:tcW w:w="0" w:type="auto"/>
            <w:tcBorders>
              <w:bottom w:val="single" w:sz="4" w:space="0" w:color="auto"/>
            </w:tcBorders>
            <w:hideMark/>
          </w:tcPr>
          <w:p w14:paraId="1611D524" w14:textId="77777777" w:rsidR="00265493" w:rsidRPr="00444344" w:rsidRDefault="00265493" w:rsidP="00FD303A">
            <w:pPr>
              <w:pStyle w:val="NormalWeb"/>
              <w:contextualSpacing/>
              <w:jc w:val="both"/>
            </w:pPr>
            <w:r w:rsidRPr="00444344">
              <w:t>Control for macroeconomic shocks and firm performance.</w:t>
            </w:r>
          </w:p>
        </w:tc>
        <w:tc>
          <w:tcPr>
            <w:tcW w:w="0" w:type="auto"/>
            <w:tcBorders>
              <w:bottom w:val="single" w:sz="4" w:space="0" w:color="auto"/>
            </w:tcBorders>
            <w:hideMark/>
          </w:tcPr>
          <w:p w14:paraId="452A7A61" w14:textId="77777777" w:rsidR="00265493" w:rsidRPr="00444344" w:rsidRDefault="00265493" w:rsidP="00FD303A">
            <w:pPr>
              <w:pStyle w:val="NormalWeb"/>
              <w:contextualSpacing/>
              <w:jc w:val="both"/>
            </w:pPr>
            <w:r w:rsidRPr="00444344">
              <w:t>Dummy variables for each year from 2013 to 2023</w:t>
            </w:r>
          </w:p>
        </w:tc>
        <w:tc>
          <w:tcPr>
            <w:tcW w:w="0" w:type="auto"/>
            <w:tcBorders>
              <w:bottom w:val="single" w:sz="4" w:space="0" w:color="auto"/>
            </w:tcBorders>
            <w:hideMark/>
          </w:tcPr>
          <w:p w14:paraId="09A5ACD7" w14:textId="77777777" w:rsidR="00265493" w:rsidRPr="00444344" w:rsidRDefault="00265493" w:rsidP="00FD303A">
            <w:pPr>
              <w:pStyle w:val="NormalWeb"/>
              <w:contextualSpacing/>
              <w:jc w:val="both"/>
            </w:pPr>
            <w:r w:rsidRPr="00444344">
              <w:t xml:space="preserve">Wooldridge (2010), </w:t>
            </w:r>
            <w:proofErr w:type="spellStart"/>
            <w:r w:rsidRPr="00444344">
              <w:t>Baltagi</w:t>
            </w:r>
            <w:proofErr w:type="spellEnd"/>
            <w:r w:rsidRPr="00444344">
              <w:t xml:space="preserve"> (2021)</w:t>
            </w:r>
          </w:p>
        </w:tc>
      </w:tr>
    </w:tbl>
    <w:p w14:paraId="07249EEE" w14:textId="3813C83E" w:rsidR="00037485" w:rsidRPr="00037485" w:rsidRDefault="00265493" w:rsidP="00265493">
      <w:pPr>
        <w:pStyle w:val="NormalWeb"/>
        <w:spacing w:beforeAutospacing="0" w:afterAutospacing="0" w:line="480" w:lineRule="auto"/>
        <w:jc w:val="both"/>
        <w:rPr>
          <w:lang w:val="en-GB"/>
        </w:rPr>
      </w:pPr>
      <w:r w:rsidRPr="00444344">
        <w:rPr>
          <w:lang w:val="en-GB"/>
        </w:rPr>
        <w:t>Source: Author’s compilation, 2025</w:t>
      </w:r>
    </w:p>
    <w:p w14:paraId="0185C983" w14:textId="77777777" w:rsidR="00E52205" w:rsidRPr="00E52205" w:rsidRDefault="00E52205" w:rsidP="00E52205">
      <w:pPr>
        <w:jc w:val="both"/>
        <w:rPr>
          <w:rFonts w:asciiTheme="majorBidi" w:hAnsiTheme="majorBidi" w:cstheme="majorBidi"/>
          <w:b/>
          <w:bCs/>
          <w:sz w:val="24"/>
          <w:szCs w:val="24"/>
        </w:rPr>
      </w:pPr>
      <w:r w:rsidRPr="00E52205">
        <w:rPr>
          <w:rFonts w:asciiTheme="majorBidi" w:hAnsiTheme="majorBidi" w:cstheme="majorBidi"/>
          <w:b/>
          <w:bCs/>
          <w:sz w:val="24"/>
          <w:szCs w:val="24"/>
        </w:rPr>
        <w:t>4. Results and Discussion</w:t>
      </w:r>
    </w:p>
    <w:p w14:paraId="049056B3" w14:textId="77777777" w:rsidR="00E52205" w:rsidRPr="00E52205" w:rsidRDefault="00E52205" w:rsidP="00E52205">
      <w:pPr>
        <w:jc w:val="both"/>
        <w:rPr>
          <w:rFonts w:asciiTheme="majorBidi" w:hAnsiTheme="majorBidi" w:cstheme="majorBidi"/>
          <w:b/>
          <w:bCs/>
          <w:sz w:val="24"/>
          <w:szCs w:val="24"/>
        </w:rPr>
      </w:pPr>
      <w:r w:rsidRPr="00E52205">
        <w:rPr>
          <w:rFonts w:asciiTheme="majorBidi" w:hAnsiTheme="majorBidi" w:cstheme="majorBidi"/>
          <w:b/>
          <w:bCs/>
          <w:sz w:val="24"/>
          <w:szCs w:val="24"/>
        </w:rPr>
        <w:t>4.1 Descriptive statistics</w:t>
      </w:r>
    </w:p>
    <w:p w14:paraId="305AB5AB" w14:textId="6045571F" w:rsidR="00E52205" w:rsidRPr="00E52205" w:rsidRDefault="003B5C28" w:rsidP="003B5C28">
      <w:pPr>
        <w:jc w:val="both"/>
        <w:rPr>
          <w:rFonts w:asciiTheme="majorBidi" w:hAnsiTheme="majorBidi" w:cstheme="majorBidi"/>
          <w:sz w:val="24"/>
          <w:szCs w:val="24"/>
        </w:rPr>
      </w:pPr>
      <w:r w:rsidRPr="003B5C28">
        <w:rPr>
          <w:rFonts w:asciiTheme="majorBidi" w:hAnsiTheme="majorBidi" w:cstheme="majorBidi"/>
          <w:sz w:val="24"/>
          <w:szCs w:val="24"/>
        </w:rPr>
        <w:t xml:space="preserve">This section summarises the key characteristics of the variables used in the analysis and sets the stage for the correlation, diagnostics, and regression results that follow. Table </w:t>
      </w:r>
      <w:r w:rsidR="00823680">
        <w:rPr>
          <w:rFonts w:asciiTheme="majorBidi" w:hAnsiTheme="majorBidi" w:cstheme="majorBidi"/>
          <w:sz w:val="24"/>
          <w:szCs w:val="24"/>
          <w:lang w:val="en-IN"/>
        </w:rPr>
        <w:t>2</w:t>
      </w:r>
      <w:r w:rsidRPr="003B5C28">
        <w:rPr>
          <w:rFonts w:asciiTheme="majorBidi" w:hAnsiTheme="majorBidi" w:cstheme="majorBidi"/>
          <w:sz w:val="24"/>
          <w:szCs w:val="24"/>
        </w:rPr>
        <w:t xml:space="preserve"> reports the number of observations, means, standard deviations, and ranges for shareholders’ wealth (SHW), short-term debt (STD), long-term debt (LTD), cost of debt (COD), profitability (PROF), and firm size (FSIZE). The sample comprises 473 firm-year observations. SHW averages 0.1595 with a standard deviation of 0.0248 and spans 0.1083 to 0.2221, indicating moderate dispersion in market valuation across listed manufacturers. Both leverage measures have low means, with STD at 0.0104 and LTD at 0.0056, which is consistent with restrained use of interest-bearing debt. COD averages 0.0343, implying an average borrowing cost of about 3.43 per cent, although the dispersion (0.0387) and upper bound (0.2287) suggest meaningful variation in financing conditions across firms and over time. PROF has a mean of </w:t>
      </w:r>
      <w:r w:rsidRPr="003B5C28">
        <w:rPr>
          <w:rFonts w:asciiTheme="majorBidi" w:hAnsiTheme="majorBidi" w:cstheme="majorBidi"/>
          <w:sz w:val="24"/>
          <w:szCs w:val="24"/>
        </w:rPr>
        <w:lastRenderedPageBreak/>
        <w:t xml:space="preserve">0.0055 but a relatively large standard deviation of 0.0748, and the minimum of −0.9894 indicates loss-making years for some firms. FSIZE averages 0.1645 and ranges from 0.1096 to 0.2168, reflecting a mix of smaller and larger issuers in the </w:t>
      </w:r>
      <w:proofErr w:type="gramStart"/>
      <w:r w:rsidRPr="003B5C28">
        <w:rPr>
          <w:rFonts w:asciiTheme="majorBidi" w:hAnsiTheme="majorBidi" w:cstheme="majorBidi"/>
          <w:sz w:val="24"/>
          <w:szCs w:val="24"/>
        </w:rPr>
        <w:t>sample.</w:t>
      </w:r>
      <w:r w:rsidR="00E52205" w:rsidRPr="00E52205">
        <w:rPr>
          <w:rFonts w:asciiTheme="majorBidi" w:hAnsiTheme="majorBidi" w:cstheme="majorBidi"/>
          <w:sz w:val="24"/>
          <w:szCs w:val="24"/>
        </w:rPr>
        <w:t>.</w:t>
      </w:r>
      <w:proofErr w:type="gramEnd"/>
    </w:p>
    <w:p w14:paraId="28AE3AF4" w14:textId="6A0C959D" w:rsidR="00E52205" w:rsidRPr="00E52205" w:rsidRDefault="00E52205" w:rsidP="003B5C28">
      <w:pPr>
        <w:jc w:val="both"/>
        <w:rPr>
          <w:rFonts w:asciiTheme="majorBidi" w:hAnsiTheme="majorBidi" w:cstheme="majorBidi"/>
          <w:b/>
          <w:bCs/>
          <w:sz w:val="24"/>
          <w:szCs w:val="24"/>
        </w:rPr>
      </w:pPr>
      <w:r w:rsidRPr="00E52205">
        <w:rPr>
          <w:rFonts w:asciiTheme="majorBidi" w:hAnsiTheme="majorBidi" w:cstheme="majorBidi"/>
          <w:b/>
          <w:bCs/>
          <w:sz w:val="24"/>
          <w:szCs w:val="24"/>
        </w:rPr>
        <w:t xml:space="preserve">Table </w:t>
      </w:r>
      <w:r w:rsidR="00823680">
        <w:rPr>
          <w:rFonts w:asciiTheme="majorBidi" w:hAnsiTheme="majorBidi" w:cstheme="majorBidi"/>
          <w:b/>
          <w:bCs/>
          <w:sz w:val="24"/>
          <w:szCs w:val="24"/>
          <w:lang w:val="en-IN"/>
        </w:rPr>
        <w:t>2-</w:t>
      </w:r>
      <w:r w:rsidRPr="00E52205">
        <w:rPr>
          <w:rFonts w:asciiTheme="majorBidi" w:hAnsiTheme="majorBidi" w:cstheme="majorBidi"/>
          <w:b/>
          <w:bCs/>
          <w:sz w:val="24"/>
          <w:szCs w:val="24"/>
        </w:rPr>
        <w:t xml:space="preserve"> Descriptive statistics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630"/>
        <w:gridCol w:w="876"/>
        <w:gridCol w:w="1130"/>
        <w:gridCol w:w="956"/>
        <w:gridCol w:w="876"/>
      </w:tblGrid>
      <w:tr w:rsidR="00E52205" w:rsidRPr="00E52205" w14:paraId="15D33067" w14:textId="77777777" w:rsidTr="003B5C28">
        <w:tc>
          <w:tcPr>
            <w:tcW w:w="0" w:type="auto"/>
            <w:tcBorders>
              <w:top w:val="single" w:sz="4" w:space="0" w:color="auto"/>
              <w:bottom w:val="single" w:sz="4" w:space="0" w:color="auto"/>
            </w:tcBorders>
            <w:hideMark/>
          </w:tcPr>
          <w:p w14:paraId="3F185F98"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Variable</w:t>
            </w:r>
          </w:p>
        </w:tc>
        <w:tc>
          <w:tcPr>
            <w:tcW w:w="0" w:type="auto"/>
            <w:tcBorders>
              <w:top w:val="single" w:sz="4" w:space="0" w:color="auto"/>
              <w:bottom w:val="single" w:sz="4" w:space="0" w:color="auto"/>
            </w:tcBorders>
            <w:hideMark/>
          </w:tcPr>
          <w:p w14:paraId="25182E36"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Obs</w:t>
            </w:r>
          </w:p>
        </w:tc>
        <w:tc>
          <w:tcPr>
            <w:tcW w:w="0" w:type="auto"/>
            <w:tcBorders>
              <w:top w:val="single" w:sz="4" w:space="0" w:color="auto"/>
              <w:bottom w:val="single" w:sz="4" w:space="0" w:color="auto"/>
            </w:tcBorders>
            <w:hideMark/>
          </w:tcPr>
          <w:p w14:paraId="2BB1A3A3"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Mean</w:t>
            </w:r>
          </w:p>
        </w:tc>
        <w:tc>
          <w:tcPr>
            <w:tcW w:w="0" w:type="auto"/>
            <w:tcBorders>
              <w:top w:val="single" w:sz="4" w:space="0" w:color="auto"/>
              <w:bottom w:val="single" w:sz="4" w:space="0" w:color="auto"/>
            </w:tcBorders>
            <w:hideMark/>
          </w:tcPr>
          <w:p w14:paraId="58DF6BC5"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Std. Dev.</w:t>
            </w:r>
          </w:p>
        </w:tc>
        <w:tc>
          <w:tcPr>
            <w:tcW w:w="0" w:type="auto"/>
            <w:tcBorders>
              <w:top w:val="single" w:sz="4" w:space="0" w:color="auto"/>
              <w:bottom w:val="single" w:sz="4" w:space="0" w:color="auto"/>
            </w:tcBorders>
            <w:hideMark/>
          </w:tcPr>
          <w:p w14:paraId="0E365051"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Min</w:t>
            </w:r>
          </w:p>
        </w:tc>
        <w:tc>
          <w:tcPr>
            <w:tcW w:w="0" w:type="auto"/>
            <w:tcBorders>
              <w:top w:val="single" w:sz="4" w:space="0" w:color="auto"/>
              <w:bottom w:val="single" w:sz="4" w:space="0" w:color="auto"/>
            </w:tcBorders>
            <w:hideMark/>
          </w:tcPr>
          <w:p w14:paraId="54B3EE8B"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Max</w:t>
            </w:r>
          </w:p>
        </w:tc>
      </w:tr>
      <w:tr w:rsidR="00E52205" w:rsidRPr="00E52205" w14:paraId="75A0C348" w14:textId="77777777" w:rsidTr="003B5C28">
        <w:tc>
          <w:tcPr>
            <w:tcW w:w="0" w:type="auto"/>
            <w:tcBorders>
              <w:top w:val="single" w:sz="4" w:space="0" w:color="auto"/>
            </w:tcBorders>
            <w:hideMark/>
          </w:tcPr>
          <w:p w14:paraId="61F49417"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SHW</w:t>
            </w:r>
          </w:p>
        </w:tc>
        <w:tc>
          <w:tcPr>
            <w:tcW w:w="0" w:type="auto"/>
            <w:tcBorders>
              <w:top w:val="single" w:sz="4" w:space="0" w:color="auto"/>
            </w:tcBorders>
            <w:hideMark/>
          </w:tcPr>
          <w:p w14:paraId="7EE22ACA"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473</w:t>
            </w:r>
          </w:p>
        </w:tc>
        <w:tc>
          <w:tcPr>
            <w:tcW w:w="0" w:type="auto"/>
            <w:tcBorders>
              <w:top w:val="single" w:sz="4" w:space="0" w:color="auto"/>
            </w:tcBorders>
            <w:hideMark/>
          </w:tcPr>
          <w:p w14:paraId="459091ED"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0.1595</w:t>
            </w:r>
          </w:p>
        </w:tc>
        <w:tc>
          <w:tcPr>
            <w:tcW w:w="0" w:type="auto"/>
            <w:tcBorders>
              <w:top w:val="single" w:sz="4" w:space="0" w:color="auto"/>
            </w:tcBorders>
            <w:hideMark/>
          </w:tcPr>
          <w:p w14:paraId="563B0564"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0.0248</w:t>
            </w:r>
          </w:p>
        </w:tc>
        <w:tc>
          <w:tcPr>
            <w:tcW w:w="0" w:type="auto"/>
            <w:tcBorders>
              <w:top w:val="single" w:sz="4" w:space="0" w:color="auto"/>
            </w:tcBorders>
            <w:hideMark/>
          </w:tcPr>
          <w:p w14:paraId="314AB46E"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0.1083</w:t>
            </w:r>
          </w:p>
        </w:tc>
        <w:tc>
          <w:tcPr>
            <w:tcW w:w="0" w:type="auto"/>
            <w:tcBorders>
              <w:top w:val="single" w:sz="4" w:space="0" w:color="auto"/>
            </w:tcBorders>
            <w:hideMark/>
          </w:tcPr>
          <w:p w14:paraId="19F8B768"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0.2221</w:t>
            </w:r>
          </w:p>
        </w:tc>
      </w:tr>
      <w:tr w:rsidR="00E52205" w:rsidRPr="00E52205" w14:paraId="3691899E" w14:textId="77777777" w:rsidTr="003B5C28">
        <w:tc>
          <w:tcPr>
            <w:tcW w:w="0" w:type="auto"/>
            <w:hideMark/>
          </w:tcPr>
          <w:p w14:paraId="33708B55"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STD</w:t>
            </w:r>
          </w:p>
        </w:tc>
        <w:tc>
          <w:tcPr>
            <w:tcW w:w="0" w:type="auto"/>
            <w:hideMark/>
          </w:tcPr>
          <w:p w14:paraId="7F9DFE30"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473</w:t>
            </w:r>
          </w:p>
        </w:tc>
        <w:tc>
          <w:tcPr>
            <w:tcW w:w="0" w:type="auto"/>
            <w:hideMark/>
          </w:tcPr>
          <w:p w14:paraId="6B2D6E1F"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0.0104</w:t>
            </w:r>
          </w:p>
        </w:tc>
        <w:tc>
          <w:tcPr>
            <w:tcW w:w="0" w:type="auto"/>
            <w:hideMark/>
          </w:tcPr>
          <w:p w14:paraId="48E690AD"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0.0289</w:t>
            </w:r>
          </w:p>
        </w:tc>
        <w:tc>
          <w:tcPr>
            <w:tcW w:w="0" w:type="auto"/>
            <w:hideMark/>
          </w:tcPr>
          <w:p w14:paraId="50490899"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0.0002</w:t>
            </w:r>
          </w:p>
        </w:tc>
        <w:tc>
          <w:tcPr>
            <w:tcW w:w="0" w:type="auto"/>
            <w:hideMark/>
          </w:tcPr>
          <w:p w14:paraId="1CDBC7ED"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0.1699</w:t>
            </w:r>
          </w:p>
        </w:tc>
      </w:tr>
      <w:tr w:rsidR="00E52205" w:rsidRPr="00E52205" w14:paraId="1F6CBF3D" w14:textId="77777777" w:rsidTr="003B5C28">
        <w:tc>
          <w:tcPr>
            <w:tcW w:w="0" w:type="auto"/>
            <w:hideMark/>
          </w:tcPr>
          <w:p w14:paraId="085946E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LTD</w:t>
            </w:r>
          </w:p>
        </w:tc>
        <w:tc>
          <w:tcPr>
            <w:tcW w:w="0" w:type="auto"/>
            <w:hideMark/>
          </w:tcPr>
          <w:p w14:paraId="64027B03"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473</w:t>
            </w:r>
          </w:p>
        </w:tc>
        <w:tc>
          <w:tcPr>
            <w:tcW w:w="0" w:type="auto"/>
            <w:hideMark/>
          </w:tcPr>
          <w:p w14:paraId="4E361388"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0.0056</w:t>
            </w:r>
          </w:p>
        </w:tc>
        <w:tc>
          <w:tcPr>
            <w:tcW w:w="0" w:type="auto"/>
            <w:hideMark/>
          </w:tcPr>
          <w:p w14:paraId="0B982266"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0.0247</w:t>
            </w:r>
          </w:p>
        </w:tc>
        <w:tc>
          <w:tcPr>
            <w:tcW w:w="0" w:type="auto"/>
            <w:hideMark/>
          </w:tcPr>
          <w:p w14:paraId="666C5C4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0.0000</w:t>
            </w:r>
          </w:p>
        </w:tc>
        <w:tc>
          <w:tcPr>
            <w:tcW w:w="0" w:type="auto"/>
            <w:hideMark/>
          </w:tcPr>
          <w:p w14:paraId="661DC71E"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0.1649</w:t>
            </w:r>
          </w:p>
        </w:tc>
      </w:tr>
      <w:tr w:rsidR="00E52205" w:rsidRPr="00E52205" w14:paraId="3359D5B1" w14:textId="77777777" w:rsidTr="003B5C28">
        <w:tc>
          <w:tcPr>
            <w:tcW w:w="0" w:type="auto"/>
            <w:hideMark/>
          </w:tcPr>
          <w:p w14:paraId="29F14BDF"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COD</w:t>
            </w:r>
          </w:p>
        </w:tc>
        <w:tc>
          <w:tcPr>
            <w:tcW w:w="0" w:type="auto"/>
            <w:hideMark/>
          </w:tcPr>
          <w:p w14:paraId="28F87325"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473</w:t>
            </w:r>
          </w:p>
        </w:tc>
        <w:tc>
          <w:tcPr>
            <w:tcW w:w="0" w:type="auto"/>
            <w:hideMark/>
          </w:tcPr>
          <w:p w14:paraId="5E6610B5"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0.0343</w:t>
            </w:r>
          </w:p>
        </w:tc>
        <w:tc>
          <w:tcPr>
            <w:tcW w:w="0" w:type="auto"/>
            <w:hideMark/>
          </w:tcPr>
          <w:p w14:paraId="0C9BC76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0.0387</w:t>
            </w:r>
          </w:p>
        </w:tc>
        <w:tc>
          <w:tcPr>
            <w:tcW w:w="0" w:type="auto"/>
            <w:hideMark/>
          </w:tcPr>
          <w:p w14:paraId="4F3E41A4"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0.0000</w:t>
            </w:r>
          </w:p>
        </w:tc>
        <w:tc>
          <w:tcPr>
            <w:tcW w:w="0" w:type="auto"/>
            <w:hideMark/>
          </w:tcPr>
          <w:p w14:paraId="22690E64"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0.2287</w:t>
            </w:r>
          </w:p>
        </w:tc>
      </w:tr>
      <w:tr w:rsidR="00E52205" w:rsidRPr="00E52205" w14:paraId="52532D00" w14:textId="77777777" w:rsidTr="003B5C28">
        <w:tc>
          <w:tcPr>
            <w:tcW w:w="0" w:type="auto"/>
            <w:hideMark/>
          </w:tcPr>
          <w:p w14:paraId="1867A618"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PROF</w:t>
            </w:r>
          </w:p>
        </w:tc>
        <w:tc>
          <w:tcPr>
            <w:tcW w:w="0" w:type="auto"/>
            <w:hideMark/>
          </w:tcPr>
          <w:p w14:paraId="5B5BA26F"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473</w:t>
            </w:r>
          </w:p>
        </w:tc>
        <w:tc>
          <w:tcPr>
            <w:tcW w:w="0" w:type="auto"/>
            <w:hideMark/>
          </w:tcPr>
          <w:p w14:paraId="6573739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0.0055</w:t>
            </w:r>
          </w:p>
        </w:tc>
        <w:tc>
          <w:tcPr>
            <w:tcW w:w="0" w:type="auto"/>
            <w:hideMark/>
          </w:tcPr>
          <w:p w14:paraId="1927081B"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0.0748</w:t>
            </w:r>
          </w:p>
        </w:tc>
        <w:tc>
          <w:tcPr>
            <w:tcW w:w="0" w:type="auto"/>
            <w:hideMark/>
          </w:tcPr>
          <w:p w14:paraId="096EC4E2" w14:textId="4E16C045"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0.9894</w:t>
            </w:r>
          </w:p>
        </w:tc>
        <w:tc>
          <w:tcPr>
            <w:tcW w:w="0" w:type="auto"/>
            <w:hideMark/>
          </w:tcPr>
          <w:p w14:paraId="7983DA1B"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0.2557</w:t>
            </w:r>
          </w:p>
        </w:tc>
      </w:tr>
      <w:tr w:rsidR="00E52205" w:rsidRPr="00E52205" w14:paraId="3BCD2B63" w14:textId="77777777" w:rsidTr="003B5C28">
        <w:tc>
          <w:tcPr>
            <w:tcW w:w="0" w:type="auto"/>
            <w:hideMark/>
          </w:tcPr>
          <w:p w14:paraId="5BF2481E"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FSIZE</w:t>
            </w:r>
          </w:p>
        </w:tc>
        <w:tc>
          <w:tcPr>
            <w:tcW w:w="0" w:type="auto"/>
            <w:hideMark/>
          </w:tcPr>
          <w:p w14:paraId="78C58F0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473</w:t>
            </w:r>
          </w:p>
        </w:tc>
        <w:tc>
          <w:tcPr>
            <w:tcW w:w="0" w:type="auto"/>
            <w:hideMark/>
          </w:tcPr>
          <w:p w14:paraId="4E0DABA1"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0.1645</w:t>
            </w:r>
          </w:p>
        </w:tc>
        <w:tc>
          <w:tcPr>
            <w:tcW w:w="0" w:type="auto"/>
            <w:hideMark/>
          </w:tcPr>
          <w:p w14:paraId="7D7E2B75"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0.0221</w:t>
            </w:r>
          </w:p>
        </w:tc>
        <w:tc>
          <w:tcPr>
            <w:tcW w:w="0" w:type="auto"/>
            <w:hideMark/>
          </w:tcPr>
          <w:p w14:paraId="6C561DE3"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0.1096</w:t>
            </w:r>
          </w:p>
        </w:tc>
        <w:tc>
          <w:tcPr>
            <w:tcW w:w="0" w:type="auto"/>
            <w:hideMark/>
          </w:tcPr>
          <w:p w14:paraId="3EC58D5E"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0.2168</w:t>
            </w:r>
          </w:p>
        </w:tc>
      </w:tr>
    </w:tbl>
    <w:p w14:paraId="5143EA88" w14:textId="70A8E001" w:rsidR="003B5C28" w:rsidRDefault="003B5C28" w:rsidP="00E52205">
      <w:pPr>
        <w:jc w:val="both"/>
        <w:rPr>
          <w:rFonts w:asciiTheme="majorBidi" w:hAnsiTheme="majorBidi" w:cstheme="majorBidi"/>
          <w:i/>
          <w:iCs/>
          <w:sz w:val="24"/>
          <w:szCs w:val="24"/>
        </w:rPr>
      </w:pPr>
      <w:r w:rsidRPr="00E52205">
        <w:rPr>
          <w:rFonts w:asciiTheme="majorBidi" w:hAnsiTheme="majorBidi" w:cstheme="majorBidi"/>
          <w:i/>
          <w:iCs/>
          <w:sz w:val="24"/>
          <w:szCs w:val="24"/>
        </w:rPr>
        <w:t>Source: Processed in Stata 1</w:t>
      </w:r>
      <w:r>
        <w:rPr>
          <w:rFonts w:asciiTheme="majorBidi" w:hAnsiTheme="majorBidi" w:cstheme="majorBidi"/>
          <w:i/>
          <w:iCs/>
          <w:sz w:val="24"/>
          <w:szCs w:val="24"/>
        </w:rPr>
        <w:t>9</w:t>
      </w:r>
      <w:r w:rsidRPr="00E52205">
        <w:rPr>
          <w:rFonts w:asciiTheme="majorBidi" w:hAnsiTheme="majorBidi" w:cstheme="majorBidi"/>
          <w:i/>
          <w:iCs/>
          <w:sz w:val="24"/>
          <w:szCs w:val="24"/>
        </w:rPr>
        <w:t>.5 (2025)</w:t>
      </w:r>
    </w:p>
    <w:p w14:paraId="7DAC4DD1" w14:textId="1D7ACF20" w:rsidR="003B5C28" w:rsidRPr="003B5C28" w:rsidRDefault="003B5C28" w:rsidP="003B5C28">
      <w:pPr>
        <w:jc w:val="both"/>
        <w:rPr>
          <w:rFonts w:asciiTheme="majorBidi" w:hAnsiTheme="majorBidi" w:cstheme="majorBidi"/>
          <w:sz w:val="24"/>
          <w:szCs w:val="24"/>
        </w:rPr>
      </w:pPr>
      <w:r>
        <w:rPr>
          <w:rFonts w:asciiTheme="majorBidi" w:hAnsiTheme="majorBidi" w:cstheme="majorBidi"/>
          <w:sz w:val="24"/>
          <w:szCs w:val="24"/>
        </w:rPr>
        <w:t>T</w:t>
      </w:r>
      <w:r w:rsidRPr="003B5C28">
        <w:rPr>
          <w:rFonts w:asciiTheme="majorBidi" w:hAnsiTheme="majorBidi" w:cstheme="majorBidi"/>
          <w:sz w:val="24"/>
          <w:szCs w:val="24"/>
        </w:rPr>
        <w:t>he combination of low average leverage, non-trivial borrowing costs, and wide dispersion in profitability is consistent with a high-cost financing environment in which firms rely more on internal funds and equity while using debt selectively. The breadth of firm size suggests that the subsequent analyses capture behaviour across a representative cross-section of listed manufacturers</w:t>
      </w:r>
      <w:r>
        <w:rPr>
          <w:rFonts w:asciiTheme="majorBidi" w:hAnsiTheme="majorBidi" w:cstheme="majorBidi"/>
          <w:sz w:val="24"/>
          <w:szCs w:val="24"/>
        </w:rPr>
        <w:t>.</w:t>
      </w:r>
    </w:p>
    <w:p w14:paraId="5745B707" w14:textId="77777777" w:rsidR="00E52205" w:rsidRPr="00E52205" w:rsidRDefault="00E52205" w:rsidP="00E52205">
      <w:pPr>
        <w:jc w:val="both"/>
        <w:rPr>
          <w:rFonts w:asciiTheme="majorBidi" w:hAnsiTheme="majorBidi" w:cstheme="majorBidi"/>
          <w:b/>
          <w:bCs/>
          <w:sz w:val="24"/>
          <w:szCs w:val="24"/>
        </w:rPr>
      </w:pPr>
      <w:r w:rsidRPr="00E52205">
        <w:rPr>
          <w:rFonts w:asciiTheme="majorBidi" w:hAnsiTheme="majorBidi" w:cstheme="majorBidi"/>
          <w:b/>
          <w:bCs/>
          <w:sz w:val="24"/>
          <w:szCs w:val="24"/>
        </w:rPr>
        <w:t>4.2 Correlation matrix</w:t>
      </w:r>
    </w:p>
    <w:p w14:paraId="420AB928" w14:textId="6396B036" w:rsidR="003B5C28" w:rsidRPr="00800965" w:rsidRDefault="003B5C28" w:rsidP="00800965">
      <w:pPr>
        <w:jc w:val="both"/>
        <w:rPr>
          <w:rFonts w:asciiTheme="majorBidi" w:hAnsiTheme="majorBidi" w:cstheme="majorBidi"/>
          <w:sz w:val="24"/>
          <w:szCs w:val="24"/>
        </w:rPr>
      </w:pPr>
      <w:r w:rsidRPr="003B5C28">
        <w:rPr>
          <w:rFonts w:asciiTheme="majorBidi" w:hAnsiTheme="majorBidi" w:cstheme="majorBidi"/>
          <w:sz w:val="24"/>
          <w:szCs w:val="24"/>
        </w:rPr>
        <w:t xml:space="preserve">This section provides an initial view of linear associations among the study variables and a preliminary screen for potential multicollinearity before regression analysis. Table </w:t>
      </w:r>
      <w:r w:rsidR="00823680">
        <w:rPr>
          <w:rFonts w:asciiTheme="majorBidi" w:hAnsiTheme="majorBidi" w:cstheme="majorBidi"/>
          <w:sz w:val="24"/>
          <w:szCs w:val="24"/>
          <w:lang w:val="en-IN"/>
        </w:rPr>
        <w:t>3</w:t>
      </w:r>
      <w:r w:rsidRPr="003B5C28">
        <w:rPr>
          <w:rFonts w:asciiTheme="majorBidi" w:hAnsiTheme="majorBidi" w:cstheme="majorBidi"/>
          <w:sz w:val="24"/>
          <w:szCs w:val="24"/>
        </w:rPr>
        <w:t xml:space="preserve"> presents the pairwise correlation coefficients. Shareholders’ wealth (SHW) is strongly and positively associated with firm size (FSIZE) at 0.844, consistent with larger firms attracting higher market valuation. Short-term debt (STD) and long-term debt (LTD) are highly correlated at 0.860, which signals possible multicollinearity when both appear in the same specification. Correlations between the two debt measures and SHW are small and negative, while the cost of debt (COD) shows near-zero association with most variables. These patterns motivate formal multicollinearity checks and justify the mean-centring of interacted regressors implemented in the regression section.</w:t>
      </w:r>
    </w:p>
    <w:p w14:paraId="7E329DE4" w14:textId="395AE5D6" w:rsidR="00E52205" w:rsidRPr="00E52205" w:rsidRDefault="00E52205" w:rsidP="003B5C28">
      <w:pPr>
        <w:jc w:val="both"/>
        <w:rPr>
          <w:rFonts w:asciiTheme="majorBidi" w:hAnsiTheme="majorBidi" w:cstheme="majorBidi"/>
          <w:b/>
          <w:bCs/>
          <w:sz w:val="24"/>
          <w:szCs w:val="24"/>
        </w:rPr>
      </w:pPr>
      <w:r w:rsidRPr="00E52205">
        <w:rPr>
          <w:rFonts w:asciiTheme="majorBidi" w:hAnsiTheme="majorBidi" w:cstheme="majorBidi"/>
          <w:b/>
          <w:bCs/>
          <w:sz w:val="24"/>
          <w:szCs w:val="24"/>
        </w:rPr>
        <w:t xml:space="preserve">Table </w:t>
      </w:r>
      <w:r w:rsidR="00823680">
        <w:rPr>
          <w:rFonts w:asciiTheme="majorBidi" w:hAnsiTheme="majorBidi" w:cstheme="majorBidi"/>
          <w:b/>
          <w:bCs/>
          <w:sz w:val="24"/>
          <w:szCs w:val="24"/>
          <w:lang w:val="en-IN"/>
        </w:rPr>
        <w:t>3</w:t>
      </w:r>
      <w:r w:rsidRPr="00E52205">
        <w:rPr>
          <w:rFonts w:asciiTheme="majorBidi" w:hAnsiTheme="majorBidi" w:cstheme="majorBidi"/>
          <w:b/>
          <w:bCs/>
          <w:sz w:val="24"/>
          <w:szCs w:val="24"/>
        </w:rPr>
        <w:t>. Correlation matrix</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8"/>
        <w:gridCol w:w="836"/>
        <w:gridCol w:w="836"/>
        <w:gridCol w:w="836"/>
        <w:gridCol w:w="836"/>
        <w:gridCol w:w="870"/>
        <w:gridCol w:w="910"/>
      </w:tblGrid>
      <w:tr w:rsidR="00E52205" w:rsidRPr="00E52205" w14:paraId="35AD478F" w14:textId="77777777" w:rsidTr="003B5C28">
        <w:tc>
          <w:tcPr>
            <w:tcW w:w="0" w:type="auto"/>
            <w:tcBorders>
              <w:top w:val="single" w:sz="4" w:space="0" w:color="auto"/>
              <w:bottom w:val="single" w:sz="4" w:space="0" w:color="auto"/>
            </w:tcBorders>
            <w:hideMark/>
          </w:tcPr>
          <w:p w14:paraId="76E03AB2"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Variable</w:t>
            </w:r>
          </w:p>
        </w:tc>
        <w:tc>
          <w:tcPr>
            <w:tcW w:w="0" w:type="auto"/>
            <w:tcBorders>
              <w:top w:val="single" w:sz="4" w:space="0" w:color="auto"/>
              <w:bottom w:val="single" w:sz="4" w:space="0" w:color="auto"/>
            </w:tcBorders>
            <w:hideMark/>
          </w:tcPr>
          <w:p w14:paraId="1338BD12"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SHW</w:t>
            </w:r>
          </w:p>
        </w:tc>
        <w:tc>
          <w:tcPr>
            <w:tcW w:w="0" w:type="auto"/>
            <w:tcBorders>
              <w:top w:val="single" w:sz="4" w:space="0" w:color="auto"/>
              <w:bottom w:val="single" w:sz="4" w:space="0" w:color="auto"/>
            </w:tcBorders>
            <w:hideMark/>
          </w:tcPr>
          <w:p w14:paraId="02BA1F81"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STD</w:t>
            </w:r>
          </w:p>
        </w:tc>
        <w:tc>
          <w:tcPr>
            <w:tcW w:w="0" w:type="auto"/>
            <w:tcBorders>
              <w:top w:val="single" w:sz="4" w:space="0" w:color="auto"/>
              <w:bottom w:val="single" w:sz="4" w:space="0" w:color="auto"/>
            </w:tcBorders>
            <w:hideMark/>
          </w:tcPr>
          <w:p w14:paraId="395741AD"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LTD</w:t>
            </w:r>
          </w:p>
        </w:tc>
        <w:tc>
          <w:tcPr>
            <w:tcW w:w="0" w:type="auto"/>
            <w:tcBorders>
              <w:top w:val="single" w:sz="4" w:space="0" w:color="auto"/>
              <w:bottom w:val="single" w:sz="4" w:space="0" w:color="auto"/>
            </w:tcBorders>
            <w:hideMark/>
          </w:tcPr>
          <w:p w14:paraId="637F4AF6"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COD</w:t>
            </w:r>
          </w:p>
        </w:tc>
        <w:tc>
          <w:tcPr>
            <w:tcW w:w="0" w:type="auto"/>
            <w:tcBorders>
              <w:top w:val="single" w:sz="4" w:space="0" w:color="auto"/>
              <w:bottom w:val="single" w:sz="4" w:space="0" w:color="auto"/>
            </w:tcBorders>
            <w:hideMark/>
          </w:tcPr>
          <w:p w14:paraId="256BAA4B"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PROF</w:t>
            </w:r>
          </w:p>
        </w:tc>
        <w:tc>
          <w:tcPr>
            <w:tcW w:w="0" w:type="auto"/>
            <w:tcBorders>
              <w:top w:val="single" w:sz="4" w:space="0" w:color="auto"/>
              <w:bottom w:val="single" w:sz="4" w:space="0" w:color="auto"/>
            </w:tcBorders>
            <w:hideMark/>
          </w:tcPr>
          <w:p w14:paraId="2E70BA71" w14:textId="77777777" w:rsidR="00E52205" w:rsidRPr="00E52205" w:rsidRDefault="00E52205"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FSIZE</w:t>
            </w:r>
          </w:p>
        </w:tc>
      </w:tr>
      <w:tr w:rsidR="00E52205" w:rsidRPr="00E52205" w14:paraId="1C65B5FA" w14:textId="77777777" w:rsidTr="003B5C28">
        <w:tc>
          <w:tcPr>
            <w:tcW w:w="0" w:type="auto"/>
            <w:tcBorders>
              <w:top w:val="single" w:sz="4" w:space="0" w:color="auto"/>
            </w:tcBorders>
            <w:hideMark/>
          </w:tcPr>
          <w:p w14:paraId="539F0FDD"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SHW</w:t>
            </w:r>
          </w:p>
        </w:tc>
        <w:tc>
          <w:tcPr>
            <w:tcW w:w="0" w:type="auto"/>
            <w:tcBorders>
              <w:top w:val="single" w:sz="4" w:space="0" w:color="auto"/>
            </w:tcBorders>
            <w:hideMark/>
          </w:tcPr>
          <w:p w14:paraId="1830861A"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1.000</w:t>
            </w:r>
          </w:p>
        </w:tc>
        <w:tc>
          <w:tcPr>
            <w:tcW w:w="0" w:type="auto"/>
            <w:tcBorders>
              <w:top w:val="single" w:sz="4" w:space="0" w:color="auto"/>
            </w:tcBorders>
            <w:hideMark/>
          </w:tcPr>
          <w:p w14:paraId="18954DBE"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32D431A4"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11811C39"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212480AA"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tcBorders>
              <w:top w:val="single" w:sz="4" w:space="0" w:color="auto"/>
            </w:tcBorders>
            <w:hideMark/>
          </w:tcPr>
          <w:p w14:paraId="1068B7F4" w14:textId="77777777" w:rsidR="00E52205" w:rsidRPr="00E52205" w:rsidRDefault="00E52205" w:rsidP="00E52205">
            <w:pPr>
              <w:spacing w:after="160" w:line="259" w:lineRule="auto"/>
              <w:jc w:val="both"/>
              <w:rPr>
                <w:rFonts w:asciiTheme="majorBidi" w:hAnsiTheme="majorBidi" w:cstheme="majorBidi"/>
                <w:sz w:val="24"/>
                <w:szCs w:val="24"/>
              </w:rPr>
            </w:pPr>
          </w:p>
        </w:tc>
      </w:tr>
      <w:tr w:rsidR="00E52205" w:rsidRPr="00E52205" w14:paraId="1A71C2F6" w14:textId="77777777" w:rsidTr="003B5C28">
        <w:tc>
          <w:tcPr>
            <w:tcW w:w="0" w:type="auto"/>
            <w:hideMark/>
          </w:tcPr>
          <w:p w14:paraId="0503035A"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STD</w:t>
            </w:r>
          </w:p>
        </w:tc>
        <w:tc>
          <w:tcPr>
            <w:tcW w:w="0" w:type="auto"/>
            <w:hideMark/>
          </w:tcPr>
          <w:p w14:paraId="5FA44AC4" w14:textId="41A32B92"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0.056</w:t>
            </w:r>
          </w:p>
        </w:tc>
        <w:tc>
          <w:tcPr>
            <w:tcW w:w="0" w:type="auto"/>
            <w:hideMark/>
          </w:tcPr>
          <w:p w14:paraId="3CD52E73"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1.000</w:t>
            </w:r>
          </w:p>
        </w:tc>
        <w:tc>
          <w:tcPr>
            <w:tcW w:w="0" w:type="auto"/>
            <w:hideMark/>
          </w:tcPr>
          <w:p w14:paraId="5963C52C"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hideMark/>
          </w:tcPr>
          <w:p w14:paraId="63900931"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hideMark/>
          </w:tcPr>
          <w:p w14:paraId="27BD7F55"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hideMark/>
          </w:tcPr>
          <w:p w14:paraId="2BCAB440" w14:textId="77777777" w:rsidR="00E52205" w:rsidRPr="00E52205" w:rsidRDefault="00E52205" w:rsidP="00E52205">
            <w:pPr>
              <w:spacing w:after="160" w:line="259" w:lineRule="auto"/>
              <w:jc w:val="both"/>
              <w:rPr>
                <w:rFonts w:asciiTheme="majorBidi" w:hAnsiTheme="majorBidi" w:cstheme="majorBidi"/>
                <w:sz w:val="24"/>
                <w:szCs w:val="24"/>
              </w:rPr>
            </w:pPr>
          </w:p>
        </w:tc>
      </w:tr>
      <w:tr w:rsidR="00E52205" w:rsidRPr="00E52205" w14:paraId="719AF4F6" w14:textId="77777777" w:rsidTr="003B5C28">
        <w:tc>
          <w:tcPr>
            <w:tcW w:w="0" w:type="auto"/>
            <w:hideMark/>
          </w:tcPr>
          <w:p w14:paraId="19510454"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LTD</w:t>
            </w:r>
          </w:p>
        </w:tc>
        <w:tc>
          <w:tcPr>
            <w:tcW w:w="0" w:type="auto"/>
            <w:hideMark/>
          </w:tcPr>
          <w:p w14:paraId="541FBD64" w14:textId="33B1197F"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0.040</w:t>
            </w:r>
          </w:p>
        </w:tc>
        <w:tc>
          <w:tcPr>
            <w:tcW w:w="0" w:type="auto"/>
            <w:hideMark/>
          </w:tcPr>
          <w:p w14:paraId="60B18BFA"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0.860</w:t>
            </w:r>
          </w:p>
        </w:tc>
        <w:tc>
          <w:tcPr>
            <w:tcW w:w="0" w:type="auto"/>
            <w:hideMark/>
          </w:tcPr>
          <w:p w14:paraId="1653F02E"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1.000</w:t>
            </w:r>
          </w:p>
        </w:tc>
        <w:tc>
          <w:tcPr>
            <w:tcW w:w="0" w:type="auto"/>
            <w:hideMark/>
          </w:tcPr>
          <w:p w14:paraId="2D31DFF1"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hideMark/>
          </w:tcPr>
          <w:p w14:paraId="6D68E21C"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hideMark/>
          </w:tcPr>
          <w:p w14:paraId="6BB749E6" w14:textId="77777777" w:rsidR="00E52205" w:rsidRPr="00E52205" w:rsidRDefault="00E52205" w:rsidP="00E52205">
            <w:pPr>
              <w:spacing w:after="160" w:line="259" w:lineRule="auto"/>
              <w:jc w:val="both"/>
              <w:rPr>
                <w:rFonts w:asciiTheme="majorBidi" w:hAnsiTheme="majorBidi" w:cstheme="majorBidi"/>
                <w:sz w:val="24"/>
                <w:szCs w:val="24"/>
              </w:rPr>
            </w:pPr>
          </w:p>
        </w:tc>
      </w:tr>
      <w:tr w:rsidR="00E52205" w:rsidRPr="00E52205" w14:paraId="63A07C89" w14:textId="77777777" w:rsidTr="003B5C28">
        <w:tc>
          <w:tcPr>
            <w:tcW w:w="0" w:type="auto"/>
            <w:hideMark/>
          </w:tcPr>
          <w:p w14:paraId="60B47DA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COD</w:t>
            </w:r>
          </w:p>
        </w:tc>
        <w:tc>
          <w:tcPr>
            <w:tcW w:w="0" w:type="auto"/>
            <w:hideMark/>
          </w:tcPr>
          <w:p w14:paraId="07461684" w14:textId="2D24ACB4"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0.055</w:t>
            </w:r>
          </w:p>
        </w:tc>
        <w:tc>
          <w:tcPr>
            <w:tcW w:w="0" w:type="auto"/>
            <w:hideMark/>
          </w:tcPr>
          <w:p w14:paraId="26DA7011" w14:textId="35BB54C0"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0.062</w:t>
            </w:r>
          </w:p>
        </w:tc>
        <w:tc>
          <w:tcPr>
            <w:tcW w:w="0" w:type="auto"/>
            <w:hideMark/>
          </w:tcPr>
          <w:p w14:paraId="2509F2CD" w14:textId="502EA6F1"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0.001</w:t>
            </w:r>
          </w:p>
        </w:tc>
        <w:tc>
          <w:tcPr>
            <w:tcW w:w="0" w:type="auto"/>
            <w:hideMark/>
          </w:tcPr>
          <w:p w14:paraId="09B465E9"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1.000</w:t>
            </w:r>
          </w:p>
        </w:tc>
        <w:tc>
          <w:tcPr>
            <w:tcW w:w="0" w:type="auto"/>
            <w:hideMark/>
          </w:tcPr>
          <w:p w14:paraId="68B66167" w14:textId="77777777" w:rsidR="00E52205" w:rsidRPr="00E52205" w:rsidRDefault="00E52205" w:rsidP="00E52205">
            <w:pPr>
              <w:spacing w:after="160" w:line="259" w:lineRule="auto"/>
              <w:jc w:val="both"/>
              <w:rPr>
                <w:rFonts w:asciiTheme="majorBidi" w:hAnsiTheme="majorBidi" w:cstheme="majorBidi"/>
                <w:sz w:val="24"/>
                <w:szCs w:val="24"/>
              </w:rPr>
            </w:pPr>
          </w:p>
        </w:tc>
        <w:tc>
          <w:tcPr>
            <w:tcW w:w="0" w:type="auto"/>
            <w:hideMark/>
          </w:tcPr>
          <w:p w14:paraId="37C38A61" w14:textId="77777777" w:rsidR="00E52205" w:rsidRPr="00E52205" w:rsidRDefault="00E52205" w:rsidP="00E52205">
            <w:pPr>
              <w:spacing w:after="160" w:line="259" w:lineRule="auto"/>
              <w:jc w:val="both"/>
              <w:rPr>
                <w:rFonts w:asciiTheme="majorBidi" w:hAnsiTheme="majorBidi" w:cstheme="majorBidi"/>
                <w:sz w:val="24"/>
                <w:szCs w:val="24"/>
              </w:rPr>
            </w:pPr>
          </w:p>
        </w:tc>
      </w:tr>
      <w:tr w:rsidR="00E52205" w:rsidRPr="00E52205" w14:paraId="5CDD010C" w14:textId="77777777" w:rsidTr="003B5C28">
        <w:tc>
          <w:tcPr>
            <w:tcW w:w="0" w:type="auto"/>
            <w:hideMark/>
          </w:tcPr>
          <w:p w14:paraId="1ED670AF"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PROF</w:t>
            </w:r>
          </w:p>
        </w:tc>
        <w:tc>
          <w:tcPr>
            <w:tcW w:w="0" w:type="auto"/>
            <w:hideMark/>
          </w:tcPr>
          <w:p w14:paraId="23ADA60B"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0.163</w:t>
            </w:r>
          </w:p>
        </w:tc>
        <w:tc>
          <w:tcPr>
            <w:tcW w:w="0" w:type="auto"/>
            <w:hideMark/>
          </w:tcPr>
          <w:p w14:paraId="57C7BDE0" w14:textId="7ED7E958"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0.009</w:t>
            </w:r>
          </w:p>
        </w:tc>
        <w:tc>
          <w:tcPr>
            <w:tcW w:w="0" w:type="auto"/>
            <w:hideMark/>
          </w:tcPr>
          <w:p w14:paraId="24CC17F6" w14:textId="29DAA669"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0.006</w:t>
            </w:r>
          </w:p>
        </w:tc>
        <w:tc>
          <w:tcPr>
            <w:tcW w:w="0" w:type="auto"/>
            <w:hideMark/>
          </w:tcPr>
          <w:p w14:paraId="44C00D30" w14:textId="511623F5"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0.056</w:t>
            </w:r>
          </w:p>
        </w:tc>
        <w:tc>
          <w:tcPr>
            <w:tcW w:w="0" w:type="auto"/>
            <w:hideMark/>
          </w:tcPr>
          <w:p w14:paraId="16C6B598"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1.000</w:t>
            </w:r>
          </w:p>
        </w:tc>
        <w:tc>
          <w:tcPr>
            <w:tcW w:w="0" w:type="auto"/>
            <w:hideMark/>
          </w:tcPr>
          <w:p w14:paraId="603142D0" w14:textId="77777777" w:rsidR="00E52205" w:rsidRPr="00E52205" w:rsidRDefault="00E52205" w:rsidP="00E52205">
            <w:pPr>
              <w:spacing w:after="160" w:line="259" w:lineRule="auto"/>
              <w:jc w:val="both"/>
              <w:rPr>
                <w:rFonts w:asciiTheme="majorBidi" w:hAnsiTheme="majorBidi" w:cstheme="majorBidi"/>
                <w:sz w:val="24"/>
                <w:szCs w:val="24"/>
              </w:rPr>
            </w:pPr>
          </w:p>
        </w:tc>
      </w:tr>
      <w:tr w:rsidR="00E52205" w:rsidRPr="00E52205" w14:paraId="38DF0AB3" w14:textId="77777777" w:rsidTr="003B5C28">
        <w:tc>
          <w:tcPr>
            <w:tcW w:w="0" w:type="auto"/>
            <w:hideMark/>
          </w:tcPr>
          <w:p w14:paraId="257E213F"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lastRenderedPageBreak/>
              <w:t>FSIZE</w:t>
            </w:r>
          </w:p>
        </w:tc>
        <w:tc>
          <w:tcPr>
            <w:tcW w:w="0" w:type="auto"/>
            <w:hideMark/>
          </w:tcPr>
          <w:p w14:paraId="72CE3956"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0.844</w:t>
            </w:r>
          </w:p>
        </w:tc>
        <w:tc>
          <w:tcPr>
            <w:tcW w:w="0" w:type="auto"/>
            <w:hideMark/>
          </w:tcPr>
          <w:p w14:paraId="6C7A9512" w14:textId="786D8820"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0.186</w:t>
            </w:r>
          </w:p>
        </w:tc>
        <w:tc>
          <w:tcPr>
            <w:tcW w:w="0" w:type="auto"/>
            <w:hideMark/>
          </w:tcPr>
          <w:p w14:paraId="35B5C50E" w14:textId="794F709F" w:rsidR="00E52205"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E52205" w:rsidRPr="00E52205">
              <w:rPr>
                <w:rFonts w:asciiTheme="majorBidi" w:hAnsiTheme="majorBidi" w:cstheme="majorBidi"/>
                <w:sz w:val="24"/>
                <w:szCs w:val="24"/>
              </w:rPr>
              <w:t>0.019</w:t>
            </w:r>
          </w:p>
        </w:tc>
        <w:tc>
          <w:tcPr>
            <w:tcW w:w="0" w:type="auto"/>
            <w:hideMark/>
          </w:tcPr>
          <w:p w14:paraId="19558B1F"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0.052</w:t>
            </w:r>
          </w:p>
        </w:tc>
        <w:tc>
          <w:tcPr>
            <w:tcW w:w="0" w:type="auto"/>
            <w:hideMark/>
          </w:tcPr>
          <w:p w14:paraId="01C6E05C"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0.092</w:t>
            </w:r>
          </w:p>
        </w:tc>
        <w:tc>
          <w:tcPr>
            <w:tcW w:w="0" w:type="auto"/>
            <w:hideMark/>
          </w:tcPr>
          <w:p w14:paraId="4599D076" w14:textId="77777777" w:rsidR="00E52205" w:rsidRPr="00E52205" w:rsidRDefault="00E52205"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1.000</w:t>
            </w:r>
          </w:p>
        </w:tc>
      </w:tr>
    </w:tbl>
    <w:p w14:paraId="0FC77652" w14:textId="7212E90D" w:rsidR="003B5C28" w:rsidRPr="003B5C28" w:rsidRDefault="003B5C28" w:rsidP="00E52205">
      <w:pPr>
        <w:jc w:val="both"/>
        <w:rPr>
          <w:rFonts w:asciiTheme="majorBidi" w:hAnsiTheme="majorBidi" w:cstheme="majorBidi"/>
          <w:sz w:val="24"/>
          <w:szCs w:val="24"/>
        </w:rPr>
      </w:pPr>
      <w:r w:rsidRPr="00E52205">
        <w:rPr>
          <w:rFonts w:asciiTheme="majorBidi" w:hAnsiTheme="majorBidi" w:cstheme="majorBidi"/>
          <w:i/>
          <w:iCs/>
          <w:sz w:val="24"/>
          <w:szCs w:val="24"/>
        </w:rPr>
        <w:t>Source: Author’s compilation (2025)</w:t>
      </w:r>
    </w:p>
    <w:p w14:paraId="204AB2BB" w14:textId="3A785CCE" w:rsidR="00E52205" w:rsidRPr="00E52205" w:rsidRDefault="003B5C28" w:rsidP="003B5C28">
      <w:pPr>
        <w:jc w:val="both"/>
        <w:rPr>
          <w:rFonts w:asciiTheme="majorBidi" w:hAnsiTheme="majorBidi" w:cstheme="majorBidi"/>
          <w:sz w:val="24"/>
          <w:szCs w:val="24"/>
        </w:rPr>
      </w:pPr>
      <w:r>
        <w:rPr>
          <w:rFonts w:asciiTheme="majorBidi" w:hAnsiTheme="majorBidi" w:cstheme="majorBidi"/>
          <w:sz w:val="24"/>
          <w:szCs w:val="24"/>
        </w:rPr>
        <w:t>T</w:t>
      </w:r>
      <w:r w:rsidRPr="003B5C28">
        <w:rPr>
          <w:rFonts w:asciiTheme="majorBidi" w:hAnsiTheme="majorBidi" w:cstheme="majorBidi"/>
          <w:sz w:val="24"/>
          <w:szCs w:val="24"/>
        </w:rPr>
        <w:t>he matrix supports the inclusion of year effects and firm effects in subsequent models and underscores the need to assess variance inflation factors and to handle interaction terms carefully given the strong correlation between STD and LTD</w:t>
      </w:r>
      <w:r w:rsidR="00E52205" w:rsidRPr="00E52205">
        <w:rPr>
          <w:rFonts w:asciiTheme="majorBidi" w:hAnsiTheme="majorBidi" w:cstheme="majorBidi"/>
          <w:sz w:val="24"/>
          <w:szCs w:val="24"/>
        </w:rPr>
        <w:t>.</w:t>
      </w:r>
    </w:p>
    <w:p w14:paraId="6CB785A6" w14:textId="77777777" w:rsidR="00E52205" w:rsidRPr="00E52205" w:rsidRDefault="00E52205" w:rsidP="00E52205">
      <w:pPr>
        <w:jc w:val="both"/>
        <w:rPr>
          <w:rFonts w:asciiTheme="majorBidi" w:hAnsiTheme="majorBidi" w:cstheme="majorBidi"/>
          <w:b/>
          <w:bCs/>
          <w:sz w:val="24"/>
          <w:szCs w:val="24"/>
        </w:rPr>
      </w:pPr>
      <w:r w:rsidRPr="00E52205">
        <w:rPr>
          <w:rFonts w:asciiTheme="majorBidi" w:hAnsiTheme="majorBidi" w:cstheme="majorBidi"/>
          <w:b/>
          <w:bCs/>
          <w:sz w:val="24"/>
          <w:szCs w:val="24"/>
        </w:rPr>
        <w:t>4.3 Diagnostic tests</w:t>
      </w:r>
    </w:p>
    <w:p w14:paraId="578F29B7" w14:textId="488526AC" w:rsidR="00E52205" w:rsidRPr="00E52205" w:rsidRDefault="003B5C28" w:rsidP="003B5C28">
      <w:pPr>
        <w:jc w:val="both"/>
        <w:rPr>
          <w:rFonts w:asciiTheme="majorBidi" w:hAnsiTheme="majorBidi" w:cstheme="majorBidi"/>
          <w:sz w:val="24"/>
          <w:szCs w:val="24"/>
        </w:rPr>
      </w:pPr>
      <w:r w:rsidRPr="003B5C28">
        <w:rPr>
          <w:rFonts w:asciiTheme="majorBidi" w:hAnsiTheme="majorBidi" w:cstheme="majorBidi"/>
          <w:sz w:val="24"/>
          <w:szCs w:val="24"/>
        </w:rPr>
        <w:t>Variance Inflation Factors were acceptable before introducing interactions (maximum 4.36; mean 2.34). After adding interactions, VIFs increased, so the interacted regressors were mean centred, which reduced collinearity and stabilised estimates. The Breusch–Pagan test did not reject homoskedasticity at conventional levels (χ² = 2.15, p = 0.1429). To be conservative, inference relies on firm-clustered robust standard errors, and year dummies are included to absorb common shocks. Model explanatory power is high in the pooled specification with year effects (R² = 0.8051) and, as expected for within-variation designs, more modest in the fixed-effects estimator (within R² = 0.2809). A Hausman specification test favoured the fixed-effects model, so the FE results are taken as the primary evidence for within-firm relationships, with OLS plus year effects serving as a complementary benchmark</w:t>
      </w:r>
      <w:r w:rsidR="00E52205" w:rsidRPr="00E52205">
        <w:rPr>
          <w:rFonts w:asciiTheme="majorBidi" w:hAnsiTheme="majorBidi" w:cstheme="majorBidi"/>
          <w:sz w:val="24"/>
          <w:szCs w:val="24"/>
        </w:rPr>
        <w:t>.</w:t>
      </w:r>
    </w:p>
    <w:p w14:paraId="2A40276D" w14:textId="77777777" w:rsidR="00E52205" w:rsidRPr="00E52205" w:rsidRDefault="00E52205" w:rsidP="00E52205">
      <w:pPr>
        <w:jc w:val="both"/>
        <w:rPr>
          <w:rFonts w:asciiTheme="majorBidi" w:hAnsiTheme="majorBidi" w:cstheme="majorBidi"/>
          <w:b/>
          <w:bCs/>
          <w:sz w:val="24"/>
          <w:szCs w:val="24"/>
        </w:rPr>
      </w:pPr>
      <w:r w:rsidRPr="00E52205">
        <w:rPr>
          <w:rFonts w:asciiTheme="majorBidi" w:hAnsiTheme="majorBidi" w:cstheme="majorBidi"/>
          <w:b/>
          <w:bCs/>
          <w:sz w:val="24"/>
          <w:szCs w:val="24"/>
        </w:rPr>
        <w:t>4.4 Regression results and discussion</w:t>
      </w:r>
    </w:p>
    <w:p w14:paraId="7A35412F" w14:textId="223B8385" w:rsidR="00E52205" w:rsidRDefault="008D28D9" w:rsidP="008D28D9">
      <w:pPr>
        <w:jc w:val="both"/>
        <w:rPr>
          <w:rFonts w:asciiTheme="majorBidi" w:hAnsiTheme="majorBidi" w:cstheme="majorBidi"/>
          <w:sz w:val="24"/>
          <w:szCs w:val="24"/>
        </w:rPr>
      </w:pPr>
      <w:r w:rsidRPr="000148CF">
        <w:rPr>
          <w:rFonts w:asciiTheme="majorBidi" w:hAnsiTheme="majorBidi" w:cstheme="majorBidi"/>
          <w:sz w:val="24"/>
          <w:szCs w:val="24"/>
        </w:rPr>
        <w:t xml:space="preserve">Table 4 reports </w:t>
      </w:r>
      <w:proofErr w:type="gramStart"/>
      <w:r w:rsidRPr="000148CF">
        <w:rPr>
          <w:rFonts w:asciiTheme="majorBidi" w:hAnsiTheme="majorBidi" w:cstheme="majorBidi"/>
          <w:sz w:val="24"/>
          <w:szCs w:val="24"/>
        </w:rPr>
        <w:t>estimates</w:t>
      </w:r>
      <w:proofErr w:type="gramEnd"/>
      <w:r w:rsidRPr="000148CF">
        <w:rPr>
          <w:rFonts w:asciiTheme="majorBidi" w:hAnsiTheme="majorBidi" w:cstheme="majorBidi"/>
          <w:sz w:val="24"/>
          <w:szCs w:val="24"/>
        </w:rPr>
        <w:t xml:space="preserve"> from Ordinary Least Squares with year effects and firm fixed effects with year effects. Interaction terms are specified using mean-centred debt ratios to aid interpretation and mitigate collinearity, and standard errors are clustered at the firm level. The coefficient on short-term debt is positive and statistically significant in both models, at 0.483 (s.e. 0.100, p &lt; 0.001) in OLS and 0.273 (s.e. 0.067, p &lt; 0.001) in the fixed-effects estimator. Empirically, this leads to rejection of the null for the first hypothesis and indicates that greater reliance on short-term funding is associated with higher shareholders’ wealth. Interpreting these results, the within-firm estimate suggests that, after absorbing time-invariant firm attributes and common year shocks, incremental increases in short-term debt are value-enhancing in a high-cost borrowing environment, plausibly reflecting working-capital flexibility and quicker adjustment to funding needs.</w:t>
      </w:r>
    </w:p>
    <w:p w14:paraId="4D62E152" w14:textId="77777777" w:rsidR="000148CF" w:rsidRPr="00E52205" w:rsidRDefault="000148CF" w:rsidP="00E52205">
      <w:pPr>
        <w:jc w:val="both"/>
        <w:rPr>
          <w:rFonts w:asciiTheme="majorBidi" w:hAnsiTheme="majorBidi" w:cstheme="majorBidi"/>
          <w:sz w:val="24"/>
          <w:szCs w:val="24"/>
        </w:rPr>
      </w:pPr>
    </w:p>
    <w:p w14:paraId="681297F1" w14:textId="5F6D269A" w:rsidR="00E52205" w:rsidRPr="00E52205" w:rsidRDefault="00E52205" w:rsidP="00E52205">
      <w:pPr>
        <w:jc w:val="both"/>
        <w:rPr>
          <w:rFonts w:asciiTheme="majorBidi" w:hAnsiTheme="majorBidi" w:cstheme="majorBidi"/>
          <w:b/>
          <w:bCs/>
          <w:sz w:val="24"/>
          <w:szCs w:val="24"/>
        </w:rPr>
      </w:pPr>
      <w:r w:rsidRPr="00E52205">
        <w:rPr>
          <w:rFonts w:asciiTheme="majorBidi" w:hAnsiTheme="majorBidi" w:cstheme="majorBidi"/>
          <w:b/>
          <w:bCs/>
          <w:sz w:val="24"/>
          <w:szCs w:val="24"/>
        </w:rPr>
        <w:t>Table 4. Regression results (dependent variable: SHW)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1956"/>
        <w:gridCol w:w="1947"/>
      </w:tblGrid>
      <w:tr w:rsidR="000148CF" w:rsidRPr="00E52205" w14:paraId="3103C080" w14:textId="77777777" w:rsidTr="000148CF">
        <w:tc>
          <w:tcPr>
            <w:tcW w:w="0" w:type="auto"/>
            <w:tcBorders>
              <w:top w:val="single" w:sz="4" w:space="0" w:color="auto"/>
              <w:bottom w:val="single" w:sz="4" w:space="0" w:color="auto"/>
            </w:tcBorders>
            <w:hideMark/>
          </w:tcPr>
          <w:p w14:paraId="2C5BD9BC" w14:textId="77777777" w:rsidR="000148CF" w:rsidRPr="00E52205" w:rsidRDefault="000148CF"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Variables</w:t>
            </w:r>
          </w:p>
        </w:tc>
        <w:tc>
          <w:tcPr>
            <w:tcW w:w="0" w:type="auto"/>
            <w:tcBorders>
              <w:top w:val="single" w:sz="4" w:space="0" w:color="auto"/>
              <w:bottom w:val="single" w:sz="4" w:space="0" w:color="auto"/>
            </w:tcBorders>
            <w:hideMark/>
          </w:tcPr>
          <w:p w14:paraId="17D11AAD" w14:textId="77777777" w:rsidR="000148CF" w:rsidRPr="00E52205" w:rsidRDefault="000148CF"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OLS_YE</w:t>
            </w:r>
          </w:p>
        </w:tc>
        <w:tc>
          <w:tcPr>
            <w:tcW w:w="0" w:type="auto"/>
            <w:tcBorders>
              <w:top w:val="single" w:sz="4" w:space="0" w:color="auto"/>
              <w:bottom w:val="single" w:sz="4" w:space="0" w:color="auto"/>
            </w:tcBorders>
            <w:hideMark/>
          </w:tcPr>
          <w:p w14:paraId="4BF92B6D" w14:textId="77777777" w:rsidR="000148CF" w:rsidRPr="00E52205" w:rsidRDefault="000148CF" w:rsidP="00E52205">
            <w:pPr>
              <w:spacing w:after="160" w:line="259" w:lineRule="auto"/>
              <w:jc w:val="both"/>
              <w:rPr>
                <w:rFonts w:asciiTheme="majorBidi" w:hAnsiTheme="majorBidi" w:cstheme="majorBidi"/>
                <w:b/>
                <w:bCs/>
                <w:sz w:val="24"/>
                <w:szCs w:val="24"/>
              </w:rPr>
            </w:pPr>
            <w:r w:rsidRPr="00E52205">
              <w:rPr>
                <w:rFonts w:asciiTheme="majorBidi" w:hAnsiTheme="majorBidi" w:cstheme="majorBidi"/>
                <w:b/>
                <w:bCs/>
                <w:sz w:val="24"/>
                <w:szCs w:val="24"/>
              </w:rPr>
              <w:t>FE</w:t>
            </w:r>
          </w:p>
        </w:tc>
      </w:tr>
      <w:tr w:rsidR="000148CF" w:rsidRPr="00E52205" w14:paraId="1D961FFD" w14:textId="77777777" w:rsidTr="000148CF">
        <w:tc>
          <w:tcPr>
            <w:tcW w:w="0" w:type="auto"/>
            <w:tcBorders>
              <w:top w:val="single" w:sz="4" w:space="0" w:color="auto"/>
            </w:tcBorders>
            <w:hideMark/>
          </w:tcPr>
          <w:p w14:paraId="77FCC869"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STD_centered</w:t>
            </w:r>
          </w:p>
        </w:tc>
        <w:tc>
          <w:tcPr>
            <w:tcW w:w="0" w:type="auto"/>
            <w:tcBorders>
              <w:top w:val="single" w:sz="4" w:space="0" w:color="auto"/>
            </w:tcBorders>
            <w:hideMark/>
          </w:tcPr>
          <w:p w14:paraId="45657E26"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0.483*** (0.100)</w:t>
            </w:r>
          </w:p>
        </w:tc>
        <w:tc>
          <w:tcPr>
            <w:tcW w:w="0" w:type="auto"/>
            <w:tcBorders>
              <w:top w:val="single" w:sz="4" w:space="0" w:color="auto"/>
            </w:tcBorders>
            <w:hideMark/>
          </w:tcPr>
          <w:p w14:paraId="61A54D5F"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0.273*** (0.067)</w:t>
            </w:r>
          </w:p>
        </w:tc>
      </w:tr>
      <w:tr w:rsidR="000148CF" w:rsidRPr="00E52205" w14:paraId="0668488F" w14:textId="77777777" w:rsidTr="000148CF">
        <w:tc>
          <w:tcPr>
            <w:tcW w:w="0" w:type="auto"/>
            <w:hideMark/>
          </w:tcPr>
          <w:p w14:paraId="2355E4A9"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LTD_centered</w:t>
            </w:r>
          </w:p>
        </w:tc>
        <w:tc>
          <w:tcPr>
            <w:tcW w:w="0" w:type="auto"/>
            <w:hideMark/>
          </w:tcPr>
          <w:p w14:paraId="6175655F" w14:textId="37BE13ED"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0.482*** (0.099)</w:t>
            </w:r>
          </w:p>
        </w:tc>
        <w:tc>
          <w:tcPr>
            <w:tcW w:w="0" w:type="auto"/>
            <w:hideMark/>
          </w:tcPr>
          <w:p w14:paraId="6FBED117" w14:textId="64BF835E"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0.198** (0.058)</w:t>
            </w:r>
          </w:p>
        </w:tc>
      </w:tr>
      <w:tr w:rsidR="000148CF" w:rsidRPr="00E52205" w14:paraId="61B9341D" w14:textId="77777777" w:rsidTr="000148CF">
        <w:tc>
          <w:tcPr>
            <w:tcW w:w="0" w:type="auto"/>
            <w:hideMark/>
          </w:tcPr>
          <w:p w14:paraId="69B44A52"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COD</w:t>
            </w:r>
          </w:p>
        </w:tc>
        <w:tc>
          <w:tcPr>
            <w:tcW w:w="0" w:type="auto"/>
            <w:hideMark/>
          </w:tcPr>
          <w:p w14:paraId="0337A326" w14:textId="1DD48289"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0.051*** (0.014)</w:t>
            </w:r>
          </w:p>
        </w:tc>
        <w:tc>
          <w:tcPr>
            <w:tcW w:w="0" w:type="auto"/>
            <w:hideMark/>
          </w:tcPr>
          <w:p w14:paraId="087A952A" w14:textId="347F2F63"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0.012 (0.018)</w:t>
            </w:r>
          </w:p>
        </w:tc>
      </w:tr>
      <w:tr w:rsidR="000148CF" w:rsidRPr="00E52205" w14:paraId="244D09E4" w14:textId="77777777" w:rsidTr="000148CF">
        <w:tc>
          <w:tcPr>
            <w:tcW w:w="0" w:type="auto"/>
            <w:hideMark/>
          </w:tcPr>
          <w:p w14:paraId="191134CA"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PROF</w:t>
            </w:r>
          </w:p>
        </w:tc>
        <w:tc>
          <w:tcPr>
            <w:tcW w:w="0" w:type="auto"/>
            <w:hideMark/>
          </w:tcPr>
          <w:p w14:paraId="09460CAD"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0.024*** (0.007)</w:t>
            </w:r>
          </w:p>
        </w:tc>
        <w:tc>
          <w:tcPr>
            <w:tcW w:w="0" w:type="auto"/>
            <w:hideMark/>
          </w:tcPr>
          <w:p w14:paraId="5F60EC10"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0.004 (0.003)</w:t>
            </w:r>
          </w:p>
        </w:tc>
      </w:tr>
      <w:tr w:rsidR="000148CF" w:rsidRPr="00E52205" w14:paraId="2FD73AD6" w14:textId="77777777" w:rsidTr="000148CF">
        <w:tc>
          <w:tcPr>
            <w:tcW w:w="0" w:type="auto"/>
            <w:hideMark/>
          </w:tcPr>
          <w:p w14:paraId="3A812EC5"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FSIZE</w:t>
            </w:r>
          </w:p>
        </w:tc>
        <w:tc>
          <w:tcPr>
            <w:tcW w:w="0" w:type="auto"/>
            <w:hideMark/>
          </w:tcPr>
          <w:p w14:paraId="61912463"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1.065*** (0.025)</w:t>
            </w:r>
          </w:p>
        </w:tc>
        <w:tc>
          <w:tcPr>
            <w:tcW w:w="0" w:type="auto"/>
            <w:hideMark/>
          </w:tcPr>
          <w:p w14:paraId="182DCB26"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0.377** (0.118)</w:t>
            </w:r>
          </w:p>
        </w:tc>
      </w:tr>
      <w:tr w:rsidR="000148CF" w:rsidRPr="00E52205" w14:paraId="13E6EA49" w14:textId="77777777" w:rsidTr="000148CF">
        <w:tc>
          <w:tcPr>
            <w:tcW w:w="0" w:type="auto"/>
            <w:hideMark/>
          </w:tcPr>
          <w:p w14:paraId="6EF8E8E6"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COD×STD_centered</w:t>
            </w:r>
          </w:p>
        </w:tc>
        <w:tc>
          <w:tcPr>
            <w:tcW w:w="0" w:type="auto"/>
            <w:hideMark/>
          </w:tcPr>
          <w:p w14:paraId="01CB7E31"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13.652 (33.093)</w:t>
            </w:r>
          </w:p>
        </w:tc>
        <w:tc>
          <w:tcPr>
            <w:tcW w:w="0" w:type="auto"/>
            <w:hideMark/>
          </w:tcPr>
          <w:p w14:paraId="76B4DF49"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23.529* (11.273)</w:t>
            </w:r>
          </w:p>
        </w:tc>
      </w:tr>
      <w:tr w:rsidR="000148CF" w:rsidRPr="00E52205" w14:paraId="5672CB58" w14:textId="77777777" w:rsidTr="000148CF">
        <w:tc>
          <w:tcPr>
            <w:tcW w:w="0" w:type="auto"/>
            <w:hideMark/>
          </w:tcPr>
          <w:p w14:paraId="1CB6B92E"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lastRenderedPageBreak/>
              <w:t>COD×LTD_centered</w:t>
            </w:r>
          </w:p>
        </w:tc>
        <w:tc>
          <w:tcPr>
            <w:tcW w:w="0" w:type="auto"/>
            <w:hideMark/>
          </w:tcPr>
          <w:p w14:paraId="54750919" w14:textId="3A5C5D34"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4.477 (31.540)</w:t>
            </w:r>
          </w:p>
        </w:tc>
        <w:tc>
          <w:tcPr>
            <w:tcW w:w="0" w:type="auto"/>
            <w:hideMark/>
          </w:tcPr>
          <w:p w14:paraId="28EAE57E" w14:textId="68BE2A23"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24.225* (11.260)</w:t>
            </w:r>
          </w:p>
        </w:tc>
      </w:tr>
      <w:tr w:rsidR="000148CF" w:rsidRPr="00E52205" w14:paraId="69DE43F7" w14:textId="77777777" w:rsidTr="000148CF">
        <w:tc>
          <w:tcPr>
            <w:tcW w:w="0" w:type="auto"/>
            <w:hideMark/>
          </w:tcPr>
          <w:p w14:paraId="0CEFCE22"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Year effects</w:t>
            </w:r>
          </w:p>
        </w:tc>
        <w:tc>
          <w:tcPr>
            <w:tcW w:w="0" w:type="auto"/>
            <w:hideMark/>
          </w:tcPr>
          <w:p w14:paraId="785268A3"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Segoe UI Symbol" w:hAnsi="Segoe UI Symbol" w:cs="Segoe UI Symbol"/>
                <w:sz w:val="24"/>
                <w:szCs w:val="24"/>
              </w:rPr>
              <w:t>✓</w:t>
            </w:r>
          </w:p>
        </w:tc>
        <w:tc>
          <w:tcPr>
            <w:tcW w:w="0" w:type="auto"/>
            <w:hideMark/>
          </w:tcPr>
          <w:p w14:paraId="0C851E0B"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Segoe UI Symbol" w:hAnsi="Segoe UI Symbol" w:cs="Segoe UI Symbol"/>
                <w:sz w:val="24"/>
                <w:szCs w:val="24"/>
              </w:rPr>
              <w:t>✓</w:t>
            </w:r>
          </w:p>
        </w:tc>
      </w:tr>
      <w:tr w:rsidR="000148CF" w:rsidRPr="00E52205" w14:paraId="6BEF4269" w14:textId="77777777" w:rsidTr="000148CF">
        <w:tc>
          <w:tcPr>
            <w:tcW w:w="0" w:type="auto"/>
            <w:hideMark/>
          </w:tcPr>
          <w:p w14:paraId="0EE24EDF"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Intercept</w:t>
            </w:r>
          </w:p>
        </w:tc>
        <w:tc>
          <w:tcPr>
            <w:tcW w:w="0" w:type="auto"/>
            <w:hideMark/>
          </w:tcPr>
          <w:p w14:paraId="4BB8CD21" w14:textId="1C222265" w:rsidR="000148CF" w:rsidRPr="00E52205" w:rsidRDefault="00D96349" w:rsidP="00E52205">
            <w:pPr>
              <w:spacing w:after="160" w:line="259" w:lineRule="auto"/>
              <w:jc w:val="both"/>
              <w:rPr>
                <w:rFonts w:asciiTheme="majorBidi" w:hAnsiTheme="majorBidi" w:cstheme="majorBidi"/>
                <w:sz w:val="24"/>
                <w:szCs w:val="24"/>
              </w:rPr>
            </w:pPr>
            <w:r>
              <w:rPr>
                <w:rFonts w:asciiTheme="majorBidi" w:hAnsiTheme="majorBidi" w:cstheme="majorBidi"/>
                <w:sz w:val="24"/>
                <w:szCs w:val="24"/>
              </w:rPr>
              <w:t>-</w:t>
            </w:r>
            <w:r w:rsidR="000148CF" w:rsidRPr="00E52205">
              <w:rPr>
                <w:rFonts w:asciiTheme="majorBidi" w:hAnsiTheme="majorBidi" w:cstheme="majorBidi"/>
                <w:sz w:val="24"/>
                <w:szCs w:val="24"/>
              </w:rPr>
              <w:t>0.010* (0.004)</w:t>
            </w:r>
          </w:p>
        </w:tc>
        <w:tc>
          <w:tcPr>
            <w:tcW w:w="0" w:type="auto"/>
            <w:hideMark/>
          </w:tcPr>
          <w:p w14:paraId="0BA249A0"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0.099*** (0.019)</w:t>
            </w:r>
          </w:p>
        </w:tc>
      </w:tr>
      <w:tr w:rsidR="000148CF" w:rsidRPr="00E52205" w14:paraId="21385B1D" w14:textId="77777777" w:rsidTr="000148CF">
        <w:tc>
          <w:tcPr>
            <w:tcW w:w="0" w:type="auto"/>
            <w:hideMark/>
          </w:tcPr>
          <w:p w14:paraId="54D39454"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R² / Within R²</w:t>
            </w:r>
          </w:p>
        </w:tc>
        <w:tc>
          <w:tcPr>
            <w:tcW w:w="0" w:type="auto"/>
            <w:hideMark/>
          </w:tcPr>
          <w:p w14:paraId="76388342"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0.8051</w:t>
            </w:r>
          </w:p>
        </w:tc>
        <w:tc>
          <w:tcPr>
            <w:tcW w:w="0" w:type="auto"/>
            <w:hideMark/>
          </w:tcPr>
          <w:p w14:paraId="7110812C"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0.2809</w:t>
            </w:r>
          </w:p>
        </w:tc>
      </w:tr>
      <w:tr w:rsidR="000148CF" w:rsidRPr="00E52205" w14:paraId="06ED9660" w14:textId="77777777" w:rsidTr="000148CF">
        <w:tc>
          <w:tcPr>
            <w:tcW w:w="0" w:type="auto"/>
            <w:hideMark/>
          </w:tcPr>
          <w:p w14:paraId="0A0C3131"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Root MSE</w:t>
            </w:r>
          </w:p>
        </w:tc>
        <w:tc>
          <w:tcPr>
            <w:tcW w:w="0" w:type="auto"/>
            <w:hideMark/>
          </w:tcPr>
          <w:p w14:paraId="60EE68DD"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0.01116</w:t>
            </w:r>
          </w:p>
        </w:tc>
        <w:tc>
          <w:tcPr>
            <w:tcW w:w="0" w:type="auto"/>
            <w:hideMark/>
          </w:tcPr>
          <w:p w14:paraId="3539D6AE" w14:textId="77777777" w:rsidR="000148CF" w:rsidRPr="00E52205" w:rsidRDefault="000148CF" w:rsidP="00E52205">
            <w:pPr>
              <w:spacing w:after="160" w:line="259" w:lineRule="auto"/>
              <w:jc w:val="both"/>
              <w:rPr>
                <w:rFonts w:asciiTheme="majorBidi" w:hAnsiTheme="majorBidi" w:cstheme="majorBidi"/>
                <w:sz w:val="24"/>
                <w:szCs w:val="24"/>
              </w:rPr>
            </w:pPr>
            <w:r w:rsidRPr="00E52205">
              <w:rPr>
                <w:rFonts w:asciiTheme="majorBidi" w:hAnsiTheme="majorBidi" w:cstheme="majorBidi"/>
                <w:sz w:val="24"/>
                <w:szCs w:val="24"/>
              </w:rPr>
              <w:t>0.00534</w:t>
            </w:r>
          </w:p>
        </w:tc>
      </w:tr>
    </w:tbl>
    <w:p w14:paraId="63AE8716" w14:textId="6785AAC1" w:rsidR="00E52205" w:rsidRPr="00E52205" w:rsidRDefault="00E52205" w:rsidP="00E52205">
      <w:pPr>
        <w:jc w:val="both"/>
        <w:rPr>
          <w:rFonts w:asciiTheme="majorBidi" w:hAnsiTheme="majorBidi" w:cstheme="majorBidi"/>
          <w:sz w:val="24"/>
          <w:szCs w:val="24"/>
        </w:rPr>
      </w:pPr>
      <w:r w:rsidRPr="00E52205">
        <w:rPr>
          <w:rFonts w:asciiTheme="majorBidi" w:hAnsiTheme="majorBidi" w:cstheme="majorBidi"/>
          <w:i/>
          <w:iCs/>
          <w:sz w:val="24"/>
          <w:szCs w:val="24"/>
        </w:rPr>
        <w:t xml:space="preserve">Notes: Robust standard errors in parentheses. *** p &lt; 0.001, ** p &lt; 0.01, * p &lt; 0.05. </w:t>
      </w:r>
    </w:p>
    <w:p w14:paraId="0F1385C2" w14:textId="6295A8E6" w:rsidR="000148CF" w:rsidRPr="000148CF" w:rsidRDefault="008D28D9" w:rsidP="008D28D9">
      <w:pPr>
        <w:jc w:val="both"/>
        <w:rPr>
          <w:rFonts w:asciiTheme="majorBidi" w:hAnsiTheme="majorBidi" w:cstheme="majorBidi"/>
          <w:sz w:val="24"/>
          <w:szCs w:val="24"/>
        </w:rPr>
      </w:pPr>
      <w:r w:rsidRPr="008D28D9">
        <w:rPr>
          <w:rFonts w:asciiTheme="majorBidi" w:hAnsiTheme="majorBidi" w:cstheme="majorBidi"/>
          <w:sz w:val="24"/>
          <w:szCs w:val="24"/>
        </w:rPr>
        <w:t xml:space="preserve">Long-term debt is negative and statistically significant in both specifications, with coefficients of </w:t>
      </w:r>
      <w:r w:rsidR="00D96349">
        <w:rPr>
          <w:rFonts w:asciiTheme="majorBidi" w:hAnsiTheme="majorBidi" w:cstheme="majorBidi"/>
          <w:sz w:val="24"/>
          <w:szCs w:val="24"/>
        </w:rPr>
        <w:t>-</w:t>
      </w:r>
      <w:r w:rsidRPr="008D28D9">
        <w:rPr>
          <w:rFonts w:asciiTheme="majorBidi" w:hAnsiTheme="majorBidi" w:cstheme="majorBidi"/>
          <w:sz w:val="24"/>
          <w:szCs w:val="24"/>
        </w:rPr>
        <w:t xml:space="preserve">0.482 (s.e. 0.099, p &lt; 0.001) in OLS with year effects and </w:t>
      </w:r>
      <w:r w:rsidR="00D96349">
        <w:rPr>
          <w:rFonts w:asciiTheme="majorBidi" w:hAnsiTheme="majorBidi" w:cstheme="majorBidi"/>
          <w:sz w:val="24"/>
          <w:szCs w:val="24"/>
        </w:rPr>
        <w:t>-</w:t>
      </w:r>
      <w:r w:rsidRPr="008D28D9">
        <w:rPr>
          <w:rFonts w:asciiTheme="majorBidi" w:hAnsiTheme="majorBidi" w:cstheme="majorBidi"/>
          <w:sz w:val="24"/>
          <w:szCs w:val="24"/>
        </w:rPr>
        <w:t>0.198 (s.e. 0.058, p &lt; 0.01) in fixed effects, therefore the second null hypothesis is rejected. The estimates indicate that higher long-term leverage is associated with lower shareholders’ wealth in both pooled and within-firm variation. This is consistent with a high-cost borrowing environment in which expected distress and refinancing costs on long-maturity debt outweigh any tax-shield benefits, thereby depressing market valuation</w:t>
      </w:r>
      <w:r w:rsidR="000148CF" w:rsidRPr="000148CF">
        <w:rPr>
          <w:rFonts w:asciiTheme="majorBidi" w:hAnsiTheme="majorBidi" w:cstheme="majorBidi"/>
          <w:sz w:val="24"/>
          <w:szCs w:val="24"/>
        </w:rPr>
        <w:t>.</w:t>
      </w:r>
    </w:p>
    <w:p w14:paraId="7AFF2004" w14:textId="32B7B979" w:rsidR="000148CF" w:rsidRPr="000148CF" w:rsidRDefault="000148CF" w:rsidP="000148CF">
      <w:pPr>
        <w:jc w:val="both"/>
        <w:rPr>
          <w:rFonts w:asciiTheme="majorBidi" w:hAnsiTheme="majorBidi" w:cstheme="majorBidi"/>
          <w:sz w:val="24"/>
          <w:szCs w:val="24"/>
        </w:rPr>
      </w:pPr>
      <w:r w:rsidRPr="000148CF">
        <w:rPr>
          <w:rFonts w:asciiTheme="majorBidi" w:hAnsiTheme="majorBidi" w:cstheme="majorBidi"/>
          <w:sz w:val="24"/>
          <w:szCs w:val="24"/>
        </w:rPr>
        <w:t xml:space="preserve">The effect of the cost of debt is negative and statistically significant in OLS, </w:t>
      </w:r>
      <w:r w:rsidR="00D96349">
        <w:rPr>
          <w:rFonts w:asciiTheme="majorBidi" w:hAnsiTheme="majorBidi" w:cstheme="majorBidi"/>
          <w:sz w:val="24"/>
          <w:szCs w:val="24"/>
        </w:rPr>
        <w:t>-</w:t>
      </w:r>
      <w:r w:rsidRPr="000148CF">
        <w:rPr>
          <w:rFonts w:asciiTheme="majorBidi" w:hAnsiTheme="majorBidi" w:cstheme="majorBidi"/>
          <w:sz w:val="24"/>
          <w:szCs w:val="24"/>
        </w:rPr>
        <w:t xml:space="preserve">0.051 (s.e. 0.014, p &lt; 0.001), but statistically indistinguishable from zero in the fixed-effects model, </w:t>
      </w:r>
      <w:r w:rsidR="00D96349">
        <w:rPr>
          <w:rFonts w:asciiTheme="majorBidi" w:hAnsiTheme="majorBidi" w:cstheme="majorBidi"/>
          <w:sz w:val="24"/>
          <w:szCs w:val="24"/>
        </w:rPr>
        <w:t>-</w:t>
      </w:r>
      <w:r w:rsidRPr="000148CF">
        <w:rPr>
          <w:rFonts w:asciiTheme="majorBidi" w:hAnsiTheme="majorBidi" w:cstheme="majorBidi"/>
          <w:sz w:val="24"/>
          <w:szCs w:val="24"/>
        </w:rPr>
        <w:t>0.012 (s.e. 0.018). Accordingly, the third null is rejected under the pooled specification but not under the within-firm specification. As a matter of inference, this mixed result implies that part of the negative association between borrowing costs and valuation reflects cross-sectional differences across firms, whereas within-firm movements in borrowing costs do not display a uniform contemporaneous effect once time-invariant characteristics are absorbed. In our judgement, the fixed-effects evidence is the more conservative benchmark for making within-firm statements.</w:t>
      </w:r>
    </w:p>
    <w:p w14:paraId="287C30AA" w14:textId="0BAC11F9" w:rsidR="000148CF" w:rsidRPr="000148CF" w:rsidRDefault="000148CF" w:rsidP="000148CF">
      <w:pPr>
        <w:jc w:val="both"/>
        <w:rPr>
          <w:rFonts w:asciiTheme="majorBidi" w:hAnsiTheme="majorBidi" w:cstheme="majorBidi"/>
          <w:sz w:val="24"/>
          <w:szCs w:val="24"/>
        </w:rPr>
      </w:pPr>
      <w:r w:rsidRPr="000148CF">
        <w:rPr>
          <w:rFonts w:asciiTheme="majorBidi" w:hAnsiTheme="majorBidi" w:cstheme="majorBidi"/>
          <w:sz w:val="24"/>
          <w:szCs w:val="24"/>
        </w:rPr>
        <w:t xml:space="preserve">The interaction between the cost of debt and short-term debt is positive and statistically significant in the fixed-effects model, 23.529 (s.e. 11.273, p &lt; 0.05), but not significant in OLS, 13.652 (s.e. 33.093). Given mean-centred construction, the main short-term debt effect reflects the association at the sample-mean borrowing cost, while the interaction captures how that association varies with the cost of funds. Empirically, this supports rejection of the fourth null: within firms, the value contribution of short-term debt is higher at lower borrowing costs and attenuates as costs rise. Likewise, the interaction between the cost of debt and long-term debt is negative and significant in fixed effects, </w:t>
      </w:r>
      <w:r w:rsidR="00D96349">
        <w:rPr>
          <w:rFonts w:asciiTheme="majorBidi" w:hAnsiTheme="majorBidi" w:cstheme="majorBidi"/>
          <w:sz w:val="24"/>
          <w:szCs w:val="24"/>
        </w:rPr>
        <w:t>-</w:t>
      </w:r>
      <w:r w:rsidRPr="000148CF">
        <w:rPr>
          <w:rFonts w:asciiTheme="majorBidi" w:hAnsiTheme="majorBidi" w:cstheme="majorBidi"/>
          <w:sz w:val="24"/>
          <w:szCs w:val="24"/>
        </w:rPr>
        <w:t xml:space="preserve">24.225 (s.e. 11.260, p &lt; 0.05), and not significant in OLS, </w:t>
      </w:r>
      <w:r w:rsidR="00D96349">
        <w:rPr>
          <w:rFonts w:asciiTheme="majorBidi" w:hAnsiTheme="majorBidi" w:cstheme="majorBidi"/>
          <w:sz w:val="24"/>
          <w:szCs w:val="24"/>
        </w:rPr>
        <w:t>-</w:t>
      </w:r>
      <w:r w:rsidRPr="000148CF">
        <w:rPr>
          <w:rFonts w:asciiTheme="majorBidi" w:hAnsiTheme="majorBidi" w:cstheme="majorBidi"/>
          <w:sz w:val="24"/>
          <w:szCs w:val="24"/>
        </w:rPr>
        <w:t>4.477 (s.e. 31.540). This leads to rejection of the fifth null on within-firm evidence: higher borrowing costs exacerbate the value-eroding impact of long-term leverage. These moderated effects emphasise that tenor choices and borrowing costs are jointly consequential for valuation.</w:t>
      </w:r>
    </w:p>
    <w:p w14:paraId="3F63C34C" w14:textId="77777777" w:rsidR="000148CF" w:rsidRPr="000148CF" w:rsidRDefault="000148CF" w:rsidP="000148CF">
      <w:pPr>
        <w:jc w:val="both"/>
        <w:rPr>
          <w:rFonts w:asciiTheme="majorBidi" w:hAnsiTheme="majorBidi" w:cstheme="majorBidi"/>
          <w:sz w:val="24"/>
          <w:szCs w:val="24"/>
        </w:rPr>
      </w:pPr>
      <w:r w:rsidRPr="000148CF">
        <w:rPr>
          <w:rFonts w:asciiTheme="majorBidi" w:hAnsiTheme="majorBidi" w:cstheme="majorBidi"/>
          <w:sz w:val="24"/>
          <w:szCs w:val="24"/>
        </w:rPr>
        <w:t xml:space="preserve">Control variables behave as expected. Profitability is positive and significant in OLS with year effects, 0.024 (s.e. 0.007, p &lt; 0.001), but not significant in fixed effects, 0.004 (s.e. 0.003), indicating that cross-sectional profitability differences are priced but within-firm changes are not uniformly associated with valuation once firm heterogeneity is absorbed. Firm size is strongly positive in both specifications, 1.065 (s.e. 0.025, p &lt; 0.001) in OLS with year effects and 0.377 (s.e. 0.118, p &lt; 0.05) in fixed effects, consistent with scale advantages and investor recognition. Model fit is high in OLS with year effects (R² = 0.8051; Root MSE = 0.01116) and, as is typical for within-variation designs, lower in fixed effects (within R² = 0.2809; Root </w:t>
      </w:r>
      <w:r w:rsidRPr="000148CF">
        <w:rPr>
          <w:rFonts w:asciiTheme="majorBidi" w:hAnsiTheme="majorBidi" w:cstheme="majorBidi"/>
          <w:sz w:val="24"/>
          <w:szCs w:val="24"/>
        </w:rPr>
        <w:lastRenderedPageBreak/>
        <w:t>MSE = 0.00534). Overall, the evidence confirms that, in a high-cost borrowing environment, short-term debt is associated with higher shareholders’ wealth, long-term debt is associated with lower shareholders’ wealth, and the cost of debt materially conditions both relations in the within-firm dimension.</w:t>
      </w:r>
    </w:p>
    <w:p w14:paraId="0CF04554" w14:textId="77777777" w:rsidR="00D96349" w:rsidRPr="00D96349" w:rsidRDefault="00D96349" w:rsidP="00D96349">
      <w:pPr>
        <w:pStyle w:val="Heading2"/>
        <w:rPr>
          <w:rFonts w:asciiTheme="majorBidi" w:hAnsiTheme="majorBidi"/>
          <w:b/>
          <w:bCs/>
          <w:color w:val="auto"/>
          <w:sz w:val="24"/>
          <w:szCs w:val="24"/>
        </w:rPr>
      </w:pPr>
      <w:r w:rsidRPr="00D96349">
        <w:rPr>
          <w:rFonts w:asciiTheme="majorBidi" w:hAnsiTheme="majorBidi"/>
          <w:b/>
          <w:bCs/>
          <w:color w:val="auto"/>
          <w:sz w:val="24"/>
          <w:szCs w:val="24"/>
        </w:rPr>
        <w:t>5. Conclusion and Recommendations</w:t>
      </w:r>
    </w:p>
    <w:p w14:paraId="78A05A3D" w14:textId="77777777" w:rsidR="00D96349" w:rsidRPr="00D96349" w:rsidRDefault="00D96349" w:rsidP="00D96349">
      <w:pPr>
        <w:jc w:val="both"/>
        <w:rPr>
          <w:rFonts w:asciiTheme="majorBidi" w:hAnsiTheme="majorBidi" w:cstheme="majorBidi"/>
          <w:sz w:val="24"/>
          <w:szCs w:val="24"/>
        </w:rPr>
      </w:pPr>
      <w:r w:rsidRPr="00D96349">
        <w:rPr>
          <w:rFonts w:asciiTheme="majorBidi" w:hAnsiTheme="majorBidi" w:cstheme="majorBidi"/>
          <w:sz w:val="24"/>
          <w:szCs w:val="24"/>
        </w:rPr>
        <w:t>This study examined how capital structure choices relate to shareholders’ wealth in a high-cost borrowing environment using panel data for 43 listed Nigerian manufacturing firms over 2013 to 2023. Two estimators were implemented, Ordinary Least Squares with year effects and firm fixed effects with year effects, with standard errors clustered at the firm level and interaction terms constructed from mean-centred regressors. The results show a consistent positive association between short-term debt and shareholders’ wealth across both estimators, and a consistent negative association between long-term debt and shareholders’ wealth. The direct effect of the cost of debt is negative and statistically significant in the pooled specification with year effects, but not significant in the fixed-effects model, which indicates that cross-sectional differences account for much of the pooled relationship. Importantly, the cost of debt significantly moderates the debt–wealth nexus in the fixed-effects framework, with the interaction between cost of debt and long-term debt being negative, and the interaction between cost of debt and short-term debt being statistically significant. Together, these findings indicate that tenor mix and borrowing costs jointly shape valuation outcomes in this setting. These conclusions are consistent with core predictions of trade-off theory and pecking order reasoning in environments where distress costs and financing frictions are material, and where internal funding and flexible debt are relatively preferred to costly long-term leverage (Kraus &amp; Litzenberger, 1973; Myers, 1984; Modigliani &amp; Miller, 1963; Jensen &amp; Meckling, 1976).</w:t>
      </w:r>
    </w:p>
    <w:p w14:paraId="3AB2D53D" w14:textId="77777777" w:rsidR="00D96349" w:rsidRPr="00D96349" w:rsidRDefault="00D96349" w:rsidP="00D96349">
      <w:pPr>
        <w:jc w:val="both"/>
        <w:rPr>
          <w:rFonts w:asciiTheme="majorBidi" w:hAnsiTheme="majorBidi" w:cstheme="majorBidi"/>
          <w:sz w:val="24"/>
          <w:szCs w:val="24"/>
        </w:rPr>
      </w:pPr>
      <w:r w:rsidRPr="00D96349">
        <w:rPr>
          <w:rFonts w:asciiTheme="majorBidi" w:hAnsiTheme="majorBidi" w:cstheme="majorBidi"/>
          <w:sz w:val="24"/>
          <w:szCs w:val="24"/>
        </w:rPr>
        <w:t>Recommendations for corporate financial policy follow from these results. First, firms should prioritise disciplined use of short-term interest-bearing debt to support working capital and operational flexibility, with explicit monitoring of exposure to rollover and liquidity risk. The positive association observed in both estimators indicates that, conditional on prudent risk management, short-maturity funding is consistent with higher market valuation in this context. Second, firms should adopt conservative targets for long-term leverage, particularly when borrowing costs are elevated. The negative association between long-term debt and shareholders’ wealth, together with the adverse moderation by the cost of debt, suggests that heavy reliance on long-dated borrowing can erode value through higher expected distress costs and tighter financial covenants.</w:t>
      </w:r>
    </w:p>
    <w:p w14:paraId="79AB6165" w14:textId="77777777" w:rsidR="00D96349" w:rsidRPr="00D96349" w:rsidRDefault="00D96349" w:rsidP="00D96349">
      <w:pPr>
        <w:jc w:val="both"/>
        <w:rPr>
          <w:rFonts w:asciiTheme="majorBidi" w:hAnsiTheme="majorBidi" w:cstheme="majorBidi"/>
          <w:sz w:val="24"/>
          <w:szCs w:val="24"/>
        </w:rPr>
      </w:pPr>
      <w:r w:rsidRPr="00D96349">
        <w:rPr>
          <w:rFonts w:asciiTheme="majorBidi" w:hAnsiTheme="majorBidi" w:cstheme="majorBidi"/>
          <w:sz w:val="24"/>
          <w:szCs w:val="24"/>
        </w:rPr>
        <w:t>Third, cost of debt management should be treated as a strategic lever. Treasury policies that improve the effective interest rate, for example through improved credit quality, stronger disclosure, better banking relationships, or selective use of collateral, can alter the valuation impact of a given tenor mix. Where feasible, firms should explore refinancing at lower spreads, stagger maturities to reduce concentration, and consider instruments that share risk with investors without imposing rigid servicing burdens. Fourth, profitability and scale remain important correlates of valuation. Strengthening operating margins and maintaining credible growth in asset base can reinforce the positive effects identified for firm size and profitability, which were significant in at least one of the specifications.</w:t>
      </w:r>
    </w:p>
    <w:p w14:paraId="3EC45089" w14:textId="77777777" w:rsidR="00D96349" w:rsidRPr="00D96349" w:rsidRDefault="00D96349" w:rsidP="00D96349">
      <w:pPr>
        <w:jc w:val="both"/>
        <w:rPr>
          <w:rFonts w:asciiTheme="majorBidi" w:hAnsiTheme="majorBidi" w:cstheme="majorBidi"/>
          <w:sz w:val="24"/>
          <w:szCs w:val="24"/>
        </w:rPr>
      </w:pPr>
      <w:r w:rsidRPr="00D96349">
        <w:rPr>
          <w:rFonts w:asciiTheme="majorBidi" w:hAnsiTheme="majorBidi" w:cstheme="majorBidi"/>
          <w:sz w:val="24"/>
          <w:szCs w:val="24"/>
        </w:rPr>
        <w:t xml:space="preserve">Recommendations for investors and analysts relate to screening and engagement. First, monitor the tenor composition of leverage together with the effective cost of debt, since these jointly </w:t>
      </w:r>
      <w:r w:rsidRPr="00D96349">
        <w:rPr>
          <w:rFonts w:asciiTheme="majorBidi" w:hAnsiTheme="majorBidi" w:cstheme="majorBidi"/>
          <w:sz w:val="24"/>
          <w:szCs w:val="24"/>
        </w:rPr>
        <w:lastRenderedPageBreak/>
        <w:t>influence valuation. Firms that rely excessively on costly long-term borrowing should be expected to face valuation discounts unless offset by strong cash generation or credible growth prospects. Second, incorporate sensitivity analysis in valuation to reflect how changes in borrowing costs could alter the marginal effect of both short-term and long-term debt. This is particularly relevant when market rates are volatile, since the moderating terms indicate that valuation responses vary with the cost of funds.</w:t>
      </w:r>
    </w:p>
    <w:p w14:paraId="0C526087" w14:textId="77777777" w:rsidR="00D96349" w:rsidRPr="00D96349" w:rsidRDefault="00D96349" w:rsidP="00D96349">
      <w:pPr>
        <w:jc w:val="both"/>
        <w:rPr>
          <w:rFonts w:asciiTheme="majorBidi" w:hAnsiTheme="majorBidi" w:cstheme="majorBidi"/>
          <w:sz w:val="24"/>
          <w:szCs w:val="24"/>
        </w:rPr>
      </w:pPr>
      <w:r w:rsidRPr="00D96349">
        <w:rPr>
          <w:rFonts w:asciiTheme="majorBidi" w:hAnsiTheme="majorBidi" w:cstheme="majorBidi"/>
          <w:sz w:val="24"/>
          <w:szCs w:val="24"/>
        </w:rPr>
        <w:t>Policy recommendations focus on credit market conditions. First, measures that reduce effective borrowing costs for creditworthy manufacturers, such as risk-sharing facilities, targeted credit guarantees, or improved market microstructure that narrows spreads, are likely to support value creation by relaxing financing frictions. Second, improving disclosure quality and creditor rights can lower information asymmetry and agency costs, which theory identifies as key drivers of financing choices and pricing of debt (Jensen &amp; Meckling, 1976; Myers, 1984). Third, development finance that is conditional on transparent governance and measurable performance can expand access to appropriately priced term funding, which would lessen the need for value-eroding long-term borrowing at high coupon rates.</w:t>
      </w:r>
    </w:p>
    <w:p w14:paraId="4F4DDCD4" w14:textId="3B046903" w:rsidR="00D96349" w:rsidRDefault="00D96349" w:rsidP="00D96349">
      <w:pPr>
        <w:jc w:val="both"/>
        <w:rPr>
          <w:rFonts w:asciiTheme="majorBidi" w:hAnsiTheme="majorBidi" w:cstheme="majorBidi"/>
          <w:sz w:val="24"/>
          <w:szCs w:val="24"/>
        </w:rPr>
      </w:pPr>
      <w:r w:rsidRPr="00D96349">
        <w:rPr>
          <w:rFonts w:asciiTheme="majorBidi" w:hAnsiTheme="majorBidi" w:cstheme="majorBidi"/>
          <w:sz w:val="24"/>
          <w:szCs w:val="24"/>
        </w:rPr>
        <w:t>Two caveats frame interpretation. Although year effects and firm fixed effects absorb common shocks and time-invariant firm traits, the estimators do not fully resolve simultaneity between capital structure and valuation. Lagging regressors and conservative inference mitigate but do not eliminate endogeneity concerns. Further, results speak to within-sample firms and the 2013 to 2023 period, therefore external validity to other sectors and regimes should be established empirically. Future research could incorporate granular measures of debt composition, for example bank loans versus bonds, floating versus fixed rates, and covenant intensity, and could explore quasi-experimental variation in borrowing costs that arises from policy changes or credit market reforms. Dynamic specifications, alternative proxies for shareholders’ wealth such as Tobin’s Q, and richer governance controls would also strengthen causal interpretation and broaden applicability.</w:t>
      </w:r>
    </w:p>
    <w:p w14:paraId="47686583" w14:textId="0B0B27A3" w:rsidR="008626F6" w:rsidRDefault="008626F6" w:rsidP="00D96349">
      <w:pPr>
        <w:jc w:val="both"/>
        <w:rPr>
          <w:rFonts w:asciiTheme="majorBidi" w:hAnsiTheme="majorBidi" w:cstheme="majorBidi"/>
          <w:sz w:val="24"/>
          <w:szCs w:val="24"/>
        </w:rPr>
      </w:pPr>
    </w:p>
    <w:p w14:paraId="7BDF2C3C" w14:textId="77777777" w:rsidR="008626F6" w:rsidRPr="0002489D" w:rsidRDefault="008626F6" w:rsidP="008626F6">
      <w:pPr>
        <w:rPr>
          <w:rFonts w:ascii="Calibri" w:eastAsia="Calibri" w:hAnsi="Calibri" w:cs="Times New Roman"/>
          <w:highlight w:val="yellow"/>
        </w:rPr>
      </w:pPr>
      <w:r w:rsidRPr="0002489D">
        <w:rPr>
          <w:rFonts w:ascii="Calibri" w:eastAsia="Calibri" w:hAnsi="Calibri" w:cs="Times New Roman"/>
          <w:highlight w:val="yellow"/>
        </w:rPr>
        <w:t>Disclaimer (Artificial intelligence)</w:t>
      </w:r>
    </w:p>
    <w:p w14:paraId="45FC51E9" w14:textId="58469533" w:rsidR="008626F6" w:rsidRDefault="009462B0" w:rsidP="009462B0">
      <w:pPr>
        <w:jc w:val="both"/>
        <w:rPr>
          <w:rFonts w:ascii="Calibri" w:eastAsia="Calibri" w:hAnsi="Calibri" w:cs="Times New Roman"/>
        </w:rPr>
      </w:pPr>
      <w:r w:rsidRPr="009462B0">
        <w:rPr>
          <w:rFonts w:ascii="Calibri" w:eastAsia="Calibri" w:hAnsi="Calibri" w:cs="Times New Roman"/>
          <w:highlight w:val="yellow"/>
        </w:rPr>
        <w:t>Artificial intelligence tool</w:t>
      </w:r>
      <w:r w:rsidR="00800965">
        <w:rPr>
          <w:rFonts w:ascii="Calibri" w:eastAsia="Calibri" w:hAnsi="Calibri" w:cs="Times New Roman"/>
          <w:highlight w:val="yellow"/>
        </w:rPr>
        <w:t>, ChatGPT, was</w:t>
      </w:r>
      <w:r w:rsidRPr="009462B0">
        <w:rPr>
          <w:rFonts w:ascii="Calibri" w:eastAsia="Calibri" w:hAnsi="Calibri" w:cs="Times New Roman"/>
          <w:highlight w:val="yellow"/>
        </w:rPr>
        <w:t xml:space="preserve"> used solely to assist with language editing and structural refinement. All research design, analysis, interpretation, and conclusions are the sole responsibility of the authors, who affirm the originality, accuracy, and integrity of the manuscript.</w:t>
      </w:r>
    </w:p>
    <w:p w14:paraId="41E3EE60" w14:textId="77777777" w:rsidR="009462B0" w:rsidRPr="00D96349" w:rsidRDefault="009462B0" w:rsidP="009462B0">
      <w:pPr>
        <w:jc w:val="both"/>
        <w:rPr>
          <w:rFonts w:asciiTheme="majorBidi" w:hAnsiTheme="majorBidi" w:cstheme="majorBidi"/>
          <w:sz w:val="24"/>
          <w:szCs w:val="24"/>
        </w:rPr>
      </w:pPr>
    </w:p>
    <w:p w14:paraId="0FEB148F" w14:textId="77777777" w:rsidR="00D171CC" w:rsidRPr="00D171CC" w:rsidRDefault="00D171CC" w:rsidP="00D171CC">
      <w:pPr>
        <w:jc w:val="both"/>
        <w:rPr>
          <w:rFonts w:asciiTheme="majorBidi" w:hAnsiTheme="majorBidi" w:cstheme="majorBidi"/>
          <w:sz w:val="24"/>
          <w:szCs w:val="24"/>
        </w:rPr>
      </w:pPr>
      <w:r w:rsidRPr="00D171CC">
        <w:rPr>
          <w:rFonts w:asciiTheme="majorBidi" w:hAnsiTheme="majorBidi" w:cstheme="majorBidi"/>
          <w:b/>
          <w:bCs/>
          <w:sz w:val="24"/>
          <w:szCs w:val="24"/>
        </w:rPr>
        <w:t>References</w:t>
      </w:r>
    </w:p>
    <w:p w14:paraId="23059D05" w14:textId="132152A0"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lang w:val="fr-FR"/>
        </w:rPr>
      </w:pPr>
      <w:r w:rsidRPr="00F14C4A">
        <w:rPr>
          <w:rFonts w:asciiTheme="majorBidi" w:hAnsiTheme="majorBidi" w:cstheme="majorBidi"/>
          <w:sz w:val="24"/>
          <w:szCs w:val="24"/>
        </w:rPr>
        <w:t xml:space="preserve">Aiken, L. S., &amp; West, S. G. (1991). Multiple regression: Testing and interpreting interactions. </w:t>
      </w:r>
      <w:r w:rsidRPr="00F14C4A">
        <w:rPr>
          <w:rFonts w:asciiTheme="majorBidi" w:hAnsiTheme="majorBidi" w:cstheme="majorBidi"/>
          <w:sz w:val="24"/>
          <w:szCs w:val="24"/>
          <w:lang w:val="fr-FR"/>
        </w:rPr>
        <w:t xml:space="preserve">Sage. </w:t>
      </w:r>
      <w:hyperlink r:id="rId7" w:history="1">
        <w:r w:rsidRPr="00F14C4A">
          <w:rPr>
            <w:rStyle w:val="Hyperlink"/>
            <w:rFonts w:asciiTheme="majorBidi" w:hAnsiTheme="majorBidi" w:cstheme="majorBidi"/>
            <w:sz w:val="24"/>
            <w:szCs w:val="24"/>
            <w:lang w:val="fr-FR"/>
          </w:rPr>
          <w:t>https://us.sagepub.com/en-us/nam/multiple-regression/book204060</w:t>
        </w:r>
      </w:hyperlink>
    </w:p>
    <w:p w14:paraId="2C60C2F6" w14:textId="144BBFB0"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lang w:val="pt-BR"/>
        </w:rPr>
      </w:pPr>
      <w:proofErr w:type="spellStart"/>
      <w:r w:rsidRPr="00F14C4A">
        <w:rPr>
          <w:rFonts w:asciiTheme="majorBidi" w:hAnsiTheme="majorBidi" w:cstheme="majorBidi"/>
          <w:sz w:val="24"/>
          <w:szCs w:val="24"/>
          <w:lang w:val="fr-FR"/>
        </w:rPr>
        <w:t>Breusch</w:t>
      </w:r>
      <w:proofErr w:type="spellEnd"/>
      <w:r w:rsidRPr="00F14C4A">
        <w:rPr>
          <w:rFonts w:asciiTheme="majorBidi" w:hAnsiTheme="majorBidi" w:cstheme="majorBidi"/>
          <w:sz w:val="24"/>
          <w:szCs w:val="24"/>
          <w:lang w:val="fr-FR"/>
        </w:rPr>
        <w:t xml:space="preserve">, T. S., &amp; Pagan, A. R. (1979). </w:t>
      </w:r>
      <w:r w:rsidRPr="00F14C4A">
        <w:rPr>
          <w:rFonts w:asciiTheme="majorBidi" w:hAnsiTheme="majorBidi" w:cstheme="majorBidi"/>
          <w:sz w:val="24"/>
          <w:szCs w:val="24"/>
        </w:rPr>
        <w:t xml:space="preserve">A simple test for heteroscedasticity and random coefficient variation. </w:t>
      </w:r>
      <w:r w:rsidRPr="00F14C4A">
        <w:rPr>
          <w:rFonts w:asciiTheme="majorBidi" w:hAnsiTheme="majorBidi" w:cstheme="majorBidi"/>
          <w:sz w:val="24"/>
          <w:szCs w:val="24"/>
          <w:lang w:val="pt-BR"/>
        </w:rPr>
        <w:t xml:space="preserve">Econometrica, 47(5), 1287–1294. </w:t>
      </w:r>
      <w:hyperlink r:id="rId8" w:history="1">
        <w:r w:rsidRPr="00F14C4A">
          <w:rPr>
            <w:rStyle w:val="Hyperlink"/>
            <w:rFonts w:asciiTheme="majorBidi" w:hAnsiTheme="majorBidi" w:cstheme="majorBidi"/>
            <w:sz w:val="24"/>
            <w:szCs w:val="24"/>
            <w:lang w:val="pt-BR"/>
          </w:rPr>
          <w:t>https://doi.org/10.2307/1911963</w:t>
        </w:r>
      </w:hyperlink>
    </w:p>
    <w:p w14:paraId="77195AFD" w14:textId="0CF6BFA2"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rPr>
      </w:pPr>
      <w:r w:rsidRPr="00F14C4A">
        <w:rPr>
          <w:rFonts w:asciiTheme="majorBidi" w:hAnsiTheme="majorBidi" w:cstheme="majorBidi"/>
          <w:sz w:val="24"/>
          <w:szCs w:val="24"/>
          <w:lang w:val="pt-BR"/>
        </w:rPr>
        <w:t xml:space="preserve">Cameron, A. C., &amp; Miller, D. L. (2015). </w:t>
      </w:r>
      <w:r w:rsidRPr="00F14C4A">
        <w:rPr>
          <w:rFonts w:asciiTheme="majorBidi" w:hAnsiTheme="majorBidi" w:cstheme="majorBidi"/>
          <w:sz w:val="24"/>
          <w:szCs w:val="24"/>
        </w:rPr>
        <w:t xml:space="preserve">A practitioner’s guide to cluster-robust inference. Journal of Human Resources, 50(2), 317–372. </w:t>
      </w:r>
      <w:hyperlink r:id="rId9" w:history="1">
        <w:r w:rsidRPr="00F14C4A">
          <w:rPr>
            <w:rStyle w:val="Hyperlink"/>
            <w:rFonts w:asciiTheme="majorBidi" w:hAnsiTheme="majorBidi" w:cstheme="majorBidi"/>
            <w:sz w:val="24"/>
            <w:szCs w:val="24"/>
          </w:rPr>
          <w:t>https://doi.org/10.3368/jhr.50.2.317</w:t>
        </w:r>
      </w:hyperlink>
    </w:p>
    <w:p w14:paraId="5D68004C" w14:textId="128D234E" w:rsidR="007D20BA" w:rsidRDefault="007D20BA" w:rsidP="00F14C4A">
      <w:pPr>
        <w:pStyle w:val="ListParagraph"/>
        <w:numPr>
          <w:ilvl w:val="0"/>
          <w:numId w:val="2"/>
        </w:numPr>
        <w:spacing w:line="240" w:lineRule="auto"/>
        <w:jc w:val="both"/>
      </w:pPr>
      <w:r w:rsidRPr="00F14C4A">
        <w:rPr>
          <w:rFonts w:asciiTheme="majorBidi" w:hAnsiTheme="majorBidi" w:cstheme="majorBidi"/>
          <w:sz w:val="24"/>
          <w:szCs w:val="24"/>
        </w:rPr>
        <w:lastRenderedPageBreak/>
        <w:t xml:space="preserve">Driscoll, J. C., &amp; Kraay, A. C. (1998). Consistent covariance matrix estimation with spatially dependent panel data. Review of Economics and Statistics, 80(4), 549–560. </w:t>
      </w:r>
      <w:hyperlink r:id="rId10" w:history="1">
        <w:r w:rsidRPr="00F14C4A">
          <w:rPr>
            <w:rStyle w:val="Hyperlink"/>
            <w:rFonts w:asciiTheme="majorBidi" w:hAnsiTheme="majorBidi" w:cstheme="majorBidi"/>
            <w:sz w:val="24"/>
            <w:szCs w:val="24"/>
          </w:rPr>
          <w:t>https://doi.org/10.1162/003465398557825</w:t>
        </w:r>
      </w:hyperlink>
    </w:p>
    <w:p w14:paraId="52D6681A" w14:textId="37FD6736" w:rsidR="00800965" w:rsidRPr="00F14C4A" w:rsidRDefault="00800965" w:rsidP="00F14C4A">
      <w:pPr>
        <w:pStyle w:val="ListParagraph"/>
        <w:numPr>
          <w:ilvl w:val="0"/>
          <w:numId w:val="2"/>
        </w:numPr>
        <w:spacing w:line="240" w:lineRule="auto"/>
        <w:jc w:val="both"/>
        <w:rPr>
          <w:rFonts w:asciiTheme="majorBidi" w:hAnsiTheme="majorBidi" w:cstheme="majorBidi"/>
          <w:sz w:val="24"/>
          <w:szCs w:val="24"/>
          <w:lang/>
        </w:rPr>
      </w:pPr>
      <w:r w:rsidRPr="00F14C4A">
        <w:rPr>
          <w:rFonts w:asciiTheme="majorBidi" w:hAnsiTheme="majorBidi" w:cstheme="majorBidi"/>
          <w:sz w:val="24"/>
          <w:szCs w:val="24"/>
          <w:highlight w:val="yellow"/>
          <w:lang/>
        </w:rPr>
        <w:t xml:space="preserve">Frank, M. Z., &amp; Goyal, V. K. (2009). Capital structure decisions: Which factors are reliably important? </w:t>
      </w:r>
      <w:r w:rsidRPr="00F14C4A">
        <w:rPr>
          <w:rFonts w:asciiTheme="majorBidi" w:hAnsiTheme="majorBidi" w:cstheme="majorBidi"/>
          <w:i/>
          <w:iCs/>
          <w:sz w:val="24"/>
          <w:szCs w:val="24"/>
          <w:highlight w:val="yellow"/>
          <w:lang/>
        </w:rPr>
        <w:t>Financial Management</w:t>
      </w:r>
      <w:r w:rsidRPr="00F14C4A">
        <w:rPr>
          <w:rFonts w:asciiTheme="majorBidi" w:hAnsiTheme="majorBidi" w:cstheme="majorBidi"/>
          <w:sz w:val="24"/>
          <w:szCs w:val="24"/>
          <w:highlight w:val="yellow"/>
          <w:lang/>
        </w:rPr>
        <w:t xml:space="preserve">, </w:t>
      </w:r>
      <w:r w:rsidRPr="00F14C4A">
        <w:rPr>
          <w:rFonts w:asciiTheme="majorBidi" w:hAnsiTheme="majorBidi" w:cstheme="majorBidi"/>
          <w:i/>
          <w:iCs/>
          <w:sz w:val="24"/>
          <w:szCs w:val="24"/>
          <w:highlight w:val="yellow"/>
          <w:lang/>
        </w:rPr>
        <w:t>38</w:t>
      </w:r>
      <w:r w:rsidRPr="00F14C4A">
        <w:rPr>
          <w:rFonts w:asciiTheme="majorBidi" w:hAnsiTheme="majorBidi" w:cstheme="majorBidi"/>
          <w:sz w:val="24"/>
          <w:szCs w:val="24"/>
          <w:highlight w:val="yellow"/>
          <w:lang/>
        </w:rPr>
        <w:t xml:space="preserve">(1), 1–37. </w:t>
      </w:r>
      <w:hyperlink r:id="rId11" w:history="1">
        <w:r w:rsidRPr="00F14C4A">
          <w:rPr>
            <w:rStyle w:val="Hyperlink"/>
            <w:rFonts w:asciiTheme="majorBidi" w:hAnsiTheme="majorBidi" w:cstheme="majorBidi"/>
            <w:sz w:val="24"/>
            <w:szCs w:val="24"/>
            <w:highlight w:val="yellow"/>
            <w:lang/>
          </w:rPr>
          <w:t>https://doi.org/10.1111/j.1755-053x.2009.01026.x</w:t>
        </w:r>
      </w:hyperlink>
      <w:r w:rsidRPr="00F14C4A">
        <w:rPr>
          <w:rFonts w:asciiTheme="majorBidi" w:hAnsiTheme="majorBidi" w:cstheme="majorBidi"/>
          <w:sz w:val="24"/>
          <w:szCs w:val="24"/>
          <w:lang/>
        </w:rPr>
        <w:t xml:space="preserve"> </w:t>
      </w:r>
    </w:p>
    <w:p w14:paraId="21EA51AB" w14:textId="0428F063"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rPr>
      </w:pPr>
      <w:r w:rsidRPr="00F14C4A">
        <w:rPr>
          <w:rFonts w:asciiTheme="majorBidi" w:hAnsiTheme="majorBidi" w:cstheme="majorBidi"/>
          <w:sz w:val="24"/>
          <w:szCs w:val="24"/>
        </w:rPr>
        <w:t xml:space="preserve">Greene, W. H. (2018). Econometric analysis (8th ed.). Pearson. </w:t>
      </w:r>
      <w:hyperlink r:id="rId12" w:history="1">
        <w:r w:rsidRPr="00F14C4A">
          <w:rPr>
            <w:rStyle w:val="Hyperlink"/>
            <w:rFonts w:asciiTheme="majorBidi" w:hAnsiTheme="majorBidi" w:cstheme="majorBidi"/>
            <w:sz w:val="24"/>
            <w:szCs w:val="24"/>
          </w:rPr>
          <w:t>https://www.pearson.com/us/higher-education/program/Greene-Econometric-Analysis-8th-Edition/PGM10799.html</w:t>
        </w:r>
      </w:hyperlink>
    </w:p>
    <w:p w14:paraId="7566700C" w14:textId="71B3E1ED"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lang w:val="pt-BR"/>
        </w:rPr>
      </w:pPr>
      <w:r w:rsidRPr="00F14C4A">
        <w:rPr>
          <w:rFonts w:asciiTheme="majorBidi" w:hAnsiTheme="majorBidi" w:cstheme="majorBidi"/>
          <w:sz w:val="24"/>
          <w:szCs w:val="24"/>
        </w:rPr>
        <w:t xml:space="preserve">Hausman, J. A. (1978). Specification tests in econometrics. </w:t>
      </w:r>
      <w:r w:rsidRPr="00F14C4A">
        <w:rPr>
          <w:rFonts w:asciiTheme="majorBidi" w:hAnsiTheme="majorBidi" w:cstheme="majorBidi"/>
          <w:sz w:val="24"/>
          <w:szCs w:val="24"/>
          <w:lang w:val="pt-BR"/>
        </w:rPr>
        <w:t xml:space="preserve">Econometrica, 46(6), 1251–1271. </w:t>
      </w:r>
      <w:hyperlink r:id="rId13" w:history="1">
        <w:r w:rsidRPr="00F14C4A">
          <w:rPr>
            <w:rStyle w:val="Hyperlink"/>
            <w:rFonts w:asciiTheme="majorBidi" w:hAnsiTheme="majorBidi" w:cstheme="majorBidi"/>
            <w:sz w:val="24"/>
            <w:szCs w:val="24"/>
            <w:lang w:val="pt-BR"/>
          </w:rPr>
          <w:t>https://doi.org/10.2307/1913827</w:t>
        </w:r>
      </w:hyperlink>
    </w:p>
    <w:p w14:paraId="2402CAB5" w14:textId="24AFBAE2"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rPr>
      </w:pPr>
      <w:r w:rsidRPr="00F14C4A">
        <w:rPr>
          <w:rFonts w:asciiTheme="majorBidi" w:hAnsiTheme="majorBidi" w:cstheme="majorBidi"/>
          <w:sz w:val="24"/>
          <w:szCs w:val="24"/>
          <w:lang w:val="pt-BR"/>
        </w:rPr>
        <w:t xml:space="preserve">Jensen, M. C. (1986). </w:t>
      </w:r>
      <w:r w:rsidRPr="00F14C4A">
        <w:rPr>
          <w:rFonts w:asciiTheme="majorBidi" w:hAnsiTheme="majorBidi" w:cstheme="majorBidi"/>
          <w:sz w:val="24"/>
          <w:szCs w:val="24"/>
        </w:rPr>
        <w:t xml:space="preserve">Agency costs of free cash flow, corporate finance, and takeovers. American Economic Review, 76(2), 323–329. </w:t>
      </w:r>
      <w:hyperlink r:id="rId14" w:history="1">
        <w:r w:rsidRPr="00F14C4A">
          <w:rPr>
            <w:rStyle w:val="Hyperlink"/>
            <w:rFonts w:asciiTheme="majorBidi" w:hAnsiTheme="majorBidi" w:cstheme="majorBidi"/>
            <w:sz w:val="24"/>
            <w:szCs w:val="24"/>
          </w:rPr>
          <w:t>http://links.jstor.org/sici?sici=0002-8282%28198605%2976%3A2%3C323%3AACOFCF%3E2.0.CO%3B2-M&amp;origin=repec</w:t>
        </w:r>
      </w:hyperlink>
    </w:p>
    <w:p w14:paraId="491A6AF7" w14:textId="3704166D"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rPr>
      </w:pPr>
      <w:r w:rsidRPr="00F14C4A">
        <w:rPr>
          <w:rFonts w:asciiTheme="majorBidi" w:hAnsiTheme="majorBidi" w:cstheme="majorBidi"/>
          <w:sz w:val="24"/>
          <w:szCs w:val="24"/>
          <w:lang w:val="nl-BE"/>
        </w:rPr>
        <w:t xml:space="preserve">Jensen, M. C., &amp; Meckling, W. H. (1976). </w:t>
      </w:r>
      <w:r w:rsidRPr="00F14C4A">
        <w:rPr>
          <w:rFonts w:asciiTheme="majorBidi" w:hAnsiTheme="majorBidi" w:cstheme="majorBidi"/>
          <w:sz w:val="24"/>
          <w:szCs w:val="24"/>
        </w:rPr>
        <w:t xml:space="preserve">Theory of the firm: Managerial behavior, agency costs and ownership structure. Journal of Financial Economics, 3(4), 305–360. </w:t>
      </w:r>
      <w:hyperlink r:id="rId15" w:history="1">
        <w:r w:rsidRPr="00F14C4A">
          <w:rPr>
            <w:rStyle w:val="Hyperlink"/>
            <w:rFonts w:asciiTheme="majorBidi" w:hAnsiTheme="majorBidi" w:cstheme="majorBidi"/>
            <w:sz w:val="24"/>
            <w:szCs w:val="24"/>
          </w:rPr>
          <w:t>https://doi.org/10.1016/0304-405X(76)90026-X</w:t>
        </w:r>
      </w:hyperlink>
    </w:p>
    <w:p w14:paraId="2295972D" w14:textId="7E5FE2C6"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rPr>
      </w:pPr>
      <w:r w:rsidRPr="00F14C4A">
        <w:rPr>
          <w:rFonts w:asciiTheme="majorBidi" w:hAnsiTheme="majorBidi" w:cstheme="majorBidi"/>
          <w:sz w:val="24"/>
          <w:szCs w:val="24"/>
        </w:rPr>
        <w:t xml:space="preserve">Kraus, A., &amp; Litzenberger, R. H. (1973). A state-preference model of optimal financial leverage. Journal of Finance, 28(4), 911–922. </w:t>
      </w:r>
      <w:hyperlink r:id="rId16" w:history="1">
        <w:r w:rsidRPr="00F14C4A">
          <w:rPr>
            <w:rStyle w:val="Hyperlink"/>
            <w:rFonts w:asciiTheme="majorBidi" w:hAnsiTheme="majorBidi" w:cstheme="majorBidi"/>
            <w:sz w:val="24"/>
            <w:szCs w:val="24"/>
          </w:rPr>
          <w:t>https://doi.org/10.1111/j.1540-6261.1973.tb01415.x</w:t>
        </w:r>
      </w:hyperlink>
    </w:p>
    <w:p w14:paraId="3C46FFBC" w14:textId="4C6A1D0F"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rPr>
      </w:pPr>
      <w:r w:rsidRPr="00F14C4A">
        <w:rPr>
          <w:rFonts w:asciiTheme="majorBidi" w:hAnsiTheme="majorBidi" w:cstheme="majorBidi"/>
          <w:sz w:val="24"/>
          <w:szCs w:val="24"/>
        </w:rPr>
        <w:t xml:space="preserve">Modigliani, F., &amp; Miller, M. H. (1958). The cost of capital, corporation finance and the theory of investment. American Economic Review, 48(3), 261–297. </w:t>
      </w:r>
      <w:hyperlink r:id="rId17" w:history="1">
        <w:r w:rsidRPr="00F14C4A">
          <w:rPr>
            <w:rStyle w:val="Hyperlink"/>
            <w:rFonts w:asciiTheme="majorBidi" w:hAnsiTheme="majorBidi" w:cstheme="majorBidi"/>
            <w:sz w:val="24"/>
            <w:szCs w:val="24"/>
          </w:rPr>
          <w:t>http://www.jstor.org/stable/1809766</w:t>
        </w:r>
      </w:hyperlink>
    </w:p>
    <w:p w14:paraId="1CEC8EFA" w14:textId="79F3277A"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rPr>
      </w:pPr>
      <w:r w:rsidRPr="00F14C4A">
        <w:rPr>
          <w:rFonts w:asciiTheme="majorBidi" w:hAnsiTheme="majorBidi" w:cstheme="majorBidi"/>
          <w:sz w:val="24"/>
          <w:szCs w:val="24"/>
        </w:rPr>
        <w:t xml:space="preserve">Modigliani, F., &amp; Miller, M. H. (1963). Corporate income taxes and the cost of capital: A correction. American Economic Review, 53(3), 433–443. </w:t>
      </w:r>
      <w:hyperlink r:id="rId18" w:history="1">
        <w:r w:rsidRPr="00F14C4A">
          <w:rPr>
            <w:rStyle w:val="Hyperlink"/>
            <w:rFonts w:asciiTheme="majorBidi" w:hAnsiTheme="majorBidi" w:cstheme="majorBidi"/>
            <w:sz w:val="24"/>
            <w:szCs w:val="24"/>
          </w:rPr>
          <w:t>https://doi.org/10.2307/1809167</w:t>
        </w:r>
      </w:hyperlink>
    </w:p>
    <w:p w14:paraId="07C7D637" w14:textId="0E858069"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rPr>
      </w:pPr>
      <w:r w:rsidRPr="00F14C4A">
        <w:rPr>
          <w:rFonts w:asciiTheme="majorBidi" w:hAnsiTheme="majorBidi" w:cstheme="majorBidi"/>
          <w:sz w:val="24"/>
          <w:szCs w:val="24"/>
        </w:rPr>
        <w:t xml:space="preserve">Myers, S. C. (1984). The capital structure puzzle. The Journal of Finance, 39(3), 575–592. </w:t>
      </w:r>
      <w:hyperlink r:id="rId19" w:history="1">
        <w:r w:rsidRPr="00F14C4A">
          <w:rPr>
            <w:rStyle w:val="Hyperlink"/>
            <w:rFonts w:asciiTheme="majorBidi" w:hAnsiTheme="majorBidi" w:cstheme="majorBidi"/>
            <w:sz w:val="24"/>
            <w:szCs w:val="24"/>
          </w:rPr>
          <w:t>https://doi.org/10.1111/j.1540-6261.1984.tb03646.x</w:t>
        </w:r>
      </w:hyperlink>
    </w:p>
    <w:p w14:paraId="71A0E502" w14:textId="6AB57C87"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rPr>
      </w:pPr>
      <w:proofErr w:type="spellStart"/>
      <w:r w:rsidRPr="00F14C4A">
        <w:rPr>
          <w:rFonts w:asciiTheme="majorBidi" w:hAnsiTheme="majorBidi" w:cstheme="majorBidi"/>
          <w:sz w:val="24"/>
          <w:szCs w:val="24"/>
        </w:rPr>
        <w:t>Pesaran</w:t>
      </w:r>
      <w:proofErr w:type="spellEnd"/>
      <w:r w:rsidRPr="00F14C4A">
        <w:rPr>
          <w:rFonts w:asciiTheme="majorBidi" w:hAnsiTheme="majorBidi" w:cstheme="majorBidi"/>
          <w:sz w:val="24"/>
          <w:szCs w:val="24"/>
        </w:rPr>
        <w:t xml:space="preserve">, M. H. (2004). General diagnostic tests for cross section dependence in panels. </w:t>
      </w:r>
      <w:hyperlink r:id="rId20" w:history="1">
        <w:r w:rsidRPr="00F14C4A">
          <w:rPr>
            <w:rStyle w:val="Hyperlink"/>
            <w:rFonts w:asciiTheme="majorBidi" w:hAnsiTheme="majorBidi" w:cstheme="majorBidi"/>
            <w:sz w:val="24"/>
            <w:szCs w:val="24"/>
          </w:rPr>
          <w:t>https://doi.org/10.17863/CAM.5113</w:t>
        </w:r>
      </w:hyperlink>
    </w:p>
    <w:p w14:paraId="1475436F" w14:textId="1EB94DAB"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rPr>
      </w:pPr>
      <w:proofErr w:type="spellStart"/>
      <w:r w:rsidRPr="00F14C4A">
        <w:rPr>
          <w:rFonts w:asciiTheme="majorBidi" w:hAnsiTheme="majorBidi" w:cstheme="majorBidi"/>
          <w:sz w:val="24"/>
          <w:szCs w:val="24"/>
        </w:rPr>
        <w:t>Pesaran</w:t>
      </w:r>
      <w:proofErr w:type="spellEnd"/>
      <w:r w:rsidRPr="00F14C4A">
        <w:rPr>
          <w:rFonts w:asciiTheme="majorBidi" w:hAnsiTheme="majorBidi" w:cstheme="majorBidi"/>
          <w:sz w:val="24"/>
          <w:szCs w:val="24"/>
        </w:rPr>
        <w:t xml:space="preserve">, M. H. (2015). Testing weak cross-sectional dependence in large panels. Econometric Reviews. </w:t>
      </w:r>
      <w:hyperlink r:id="rId21" w:history="1">
        <w:r w:rsidRPr="00F14C4A">
          <w:rPr>
            <w:rStyle w:val="Hyperlink"/>
            <w:rFonts w:asciiTheme="majorBidi" w:hAnsiTheme="majorBidi" w:cstheme="majorBidi"/>
            <w:sz w:val="24"/>
            <w:szCs w:val="24"/>
          </w:rPr>
          <w:t>https://doi.org/10.1080/07474938.2014.956623</w:t>
        </w:r>
      </w:hyperlink>
    </w:p>
    <w:p w14:paraId="6B640EB5" w14:textId="554D2F37"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rPr>
      </w:pPr>
      <w:r w:rsidRPr="00F14C4A">
        <w:rPr>
          <w:rFonts w:asciiTheme="majorBidi" w:hAnsiTheme="majorBidi" w:cstheme="majorBidi"/>
          <w:sz w:val="24"/>
          <w:szCs w:val="24"/>
        </w:rPr>
        <w:t xml:space="preserve">Petersen, M. A. (2009). Estimating standard errors in finance panel data sets: Comparing approaches. The Review of Financial Studies, 22(1), 435–480. </w:t>
      </w:r>
      <w:hyperlink r:id="rId22" w:history="1">
        <w:r w:rsidRPr="00F14C4A">
          <w:rPr>
            <w:rStyle w:val="Hyperlink"/>
            <w:rFonts w:asciiTheme="majorBidi" w:hAnsiTheme="majorBidi" w:cstheme="majorBidi"/>
            <w:sz w:val="24"/>
            <w:szCs w:val="24"/>
          </w:rPr>
          <w:t>https://doi.org/10.1093/rfs/hhn053</w:t>
        </w:r>
      </w:hyperlink>
    </w:p>
    <w:p w14:paraId="55BEC293" w14:textId="3A378F1B" w:rsidR="00800965" w:rsidRPr="00F14C4A" w:rsidRDefault="00800965" w:rsidP="00F14C4A">
      <w:pPr>
        <w:pStyle w:val="ListParagraph"/>
        <w:numPr>
          <w:ilvl w:val="0"/>
          <w:numId w:val="2"/>
        </w:numPr>
        <w:spacing w:line="240" w:lineRule="auto"/>
        <w:jc w:val="both"/>
        <w:rPr>
          <w:rFonts w:asciiTheme="majorBidi" w:hAnsiTheme="majorBidi" w:cstheme="majorBidi"/>
          <w:sz w:val="24"/>
          <w:szCs w:val="24"/>
          <w:lang/>
        </w:rPr>
      </w:pPr>
      <w:r w:rsidRPr="00F14C4A">
        <w:rPr>
          <w:rFonts w:asciiTheme="majorBidi" w:hAnsiTheme="majorBidi" w:cstheme="majorBidi"/>
          <w:sz w:val="24"/>
          <w:szCs w:val="24"/>
          <w:highlight w:val="yellow"/>
          <w:lang/>
        </w:rPr>
        <w:t xml:space="preserve">Rajan, R. G., &amp; Zingales, L. (1995). What Do We Know about Capital Structure? Some Evidence from International Data. </w:t>
      </w:r>
      <w:r w:rsidRPr="00F14C4A">
        <w:rPr>
          <w:rFonts w:asciiTheme="majorBidi" w:hAnsiTheme="majorBidi" w:cstheme="majorBidi"/>
          <w:i/>
          <w:iCs/>
          <w:sz w:val="24"/>
          <w:szCs w:val="24"/>
          <w:highlight w:val="yellow"/>
          <w:lang/>
        </w:rPr>
        <w:t>The Journal of Finance</w:t>
      </w:r>
      <w:r w:rsidRPr="00F14C4A">
        <w:rPr>
          <w:rFonts w:asciiTheme="majorBidi" w:hAnsiTheme="majorBidi" w:cstheme="majorBidi"/>
          <w:sz w:val="24"/>
          <w:szCs w:val="24"/>
          <w:highlight w:val="yellow"/>
          <w:lang/>
        </w:rPr>
        <w:t xml:space="preserve">, </w:t>
      </w:r>
      <w:r w:rsidRPr="00F14C4A">
        <w:rPr>
          <w:rFonts w:asciiTheme="majorBidi" w:hAnsiTheme="majorBidi" w:cstheme="majorBidi"/>
          <w:i/>
          <w:iCs/>
          <w:sz w:val="24"/>
          <w:szCs w:val="24"/>
          <w:highlight w:val="yellow"/>
          <w:lang/>
        </w:rPr>
        <w:t>50</w:t>
      </w:r>
      <w:r w:rsidRPr="00F14C4A">
        <w:rPr>
          <w:rFonts w:asciiTheme="majorBidi" w:hAnsiTheme="majorBidi" w:cstheme="majorBidi"/>
          <w:sz w:val="24"/>
          <w:szCs w:val="24"/>
          <w:highlight w:val="yellow"/>
          <w:lang/>
        </w:rPr>
        <w:t xml:space="preserve">(5), 1421–1460. </w:t>
      </w:r>
      <w:hyperlink r:id="rId23" w:history="1">
        <w:r w:rsidRPr="00F14C4A">
          <w:rPr>
            <w:rStyle w:val="Hyperlink"/>
            <w:rFonts w:asciiTheme="majorBidi" w:hAnsiTheme="majorBidi" w:cstheme="majorBidi"/>
            <w:sz w:val="24"/>
            <w:szCs w:val="24"/>
            <w:highlight w:val="yellow"/>
            <w:lang/>
          </w:rPr>
          <w:t>https://doi.org/10.1111/j.1540-6261.1995.tb05184.x</w:t>
        </w:r>
      </w:hyperlink>
      <w:r w:rsidRPr="00F14C4A">
        <w:rPr>
          <w:rFonts w:asciiTheme="majorBidi" w:hAnsiTheme="majorBidi" w:cstheme="majorBidi"/>
          <w:sz w:val="24"/>
          <w:szCs w:val="24"/>
          <w:lang/>
        </w:rPr>
        <w:t xml:space="preserve"> </w:t>
      </w:r>
    </w:p>
    <w:p w14:paraId="0D5A4A86" w14:textId="4FBC21EA" w:rsidR="00A13862" w:rsidRPr="00F14C4A" w:rsidRDefault="00A13862" w:rsidP="00F14C4A">
      <w:pPr>
        <w:pStyle w:val="ListParagraph"/>
        <w:numPr>
          <w:ilvl w:val="0"/>
          <w:numId w:val="2"/>
        </w:numPr>
        <w:spacing w:line="240" w:lineRule="auto"/>
        <w:jc w:val="both"/>
        <w:rPr>
          <w:rFonts w:asciiTheme="majorBidi" w:hAnsiTheme="majorBidi" w:cstheme="majorBidi"/>
          <w:sz w:val="24"/>
          <w:szCs w:val="24"/>
        </w:rPr>
      </w:pPr>
      <w:r w:rsidRPr="00F14C4A">
        <w:rPr>
          <w:rFonts w:asciiTheme="majorBidi" w:hAnsiTheme="majorBidi" w:cstheme="majorBidi"/>
          <w:sz w:val="24"/>
          <w:szCs w:val="24"/>
          <w:highlight w:val="yellow"/>
          <w:lang w:val="pt-BR"/>
        </w:rPr>
        <w:t xml:space="preserve">Sike, R. I., Ibrahim, U. A., &amp; Maitala, F. (2022). </w:t>
      </w:r>
      <w:r w:rsidRPr="00F14C4A">
        <w:rPr>
          <w:rFonts w:asciiTheme="majorBidi" w:hAnsiTheme="majorBidi" w:cstheme="majorBidi"/>
          <w:sz w:val="24"/>
          <w:szCs w:val="24"/>
          <w:highlight w:val="yellow"/>
        </w:rPr>
        <w:t>Capital Structure and Firm Performance: Empirical Evidence from Nigeria Listed Non-Financial Firms. </w:t>
      </w:r>
      <w:r w:rsidRPr="00F14C4A">
        <w:rPr>
          <w:rFonts w:asciiTheme="majorBidi" w:hAnsiTheme="majorBidi" w:cstheme="majorBidi"/>
          <w:i/>
          <w:iCs/>
          <w:sz w:val="24"/>
          <w:szCs w:val="24"/>
          <w:highlight w:val="yellow"/>
        </w:rPr>
        <w:t>International Journal of Economics and Management Systems</w:t>
      </w:r>
      <w:r w:rsidRPr="00F14C4A">
        <w:rPr>
          <w:rFonts w:asciiTheme="majorBidi" w:hAnsiTheme="majorBidi" w:cstheme="majorBidi"/>
          <w:sz w:val="24"/>
          <w:szCs w:val="24"/>
          <w:highlight w:val="yellow"/>
        </w:rPr>
        <w:t>, </w:t>
      </w:r>
      <w:r w:rsidRPr="00F14C4A">
        <w:rPr>
          <w:rFonts w:asciiTheme="majorBidi" w:hAnsiTheme="majorBidi" w:cstheme="majorBidi"/>
          <w:i/>
          <w:iCs/>
          <w:sz w:val="24"/>
          <w:szCs w:val="24"/>
          <w:highlight w:val="yellow"/>
        </w:rPr>
        <w:t>7</w:t>
      </w:r>
      <w:r w:rsidRPr="00F14C4A">
        <w:rPr>
          <w:rFonts w:asciiTheme="majorBidi" w:hAnsiTheme="majorBidi" w:cstheme="majorBidi"/>
          <w:sz w:val="24"/>
          <w:szCs w:val="24"/>
          <w:highlight w:val="yellow"/>
        </w:rPr>
        <w:t>.</w:t>
      </w:r>
    </w:p>
    <w:p w14:paraId="1105BCE0" w14:textId="74B07CC7" w:rsidR="00A13862" w:rsidRPr="00F14C4A" w:rsidRDefault="00A13862" w:rsidP="00F14C4A">
      <w:pPr>
        <w:pStyle w:val="ListParagraph"/>
        <w:numPr>
          <w:ilvl w:val="0"/>
          <w:numId w:val="2"/>
        </w:numPr>
        <w:spacing w:line="240" w:lineRule="auto"/>
        <w:jc w:val="both"/>
        <w:rPr>
          <w:rFonts w:asciiTheme="majorBidi" w:hAnsiTheme="majorBidi" w:cstheme="majorBidi"/>
          <w:sz w:val="24"/>
          <w:szCs w:val="24"/>
        </w:rPr>
      </w:pPr>
      <w:r w:rsidRPr="00F14C4A">
        <w:rPr>
          <w:rFonts w:asciiTheme="majorBidi" w:hAnsiTheme="majorBidi" w:cstheme="majorBidi"/>
          <w:sz w:val="24"/>
          <w:szCs w:val="24"/>
          <w:highlight w:val="yellow"/>
          <w:lang w:val="en-GB"/>
        </w:rPr>
        <w:t xml:space="preserve">Sike, R. I., Ibrahim, U. A., &amp; </w:t>
      </w:r>
      <w:proofErr w:type="spellStart"/>
      <w:r w:rsidRPr="00F14C4A">
        <w:rPr>
          <w:rFonts w:asciiTheme="majorBidi" w:hAnsiTheme="majorBidi" w:cstheme="majorBidi"/>
          <w:sz w:val="24"/>
          <w:szCs w:val="24"/>
          <w:highlight w:val="yellow"/>
          <w:lang w:val="en-GB"/>
        </w:rPr>
        <w:t>Maitala</w:t>
      </w:r>
      <w:proofErr w:type="spellEnd"/>
      <w:r w:rsidRPr="00F14C4A">
        <w:rPr>
          <w:rFonts w:asciiTheme="majorBidi" w:hAnsiTheme="majorBidi" w:cstheme="majorBidi"/>
          <w:sz w:val="24"/>
          <w:szCs w:val="24"/>
          <w:highlight w:val="yellow"/>
          <w:lang w:val="en-GB"/>
        </w:rPr>
        <w:t xml:space="preserve">, F. (2023). </w:t>
      </w:r>
      <w:r w:rsidRPr="00F14C4A">
        <w:rPr>
          <w:rFonts w:asciiTheme="majorBidi" w:hAnsiTheme="majorBidi" w:cstheme="majorBidi"/>
          <w:sz w:val="24"/>
          <w:szCs w:val="24"/>
          <w:highlight w:val="yellow"/>
        </w:rPr>
        <w:t>Capital Structure and Financial Performance: A Sectorial Analysis. </w:t>
      </w:r>
      <w:r w:rsidRPr="00F14C4A">
        <w:rPr>
          <w:rFonts w:asciiTheme="majorBidi" w:hAnsiTheme="majorBidi" w:cstheme="majorBidi"/>
          <w:i/>
          <w:iCs/>
          <w:sz w:val="24"/>
          <w:szCs w:val="24"/>
          <w:highlight w:val="yellow"/>
        </w:rPr>
        <w:t>WSEAS Transactions on Business and Economics</w:t>
      </w:r>
      <w:r w:rsidRPr="00F14C4A">
        <w:rPr>
          <w:rFonts w:asciiTheme="majorBidi" w:hAnsiTheme="majorBidi" w:cstheme="majorBidi"/>
          <w:sz w:val="24"/>
          <w:szCs w:val="24"/>
          <w:highlight w:val="yellow"/>
        </w:rPr>
        <w:t>, </w:t>
      </w:r>
      <w:r w:rsidRPr="00F14C4A">
        <w:rPr>
          <w:rFonts w:asciiTheme="majorBidi" w:hAnsiTheme="majorBidi" w:cstheme="majorBidi"/>
          <w:i/>
          <w:iCs/>
          <w:sz w:val="24"/>
          <w:szCs w:val="24"/>
          <w:highlight w:val="yellow"/>
        </w:rPr>
        <w:t>20</w:t>
      </w:r>
      <w:r w:rsidRPr="00F14C4A">
        <w:rPr>
          <w:rFonts w:asciiTheme="majorBidi" w:hAnsiTheme="majorBidi" w:cstheme="majorBidi"/>
          <w:sz w:val="24"/>
          <w:szCs w:val="24"/>
          <w:highlight w:val="yellow"/>
        </w:rPr>
        <w:t>, 1498-1508.</w:t>
      </w:r>
    </w:p>
    <w:p w14:paraId="55CE0EE2" w14:textId="69E8E4E9" w:rsidR="004546A5" w:rsidRPr="00F14C4A" w:rsidRDefault="004546A5" w:rsidP="00F14C4A">
      <w:pPr>
        <w:pStyle w:val="ListParagraph"/>
        <w:numPr>
          <w:ilvl w:val="0"/>
          <w:numId w:val="2"/>
        </w:numPr>
        <w:spacing w:line="240" w:lineRule="auto"/>
        <w:jc w:val="both"/>
        <w:rPr>
          <w:rFonts w:asciiTheme="majorBidi" w:hAnsiTheme="majorBidi" w:cstheme="majorBidi"/>
          <w:sz w:val="24"/>
          <w:szCs w:val="24"/>
        </w:rPr>
      </w:pPr>
      <w:proofErr w:type="spellStart"/>
      <w:r w:rsidRPr="00F14C4A">
        <w:rPr>
          <w:rFonts w:asciiTheme="majorBidi" w:hAnsiTheme="majorBidi" w:cstheme="majorBidi"/>
          <w:sz w:val="24"/>
          <w:szCs w:val="24"/>
          <w:highlight w:val="yellow"/>
          <w:lang w:val="en-GB"/>
        </w:rPr>
        <w:t>Uremadu</w:t>
      </w:r>
      <w:proofErr w:type="spellEnd"/>
      <w:r w:rsidRPr="00F14C4A">
        <w:rPr>
          <w:rFonts w:asciiTheme="majorBidi" w:hAnsiTheme="majorBidi" w:cstheme="majorBidi"/>
          <w:sz w:val="24"/>
          <w:szCs w:val="24"/>
          <w:highlight w:val="yellow"/>
          <w:lang w:val="en-GB"/>
        </w:rPr>
        <w:t xml:space="preserve">, S. O., &amp; Onyekachi, O. (2018). </w:t>
      </w:r>
      <w:r w:rsidRPr="00F14C4A">
        <w:rPr>
          <w:rFonts w:asciiTheme="majorBidi" w:hAnsiTheme="majorBidi" w:cstheme="majorBidi"/>
          <w:sz w:val="24"/>
          <w:szCs w:val="24"/>
          <w:highlight w:val="yellow"/>
        </w:rPr>
        <w:t>The impact of capital structure on corporate performance in Nigeria: A quantitative study of consumer goods sector. </w:t>
      </w:r>
      <w:r w:rsidRPr="00F14C4A">
        <w:rPr>
          <w:rFonts w:asciiTheme="majorBidi" w:hAnsiTheme="majorBidi" w:cstheme="majorBidi"/>
          <w:i/>
          <w:iCs/>
          <w:sz w:val="24"/>
          <w:szCs w:val="24"/>
          <w:highlight w:val="yellow"/>
        </w:rPr>
        <w:t>Current Investigations in Agriculture and Current Research</w:t>
      </w:r>
      <w:r w:rsidRPr="00F14C4A">
        <w:rPr>
          <w:rFonts w:asciiTheme="majorBidi" w:hAnsiTheme="majorBidi" w:cstheme="majorBidi"/>
          <w:sz w:val="24"/>
          <w:szCs w:val="24"/>
          <w:highlight w:val="yellow"/>
        </w:rPr>
        <w:t>, </w:t>
      </w:r>
      <w:r w:rsidRPr="00F14C4A">
        <w:rPr>
          <w:rFonts w:asciiTheme="majorBidi" w:hAnsiTheme="majorBidi" w:cstheme="majorBidi"/>
          <w:i/>
          <w:iCs/>
          <w:sz w:val="24"/>
          <w:szCs w:val="24"/>
          <w:highlight w:val="yellow"/>
        </w:rPr>
        <w:t>5</w:t>
      </w:r>
      <w:r w:rsidRPr="00F14C4A">
        <w:rPr>
          <w:rFonts w:asciiTheme="majorBidi" w:hAnsiTheme="majorBidi" w:cstheme="majorBidi"/>
          <w:sz w:val="24"/>
          <w:szCs w:val="24"/>
          <w:highlight w:val="yellow"/>
        </w:rPr>
        <w:t>(4), 697-705.</w:t>
      </w:r>
    </w:p>
    <w:p w14:paraId="68D9D136" w14:textId="695FA7AD" w:rsidR="007D20BA" w:rsidRPr="00F14C4A" w:rsidRDefault="007D20BA" w:rsidP="00F14C4A">
      <w:pPr>
        <w:pStyle w:val="ListParagraph"/>
        <w:numPr>
          <w:ilvl w:val="0"/>
          <w:numId w:val="2"/>
        </w:numPr>
        <w:spacing w:line="240" w:lineRule="auto"/>
        <w:jc w:val="both"/>
        <w:rPr>
          <w:rFonts w:asciiTheme="majorBidi" w:hAnsiTheme="majorBidi" w:cstheme="majorBidi"/>
          <w:sz w:val="24"/>
          <w:szCs w:val="24"/>
        </w:rPr>
      </w:pPr>
      <w:r w:rsidRPr="00F14C4A">
        <w:rPr>
          <w:rFonts w:asciiTheme="majorBidi" w:hAnsiTheme="majorBidi" w:cstheme="majorBidi"/>
          <w:sz w:val="24"/>
          <w:szCs w:val="24"/>
        </w:rPr>
        <w:lastRenderedPageBreak/>
        <w:t xml:space="preserve">White, H. (1980). A heteroskedasticity-consistent covariance matrix estimator and a direct test for heteroskedasticity. </w:t>
      </w:r>
      <w:proofErr w:type="spellStart"/>
      <w:r w:rsidRPr="00F14C4A">
        <w:rPr>
          <w:rFonts w:asciiTheme="majorBidi" w:hAnsiTheme="majorBidi" w:cstheme="majorBidi"/>
          <w:sz w:val="24"/>
          <w:szCs w:val="24"/>
        </w:rPr>
        <w:t>Econometrica</w:t>
      </w:r>
      <w:proofErr w:type="spellEnd"/>
      <w:r w:rsidRPr="00F14C4A">
        <w:rPr>
          <w:rFonts w:asciiTheme="majorBidi" w:hAnsiTheme="majorBidi" w:cstheme="majorBidi"/>
          <w:sz w:val="24"/>
          <w:szCs w:val="24"/>
        </w:rPr>
        <w:t xml:space="preserve">, 48(4), 817–838. </w:t>
      </w:r>
      <w:hyperlink r:id="rId24" w:history="1">
        <w:r w:rsidRPr="00F14C4A">
          <w:rPr>
            <w:rStyle w:val="Hyperlink"/>
            <w:rFonts w:asciiTheme="majorBidi" w:hAnsiTheme="majorBidi" w:cstheme="majorBidi"/>
            <w:sz w:val="24"/>
            <w:szCs w:val="24"/>
          </w:rPr>
          <w:t>https://doi.org/10.2307/1912934</w:t>
        </w:r>
      </w:hyperlink>
    </w:p>
    <w:p w14:paraId="3242A1EC" w14:textId="555D35B4" w:rsidR="00D171CC" w:rsidRPr="00F14C4A" w:rsidRDefault="007D20BA" w:rsidP="00F14C4A">
      <w:pPr>
        <w:pStyle w:val="ListParagraph"/>
        <w:numPr>
          <w:ilvl w:val="0"/>
          <w:numId w:val="2"/>
        </w:numPr>
        <w:spacing w:line="240" w:lineRule="auto"/>
        <w:jc w:val="both"/>
        <w:rPr>
          <w:rFonts w:asciiTheme="majorBidi" w:hAnsiTheme="majorBidi" w:cstheme="majorBidi"/>
          <w:sz w:val="24"/>
          <w:szCs w:val="24"/>
        </w:rPr>
      </w:pPr>
      <w:r w:rsidRPr="00F14C4A">
        <w:rPr>
          <w:rFonts w:asciiTheme="majorBidi" w:hAnsiTheme="majorBidi" w:cstheme="majorBidi"/>
          <w:sz w:val="24"/>
          <w:szCs w:val="24"/>
        </w:rPr>
        <w:t>Wooldridge, J. M. (2010). Econometric analysis of cross section and panel data (2nd ed.). MIT Press. https://mitpress.mit.edu/books/econometric-analysis-cross-section-and-panel-data-second-edition</w:t>
      </w:r>
    </w:p>
    <w:p w14:paraId="6C85F42F" w14:textId="77777777" w:rsidR="005C77F8" w:rsidRPr="000148CF" w:rsidRDefault="005C77F8" w:rsidP="00D171CC">
      <w:pPr>
        <w:spacing w:line="240" w:lineRule="auto"/>
        <w:ind w:left="720" w:hanging="720"/>
        <w:jc w:val="both"/>
        <w:rPr>
          <w:rFonts w:asciiTheme="majorBidi" w:hAnsiTheme="majorBidi" w:cstheme="majorBidi"/>
          <w:sz w:val="24"/>
          <w:szCs w:val="24"/>
        </w:rPr>
      </w:pPr>
    </w:p>
    <w:sectPr w:rsidR="005C77F8" w:rsidRPr="000148CF">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15D0" w14:textId="77777777" w:rsidR="00A15855" w:rsidRDefault="00A15855" w:rsidP="00D23B90">
      <w:pPr>
        <w:spacing w:after="0" w:line="240" w:lineRule="auto"/>
      </w:pPr>
      <w:r>
        <w:separator/>
      </w:r>
    </w:p>
  </w:endnote>
  <w:endnote w:type="continuationSeparator" w:id="0">
    <w:p w14:paraId="1174B78E" w14:textId="77777777" w:rsidR="00A15855" w:rsidRDefault="00A15855" w:rsidP="00D2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9AF5" w14:textId="77777777" w:rsidR="00D23B90" w:rsidRDefault="00D23B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B6D1" w14:textId="77777777" w:rsidR="00D23B90" w:rsidRDefault="00D23B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1A24" w14:textId="77777777" w:rsidR="00D23B90" w:rsidRDefault="00D23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ABAEB" w14:textId="77777777" w:rsidR="00A15855" w:rsidRDefault="00A15855" w:rsidP="00D23B90">
      <w:pPr>
        <w:spacing w:after="0" w:line="240" w:lineRule="auto"/>
      </w:pPr>
      <w:r>
        <w:separator/>
      </w:r>
    </w:p>
  </w:footnote>
  <w:footnote w:type="continuationSeparator" w:id="0">
    <w:p w14:paraId="563E3215" w14:textId="77777777" w:rsidR="00A15855" w:rsidRDefault="00A15855" w:rsidP="00D23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8AED" w14:textId="7C041269" w:rsidR="00D23B90" w:rsidRDefault="00000000">
    <w:pPr>
      <w:pStyle w:val="Header"/>
    </w:pPr>
    <w:r>
      <w:rPr>
        <w:noProof/>
      </w:rPr>
      <w:pict w14:anchorId="4367B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156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8340" w14:textId="55C762AD" w:rsidR="00D23B90" w:rsidRDefault="00000000">
    <w:pPr>
      <w:pStyle w:val="Header"/>
    </w:pPr>
    <w:r>
      <w:rPr>
        <w:noProof/>
      </w:rPr>
      <w:pict w14:anchorId="3C7E56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1564"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D5F3" w14:textId="3A483068" w:rsidR="00D23B90" w:rsidRDefault="00000000">
    <w:pPr>
      <w:pStyle w:val="Header"/>
    </w:pPr>
    <w:r>
      <w:rPr>
        <w:noProof/>
      </w:rPr>
      <w:pict w14:anchorId="6B626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9156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60E4"/>
    <w:multiLevelType w:val="hybridMultilevel"/>
    <w:tmpl w:val="AC781C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97114B"/>
    <w:multiLevelType w:val="hybridMultilevel"/>
    <w:tmpl w:val="46BA9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505004">
    <w:abstractNumId w:val="0"/>
  </w:num>
  <w:num w:numId="2" w16cid:durableId="13070809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7F8"/>
    <w:rsid w:val="00010C2A"/>
    <w:rsid w:val="000148CF"/>
    <w:rsid w:val="00037485"/>
    <w:rsid w:val="00037748"/>
    <w:rsid w:val="00040690"/>
    <w:rsid w:val="00092DFD"/>
    <w:rsid w:val="00096213"/>
    <w:rsid w:val="000B6389"/>
    <w:rsid w:val="000E113B"/>
    <w:rsid w:val="001171E1"/>
    <w:rsid w:val="001228FF"/>
    <w:rsid w:val="00123793"/>
    <w:rsid w:val="00124E2C"/>
    <w:rsid w:val="00132C30"/>
    <w:rsid w:val="00140DB4"/>
    <w:rsid w:val="0014206F"/>
    <w:rsid w:val="0015111A"/>
    <w:rsid w:val="00162337"/>
    <w:rsid w:val="00265493"/>
    <w:rsid w:val="002D719E"/>
    <w:rsid w:val="003315C2"/>
    <w:rsid w:val="00355AC9"/>
    <w:rsid w:val="003B5C28"/>
    <w:rsid w:val="00400B1A"/>
    <w:rsid w:val="004546A5"/>
    <w:rsid w:val="00513CA6"/>
    <w:rsid w:val="00560FFC"/>
    <w:rsid w:val="005C77F8"/>
    <w:rsid w:val="006022F8"/>
    <w:rsid w:val="0066665A"/>
    <w:rsid w:val="00671235"/>
    <w:rsid w:val="00691820"/>
    <w:rsid w:val="006B7D73"/>
    <w:rsid w:val="006C4F19"/>
    <w:rsid w:val="006D60C2"/>
    <w:rsid w:val="006E32B4"/>
    <w:rsid w:val="00713A4F"/>
    <w:rsid w:val="00723519"/>
    <w:rsid w:val="007A079F"/>
    <w:rsid w:val="007A193B"/>
    <w:rsid w:val="007D20BA"/>
    <w:rsid w:val="007D4CAB"/>
    <w:rsid w:val="007F52F8"/>
    <w:rsid w:val="007F64FE"/>
    <w:rsid w:val="00800965"/>
    <w:rsid w:val="00823680"/>
    <w:rsid w:val="00855F00"/>
    <w:rsid w:val="008626F6"/>
    <w:rsid w:val="00865B18"/>
    <w:rsid w:val="008D28D9"/>
    <w:rsid w:val="008D7637"/>
    <w:rsid w:val="009462B0"/>
    <w:rsid w:val="0095293B"/>
    <w:rsid w:val="00992158"/>
    <w:rsid w:val="009E4451"/>
    <w:rsid w:val="009F2AFC"/>
    <w:rsid w:val="00A0105B"/>
    <w:rsid w:val="00A13862"/>
    <w:rsid w:val="00A15855"/>
    <w:rsid w:val="00A31E6A"/>
    <w:rsid w:val="00A64944"/>
    <w:rsid w:val="00AF1E52"/>
    <w:rsid w:val="00B31125"/>
    <w:rsid w:val="00BF303F"/>
    <w:rsid w:val="00C44228"/>
    <w:rsid w:val="00C62B0B"/>
    <w:rsid w:val="00CC416E"/>
    <w:rsid w:val="00CE64CC"/>
    <w:rsid w:val="00D1170B"/>
    <w:rsid w:val="00D171CC"/>
    <w:rsid w:val="00D23B90"/>
    <w:rsid w:val="00D33CC3"/>
    <w:rsid w:val="00D37101"/>
    <w:rsid w:val="00D72180"/>
    <w:rsid w:val="00D83FEE"/>
    <w:rsid w:val="00D96349"/>
    <w:rsid w:val="00E14F99"/>
    <w:rsid w:val="00E33590"/>
    <w:rsid w:val="00E52205"/>
    <w:rsid w:val="00EA44E7"/>
    <w:rsid w:val="00EF0CA1"/>
    <w:rsid w:val="00F14C4A"/>
    <w:rsid w:val="00F2127D"/>
    <w:rsid w:val="00F94D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51C25"/>
  <w15:chartTrackingRefBased/>
  <w15:docId w15:val="{C8AF26F2-D21E-4D37-8287-68BAD42CF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158"/>
  </w:style>
  <w:style w:type="paragraph" w:styleId="Heading1">
    <w:name w:val="heading 1"/>
    <w:basedOn w:val="Normal"/>
    <w:next w:val="Normal"/>
    <w:link w:val="Heading1Char"/>
    <w:uiPriority w:val="9"/>
    <w:qFormat/>
    <w:rsid w:val="005C77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77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7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7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77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7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7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7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7F8"/>
    <w:rPr>
      <w:rFonts w:eastAsiaTheme="majorEastAsia" w:cstheme="majorBidi"/>
      <w:color w:val="272727" w:themeColor="text1" w:themeTint="D8"/>
    </w:rPr>
  </w:style>
  <w:style w:type="paragraph" w:styleId="Title">
    <w:name w:val="Title"/>
    <w:basedOn w:val="Normal"/>
    <w:next w:val="Normal"/>
    <w:link w:val="TitleChar"/>
    <w:uiPriority w:val="10"/>
    <w:qFormat/>
    <w:rsid w:val="005C77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7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7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7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7F8"/>
    <w:pPr>
      <w:spacing w:before="160"/>
      <w:jc w:val="center"/>
    </w:pPr>
    <w:rPr>
      <w:i/>
      <w:iCs/>
      <w:color w:val="404040" w:themeColor="text1" w:themeTint="BF"/>
    </w:rPr>
  </w:style>
  <w:style w:type="character" w:customStyle="1" w:styleId="QuoteChar">
    <w:name w:val="Quote Char"/>
    <w:basedOn w:val="DefaultParagraphFont"/>
    <w:link w:val="Quote"/>
    <w:uiPriority w:val="29"/>
    <w:rsid w:val="005C77F8"/>
    <w:rPr>
      <w:i/>
      <w:iCs/>
      <w:color w:val="404040" w:themeColor="text1" w:themeTint="BF"/>
    </w:rPr>
  </w:style>
  <w:style w:type="paragraph" w:styleId="ListParagraph">
    <w:name w:val="List Paragraph"/>
    <w:basedOn w:val="Normal"/>
    <w:uiPriority w:val="34"/>
    <w:qFormat/>
    <w:rsid w:val="005C77F8"/>
    <w:pPr>
      <w:ind w:left="720"/>
      <w:contextualSpacing/>
    </w:pPr>
  </w:style>
  <w:style w:type="character" w:styleId="IntenseEmphasis">
    <w:name w:val="Intense Emphasis"/>
    <w:basedOn w:val="DefaultParagraphFont"/>
    <w:uiPriority w:val="21"/>
    <w:qFormat/>
    <w:rsid w:val="005C77F8"/>
    <w:rPr>
      <w:i/>
      <w:iCs/>
      <w:color w:val="0F4761" w:themeColor="accent1" w:themeShade="BF"/>
    </w:rPr>
  </w:style>
  <w:style w:type="paragraph" w:styleId="IntenseQuote">
    <w:name w:val="Intense Quote"/>
    <w:basedOn w:val="Normal"/>
    <w:next w:val="Normal"/>
    <w:link w:val="IntenseQuoteChar"/>
    <w:uiPriority w:val="30"/>
    <w:qFormat/>
    <w:rsid w:val="005C7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7F8"/>
    <w:rPr>
      <w:i/>
      <w:iCs/>
      <w:color w:val="0F4761" w:themeColor="accent1" w:themeShade="BF"/>
    </w:rPr>
  </w:style>
  <w:style w:type="character" w:styleId="IntenseReference">
    <w:name w:val="Intense Reference"/>
    <w:basedOn w:val="DefaultParagraphFont"/>
    <w:uiPriority w:val="32"/>
    <w:qFormat/>
    <w:rsid w:val="005C77F8"/>
    <w:rPr>
      <w:b/>
      <w:bCs/>
      <w:smallCaps/>
      <w:color w:val="0F4761" w:themeColor="accent1" w:themeShade="BF"/>
      <w:spacing w:val="5"/>
    </w:rPr>
  </w:style>
  <w:style w:type="table" w:styleId="TableGrid">
    <w:name w:val="Table Grid"/>
    <w:basedOn w:val="TableNormal"/>
    <w:uiPriority w:val="39"/>
    <w:rsid w:val="00E52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uiPriority w:val="99"/>
    <w:qFormat/>
    <w:rsid w:val="00265493"/>
    <w:pPr>
      <w:spacing w:beforeAutospacing="1" w:after="0" w:afterAutospacing="1" w:line="240" w:lineRule="auto"/>
    </w:pPr>
    <w:rPr>
      <w:rFonts w:ascii="Times New Roman" w:eastAsia="SimSun" w:hAnsi="Times New Roman" w:cs="Times New Roman"/>
      <w:kern w:val="0"/>
      <w:sz w:val="24"/>
      <w:szCs w:val="24"/>
      <w14:ligatures w14:val="none"/>
    </w:rPr>
  </w:style>
  <w:style w:type="character" w:styleId="Hyperlink">
    <w:name w:val="Hyperlink"/>
    <w:basedOn w:val="DefaultParagraphFont"/>
    <w:uiPriority w:val="99"/>
    <w:unhideWhenUsed/>
    <w:rsid w:val="00D171CC"/>
    <w:rPr>
      <w:color w:val="467886" w:themeColor="hyperlink"/>
      <w:u w:val="single"/>
    </w:rPr>
  </w:style>
  <w:style w:type="character" w:styleId="UnresolvedMention">
    <w:name w:val="Unresolved Mention"/>
    <w:basedOn w:val="DefaultParagraphFont"/>
    <w:uiPriority w:val="99"/>
    <w:semiHidden/>
    <w:unhideWhenUsed/>
    <w:rsid w:val="00D171CC"/>
    <w:rPr>
      <w:color w:val="605E5C"/>
      <w:shd w:val="clear" w:color="auto" w:fill="E1DFDD"/>
    </w:rPr>
  </w:style>
  <w:style w:type="paragraph" w:styleId="Header">
    <w:name w:val="header"/>
    <w:basedOn w:val="Normal"/>
    <w:link w:val="HeaderChar"/>
    <w:uiPriority w:val="99"/>
    <w:unhideWhenUsed/>
    <w:rsid w:val="00D23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B90"/>
  </w:style>
  <w:style w:type="paragraph" w:styleId="Footer">
    <w:name w:val="footer"/>
    <w:basedOn w:val="Normal"/>
    <w:link w:val="FooterChar"/>
    <w:uiPriority w:val="99"/>
    <w:unhideWhenUsed/>
    <w:rsid w:val="00D23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07/1911963" TargetMode="External"/><Relationship Id="rId13" Type="http://schemas.openxmlformats.org/officeDocument/2006/relationships/hyperlink" Target="https://doi.org/10.2307/1913827" TargetMode="External"/><Relationship Id="rId18" Type="http://schemas.openxmlformats.org/officeDocument/2006/relationships/hyperlink" Target="https://doi.org/10.2307/1809167"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1080/07474938.2014.956623" TargetMode="External"/><Relationship Id="rId7" Type="http://schemas.openxmlformats.org/officeDocument/2006/relationships/hyperlink" Target="https://us.sagepub.com/en-us/nam/multiple-regression/book204060" TargetMode="External"/><Relationship Id="rId12" Type="http://schemas.openxmlformats.org/officeDocument/2006/relationships/hyperlink" Target="https://www.pearson.com/us/higher-education/program/Greene-Econometric-Analysis-8th-Edition/PGM10799.html" TargetMode="External"/><Relationship Id="rId17" Type="http://schemas.openxmlformats.org/officeDocument/2006/relationships/hyperlink" Target="http://www.jstor.org/stable/1809766"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j.1540-6261.1973.tb01415.x" TargetMode="External"/><Relationship Id="rId20" Type="http://schemas.openxmlformats.org/officeDocument/2006/relationships/hyperlink" Target="https://doi.org/10.17863/CAM.5113"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755-053x.2009.01026.x" TargetMode="External"/><Relationship Id="rId24" Type="http://schemas.openxmlformats.org/officeDocument/2006/relationships/hyperlink" Target="https://doi.org/10.2307/191293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0304-405X(76)90026-X" TargetMode="External"/><Relationship Id="rId23" Type="http://schemas.openxmlformats.org/officeDocument/2006/relationships/hyperlink" Target="https://doi.org/10.1111/j.1540-6261.1995.tb05184.x" TargetMode="External"/><Relationship Id="rId28" Type="http://schemas.openxmlformats.org/officeDocument/2006/relationships/footer" Target="footer2.xml"/><Relationship Id="rId10" Type="http://schemas.openxmlformats.org/officeDocument/2006/relationships/hyperlink" Target="https://doi.org/10.1162/003465398557825" TargetMode="External"/><Relationship Id="rId19" Type="http://schemas.openxmlformats.org/officeDocument/2006/relationships/hyperlink" Target="https://doi.org/10.1111/j.1540-6261.1984.tb03646.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68/jhr.50.2.317" TargetMode="External"/><Relationship Id="rId14" Type="http://schemas.openxmlformats.org/officeDocument/2006/relationships/hyperlink" Target="http://links.jstor.org/sici?sici=0002-8282%28198605%2976%3A2%3C323%3AACOFCF%3E2.0.CO%3B2-M&amp;origin=repec" TargetMode="External"/><Relationship Id="rId22" Type="http://schemas.openxmlformats.org/officeDocument/2006/relationships/hyperlink" Target="https://doi.org/10.1093/rfs/hhn053"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13</Pages>
  <Words>5863</Words>
  <Characters>33422</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Akpadaka</dc:creator>
  <cp:keywords/>
  <dc:description/>
  <cp:lastModifiedBy>Editor-90</cp:lastModifiedBy>
  <cp:revision>46</cp:revision>
  <dcterms:created xsi:type="dcterms:W3CDTF">2025-09-06T13:39:00Z</dcterms:created>
  <dcterms:modified xsi:type="dcterms:W3CDTF">2025-12-26T10:28:00Z</dcterms:modified>
</cp:coreProperties>
</file>