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08D69" w14:textId="09FBE77F" w:rsidR="003607E2" w:rsidRPr="007A56B8" w:rsidRDefault="00EA5D93" w:rsidP="00055D83">
      <w:pPr>
        <w:spacing w:before="0" w:line="240" w:lineRule="auto"/>
        <w:jc w:val="center"/>
        <w:rPr>
          <w:rFonts w:cs="Times New Roman"/>
          <w:b/>
          <w:color w:val="000000" w:themeColor="text1"/>
          <w:szCs w:val="24"/>
        </w:rPr>
      </w:pPr>
      <w:r w:rsidRPr="00EA5D93">
        <w:rPr>
          <w:b/>
          <w:bCs/>
          <w:sz w:val="40"/>
          <w:szCs w:val="40"/>
          <w:highlight w:val="yellow"/>
        </w:rPr>
        <w:t xml:space="preserve">Microfinance Interventions and Financial Empowerment of Women Entrepreneurs in </w:t>
      </w:r>
      <w:proofErr w:type="spellStart"/>
      <w:r w:rsidRPr="00EA5D93">
        <w:rPr>
          <w:b/>
          <w:bCs/>
          <w:sz w:val="40"/>
          <w:szCs w:val="40"/>
          <w:highlight w:val="yellow"/>
        </w:rPr>
        <w:t>Eldama</w:t>
      </w:r>
      <w:proofErr w:type="spellEnd"/>
      <w:r w:rsidRPr="00EA5D93">
        <w:rPr>
          <w:b/>
          <w:bCs/>
          <w:sz w:val="40"/>
          <w:szCs w:val="40"/>
          <w:highlight w:val="yellow"/>
        </w:rPr>
        <w:t xml:space="preserve"> Ravine, Kenya</w:t>
      </w:r>
    </w:p>
    <w:p w14:paraId="26A1F76F" w14:textId="77777777" w:rsidR="00DD21C0" w:rsidRPr="007A56B8" w:rsidRDefault="00DD21C0" w:rsidP="00055D83">
      <w:pPr>
        <w:spacing w:before="0" w:line="240" w:lineRule="auto"/>
        <w:jc w:val="center"/>
        <w:rPr>
          <w:rFonts w:cs="Times New Roman"/>
          <w:color w:val="000000" w:themeColor="text1"/>
          <w:szCs w:val="24"/>
        </w:rPr>
      </w:pPr>
    </w:p>
    <w:p w14:paraId="43D2AA90" w14:textId="77777777" w:rsidR="007C3182" w:rsidRPr="007A56B8" w:rsidRDefault="007C3182" w:rsidP="00055D83">
      <w:pPr>
        <w:spacing w:before="0" w:line="240" w:lineRule="auto"/>
        <w:jc w:val="center"/>
        <w:rPr>
          <w:rFonts w:cs="Times New Roman"/>
          <w:color w:val="000000" w:themeColor="text1"/>
          <w:szCs w:val="24"/>
        </w:rPr>
      </w:pPr>
    </w:p>
    <w:p w14:paraId="42946DD8" w14:textId="77777777" w:rsidR="00055D83" w:rsidRPr="007A56B8" w:rsidRDefault="00055D83" w:rsidP="004737A8">
      <w:pPr>
        <w:spacing w:before="0" w:line="240" w:lineRule="auto"/>
        <w:jc w:val="center"/>
        <w:rPr>
          <w:b/>
          <w:sz w:val="28"/>
        </w:rPr>
      </w:pPr>
      <w:bookmarkStart w:id="0" w:name="_Toc488404692"/>
      <w:bookmarkStart w:id="1" w:name="_Toc102409737"/>
      <w:r w:rsidRPr="007A56B8">
        <w:rPr>
          <w:b/>
          <w:sz w:val="28"/>
        </w:rPr>
        <w:t>ABSTRACT</w:t>
      </w:r>
      <w:bookmarkEnd w:id="0"/>
      <w:bookmarkEnd w:id="1"/>
    </w:p>
    <w:p w14:paraId="397D53FD" w14:textId="526501DD" w:rsidR="00A53CB4" w:rsidRPr="00EA5D93" w:rsidRDefault="00A53CB4" w:rsidP="00EA5D93">
      <w:r w:rsidRPr="00A53CB4">
        <w:rPr>
          <w:rFonts w:cs="Times New Roman"/>
          <w:color w:val="000000" w:themeColor="text1"/>
          <w:szCs w:val="24"/>
        </w:rPr>
        <w:t xml:space="preserve">Women’s financial empowerment </w:t>
      </w:r>
      <w:r w:rsidR="00EA5D93" w:rsidRPr="00EA5D93">
        <w:rPr>
          <w:szCs w:val="24"/>
          <w:highlight w:val="yellow"/>
        </w:rPr>
        <w:t xml:space="preserve">(microcredit, </w:t>
      </w:r>
      <w:proofErr w:type="spellStart"/>
      <w:r w:rsidR="00EA5D93" w:rsidRPr="00EA5D93">
        <w:rPr>
          <w:szCs w:val="24"/>
          <w:highlight w:val="yellow"/>
        </w:rPr>
        <w:t>microsavings</w:t>
      </w:r>
      <w:proofErr w:type="spellEnd"/>
      <w:r w:rsidR="00EA5D93" w:rsidRPr="00EA5D93">
        <w:rPr>
          <w:szCs w:val="24"/>
          <w:highlight w:val="yellow"/>
        </w:rPr>
        <w:t>, BDS, advisory/consultancy)</w:t>
      </w:r>
      <w:r w:rsidR="00EA5D93" w:rsidRPr="00761D6D">
        <w:rPr>
          <w:b/>
          <w:bCs/>
          <w:sz w:val="20"/>
          <w:szCs w:val="20"/>
        </w:rPr>
        <w:t xml:space="preserve"> </w:t>
      </w:r>
      <w:r w:rsidRPr="00A53CB4">
        <w:rPr>
          <w:rFonts w:cs="Times New Roman"/>
          <w:color w:val="000000" w:themeColor="text1"/>
          <w:szCs w:val="24"/>
        </w:rPr>
        <w:t xml:space="preserve">is a vital pillar of sustainable and inclusive development, as women contribute significantly to household welfare, community advancement, and national productivity. Despite the growth of microfinance operations in Kenya, women entrepreneurs in </w:t>
      </w:r>
      <w:proofErr w:type="spellStart"/>
      <w:r w:rsidRPr="00A53CB4">
        <w:rPr>
          <w:rFonts w:cs="Times New Roman"/>
          <w:color w:val="000000" w:themeColor="text1"/>
          <w:szCs w:val="24"/>
        </w:rPr>
        <w:t>Eldama</w:t>
      </w:r>
      <w:proofErr w:type="spellEnd"/>
      <w:r w:rsidRPr="00A53CB4">
        <w:rPr>
          <w:rFonts w:cs="Times New Roman"/>
          <w:color w:val="000000" w:themeColor="text1"/>
          <w:szCs w:val="24"/>
        </w:rPr>
        <w:t xml:space="preserve"> Ravine Sub-County continue to face restricted access to credit, inadequate savings facilities, and limited advisory and business development services. This study examined the effect of microfinance interventions</w:t>
      </w:r>
      <w:r w:rsidR="008D472A">
        <w:rPr>
          <w:rFonts w:cs="Times New Roman"/>
          <w:color w:val="000000" w:themeColor="text1"/>
          <w:szCs w:val="24"/>
        </w:rPr>
        <w:t xml:space="preserve"> </w:t>
      </w:r>
      <w:r w:rsidRPr="00A53CB4">
        <w:rPr>
          <w:rFonts w:cs="Times New Roman"/>
          <w:color w:val="000000" w:themeColor="text1"/>
          <w:szCs w:val="24"/>
        </w:rPr>
        <w:t xml:space="preserve">specifically microcredit, </w:t>
      </w:r>
      <w:proofErr w:type="spellStart"/>
      <w:r w:rsidRPr="00A53CB4">
        <w:rPr>
          <w:rFonts w:cs="Times New Roman"/>
          <w:color w:val="000000" w:themeColor="text1"/>
          <w:szCs w:val="24"/>
        </w:rPr>
        <w:t>microsavings</w:t>
      </w:r>
      <w:proofErr w:type="spellEnd"/>
      <w:r w:rsidRPr="00A53CB4">
        <w:rPr>
          <w:rFonts w:cs="Times New Roman"/>
          <w:color w:val="000000" w:themeColor="text1"/>
          <w:szCs w:val="24"/>
        </w:rPr>
        <w:t>, business development services (BDS), and advisory and consultancy (AC) services</w:t>
      </w:r>
      <w:r w:rsidR="008D472A">
        <w:rPr>
          <w:rFonts w:cs="Times New Roman"/>
          <w:color w:val="000000" w:themeColor="text1"/>
          <w:szCs w:val="24"/>
        </w:rPr>
        <w:t xml:space="preserve"> </w:t>
      </w:r>
      <w:r w:rsidRPr="00A53CB4">
        <w:rPr>
          <w:rFonts w:cs="Times New Roman"/>
          <w:color w:val="000000" w:themeColor="text1"/>
          <w:szCs w:val="24"/>
        </w:rPr>
        <w:t xml:space="preserve">on the financial empowerment of women entrepreneurs in </w:t>
      </w:r>
      <w:proofErr w:type="spellStart"/>
      <w:r w:rsidRPr="00A53CB4">
        <w:rPr>
          <w:rFonts w:cs="Times New Roman"/>
          <w:color w:val="000000" w:themeColor="text1"/>
          <w:szCs w:val="24"/>
        </w:rPr>
        <w:t>Eldama</w:t>
      </w:r>
      <w:proofErr w:type="spellEnd"/>
      <w:r w:rsidRPr="00A53CB4">
        <w:rPr>
          <w:rFonts w:cs="Times New Roman"/>
          <w:color w:val="000000" w:themeColor="text1"/>
          <w:szCs w:val="24"/>
        </w:rPr>
        <w:t xml:space="preserve"> Ravine Sub-County, Baringo County, Kenya. </w:t>
      </w:r>
      <w:r w:rsidR="008E3B0E" w:rsidRPr="00EA5D93">
        <w:rPr>
          <w:rFonts w:cs="Times New Roman"/>
          <w:color w:val="000000" w:themeColor="text1"/>
          <w:szCs w:val="24"/>
          <w:highlight w:val="yellow"/>
        </w:rPr>
        <w:t>The study adopted a survey research design</w:t>
      </w:r>
      <w:r w:rsidR="008E3B0E" w:rsidRPr="00EA5D93">
        <w:rPr>
          <w:highlight w:val="yellow"/>
        </w:rPr>
        <w:t xml:space="preserve">. </w:t>
      </w:r>
      <w:r w:rsidR="008E3B0E" w:rsidRPr="00EA5D93">
        <w:rPr>
          <w:rFonts w:cs="Times New Roman"/>
          <w:color w:val="000000" w:themeColor="text1"/>
          <w:szCs w:val="24"/>
          <w:highlight w:val="yellow"/>
        </w:rPr>
        <w:t>Data were collected using a drop-and-pick method</w:t>
      </w:r>
      <w:r w:rsidR="008E3B0E" w:rsidRPr="00EA5D93">
        <w:rPr>
          <w:highlight w:val="yellow"/>
        </w:rPr>
        <w:t xml:space="preserve">. </w:t>
      </w:r>
      <w:r w:rsidR="008E3B0E" w:rsidRPr="00EA5D93">
        <w:rPr>
          <w:rFonts w:cs="Times New Roman"/>
          <w:color w:val="000000" w:themeColor="text1"/>
          <w:szCs w:val="24"/>
          <w:highlight w:val="yellow"/>
        </w:rPr>
        <w:t>Data analysis involved editing, coding, classification, and tabulation to prepare for statistical evaluation.</w:t>
      </w:r>
      <w:r w:rsidR="008E3B0E" w:rsidRPr="00B21AF4">
        <w:rPr>
          <w:rFonts w:cs="Times New Roman"/>
          <w:color w:val="000000" w:themeColor="text1"/>
          <w:szCs w:val="24"/>
        </w:rPr>
        <w:t xml:space="preserve"> </w:t>
      </w:r>
      <w:r w:rsidRPr="00A53CB4">
        <w:rPr>
          <w:rFonts w:cs="Times New Roman"/>
          <w:color w:val="000000" w:themeColor="text1"/>
          <w:szCs w:val="24"/>
        </w:rPr>
        <w:t xml:space="preserve">Anchored on the Social Learning, Resource-Based, and Financial Systems theories, the study adopted an explanatory research design targeting 735 registered women-owned enterprises. A sample of 144 respondents was determined using Slovin’s formula and selected through stratified random sampling. Data were collected through pre-tested structured questionnaires and analyzed using descriptive and inferential statistics. Diagnostic tests confirmed model adequacy (Durbin–Watson = 2.110; VIF within acceptable range). Results revealed that microcredit (p=0.044), </w:t>
      </w:r>
      <w:proofErr w:type="spellStart"/>
      <w:r w:rsidRPr="00A53CB4">
        <w:rPr>
          <w:rFonts w:cs="Times New Roman"/>
          <w:color w:val="000000" w:themeColor="text1"/>
          <w:szCs w:val="24"/>
        </w:rPr>
        <w:t>microsavings</w:t>
      </w:r>
      <w:proofErr w:type="spellEnd"/>
      <w:r w:rsidRPr="00A53CB4">
        <w:rPr>
          <w:rFonts w:cs="Times New Roman"/>
          <w:color w:val="000000" w:themeColor="text1"/>
          <w:szCs w:val="24"/>
        </w:rPr>
        <w:t xml:space="preserve"> (p=0.018), BDS (p=0.023), and AC services (p&lt;0.001) had significant positive effects on women’s financial empowerment, jointly explaining 51.8% of the variation (R²=0.518). Advisory and consultancy services emerged as the strongest determinant of empowerment. The study concludes that microfinance interventions substantially enhance women’s financial autonomy</w:t>
      </w:r>
      <w:r w:rsidR="00EA5D93">
        <w:rPr>
          <w:rFonts w:cs="Times New Roman"/>
          <w:color w:val="000000" w:themeColor="text1"/>
          <w:szCs w:val="24"/>
        </w:rPr>
        <w:t>.</w:t>
      </w:r>
      <w:r w:rsidRPr="00A53CB4">
        <w:rPr>
          <w:rFonts w:cs="Times New Roman"/>
          <w:color w:val="000000" w:themeColor="text1"/>
          <w:szCs w:val="24"/>
        </w:rPr>
        <w:t xml:space="preserve">  </w:t>
      </w:r>
      <w:r w:rsidR="00EA5D93">
        <w:rPr>
          <w:rFonts w:cs="Times New Roman"/>
          <w:color w:val="000000" w:themeColor="text1"/>
          <w:szCs w:val="24"/>
        </w:rPr>
        <w:t>B</w:t>
      </w:r>
      <w:r w:rsidR="00EA5D93" w:rsidRPr="00A53CB4">
        <w:rPr>
          <w:rFonts w:cs="Times New Roman"/>
          <w:color w:val="000000" w:themeColor="text1"/>
          <w:szCs w:val="24"/>
        </w:rPr>
        <w:t xml:space="preserve">usiness </w:t>
      </w:r>
      <w:r w:rsidRPr="00A53CB4">
        <w:rPr>
          <w:rFonts w:cs="Times New Roman"/>
          <w:color w:val="000000" w:themeColor="text1"/>
          <w:szCs w:val="24"/>
        </w:rPr>
        <w:t>sustainability and recommends the expansion of advisory services, enhanced savings mobilization, and tailored business development programs to strengthen the economic position of rural women entrepreneurs.</w:t>
      </w:r>
      <w:r w:rsidR="008E3B0E">
        <w:rPr>
          <w:rFonts w:cs="Times New Roman"/>
          <w:color w:val="000000" w:themeColor="text1"/>
          <w:szCs w:val="24"/>
        </w:rPr>
        <w:t xml:space="preserve"> </w:t>
      </w:r>
      <w:r w:rsidR="008E3B0E" w:rsidRPr="00EA5D93">
        <w:rPr>
          <w:rFonts w:cs="Times New Roman"/>
          <w:color w:val="000000" w:themeColor="text1"/>
          <w:szCs w:val="24"/>
          <w:highlight w:val="yellow"/>
        </w:rPr>
        <w:t xml:space="preserve">Overall, microfinance has evolved beyond credit </w:t>
      </w:r>
      <w:r w:rsidR="008E3B0E" w:rsidRPr="00EA5D93">
        <w:rPr>
          <w:rFonts w:cs="Times New Roman"/>
          <w:color w:val="000000" w:themeColor="text1"/>
          <w:szCs w:val="24"/>
          <w:highlight w:val="yellow"/>
        </w:rPr>
        <w:lastRenderedPageBreak/>
        <w:t>provision to encompass holistic empowerment tools that enable women to build financial capability, overcome structural barriers, and achieve sustainable entrepreneurial success.</w:t>
      </w:r>
      <w:r w:rsidR="008E3B0E" w:rsidRPr="00E05059">
        <w:rPr>
          <w:rFonts w:cs="Times New Roman"/>
          <w:color w:val="000000" w:themeColor="text1"/>
          <w:szCs w:val="24"/>
        </w:rPr>
        <w:t xml:space="preserve"> </w:t>
      </w:r>
    </w:p>
    <w:p w14:paraId="180BE150" w14:textId="77777777" w:rsidR="00A53CB4" w:rsidRPr="00A53CB4" w:rsidRDefault="00A53CB4" w:rsidP="00A53CB4">
      <w:pPr>
        <w:spacing w:line="240" w:lineRule="auto"/>
        <w:rPr>
          <w:rFonts w:cs="Times New Roman"/>
          <w:color w:val="000000" w:themeColor="text1"/>
          <w:szCs w:val="24"/>
        </w:rPr>
      </w:pPr>
    </w:p>
    <w:p w14:paraId="4AE32A81" w14:textId="2F54815F" w:rsidR="001C35CA" w:rsidRPr="00A53CB4" w:rsidRDefault="00A53CB4" w:rsidP="00A53CB4">
      <w:pPr>
        <w:spacing w:line="240" w:lineRule="auto"/>
        <w:rPr>
          <w:rFonts w:cs="Times New Roman"/>
          <w:i/>
          <w:color w:val="000000" w:themeColor="text1"/>
          <w:szCs w:val="24"/>
        </w:rPr>
      </w:pPr>
      <w:r w:rsidRPr="00A53CB4">
        <w:rPr>
          <w:rFonts w:cs="Times New Roman"/>
          <w:b/>
          <w:color w:val="000000" w:themeColor="text1"/>
          <w:szCs w:val="24"/>
        </w:rPr>
        <w:t>Keywords:</w:t>
      </w:r>
      <w:r w:rsidRPr="00A53CB4">
        <w:rPr>
          <w:rFonts w:cs="Times New Roman"/>
          <w:color w:val="000000" w:themeColor="text1"/>
          <w:szCs w:val="24"/>
        </w:rPr>
        <w:t xml:space="preserve"> </w:t>
      </w:r>
      <w:r w:rsidRPr="00A53CB4">
        <w:rPr>
          <w:rFonts w:cs="Times New Roman"/>
          <w:i/>
          <w:color w:val="000000" w:themeColor="text1"/>
          <w:szCs w:val="24"/>
        </w:rPr>
        <w:t xml:space="preserve">microfinance, financial empowerment, women entrepreneurs, microcredit, </w:t>
      </w:r>
      <w:proofErr w:type="spellStart"/>
      <w:r w:rsidRPr="00A53CB4">
        <w:rPr>
          <w:rFonts w:cs="Times New Roman"/>
          <w:i/>
          <w:color w:val="000000" w:themeColor="text1"/>
          <w:szCs w:val="24"/>
        </w:rPr>
        <w:t>microsavings</w:t>
      </w:r>
      <w:proofErr w:type="spellEnd"/>
      <w:r w:rsidRPr="00A53CB4">
        <w:rPr>
          <w:rFonts w:cs="Times New Roman"/>
          <w:i/>
          <w:color w:val="000000" w:themeColor="text1"/>
          <w:szCs w:val="24"/>
        </w:rPr>
        <w:t xml:space="preserve">, business development services, advisory services, </w:t>
      </w:r>
    </w:p>
    <w:p w14:paraId="07E26CA9" w14:textId="77777777" w:rsidR="001C35CA" w:rsidRPr="001C35CA" w:rsidRDefault="001C35CA" w:rsidP="001C35CA">
      <w:pPr>
        <w:spacing w:line="240" w:lineRule="auto"/>
        <w:rPr>
          <w:rFonts w:cs="Times New Roman"/>
          <w:color w:val="000000" w:themeColor="text1"/>
          <w:szCs w:val="24"/>
        </w:rPr>
      </w:pPr>
    </w:p>
    <w:p w14:paraId="3C2E1B6D" w14:textId="77777777" w:rsidR="00500683" w:rsidRPr="007A56B8" w:rsidRDefault="00500683" w:rsidP="00500683">
      <w:pPr>
        <w:spacing w:line="240" w:lineRule="auto"/>
        <w:rPr>
          <w:rFonts w:cs="Times New Roman"/>
          <w:color w:val="000000" w:themeColor="text1"/>
          <w:szCs w:val="24"/>
        </w:rPr>
      </w:pPr>
    </w:p>
    <w:p w14:paraId="2B23006F" w14:textId="77777777" w:rsidR="00185BCB" w:rsidRPr="007A56B8" w:rsidRDefault="00185BCB" w:rsidP="00185BCB">
      <w:pPr>
        <w:spacing w:line="240" w:lineRule="auto"/>
        <w:rPr>
          <w:rFonts w:cs="Times New Roman"/>
          <w:color w:val="000000" w:themeColor="text1"/>
          <w:szCs w:val="24"/>
        </w:rPr>
      </w:pPr>
    </w:p>
    <w:p w14:paraId="60C890DF" w14:textId="77777777" w:rsidR="00055D83" w:rsidRPr="007A56B8" w:rsidRDefault="00055D83" w:rsidP="00055D83">
      <w:pPr>
        <w:shd w:val="clear" w:color="auto" w:fill="FFFFFF"/>
        <w:spacing w:line="240" w:lineRule="auto"/>
        <w:rPr>
          <w:rFonts w:eastAsia="Times New Roman" w:cs="Times New Roman"/>
          <w:b/>
          <w:bCs/>
          <w:color w:val="000000" w:themeColor="text1"/>
          <w:sz w:val="28"/>
          <w:szCs w:val="28"/>
        </w:rPr>
      </w:pPr>
      <w:r w:rsidRPr="007A56B8">
        <w:rPr>
          <w:rFonts w:eastAsia="Times New Roman" w:cs="Times New Roman"/>
          <w:b/>
          <w:bCs/>
          <w:color w:val="000000" w:themeColor="text1"/>
          <w:sz w:val="28"/>
          <w:szCs w:val="28"/>
        </w:rPr>
        <w:t>1.0 INTRODUCTION</w:t>
      </w:r>
    </w:p>
    <w:p w14:paraId="65B8AAD8" w14:textId="27923A18" w:rsidR="00717F18" w:rsidRPr="00EA5D93" w:rsidRDefault="00717F18" w:rsidP="00EA5D93">
      <w:pPr>
        <w:pStyle w:val="NormalWeb"/>
        <w:spacing w:before="0"/>
        <w:ind w:left="720" w:hanging="720"/>
        <w:rPr>
          <w:color w:val="000000"/>
        </w:rPr>
      </w:pPr>
      <w:r w:rsidRPr="00717F18">
        <w:rPr>
          <w:color w:val="000000" w:themeColor="text1"/>
        </w:rPr>
        <w:t xml:space="preserve">Financial empowerment of women remains central to the global agenda for inclusive and sustainable development. </w:t>
      </w:r>
      <w:r w:rsidR="004F1815" w:rsidRPr="00EA5D93">
        <w:rPr>
          <w:highlight w:val="yellow"/>
        </w:rPr>
        <w:t xml:space="preserve">Women's economic empowerment has emerged as a critical tactic in an age distinguished by continued attempts to eradicate global poverty and promote equitable development. </w:t>
      </w:r>
      <w:proofErr w:type="spellStart"/>
      <w:r w:rsidR="004F1815" w:rsidRPr="00EA5D93">
        <w:rPr>
          <w:highlight w:val="yellow"/>
        </w:rPr>
        <w:t>Programmes</w:t>
      </w:r>
      <w:proofErr w:type="spellEnd"/>
      <w:r w:rsidR="004F1815" w:rsidRPr="00EA5D93">
        <w:rPr>
          <w:highlight w:val="yellow"/>
        </w:rPr>
        <w:t xml:space="preserve"> aimed at increasing women's economic empowerment have garnered attention and support across the globe as a powerful driver for poverty reduction and long-term progress </w:t>
      </w:r>
      <w:r w:rsidR="004F1815" w:rsidRPr="00EA5D93">
        <w:rPr>
          <w:rFonts w:eastAsia="Calibri" w:cs="SimSun"/>
          <w:color w:val="000000"/>
          <w:szCs w:val="22"/>
          <w:highlight w:val="yellow"/>
          <w14:ligatures w14:val="standardContextual"/>
        </w:rPr>
        <w:t xml:space="preserve">(Kandie </w:t>
      </w:r>
      <w:r w:rsidR="004F1815" w:rsidRPr="00EA5D93">
        <w:rPr>
          <w:rFonts w:eastAsia="Calibri" w:cs="SimSun"/>
          <w:i/>
          <w:iCs/>
          <w:color w:val="000000"/>
          <w:szCs w:val="22"/>
          <w:highlight w:val="yellow"/>
          <w14:ligatures w14:val="standardContextual"/>
        </w:rPr>
        <w:t>et al</w:t>
      </w:r>
      <w:r w:rsidR="004F1815" w:rsidRPr="00EA5D93">
        <w:rPr>
          <w:rFonts w:eastAsia="Calibri" w:cs="SimSun"/>
          <w:color w:val="000000"/>
          <w:szCs w:val="22"/>
          <w:highlight w:val="yellow"/>
          <w14:ligatures w14:val="standardContextual"/>
        </w:rPr>
        <w:t>., 2023</w:t>
      </w:r>
      <w:r w:rsidR="00387D7D">
        <w:rPr>
          <w:highlight w:val="yellow"/>
        </w:rPr>
        <w:t xml:space="preserve">; </w:t>
      </w:r>
      <w:r w:rsidR="00387D7D" w:rsidRPr="00EA5D93">
        <w:rPr>
          <w:rFonts w:eastAsia="Calibri" w:cs="SimSun"/>
          <w:color w:val="000000"/>
          <w:szCs w:val="22"/>
          <w:highlight w:val="yellow"/>
          <w14:ligatures w14:val="standardContextual"/>
        </w:rPr>
        <w:t>Muhia &amp; Mwenda, 2021</w:t>
      </w:r>
      <w:r w:rsidR="004F1815" w:rsidRPr="00EA5D93">
        <w:rPr>
          <w:rFonts w:eastAsia="Calibri" w:cs="SimSun"/>
          <w:color w:val="000000"/>
          <w:szCs w:val="22"/>
          <w:highlight w:val="yellow"/>
          <w14:ligatures w14:val="standardContextual"/>
        </w:rPr>
        <w:t>)</w:t>
      </w:r>
      <w:r w:rsidR="004F1815" w:rsidRPr="00EA5D93">
        <w:rPr>
          <w:highlight w:val="yellow"/>
        </w:rPr>
        <w:t>.</w:t>
      </w:r>
      <w:r w:rsidR="004F1815">
        <w:t xml:space="preserve"> </w:t>
      </w:r>
      <w:r w:rsidRPr="00717F18">
        <w:rPr>
          <w:color w:val="000000" w:themeColor="text1"/>
        </w:rPr>
        <w:t>According to the World Bank (2023), empowering women economically enhances household welfare, promotes equitable income distribution, and drives national growth. Women constitute nearly half of the world’s population and are integral to business and productivity (UN Women, 2022). However, in developing countries, structural constraints such as limited access to credit, low resource ownership, and restrictive cultural norms continue to impede women’s participation in entrepreneurship (Kabeer &amp; Natali, 2021). Consequently, global initiatives such as the United Nations Sustainable Development Goal 5 emphasize gender equality and women’s economic empowerment through inclusive financial systems and e</w:t>
      </w:r>
      <w:r w:rsidR="008D472A">
        <w:rPr>
          <w:color w:val="000000" w:themeColor="text1"/>
        </w:rPr>
        <w:t>nterprise support (UNDP, 2022).</w:t>
      </w:r>
    </w:p>
    <w:p w14:paraId="3DF5F099" w14:textId="325D99C4" w:rsidR="00717F18" w:rsidRPr="00717F18" w:rsidRDefault="00717F18" w:rsidP="00717F18">
      <w:pPr>
        <w:shd w:val="clear" w:color="auto" w:fill="FFFFFF"/>
        <w:spacing w:line="240" w:lineRule="auto"/>
        <w:rPr>
          <w:rFonts w:cs="Times New Roman"/>
          <w:color w:val="000000" w:themeColor="text1"/>
          <w:szCs w:val="24"/>
        </w:rPr>
      </w:pPr>
      <w:r w:rsidRPr="00717F18">
        <w:rPr>
          <w:rFonts w:cs="Times New Roman"/>
          <w:color w:val="000000" w:themeColor="text1"/>
          <w:szCs w:val="24"/>
        </w:rPr>
        <w:t xml:space="preserve">Across Africa, microfinance has emerged as a strategic instrument for enhancing women’s economic inclusion. Empirical evidence from Ethiopia, Nigeria, and Tanzania indicates that micro-credit, micro-savings, and business development services significantly improve women’s income, autonomy, and decision-making capacity (Abebe &amp; </w:t>
      </w:r>
      <w:proofErr w:type="spellStart"/>
      <w:r w:rsidRPr="00717F18">
        <w:rPr>
          <w:rFonts w:cs="Times New Roman"/>
          <w:color w:val="000000" w:themeColor="text1"/>
          <w:szCs w:val="24"/>
        </w:rPr>
        <w:t>Kegne</w:t>
      </w:r>
      <w:proofErr w:type="spellEnd"/>
      <w:r w:rsidRPr="00717F18">
        <w:rPr>
          <w:rFonts w:cs="Times New Roman"/>
          <w:color w:val="000000" w:themeColor="text1"/>
          <w:szCs w:val="24"/>
        </w:rPr>
        <w:t xml:space="preserve">, 2023; Akpan &amp; Udo, 2022; </w:t>
      </w:r>
      <w:proofErr w:type="spellStart"/>
      <w:r w:rsidRPr="00717F18">
        <w:rPr>
          <w:rFonts w:cs="Times New Roman"/>
          <w:color w:val="000000" w:themeColor="text1"/>
          <w:szCs w:val="24"/>
        </w:rPr>
        <w:t>Mengstie</w:t>
      </w:r>
      <w:proofErr w:type="spellEnd"/>
      <w:r w:rsidRPr="00717F18">
        <w:rPr>
          <w:rFonts w:cs="Times New Roman"/>
          <w:color w:val="000000" w:themeColor="text1"/>
          <w:szCs w:val="24"/>
        </w:rPr>
        <w:t>, 2022). Microfinance institutions (MFIs) offer credit and savings services without collateral</w:t>
      </w:r>
      <w:r w:rsidR="008D472A">
        <w:rPr>
          <w:rFonts w:cs="Times New Roman"/>
          <w:color w:val="000000" w:themeColor="text1"/>
          <w:szCs w:val="24"/>
        </w:rPr>
        <w:t xml:space="preserve"> </w:t>
      </w:r>
      <w:r w:rsidRPr="00717F18">
        <w:rPr>
          <w:rFonts w:cs="Times New Roman"/>
          <w:color w:val="000000" w:themeColor="text1"/>
          <w:szCs w:val="24"/>
        </w:rPr>
        <w:t>unlike conventional banks</w:t>
      </w:r>
      <w:r w:rsidR="008D472A">
        <w:rPr>
          <w:rFonts w:cs="Times New Roman"/>
          <w:color w:val="000000" w:themeColor="text1"/>
          <w:szCs w:val="24"/>
        </w:rPr>
        <w:t xml:space="preserve"> </w:t>
      </w:r>
      <w:r w:rsidRPr="00717F18">
        <w:rPr>
          <w:rFonts w:cs="Times New Roman"/>
          <w:color w:val="000000" w:themeColor="text1"/>
          <w:szCs w:val="24"/>
        </w:rPr>
        <w:t xml:space="preserve">thereby expanding access to capital for women entrepreneurs. </w:t>
      </w:r>
      <w:r w:rsidR="00387D7D" w:rsidRPr="00EA5D93">
        <w:rPr>
          <w:rFonts w:ascii="Helvetica" w:hAnsi="Helvetica" w:cs="Helvetica"/>
          <w:color w:val="29313D"/>
          <w:sz w:val="22"/>
          <w:highlight w:val="yellow"/>
        </w:rPr>
        <w:t xml:space="preserve">Microfinancing has been targeted as a tool to address Poverty through the provision of credit to the poor and </w:t>
      </w:r>
      <w:proofErr w:type="spellStart"/>
      <w:r w:rsidR="00387D7D" w:rsidRPr="00EA5D93">
        <w:rPr>
          <w:rFonts w:ascii="Helvetica" w:hAnsi="Helvetica" w:cs="Helvetica"/>
          <w:color w:val="29313D"/>
          <w:sz w:val="22"/>
          <w:highlight w:val="yellow"/>
        </w:rPr>
        <w:t>marginalised</w:t>
      </w:r>
      <w:proofErr w:type="spellEnd"/>
      <w:r w:rsidR="00387D7D" w:rsidRPr="00EA5D93">
        <w:rPr>
          <w:rFonts w:ascii="Helvetica" w:hAnsi="Helvetica" w:cs="Helvetica"/>
          <w:color w:val="29313D"/>
          <w:sz w:val="22"/>
          <w:highlight w:val="yellow"/>
        </w:rPr>
        <w:t xml:space="preserve"> economic functions. However, the main objective upon which these institutions are founded is yet to manifest primarily in developing economies (</w:t>
      </w:r>
      <w:proofErr w:type="spellStart"/>
      <w:r w:rsidR="00387D7D" w:rsidRPr="00EA5D93">
        <w:rPr>
          <w:rFonts w:ascii="Helvetica" w:hAnsi="Helvetica" w:cs="Helvetica"/>
          <w:color w:val="172B4D"/>
          <w:sz w:val="19"/>
          <w:szCs w:val="19"/>
          <w:highlight w:val="yellow"/>
          <w:shd w:val="clear" w:color="auto" w:fill="FFFFFF"/>
        </w:rPr>
        <w:t>Chikwira</w:t>
      </w:r>
      <w:proofErr w:type="spellEnd"/>
      <w:r w:rsidR="00387D7D" w:rsidRPr="00EA5D93">
        <w:rPr>
          <w:rFonts w:ascii="Helvetica" w:hAnsi="Helvetica" w:cs="Helvetica"/>
          <w:color w:val="172B4D"/>
          <w:sz w:val="19"/>
          <w:szCs w:val="19"/>
          <w:highlight w:val="yellow"/>
          <w:shd w:val="clear" w:color="auto" w:fill="FFFFFF"/>
        </w:rPr>
        <w:t xml:space="preserve"> et al., 2022)</w:t>
      </w:r>
      <w:r w:rsidR="00387D7D" w:rsidRPr="00EA5D93">
        <w:rPr>
          <w:rFonts w:ascii="Helvetica" w:hAnsi="Helvetica" w:cs="Helvetica"/>
          <w:color w:val="29313D"/>
          <w:sz w:val="22"/>
          <w:highlight w:val="yellow"/>
        </w:rPr>
        <w:t>.</w:t>
      </w:r>
      <w:r w:rsidR="00387D7D">
        <w:rPr>
          <w:rFonts w:ascii="Helvetica" w:hAnsi="Helvetica" w:cs="Helvetica"/>
          <w:color w:val="29313D"/>
          <w:sz w:val="22"/>
        </w:rPr>
        <w:t> </w:t>
      </w:r>
      <w:r w:rsidRPr="00717F18">
        <w:rPr>
          <w:rFonts w:cs="Times New Roman"/>
          <w:color w:val="000000" w:themeColor="text1"/>
          <w:szCs w:val="24"/>
        </w:rPr>
        <w:t>Many MFIs further integrate training, consultancy, and advisory services to strengthen women’s entrepreneurial skills and business sustainabilit</w:t>
      </w:r>
      <w:r w:rsidR="008D472A">
        <w:rPr>
          <w:rFonts w:cs="Times New Roman"/>
          <w:color w:val="000000" w:themeColor="text1"/>
          <w:szCs w:val="24"/>
        </w:rPr>
        <w:t>y (World Economic Forum, 2023).</w:t>
      </w:r>
    </w:p>
    <w:p w14:paraId="109EE883" w14:textId="08D17DE5" w:rsidR="00717F18" w:rsidRPr="00717F18" w:rsidRDefault="00717F18" w:rsidP="00717F18">
      <w:pPr>
        <w:shd w:val="clear" w:color="auto" w:fill="FFFFFF"/>
        <w:spacing w:line="240" w:lineRule="auto"/>
        <w:rPr>
          <w:rFonts w:cs="Times New Roman"/>
          <w:color w:val="000000" w:themeColor="text1"/>
          <w:szCs w:val="24"/>
        </w:rPr>
      </w:pPr>
      <w:r w:rsidRPr="00717F18">
        <w:rPr>
          <w:rFonts w:cs="Times New Roman"/>
          <w:color w:val="000000" w:themeColor="text1"/>
          <w:szCs w:val="24"/>
        </w:rPr>
        <w:t>In Kenya, microfinance has become a key driver of women’s entrepreneurship, especially in the informal sector, which contributes approximately 33% of the national GDP (KNBS, 2023). Nonetheless, challenges such as inadequate collateral, limited financial literacy, and socio-cultural restrictions hinder many women entrepreneurs from maximizing their business potential (</w:t>
      </w:r>
      <w:proofErr w:type="spellStart"/>
      <w:r w:rsidRPr="00717F18">
        <w:rPr>
          <w:rFonts w:cs="Times New Roman"/>
          <w:color w:val="000000" w:themeColor="text1"/>
          <w:szCs w:val="24"/>
        </w:rPr>
        <w:t>Riro</w:t>
      </w:r>
      <w:proofErr w:type="spellEnd"/>
      <w:r w:rsidRPr="00717F18">
        <w:rPr>
          <w:rFonts w:cs="Times New Roman"/>
          <w:color w:val="000000" w:themeColor="text1"/>
          <w:szCs w:val="24"/>
        </w:rPr>
        <w:t>, Musau &amp; Njoka, 2024). Studies show that microfinance interventions, when combined with business training and capacity-building programs, have significantly boosted financial empowerment among women (</w:t>
      </w:r>
      <w:proofErr w:type="spellStart"/>
      <w:r w:rsidRPr="00717F18">
        <w:rPr>
          <w:rFonts w:cs="Times New Roman"/>
          <w:color w:val="000000" w:themeColor="text1"/>
          <w:szCs w:val="24"/>
        </w:rPr>
        <w:t>Odunga</w:t>
      </w:r>
      <w:proofErr w:type="spellEnd"/>
      <w:r w:rsidRPr="00717F18">
        <w:rPr>
          <w:rFonts w:cs="Times New Roman"/>
          <w:color w:val="000000" w:themeColor="text1"/>
          <w:szCs w:val="24"/>
        </w:rPr>
        <w:t>, 2024). Despite this, disparities persist, particularly in rural and semi-urban regions like Baringo County, where women face limited access to structured and sus</w:t>
      </w:r>
      <w:r w:rsidR="008D472A">
        <w:rPr>
          <w:rFonts w:cs="Times New Roman"/>
          <w:color w:val="000000" w:themeColor="text1"/>
          <w:szCs w:val="24"/>
        </w:rPr>
        <w:t>tainable microfinance services.</w:t>
      </w:r>
    </w:p>
    <w:p w14:paraId="37C06F20" w14:textId="74D92021" w:rsidR="00717F18" w:rsidRPr="00717F18" w:rsidRDefault="00717F18" w:rsidP="00717F18">
      <w:pPr>
        <w:shd w:val="clear" w:color="auto" w:fill="FFFFFF"/>
        <w:spacing w:line="240" w:lineRule="auto"/>
        <w:rPr>
          <w:rFonts w:cs="Times New Roman"/>
          <w:color w:val="000000" w:themeColor="text1"/>
          <w:szCs w:val="24"/>
        </w:rPr>
      </w:pPr>
      <w:proofErr w:type="spellStart"/>
      <w:r w:rsidRPr="00717F18">
        <w:rPr>
          <w:rFonts w:cs="Times New Roman"/>
          <w:color w:val="000000" w:themeColor="text1"/>
          <w:szCs w:val="24"/>
        </w:rPr>
        <w:lastRenderedPageBreak/>
        <w:t>Eldama</w:t>
      </w:r>
      <w:proofErr w:type="spellEnd"/>
      <w:r w:rsidRPr="00717F18">
        <w:rPr>
          <w:rFonts w:cs="Times New Roman"/>
          <w:color w:val="000000" w:themeColor="text1"/>
          <w:szCs w:val="24"/>
        </w:rPr>
        <w:t xml:space="preserve"> Ravine Sub-County in Baringo County provides a critical setting to examine the link between microfinance and women’s empowerment. The area hosts numerous women engaged in small-scale enterprises, agribusiness, and service ventures. However, many continue to face funding gaps, inadequate business advisory support, and weak financial management practices (Baringo County Government, 2023). Several institutions, including </w:t>
      </w:r>
      <w:proofErr w:type="spellStart"/>
      <w:r w:rsidRPr="00717F18">
        <w:rPr>
          <w:rFonts w:cs="Times New Roman"/>
          <w:color w:val="000000" w:themeColor="text1"/>
          <w:szCs w:val="24"/>
        </w:rPr>
        <w:t>Faulu</w:t>
      </w:r>
      <w:proofErr w:type="spellEnd"/>
      <w:r w:rsidRPr="00717F18">
        <w:rPr>
          <w:rFonts w:cs="Times New Roman"/>
          <w:color w:val="000000" w:themeColor="text1"/>
          <w:szCs w:val="24"/>
        </w:rPr>
        <w:t xml:space="preserve"> Kenya, Kenya Women Finance Trust (KWFT), and local SACCOs, have introduced microfinance programs in the region. Yet, little empirical evidence exists regarding their actual impact on women’s financial empowerment. Given its semi-urban setting with distinct socio-economic characteristics, </w:t>
      </w:r>
      <w:proofErr w:type="spellStart"/>
      <w:r w:rsidRPr="00717F18">
        <w:rPr>
          <w:rFonts w:cs="Times New Roman"/>
          <w:color w:val="000000" w:themeColor="text1"/>
          <w:szCs w:val="24"/>
        </w:rPr>
        <w:t>Eldama</w:t>
      </w:r>
      <w:proofErr w:type="spellEnd"/>
      <w:r w:rsidRPr="00717F18">
        <w:rPr>
          <w:rFonts w:cs="Times New Roman"/>
          <w:color w:val="000000" w:themeColor="text1"/>
          <w:szCs w:val="24"/>
        </w:rPr>
        <w:t xml:space="preserve"> Ravine offers a valuable context for assessing how microfinance interventions influence wo</w:t>
      </w:r>
      <w:r w:rsidR="008D472A">
        <w:rPr>
          <w:rFonts w:cs="Times New Roman"/>
          <w:color w:val="000000" w:themeColor="text1"/>
          <w:szCs w:val="24"/>
        </w:rPr>
        <w:t>men’s entrepreneurial outcomes.</w:t>
      </w:r>
    </w:p>
    <w:p w14:paraId="374687F5" w14:textId="15995BDC" w:rsidR="00717F18" w:rsidRPr="00717F18" w:rsidRDefault="00717F18" w:rsidP="00717F18">
      <w:pPr>
        <w:shd w:val="clear" w:color="auto" w:fill="FFFFFF"/>
        <w:spacing w:line="240" w:lineRule="auto"/>
        <w:rPr>
          <w:rFonts w:cs="Times New Roman"/>
          <w:color w:val="000000" w:themeColor="text1"/>
          <w:szCs w:val="24"/>
        </w:rPr>
      </w:pPr>
      <w:r w:rsidRPr="00717F18">
        <w:rPr>
          <w:rFonts w:cs="Times New Roman"/>
          <w:color w:val="000000" w:themeColor="text1"/>
          <w:szCs w:val="24"/>
        </w:rPr>
        <w:t>This study aims to bridge this gap by investigating the effect of microfinance interventions</w:t>
      </w:r>
      <w:r w:rsidR="008D472A">
        <w:rPr>
          <w:rFonts w:cs="Times New Roman"/>
          <w:color w:val="000000" w:themeColor="text1"/>
          <w:szCs w:val="24"/>
        </w:rPr>
        <w:t xml:space="preserve"> </w:t>
      </w:r>
      <w:r w:rsidRPr="00717F18">
        <w:rPr>
          <w:rFonts w:cs="Times New Roman"/>
          <w:color w:val="000000" w:themeColor="text1"/>
          <w:szCs w:val="24"/>
        </w:rPr>
        <w:t>specifically micro-credit, micro-savings, business development services (BDS), and advisory and consultancy (AC) services</w:t>
      </w:r>
      <w:r w:rsidR="008D472A">
        <w:rPr>
          <w:rFonts w:cs="Times New Roman"/>
          <w:color w:val="000000" w:themeColor="text1"/>
          <w:szCs w:val="24"/>
        </w:rPr>
        <w:t xml:space="preserve"> </w:t>
      </w:r>
      <w:r w:rsidRPr="00717F18">
        <w:rPr>
          <w:rFonts w:cs="Times New Roman"/>
          <w:color w:val="000000" w:themeColor="text1"/>
          <w:szCs w:val="24"/>
        </w:rPr>
        <w:t xml:space="preserve">on the financial empowerment of women entrepreneurs in </w:t>
      </w:r>
      <w:proofErr w:type="spellStart"/>
      <w:r w:rsidRPr="00717F18">
        <w:rPr>
          <w:rFonts w:cs="Times New Roman"/>
          <w:color w:val="000000" w:themeColor="text1"/>
          <w:szCs w:val="24"/>
        </w:rPr>
        <w:t>Eldama</w:t>
      </w:r>
      <w:proofErr w:type="spellEnd"/>
      <w:r w:rsidRPr="00717F18">
        <w:rPr>
          <w:rFonts w:cs="Times New Roman"/>
          <w:color w:val="000000" w:themeColor="text1"/>
          <w:szCs w:val="24"/>
        </w:rPr>
        <w:t xml:space="preserve"> Ravine Sub-County. The research draws on the Resource-Based Theory, Social Learning Theory, and the Financial Systems Model to explain how both financial and non-financial services contribute to entrepreneurial capacity and empowerment. Theoretically, the study will deepen understanding of how microfinance components interact to strengthen women’s economic positions. Practically, it will inform policymakers, MFIs, and development partners on designing gender-sensitive financial programs aligned with Kenya’s Vision 2030 and the</w:t>
      </w:r>
      <w:r w:rsidR="008D472A">
        <w:rPr>
          <w:rFonts w:cs="Times New Roman"/>
          <w:color w:val="000000" w:themeColor="text1"/>
          <w:szCs w:val="24"/>
        </w:rPr>
        <w:t xml:space="preserve"> Sustainable Development Goals.</w:t>
      </w:r>
    </w:p>
    <w:p w14:paraId="05C51FBC" w14:textId="6A52061D" w:rsidR="00717F18" w:rsidRPr="00717F18" w:rsidRDefault="00717F18" w:rsidP="00717F18">
      <w:pPr>
        <w:shd w:val="clear" w:color="auto" w:fill="FFFFFF"/>
        <w:spacing w:line="240" w:lineRule="auto"/>
        <w:rPr>
          <w:rFonts w:cs="Times New Roman"/>
          <w:color w:val="000000" w:themeColor="text1"/>
          <w:szCs w:val="24"/>
        </w:rPr>
      </w:pPr>
      <w:r w:rsidRPr="00717F18">
        <w:rPr>
          <w:rFonts w:cs="Times New Roman"/>
          <w:color w:val="000000" w:themeColor="text1"/>
          <w:szCs w:val="24"/>
        </w:rPr>
        <w:t xml:space="preserve">Economic empowerment extends beyond income generation to include access to resources, decision-making autonomy, property ownership, and participation in economic and social processes (Shettar, 2020). For women, it entails greater control over household spending, savings, and investment decisions, as well as a stronger voice in community development (World Bank, 2022). In </w:t>
      </w:r>
      <w:proofErr w:type="spellStart"/>
      <w:r w:rsidRPr="00717F18">
        <w:rPr>
          <w:rFonts w:cs="Times New Roman"/>
          <w:color w:val="000000" w:themeColor="text1"/>
          <w:szCs w:val="24"/>
        </w:rPr>
        <w:t>Eldama</w:t>
      </w:r>
      <w:proofErr w:type="spellEnd"/>
      <w:r w:rsidRPr="00717F18">
        <w:rPr>
          <w:rFonts w:cs="Times New Roman"/>
          <w:color w:val="000000" w:themeColor="text1"/>
          <w:szCs w:val="24"/>
        </w:rPr>
        <w:t xml:space="preserve"> Ravine, women entrepreneurs are vital in sustaining household livelihoods through diverse enterprises, yet their growth remains limited by credit constraints, poor savings culture, and minimal access to business developm</w:t>
      </w:r>
      <w:r w:rsidR="008D472A">
        <w:rPr>
          <w:rFonts w:cs="Times New Roman"/>
          <w:color w:val="000000" w:themeColor="text1"/>
          <w:szCs w:val="24"/>
        </w:rPr>
        <w:t>ent support (</w:t>
      </w:r>
      <w:proofErr w:type="spellStart"/>
      <w:r w:rsidR="008D472A">
        <w:rPr>
          <w:rFonts w:cs="Times New Roman"/>
          <w:color w:val="000000" w:themeColor="text1"/>
          <w:szCs w:val="24"/>
        </w:rPr>
        <w:t>Kamberidou</w:t>
      </w:r>
      <w:proofErr w:type="spellEnd"/>
      <w:r w:rsidR="008D472A">
        <w:rPr>
          <w:rFonts w:cs="Times New Roman"/>
          <w:color w:val="000000" w:themeColor="text1"/>
          <w:szCs w:val="24"/>
        </w:rPr>
        <w:t>, 2020).</w:t>
      </w:r>
    </w:p>
    <w:p w14:paraId="3B1C13B9" w14:textId="1FC589CB" w:rsidR="00717F18" w:rsidRPr="00717F18" w:rsidRDefault="00717F18" w:rsidP="00717F18">
      <w:pPr>
        <w:shd w:val="clear" w:color="auto" w:fill="FFFFFF"/>
        <w:spacing w:line="240" w:lineRule="auto"/>
        <w:rPr>
          <w:rFonts w:cs="Times New Roman"/>
          <w:color w:val="000000" w:themeColor="text1"/>
          <w:szCs w:val="24"/>
        </w:rPr>
      </w:pPr>
      <w:r w:rsidRPr="00717F18">
        <w:rPr>
          <w:rFonts w:cs="Times New Roman"/>
          <w:color w:val="000000" w:themeColor="text1"/>
          <w:szCs w:val="24"/>
        </w:rPr>
        <w:t>Empirical research affirms that access to microfinance</w:t>
      </w:r>
      <w:r w:rsidR="008D472A">
        <w:rPr>
          <w:rFonts w:cs="Times New Roman"/>
          <w:color w:val="000000" w:themeColor="text1"/>
          <w:szCs w:val="24"/>
        </w:rPr>
        <w:t xml:space="preserve"> </w:t>
      </w:r>
      <w:r w:rsidRPr="00717F18">
        <w:rPr>
          <w:rFonts w:cs="Times New Roman"/>
          <w:color w:val="000000" w:themeColor="text1"/>
          <w:szCs w:val="24"/>
        </w:rPr>
        <w:t xml:space="preserve">microcredit, </w:t>
      </w:r>
      <w:proofErr w:type="spellStart"/>
      <w:r w:rsidRPr="00717F18">
        <w:rPr>
          <w:rFonts w:cs="Times New Roman"/>
          <w:color w:val="000000" w:themeColor="text1"/>
          <w:szCs w:val="24"/>
        </w:rPr>
        <w:t>microsavings</w:t>
      </w:r>
      <w:proofErr w:type="spellEnd"/>
      <w:r w:rsidRPr="00717F18">
        <w:rPr>
          <w:rFonts w:cs="Times New Roman"/>
          <w:color w:val="000000" w:themeColor="text1"/>
          <w:szCs w:val="24"/>
        </w:rPr>
        <w:t>, and supportive non-financial services</w:t>
      </w:r>
      <w:r w:rsidR="008D472A">
        <w:rPr>
          <w:rFonts w:cs="Times New Roman"/>
          <w:color w:val="000000" w:themeColor="text1"/>
          <w:szCs w:val="24"/>
        </w:rPr>
        <w:t xml:space="preserve"> </w:t>
      </w:r>
      <w:r w:rsidRPr="00717F18">
        <w:rPr>
          <w:rFonts w:cs="Times New Roman"/>
          <w:color w:val="000000" w:themeColor="text1"/>
          <w:szCs w:val="24"/>
        </w:rPr>
        <w:t>plays a transformative role in women’s financial empowerment (</w:t>
      </w:r>
      <w:proofErr w:type="spellStart"/>
      <w:r w:rsidRPr="00717F18">
        <w:rPr>
          <w:rFonts w:cs="Times New Roman"/>
          <w:color w:val="000000" w:themeColor="text1"/>
          <w:szCs w:val="24"/>
        </w:rPr>
        <w:t>Mwalasha</w:t>
      </w:r>
      <w:proofErr w:type="spellEnd"/>
      <w:r w:rsidRPr="00717F18">
        <w:rPr>
          <w:rFonts w:cs="Times New Roman"/>
          <w:color w:val="000000" w:themeColor="text1"/>
          <w:szCs w:val="24"/>
        </w:rPr>
        <w:t>, 2021; Mokhtar &amp; Abdullah, 2020). These interventions enable women to accumulate assets, manage finances effectively, and invest in productive ventures. Complementary training and advisory services enhance managerial competence, innovation, and profitability. As financial independence rises, women gain greater control over household resources, support children’s education and healthcare, and participate actively in community leader</w:t>
      </w:r>
      <w:r w:rsidR="008D472A">
        <w:rPr>
          <w:rFonts w:cs="Times New Roman"/>
          <w:color w:val="000000" w:themeColor="text1"/>
          <w:szCs w:val="24"/>
        </w:rPr>
        <w:t>ship (Omondi &amp; Muriithi, 2022).</w:t>
      </w:r>
    </w:p>
    <w:p w14:paraId="408A58F9" w14:textId="711EECFF" w:rsidR="00416E73" w:rsidRDefault="00717F18" w:rsidP="00717F18">
      <w:pPr>
        <w:shd w:val="clear" w:color="auto" w:fill="FFFFFF"/>
        <w:spacing w:line="240" w:lineRule="auto"/>
        <w:rPr>
          <w:rFonts w:cs="Times New Roman"/>
          <w:color w:val="000000" w:themeColor="text1"/>
          <w:szCs w:val="24"/>
        </w:rPr>
      </w:pPr>
      <w:r w:rsidRPr="00717F18">
        <w:rPr>
          <w:rFonts w:cs="Times New Roman"/>
          <w:color w:val="000000" w:themeColor="text1"/>
          <w:szCs w:val="24"/>
        </w:rPr>
        <w:t>Beyond economic outcomes, women’s empowerment fosters social transformation. Financially independent women challenge traditional gender roles, participate in local governance, and advocate for equitable access to resources (Bahadur &amp; Bhandari, 2021). However, sustainable empowerment requires more than financial access</w:t>
      </w:r>
      <w:r w:rsidR="008D472A">
        <w:rPr>
          <w:rFonts w:cs="Times New Roman"/>
          <w:color w:val="000000" w:themeColor="text1"/>
          <w:szCs w:val="24"/>
        </w:rPr>
        <w:t xml:space="preserve"> </w:t>
      </w:r>
      <w:r w:rsidRPr="00717F18">
        <w:rPr>
          <w:rFonts w:cs="Times New Roman"/>
          <w:color w:val="000000" w:themeColor="text1"/>
          <w:szCs w:val="24"/>
        </w:rPr>
        <w:t>it demands supportive institutional frameworks, gender-responsive policy design, a</w:t>
      </w:r>
      <w:r>
        <w:rPr>
          <w:rFonts w:cs="Times New Roman"/>
          <w:color w:val="000000" w:themeColor="text1"/>
          <w:szCs w:val="24"/>
        </w:rPr>
        <w:t>nd continuous capacity building</w:t>
      </w:r>
      <w:r w:rsidRPr="00717F18">
        <w:rPr>
          <w:rFonts w:cs="Times New Roman"/>
          <w:color w:val="000000" w:themeColor="text1"/>
          <w:szCs w:val="24"/>
        </w:rPr>
        <w:t xml:space="preserve">, this study conceptualizes financial empowerment as a dynamic process shaped by access to microfinance interventions and mediated by social and institutional contexts. By focusing on women entrepreneurs in </w:t>
      </w:r>
      <w:proofErr w:type="spellStart"/>
      <w:r w:rsidRPr="00717F18">
        <w:rPr>
          <w:rFonts w:cs="Times New Roman"/>
          <w:color w:val="000000" w:themeColor="text1"/>
          <w:szCs w:val="24"/>
        </w:rPr>
        <w:t>Eldama</w:t>
      </w:r>
      <w:proofErr w:type="spellEnd"/>
      <w:r w:rsidRPr="00717F18">
        <w:rPr>
          <w:rFonts w:cs="Times New Roman"/>
          <w:color w:val="000000" w:themeColor="text1"/>
          <w:szCs w:val="24"/>
        </w:rPr>
        <w:t xml:space="preserve"> Ravine, it aims to highlight both the opportunities and challenges of financial empowerment in rural Kenya and provide evidence to guide inclusive, sustainable, and gender-responsive economic development.</w:t>
      </w:r>
    </w:p>
    <w:p w14:paraId="712A0E46" w14:textId="2F68B4C5" w:rsidR="00717F18" w:rsidRPr="00717F18" w:rsidRDefault="00717F18" w:rsidP="00717F18">
      <w:pPr>
        <w:shd w:val="clear" w:color="auto" w:fill="FFFFFF"/>
        <w:spacing w:line="240" w:lineRule="auto"/>
        <w:rPr>
          <w:rFonts w:cs="Times New Roman"/>
          <w:color w:val="000000" w:themeColor="text1"/>
          <w:szCs w:val="24"/>
        </w:rPr>
      </w:pPr>
      <w:r w:rsidRPr="00717F18">
        <w:rPr>
          <w:rFonts w:cs="Times New Roman"/>
          <w:color w:val="000000" w:themeColor="text1"/>
          <w:szCs w:val="24"/>
        </w:rPr>
        <w:t>Microfinance interventions have become critical tools for promoting financial inclusion and economic empowerment, particularly among women from disadvantaged communities. These interventions offer both financial and non-financial services that facilitate access to credit, promote entrepreneurship, and enhance financial literacy (</w:t>
      </w:r>
      <w:proofErr w:type="spellStart"/>
      <w:r w:rsidRPr="00717F18">
        <w:rPr>
          <w:rFonts w:cs="Times New Roman"/>
          <w:color w:val="000000" w:themeColor="text1"/>
          <w:szCs w:val="24"/>
        </w:rPr>
        <w:t>Mwalasha</w:t>
      </w:r>
      <w:proofErr w:type="spellEnd"/>
      <w:r w:rsidRPr="00717F18">
        <w:rPr>
          <w:rFonts w:cs="Times New Roman"/>
          <w:color w:val="000000" w:themeColor="text1"/>
          <w:szCs w:val="24"/>
        </w:rPr>
        <w:t>, 2021). Despite global progress in financial inclusion, about 1.7 billion people remain excluded from formal financial systems, with women disproportionately affected (World Bank, 2022). In developing countries like Kenya, microfinance bridges this gap by offering affordable credit, saving opportunities, and capacity-building services that strengthen women’s entrepreneurial resilie</w:t>
      </w:r>
      <w:r w:rsidR="008D472A">
        <w:rPr>
          <w:rFonts w:cs="Times New Roman"/>
          <w:color w:val="000000" w:themeColor="text1"/>
          <w:szCs w:val="24"/>
        </w:rPr>
        <w:t>nce and financial independence.</w:t>
      </w:r>
    </w:p>
    <w:p w14:paraId="444F255D" w14:textId="34CBD391" w:rsidR="00717F18" w:rsidRPr="00717F18" w:rsidRDefault="00717F18" w:rsidP="00717F18">
      <w:pPr>
        <w:shd w:val="clear" w:color="auto" w:fill="FFFFFF"/>
        <w:spacing w:line="240" w:lineRule="auto"/>
        <w:rPr>
          <w:rFonts w:cs="Times New Roman"/>
          <w:color w:val="000000" w:themeColor="text1"/>
          <w:szCs w:val="24"/>
        </w:rPr>
      </w:pPr>
      <w:r w:rsidRPr="00717F18">
        <w:rPr>
          <w:rFonts w:cs="Times New Roman"/>
          <w:color w:val="000000" w:themeColor="text1"/>
          <w:szCs w:val="24"/>
        </w:rPr>
        <w:lastRenderedPageBreak/>
        <w:t>Micro-credit provides small, collateral-free loans that enable women to start or expand businesses, boost productivity, and increase household income. Studies indicate that access to micro-credit enhances women’s economic empowerment and business performance (Ouma &amp; Muriithi, 2022; Noor et al., 2021). However, high-interest rates and rigid repayment schedules often limit the full potential of these programs, highlighting the need for flexible and affordable credit structures that suit women’s busi</w:t>
      </w:r>
      <w:r w:rsidR="008D472A">
        <w:rPr>
          <w:rFonts w:cs="Times New Roman"/>
          <w:color w:val="000000" w:themeColor="text1"/>
          <w:szCs w:val="24"/>
        </w:rPr>
        <w:t>ness realities (Pokhrel, 2022).</w:t>
      </w:r>
    </w:p>
    <w:p w14:paraId="16847C52" w14:textId="31BEDE39" w:rsidR="00717F18" w:rsidRPr="00717F18" w:rsidRDefault="00717F18" w:rsidP="00717F18">
      <w:pPr>
        <w:shd w:val="clear" w:color="auto" w:fill="FFFFFF"/>
        <w:spacing w:line="240" w:lineRule="auto"/>
        <w:rPr>
          <w:rFonts w:cs="Times New Roman"/>
          <w:color w:val="000000" w:themeColor="text1"/>
          <w:szCs w:val="24"/>
        </w:rPr>
      </w:pPr>
      <w:r w:rsidRPr="00717F18">
        <w:rPr>
          <w:rFonts w:cs="Times New Roman"/>
          <w:color w:val="000000" w:themeColor="text1"/>
          <w:szCs w:val="24"/>
        </w:rPr>
        <w:t>Micro-savings programs promote financial discipline and independence, enabling women to accumulate assets and reduce reliance on debt. Participation in savings groups enhances social support, resilience to economic shocks, and investment in welfare activities (Trivedi &amp; Petkova, 2021; Bahadur &amp; Bhandari, 2021). Through micro-savings, women gain greater control over financial resources and improve househol</w:t>
      </w:r>
      <w:r w:rsidR="008D472A">
        <w:rPr>
          <w:rFonts w:cs="Times New Roman"/>
          <w:color w:val="000000" w:themeColor="text1"/>
          <w:szCs w:val="24"/>
        </w:rPr>
        <w:t>d security and future planning.</w:t>
      </w:r>
    </w:p>
    <w:p w14:paraId="2C3E70E0" w14:textId="1D749ED5" w:rsidR="00717F18" w:rsidRPr="00717F18" w:rsidRDefault="00717F18" w:rsidP="00717F18">
      <w:pPr>
        <w:shd w:val="clear" w:color="auto" w:fill="FFFFFF"/>
        <w:spacing w:line="240" w:lineRule="auto"/>
        <w:rPr>
          <w:rFonts w:cs="Times New Roman"/>
          <w:color w:val="000000" w:themeColor="text1"/>
          <w:szCs w:val="24"/>
        </w:rPr>
      </w:pPr>
      <w:r w:rsidRPr="00717F18">
        <w:rPr>
          <w:rFonts w:cs="Times New Roman"/>
          <w:color w:val="000000" w:themeColor="text1"/>
          <w:szCs w:val="24"/>
        </w:rPr>
        <w:t>Business Development Services (BDS), encompassing entrepreneurship training, market linkage, and financial literacy, are essential non-financial interventions that strengthen managerial and operational capacity. Empirical studies show that BDS improve business performance, stimulate innovation, and enhance women’s confidence and formalization of enterprises (Mokhtar &amp; Abdullah, 2020; Omondi &amp; Muriithi, 2022). These services contribute to sustainable business growth and l</w:t>
      </w:r>
      <w:r w:rsidR="008D472A">
        <w:rPr>
          <w:rFonts w:cs="Times New Roman"/>
          <w:color w:val="000000" w:themeColor="text1"/>
          <w:szCs w:val="24"/>
        </w:rPr>
        <w:t>ong-term financial empowerment.</w:t>
      </w:r>
    </w:p>
    <w:p w14:paraId="407F0D36" w14:textId="40CBECD7" w:rsidR="00717F18" w:rsidRPr="00717F18" w:rsidRDefault="00717F18" w:rsidP="00717F18">
      <w:pPr>
        <w:shd w:val="clear" w:color="auto" w:fill="FFFFFF"/>
        <w:spacing w:line="240" w:lineRule="auto"/>
        <w:rPr>
          <w:rFonts w:cs="Times New Roman"/>
          <w:color w:val="000000" w:themeColor="text1"/>
          <w:szCs w:val="24"/>
        </w:rPr>
      </w:pPr>
      <w:r w:rsidRPr="00717F18">
        <w:rPr>
          <w:rFonts w:cs="Times New Roman"/>
          <w:color w:val="000000" w:themeColor="text1"/>
          <w:szCs w:val="24"/>
        </w:rPr>
        <w:t>Advisory and Consultancy (AC) Services complement microfinance interventions by providing tailored business advice, strategic planning, and regulatory guidance. Such services enhance decision-making and investment strategies, reduce risks of business failure, and boost confidence among women entrepreneurs (</w:t>
      </w:r>
      <w:proofErr w:type="spellStart"/>
      <w:r w:rsidRPr="00717F18">
        <w:rPr>
          <w:rFonts w:cs="Times New Roman"/>
          <w:color w:val="000000" w:themeColor="text1"/>
          <w:szCs w:val="24"/>
        </w:rPr>
        <w:t>Samineni</w:t>
      </w:r>
      <w:proofErr w:type="spellEnd"/>
      <w:r w:rsidRPr="00717F18">
        <w:rPr>
          <w:rFonts w:cs="Times New Roman"/>
          <w:color w:val="000000" w:themeColor="text1"/>
          <w:szCs w:val="24"/>
        </w:rPr>
        <w:t xml:space="preserve"> &amp; Ramesh, 2020; Bahadur &amp; Bhandari, 2021). Together, micro-credit, micro-savings, BDS, and AC services form a holistic microfinance framework that empowers women through improved business performance and socio-economic inclusion.</w:t>
      </w:r>
    </w:p>
    <w:p w14:paraId="68571502" w14:textId="2DC32D89" w:rsidR="00717F18" w:rsidRPr="00717F18" w:rsidRDefault="00717F18" w:rsidP="00717F18">
      <w:pPr>
        <w:shd w:val="clear" w:color="auto" w:fill="FFFFFF"/>
        <w:spacing w:line="240" w:lineRule="auto"/>
        <w:rPr>
          <w:rFonts w:cs="Times New Roman"/>
          <w:color w:val="000000" w:themeColor="text1"/>
          <w:szCs w:val="24"/>
        </w:rPr>
      </w:pPr>
      <w:r w:rsidRPr="00717F18">
        <w:rPr>
          <w:rFonts w:cs="Times New Roman"/>
          <w:color w:val="000000" w:themeColor="text1"/>
          <w:szCs w:val="24"/>
        </w:rPr>
        <w:t xml:space="preserve">In </w:t>
      </w:r>
      <w:proofErr w:type="spellStart"/>
      <w:r w:rsidRPr="00717F18">
        <w:rPr>
          <w:rFonts w:cs="Times New Roman"/>
          <w:color w:val="000000" w:themeColor="text1"/>
          <w:szCs w:val="24"/>
        </w:rPr>
        <w:t>Eldama</w:t>
      </w:r>
      <w:proofErr w:type="spellEnd"/>
      <w:r w:rsidRPr="00717F18">
        <w:rPr>
          <w:rFonts w:cs="Times New Roman"/>
          <w:color w:val="000000" w:themeColor="text1"/>
          <w:szCs w:val="24"/>
        </w:rPr>
        <w:t xml:space="preserve"> Ravine Sub-County, women entrepreneurs are vital agents of socio-economic transformation, engaging in agriculture, retail, tailoring, and hospitality enterprises that contribute to local development (</w:t>
      </w:r>
      <w:proofErr w:type="spellStart"/>
      <w:r w:rsidRPr="00717F18">
        <w:rPr>
          <w:rFonts w:cs="Times New Roman"/>
          <w:color w:val="000000" w:themeColor="text1"/>
          <w:szCs w:val="24"/>
        </w:rPr>
        <w:t>Isaga</w:t>
      </w:r>
      <w:proofErr w:type="spellEnd"/>
      <w:r w:rsidRPr="00717F18">
        <w:rPr>
          <w:rFonts w:cs="Times New Roman"/>
          <w:color w:val="000000" w:themeColor="text1"/>
          <w:szCs w:val="24"/>
        </w:rPr>
        <w:t>, 2019). According to the Baringo County Integrated Development Plan (CIDP, 2023–2027), women constitute about 54% of micro and small business owners, yet they control less than 30% of formal credit (Baringo County Trade and Investment Report, 2022). A 2021 MSEA baseline survey revealed that over 65% rely on informal financing, while only 18% access formal microfinance products, limiting business growth</w:t>
      </w:r>
      <w:r w:rsidR="008D472A">
        <w:rPr>
          <w:rFonts w:cs="Times New Roman"/>
          <w:color w:val="000000" w:themeColor="text1"/>
          <w:szCs w:val="24"/>
        </w:rPr>
        <w:t xml:space="preserve"> and technological advancement.</w:t>
      </w:r>
    </w:p>
    <w:p w14:paraId="6E1F4A55" w14:textId="0D8E8249" w:rsidR="00717F18" w:rsidRPr="007A56B8" w:rsidRDefault="00717F18" w:rsidP="00717F18">
      <w:pPr>
        <w:shd w:val="clear" w:color="auto" w:fill="FFFFFF"/>
        <w:spacing w:line="240" w:lineRule="auto"/>
        <w:rPr>
          <w:rFonts w:cs="Times New Roman"/>
          <w:color w:val="000000" w:themeColor="text1"/>
          <w:szCs w:val="24"/>
        </w:rPr>
      </w:pPr>
      <w:r w:rsidRPr="00717F18">
        <w:rPr>
          <w:rFonts w:cs="Times New Roman"/>
          <w:color w:val="000000" w:themeColor="text1"/>
          <w:szCs w:val="24"/>
        </w:rPr>
        <w:t>Persistent structural and socio-cultural barriers</w:t>
      </w:r>
      <w:r w:rsidR="008D472A">
        <w:rPr>
          <w:rFonts w:cs="Times New Roman"/>
          <w:color w:val="000000" w:themeColor="text1"/>
          <w:szCs w:val="24"/>
        </w:rPr>
        <w:t xml:space="preserve"> </w:t>
      </w:r>
      <w:r w:rsidRPr="00717F18">
        <w:rPr>
          <w:rFonts w:cs="Times New Roman"/>
          <w:color w:val="000000" w:themeColor="text1"/>
          <w:szCs w:val="24"/>
        </w:rPr>
        <w:t>such as limited collateral, financial illiteracy, and gendered domestic roles</w:t>
      </w:r>
      <w:r w:rsidR="008D472A">
        <w:rPr>
          <w:rFonts w:cs="Times New Roman"/>
          <w:color w:val="000000" w:themeColor="text1"/>
          <w:szCs w:val="24"/>
        </w:rPr>
        <w:t xml:space="preserve"> </w:t>
      </w:r>
      <w:r w:rsidRPr="00717F18">
        <w:rPr>
          <w:rFonts w:cs="Times New Roman"/>
          <w:color w:val="000000" w:themeColor="text1"/>
          <w:szCs w:val="24"/>
        </w:rPr>
        <w:t xml:space="preserve">further restrict women’s economic participation (Noor et al., 2021). Nonetheless, many women leverage social networks, self-help groups, and savings associations to sustain their enterprises. These realities underscore the urgent need for targeted microfinance interventions that enhance financial empowerment, entrepreneurial growth, and gender equity. Consequently, this study examines how micro-credit, micro-savings, business development services, and advisory and consultancy services collectively influence the financial empowerment of women entrepreneurs in </w:t>
      </w:r>
      <w:proofErr w:type="spellStart"/>
      <w:r w:rsidRPr="00717F18">
        <w:rPr>
          <w:rFonts w:cs="Times New Roman"/>
          <w:color w:val="000000" w:themeColor="text1"/>
          <w:szCs w:val="24"/>
        </w:rPr>
        <w:t>Eldama</w:t>
      </w:r>
      <w:proofErr w:type="spellEnd"/>
      <w:r w:rsidRPr="00717F18">
        <w:rPr>
          <w:rFonts w:cs="Times New Roman"/>
          <w:color w:val="000000" w:themeColor="text1"/>
          <w:szCs w:val="24"/>
        </w:rPr>
        <w:t xml:space="preserve"> Ravine Sub-County, Baringo County, Kenya.</w:t>
      </w:r>
    </w:p>
    <w:p w14:paraId="48C38FDC" w14:textId="6CD37EFA" w:rsidR="00055D83" w:rsidRPr="00D352C1" w:rsidRDefault="00055D83" w:rsidP="00CE4C91">
      <w:pPr>
        <w:shd w:val="clear" w:color="auto" w:fill="FFFFFF"/>
        <w:spacing w:line="240" w:lineRule="auto"/>
        <w:rPr>
          <w:rFonts w:eastAsia="Times New Roman" w:cs="Times New Roman"/>
          <w:b/>
          <w:bCs/>
          <w:i/>
          <w:iCs/>
          <w:color w:val="000000" w:themeColor="text1"/>
          <w:sz w:val="28"/>
          <w:szCs w:val="28"/>
        </w:rPr>
      </w:pPr>
      <w:r w:rsidRPr="00D352C1">
        <w:rPr>
          <w:rFonts w:eastAsia="Times New Roman" w:cs="Times New Roman"/>
          <w:b/>
          <w:bCs/>
          <w:i/>
          <w:iCs/>
          <w:color w:val="000000" w:themeColor="text1"/>
          <w:sz w:val="28"/>
          <w:szCs w:val="28"/>
        </w:rPr>
        <w:t>Research Problem</w:t>
      </w:r>
    </w:p>
    <w:p w14:paraId="27FDC211" w14:textId="4CCE0CCE" w:rsidR="00BD15A0" w:rsidRPr="007A56B8" w:rsidRDefault="00717F18" w:rsidP="00D352C1">
      <w:pPr>
        <w:spacing w:after="240" w:line="240" w:lineRule="auto"/>
        <w:rPr>
          <w:rFonts w:cs="Times New Roman"/>
          <w:b/>
          <w:szCs w:val="24"/>
        </w:rPr>
      </w:pPr>
      <w:r w:rsidRPr="00717F18">
        <w:rPr>
          <w:rFonts w:cs="Times New Roman"/>
          <w:color w:val="000000" w:themeColor="text1"/>
          <w:szCs w:val="24"/>
        </w:rPr>
        <w:t xml:space="preserve">Despite global recognition of women’s vital role in economic growth, women entrepreneurs continue to face structural and financial barriers that constrain business performance. Worldwide, women’s entrepreneurial activity is significant, yet their ventures exhibit lower growth orientation and internationalization compared to men’s. Regionally, gender disparities persist in access to credit, internet, and digital business tools, despite improved financial inclusion. In Kenya, </w:t>
      </w:r>
      <w:proofErr w:type="spellStart"/>
      <w:r w:rsidRPr="00717F18">
        <w:rPr>
          <w:rFonts w:cs="Times New Roman"/>
          <w:color w:val="000000" w:themeColor="text1"/>
          <w:szCs w:val="24"/>
        </w:rPr>
        <w:t>FinAccess</w:t>
      </w:r>
      <w:proofErr w:type="spellEnd"/>
      <w:r w:rsidRPr="00717F18">
        <w:rPr>
          <w:rFonts w:cs="Times New Roman"/>
          <w:color w:val="000000" w:themeColor="text1"/>
          <w:szCs w:val="24"/>
        </w:rPr>
        <w:t xml:space="preserve"> surveys (2019; 2021) reveal that female-owned enterprises lag in internet use for business (37% versus 55% for men) and formal credit access, limiting market reach and productivity. At the county level, Baringo’s development plans identify inadequate access to credit, low savings culture, and insufficient business support services as major obstacles to enterprise growth. Consequently, women entrepreneurs in </w:t>
      </w:r>
      <w:proofErr w:type="spellStart"/>
      <w:r w:rsidRPr="00717F18">
        <w:rPr>
          <w:rFonts w:cs="Times New Roman"/>
          <w:color w:val="000000" w:themeColor="text1"/>
          <w:szCs w:val="24"/>
        </w:rPr>
        <w:t>Eldama</w:t>
      </w:r>
      <w:proofErr w:type="spellEnd"/>
      <w:r w:rsidRPr="00717F18">
        <w:rPr>
          <w:rFonts w:cs="Times New Roman"/>
          <w:color w:val="000000" w:themeColor="text1"/>
          <w:szCs w:val="24"/>
        </w:rPr>
        <w:t xml:space="preserve"> Ravine Sub-County experience subdued business performance. Although microfinance interventions</w:t>
      </w:r>
      <w:r w:rsidR="008D472A">
        <w:rPr>
          <w:rFonts w:cs="Times New Roman"/>
          <w:color w:val="000000" w:themeColor="text1"/>
          <w:szCs w:val="24"/>
        </w:rPr>
        <w:t xml:space="preserve"> </w:t>
      </w:r>
      <w:r w:rsidRPr="00717F18">
        <w:rPr>
          <w:rFonts w:cs="Times New Roman"/>
          <w:color w:val="000000" w:themeColor="text1"/>
          <w:szCs w:val="24"/>
        </w:rPr>
        <w:t>such as micro-</w:t>
      </w:r>
      <w:r w:rsidRPr="00717F18">
        <w:rPr>
          <w:rFonts w:cs="Times New Roman"/>
          <w:color w:val="000000" w:themeColor="text1"/>
          <w:szCs w:val="24"/>
        </w:rPr>
        <w:lastRenderedPageBreak/>
        <w:t>credit, savings programs, business development, and advisory services</w:t>
      </w:r>
      <w:r w:rsidR="008D472A">
        <w:rPr>
          <w:rFonts w:cs="Times New Roman"/>
          <w:color w:val="000000" w:themeColor="text1"/>
          <w:szCs w:val="24"/>
        </w:rPr>
        <w:t xml:space="preserve"> </w:t>
      </w:r>
      <w:r w:rsidRPr="00717F18">
        <w:rPr>
          <w:rFonts w:cs="Times New Roman"/>
          <w:color w:val="000000" w:themeColor="text1"/>
          <w:szCs w:val="24"/>
        </w:rPr>
        <w:t xml:space="preserve">have improved household welfare and decision-making in some Kenyan studies, their impact on firm performance remains inconsistent. These mixed outcomes highlight the need to empirically assess how microfinance interventions influence the financial empowerment and performance of women entrepreneurs in </w:t>
      </w:r>
      <w:proofErr w:type="spellStart"/>
      <w:r w:rsidRPr="00717F18">
        <w:rPr>
          <w:rFonts w:cs="Times New Roman"/>
          <w:color w:val="000000" w:themeColor="text1"/>
          <w:szCs w:val="24"/>
        </w:rPr>
        <w:t>Eldama</w:t>
      </w:r>
      <w:proofErr w:type="spellEnd"/>
      <w:r w:rsidRPr="00717F18">
        <w:rPr>
          <w:rFonts w:cs="Times New Roman"/>
          <w:color w:val="000000" w:themeColor="text1"/>
          <w:szCs w:val="24"/>
        </w:rPr>
        <w:t xml:space="preserve"> Ravine, where persistent resource and capacity gaps continue to hinder inclusive and sustainable economic growth.</w:t>
      </w:r>
      <w:r w:rsidR="00BD15A0" w:rsidRPr="007A56B8">
        <w:rPr>
          <w:rFonts w:cs="Times New Roman"/>
          <w:b/>
          <w:szCs w:val="24"/>
        </w:rPr>
        <w:t xml:space="preserve"> </w:t>
      </w:r>
    </w:p>
    <w:p w14:paraId="7860FC20" w14:textId="14987297" w:rsidR="00055D83" w:rsidRPr="00D352C1" w:rsidRDefault="00055D83" w:rsidP="00E5141C">
      <w:pPr>
        <w:spacing w:line="240" w:lineRule="auto"/>
        <w:rPr>
          <w:rFonts w:cs="Times New Roman"/>
          <w:b/>
          <w:bCs/>
          <w:i/>
          <w:iCs/>
          <w:color w:val="000000" w:themeColor="text1"/>
          <w:sz w:val="28"/>
          <w:szCs w:val="28"/>
        </w:rPr>
      </w:pPr>
      <w:r w:rsidRPr="00D352C1">
        <w:rPr>
          <w:rFonts w:cs="Times New Roman"/>
          <w:b/>
          <w:bCs/>
          <w:i/>
          <w:iCs/>
          <w:color w:val="000000" w:themeColor="text1"/>
          <w:sz w:val="28"/>
          <w:szCs w:val="28"/>
        </w:rPr>
        <w:t>Research Objective</w:t>
      </w:r>
    </w:p>
    <w:p w14:paraId="3A006523" w14:textId="24D19DD1" w:rsidR="0054398C" w:rsidRPr="007A56B8" w:rsidRDefault="00055D83" w:rsidP="0054398C">
      <w:pPr>
        <w:spacing w:line="240" w:lineRule="auto"/>
        <w:rPr>
          <w:rFonts w:cs="Times New Roman"/>
          <w:color w:val="000000" w:themeColor="text1"/>
          <w:szCs w:val="24"/>
        </w:rPr>
      </w:pPr>
      <w:r w:rsidRPr="007A56B8">
        <w:rPr>
          <w:rFonts w:cs="Times New Roman"/>
          <w:color w:val="000000" w:themeColor="text1"/>
          <w:szCs w:val="24"/>
        </w:rPr>
        <w:t>This study was guided by the following general objective to:</w:t>
      </w:r>
      <w:r w:rsidR="00784B96" w:rsidRPr="007A56B8">
        <w:rPr>
          <w:rFonts w:cs="Times New Roman"/>
          <w:color w:val="000000" w:themeColor="text1"/>
          <w:szCs w:val="24"/>
        </w:rPr>
        <w:t xml:space="preserve"> </w:t>
      </w:r>
      <w:r w:rsidR="00717F18" w:rsidRPr="00717F18">
        <w:rPr>
          <w:rFonts w:cs="Times New Roman"/>
          <w:color w:val="000000" w:themeColor="text1"/>
          <w:szCs w:val="24"/>
        </w:rPr>
        <w:t xml:space="preserve">investigate the effect of microfinance interventions on the financial empowerment of women entrepreneurs in </w:t>
      </w:r>
      <w:proofErr w:type="spellStart"/>
      <w:r w:rsidR="00717F18" w:rsidRPr="00717F18">
        <w:rPr>
          <w:rFonts w:cs="Times New Roman"/>
          <w:color w:val="000000" w:themeColor="text1"/>
          <w:szCs w:val="24"/>
        </w:rPr>
        <w:t>Eldama</w:t>
      </w:r>
      <w:proofErr w:type="spellEnd"/>
      <w:r w:rsidR="00717F18" w:rsidRPr="00717F18">
        <w:rPr>
          <w:rFonts w:cs="Times New Roman"/>
          <w:color w:val="000000" w:themeColor="text1"/>
          <w:szCs w:val="24"/>
        </w:rPr>
        <w:t xml:space="preserve"> Ravine Sub-County, Baringo County, Kenya</w:t>
      </w:r>
      <w:r w:rsidR="00D54CAA" w:rsidRPr="007A56B8">
        <w:rPr>
          <w:rFonts w:cs="Times New Roman"/>
          <w:color w:val="000000" w:themeColor="text1"/>
          <w:szCs w:val="24"/>
        </w:rPr>
        <w:t>.</w:t>
      </w:r>
    </w:p>
    <w:p w14:paraId="6B071E8F" w14:textId="77777777" w:rsidR="00E448DE" w:rsidRPr="007A56B8" w:rsidRDefault="0054398C" w:rsidP="00F42A52">
      <w:pPr>
        <w:spacing w:line="240" w:lineRule="auto"/>
        <w:rPr>
          <w:rFonts w:cs="Times New Roman"/>
          <w:color w:val="000000" w:themeColor="text1"/>
          <w:szCs w:val="24"/>
        </w:rPr>
      </w:pPr>
      <w:r w:rsidRPr="007A56B8">
        <w:rPr>
          <w:rFonts w:cs="Times New Roman"/>
          <w:color w:val="000000" w:themeColor="text1"/>
          <w:szCs w:val="24"/>
        </w:rPr>
        <w:t>Specific Objectives were to;</w:t>
      </w:r>
      <w:r w:rsidR="00784B96" w:rsidRPr="007A56B8">
        <w:rPr>
          <w:rFonts w:cs="Times New Roman"/>
          <w:color w:val="000000" w:themeColor="text1"/>
          <w:szCs w:val="24"/>
        </w:rPr>
        <w:t xml:space="preserve"> </w:t>
      </w:r>
    </w:p>
    <w:p w14:paraId="03D896C8" w14:textId="77777777" w:rsidR="00717F18" w:rsidRPr="00717F18" w:rsidRDefault="00717F18" w:rsidP="00717F18">
      <w:pPr>
        <w:pStyle w:val="ListParagraph"/>
        <w:numPr>
          <w:ilvl w:val="0"/>
          <w:numId w:val="22"/>
        </w:numPr>
        <w:spacing w:line="240" w:lineRule="auto"/>
        <w:rPr>
          <w:rFonts w:ascii="Times New Roman" w:hAnsi="Times New Roman"/>
          <w:sz w:val="24"/>
          <w:szCs w:val="24"/>
        </w:rPr>
      </w:pPr>
      <w:r w:rsidRPr="00717F18">
        <w:rPr>
          <w:rFonts w:ascii="Times New Roman" w:hAnsi="Times New Roman"/>
          <w:sz w:val="24"/>
          <w:szCs w:val="24"/>
        </w:rPr>
        <w:t xml:space="preserve">To assess the effect of micro-credit on the financial empowerment of women entrepreneurs in </w:t>
      </w:r>
      <w:proofErr w:type="spellStart"/>
      <w:r w:rsidRPr="00717F18">
        <w:rPr>
          <w:rFonts w:ascii="Times New Roman" w:hAnsi="Times New Roman"/>
          <w:sz w:val="24"/>
          <w:szCs w:val="24"/>
        </w:rPr>
        <w:t>Eldama</w:t>
      </w:r>
      <w:proofErr w:type="spellEnd"/>
      <w:r w:rsidRPr="00717F18">
        <w:rPr>
          <w:rFonts w:ascii="Times New Roman" w:hAnsi="Times New Roman"/>
          <w:sz w:val="24"/>
          <w:szCs w:val="24"/>
        </w:rPr>
        <w:t xml:space="preserve"> Ravine Sub-County.</w:t>
      </w:r>
    </w:p>
    <w:p w14:paraId="271D1EF8" w14:textId="77777777" w:rsidR="00717F18" w:rsidRPr="00717F18" w:rsidRDefault="00717F18" w:rsidP="00717F18">
      <w:pPr>
        <w:pStyle w:val="ListParagraph"/>
        <w:numPr>
          <w:ilvl w:val="0"/>
          <w:numId w:val="22"/>
        </w:numPr>
        <w:spacing w:line="240" w:lineRule="auto"/>
        <w:rPr>
          <w:rFonts w:ascii="Times New Roman" w:hAnsi="Times New Roman"/>
          <w:sz w:val="24"/>
          <w:szCs w:val="24"/>
        </w:rPr>
      </w:pPr>
      <w:r w:rsidRPr="00717F18">
        <w:rPr>
          <w:rFonts w:ascii="Times New Roman" w:hAnsi="Times New Roman"/>
          <w:sz w:val="24"/>
          <w:szCs w:val="24"/>
        </w:rPr>
        <w:t xml:space="preserve">To evaluate the effect of micro-savings on the financial empowerment of women entrepreneurs in </w:t>
      </w:r>
      <w:proofErr w:type="spellStart"/>
      <w:r w:rsidRPr="00717F18">
        <w:rPr>
          <w:rFonts w:ascii="Times New Roman" w:hAnsi="Times New Roman"/>
          <w:sz w:val="24"/>
          <w:szCs w:val="24"/>
        </w:rPr>
        <w:t>Eldama</w:t>
      </w:r>
      <w:proofErr w:type="spellEnd"/>
      <w:r w:rsidRPr="00717F18">
        <w:rPr>
          <w:rFonts w:ascii="Times New Roman" w:hAnsi="Times New Roman"/>
          <w:sz w:val="24"/>
          <w:szCs w:val="24"/>
        </w:rPr>
        <w:t xml:space="preserve"> Ravine Sub-County.</w:t>
      </w:r>
    </w:p>
    <w:p w14:paraId="2339DF4C" w14:textId="77777777" w:rsidR="00717F18" w:rsidRPr="00717F18" w:rsidRDefault="00717F18" w:rsidP="00717F18">
      <w:pPr>
        <w:pStyle w:val="ListParagraph"/>
        <w:numPr>
          <w:ilvl w:val="0"/>
          <w:numId w:val="22"/>
        </w:numPr>
        <w:spacing w:line="240" w:lineRule="auto"/>
        <w:rPr>
          <w:rFonts w:ascii="Times New Roman" w:hAnsi="Times New Roman"/>
          <w:sz w:val="24"/>
          <w:szCs w:val="24"/>
        </w:rPr>
      </w:pPr>
      <w:r w:rsidRPr="00717F18">
        <w:rPr>
          <w:rFonts w:ascii="Times New Roman" w:hAnsi="Times New Roman"/>
          <w:sz w:val="24"/>
          <w:szCs w:val="24"/>
        </w:rPr>
        <w:t xml:space="preserve">To determine the effect of business development services (BDS) on the financial empowerment of women entrepreneurs in </w:t>
      </w:r>
      <w:proofErr w:type="spellStart"/>
      <w:r w:rsidRPr="00717F18">
        <w:rPr>
          <w:rFonts w:ascii="Times New Roman" w:hAnsi="Times New Roman"/>
          <w:sz w:val="24"/>
          <w:szCs w:val="24"/>
        </w:rPr>
        <w:t>Eldama</w:t>
      </w:r>
      <w:proofErr w:type="spellEnd"/>
      <w:r w:rsidRPr="00717F18">
        <w:rPr>
          <w:rFonts w:ascii="Times New Roman" w:hAnsi="Times New Roman"/>
          <w:sz w:val="24"/>
          <w:szCs w:val="24"/>
        </w:rPr>
        <w:t xml:space="preserve"> Ravine Sub-County.</w:t>
      </w:r>
    </w:p>
    <w:p w14:paraId="25FC3AA1" w14:textId="7E3819DB" w:rsidR="00D352C1" w:rsidRPr="00D352C1" w:rsidRDefault="00717F18" w:rsidP="00717F18">
      <w:pPr>
        <w:pStyle w:val="ListParagraph"/>
        <w:numPr>
          <w:ilvl w:val="0"/>
          <w:numId w:val="22"/>
        </w:numPr>
        <w:spacing w:line="240" w:lineRule="auto"/>
        <w:rPr>
          <w:rFonts w:ascii="Times New Roman" w:hAnsi="Times New Roman"/>
          <w:sz w:val="24"/>
          <w:szCs w:val="24"/>
        </w:rPr>
      </w:pPr>
      <w:r w:rsidRPr="00717F18">
        <w:rPr>
          <w:rFonts w:ascii="Times New Roman" w:hAnsi="Times New Roman"/>
          <w:sz w:val="24"/>
          <w:szCs w:val="24"/>
        </w:rPr>
        <w:t xml:space="preserve">To establish the effect of advisory and consultancy (AC) services on the financial empowerment of women entrepreneurs in </w:t>
      </w:r>
      <w:proofErr w:type="spellStart"/>
      <w:r w:rsidRPr="00717F18">
        <w:rPr>
          <w:rFonts w:ascii="Times New Roman" w:hAnsi="Times New Roman"/>
          <w:sz w:val="24"/>
          <w:szCs w:val="24"/>
        </w:rPr>
        <w:t>Eldama</w:t>
      </w:r>
      <w:proofErr w:type="spellEnd"/>
      <w:r w:rsidRPr="00717F18">
        <w:rPr>
          <w:rFonts w:ascii="Times New Roman" w:hAnsi="Times New Roman"/>
          <w:sz w:val="24"/>
          <w:szCs w:val="24"/>
        </w:rPr>
        <w:t xml:space="preserve"> Ravine Sub-County</w:t>
      </w:r>
      <w:r w:rsidR="00D352C1" w:rsidRPr="00D352C1">
        <w:rPr>
          <w:rFonts w:ascii="Times New Roman" w:hAnsi="Times New Roman"/>
          <w:sz w:val="24"/>
          <w:szCs w:val="24"/>
        </w:rPr>
        <w:t xml:space="preserve">.  </w:t>
      </w:r>
    </w:p>
    <w:p w14:paraId="5246D8E1" w14:textId="77777777" w:rsidR="008D472A" w:rsidRDefault="008D472A" w:rsidP="00AD51A6">
      <w:pPr>
        <w:spacing w:before="0"/>
        <w:rPr>
          <w:b/>
          <w:bCs/>
          <w:i/>
          <w:iCs/>
          <w:sz w:val="28"/>
          <w:szCs w:val="24"/>
        </w:rPr>
      </w:pPr>
    </w:p>
    <w:p w14:paraId="0B5F07F3" w14:textId="00D3A3FD" w:rsidR="0052143B" w:rsidRPr="00AD51A6" w:rsidRDefault="0052143B" w:rsidP="00AD51A6">
      <w:pPr>
        <w:spacing w:before="0"/>
        <w:rPr>
          <w:b/>
          <w:bCs/>
          <w:i/>
          <w:iCs/>
          <w:sz w:val="28"/>
          <w:szCs w:val="24"/>
        </w:rPr>
      </w:pPr>
      <w:r w:rsidRPr="00AD51A6">
        <w:rPr>
          <w:b/>
          <w:bCs/>
          <w:i/>
          <w:iCs/>
          <w:sz w:val="28"/>
          <w:szCs w:val="24"/>
        </w:rPr>
        <w:t>Significance of the Study</w:t>
      </w:r>
    </w:p>
    <w:p w14:paraId="56D2C776" w14:textId="4EDBFB51" w:rsidR="0052143B" w:rsidRPr="0052143B" w:rsidRDefault="00B21AF4" w:rsidP="00AD51A6">
      <w:pPr>
        <w:spacing w:line="240" w:lineRule="auto"/>
      </w:pPr>
      <w:r w:rsidRPr="00B21AF4">
        <w:t xml:space="preserve">The study is significant to scholars, microfinance institutions, policymakers, and women entrepreneurs. It enriches academic literature on women’s economic empowerment by integrating recent empirical studies to explain how microfinance interventions enhance financial empowerment. Microfinance institutions will gain insights into effective strategies for simplifying credit, savings, and support services tailored to women entrepreneurs. Policymakers and development partners will benefit from evidence-based recommendations for designing gender-responsive financial inclusion programs aligned with SDGs 5 and 8 and Kenya’s Vision 2030. Women entrepreneurs in </w:t>
      </w:r>
      <w:proofErr w:type="spellStart"/>
      <w:r w:rsidRPr="00B21AF4">
        <w:t>Eldama</w:t>
      </w:r>
      <w:proofErr w:type="spellEnd"/>
      <w:r w:rsidRPr="00B21AF4">
        <w:t xml:space="preserve"> Ravine Sub-County will directly benefit through improved access to affordable credit, savings, training, and advisory services.</w:t>
      </w:r>
    </w:p>
    <w:p w14:paraId="371713CA" w14:textId="77777777" w:rsidR="0052143B" w:rsidRPr="007A56B8" w:rsidRDefault="0052143B" w:rsidP="00D352C1">
      <w:pPr>
        <w:autoSpaceDE w:val="0"/>
        <w:autoSpaceDN w:val="0"/>
        <w:adjustRightInd w:val="0"/>
        <w:spacing w:before="0" w:after="240" w:line="240" w:lineRule="auto"/>
        <w:rPr>
          <w:color w:val="000000" w:themeColor="text1"/>
          <w:szCs w:val="24"/>
        </w:rPr>
      </w:pPr>
    </w:p>
    <w:p w14:paraId="01448711" w14:textId="62325650" w:rsidR="001E21F0" w:rsidRPr="007A56B8" w:rsidRDefault="001E21F0" w:rsidP="00AE4AA5">
      <w:pPr>
        <w:spacing w:before="0" w:line="240" w:lineRule="auto"/>
        <w:rPr>
          <w:rFonts w:cs="Times New Roman"/>
          <w:color w:val="000000" w:themeColor="text1"/>
        </w:rPr>
      </w:pPr>
      <w:r w:rsidRPr="007A56B8">
        <w:rPr>
          <w:rFonts w:cs="Times New Roman"/>
          <w:color w:val="000000" w:themeColor="text1"/>
        </w:rPr>
        <w:br w:type="page"/>
      </w:r>
    </w:p>
    <w:p w14:paraId="60555E06" w14:textId="2D326474" w:rsidR="00055D83" w:rsidRPr="007A56B8" w:rsidRDefault="00055D83" w:rsidP="00055D83">
      <w:pPr>
        <w:pStyle w:val="ListParagraph"/>
        <w:autoSpaceDE w:val="0"/>
        <w:autoSpaceDN w:val="0"/>
        <w:adjustRightInd w:val="0"/>
        <w:spacing w:before="480" w:after="240" w:line="240" w:lineRule="auto"/>
        <w:ind w:left="0"/>
        <w:rPr>
          <w:rFonts w:ascii="Times New Roman" w:hAnsi="Times New Roman"/>
          <w:b/>
          <w:color w:val="000000" w:themeColor="text1"/>
          <w:sz w:val="28"/>
          <w:szCs w:val="28"/>
          <w:lang w:val="en-GB"/>
        </w:rPr>
      </w:pPr>
      <w:r w:rsidRPr="007A56B8">
        <w:rPr>
          <w:rFonts w:ascii="Times New Roman" w:hAnsi="Times New Roman"/>
          <w:b/>
          <w:color w:val="000000" w:themeColor="text1"/>
          <w:sz w:val="28"/>
          <w:szCs w:val="28"/>
          <w:lang w:val="en-GB"/>
        </w:rPr>
        <w:lastRenderedPageBreak/>
        <w:t xml:space="preserve">2.0 LITERATURE REVIEW  </w:t>
      </w:r>
    </w:p>
    <w:p w14:paraId="0A72FB49" w14:textId="77777777" w:rsidR="00B21AF4" w:rsidRDefault="00B21AF4" w:rsidP="0018600E">
      <w:pPr>
        <w:spacing w:before="0" w:after="160" w:line="259" w:lineRule="auto"/>
        <w:rPr>
          <w:rFonts w:cs="Times New Roman"/>
          <w:b/>
          <w:i/>
          <w:iCs/>
          <w:color w:val="000000" w:themeColor="text1"/>
          <w:kern w:val="2"/>
          <w:szCs w:val="24"/>
          <w:lang w:val="en-GB"/>
        </w:rPr>
      </w:pPr>
      <w:r w:rsidRPr="00B21AF4">
        <w:rPr>
          <w:rFonts w:cs="Times New Roman"/>
          <w:b/>
          <w:i/>
          <w:iCs/>
          <w:color w:val="000000" w:themeColor="text1"/>
          <w:kern w:val="2"/>
          <w:szCs w:val="24"/>
          <w:lang w:val="en-GB"/>
        </w:rPr>
        <w:t xml:space="preserve">The theoretical review </w:t>
      </w:r>
    </w:p>
    <w:p w14:paraId="6C213BBC" w14:textId="2D644622" w:rsidR="00B449E1" w:rsidRPr="007A56B8" w:rsidRDefault="00B21AF4" w:rsidP="0018600E">
      <w:pPr>
        <w:spacing w:before="0" w:after="160" w:line="259" w:lineRule="auto"/>
        <w:rPr>
          <w:rFonts w:cs="Times New Roman"/>
          <w:bCs/>
          <w:color w:val="000000" w:themeColor="text1"/>
          <w:szCs w:val="24"/>
        </w:rPr>
      </w:pPr>
      <w:r w:rsidRPr="00B21AF4">
        <w:rPr>
          <w:rFonts w:cs="Times New Roman"/>
          <w:bCs/>
          <w:color w:val="000000" w:themeColor="text1"/>
          <w:kern w:val="2"/>
          <w:szCs w:val="24"/>
          <w:lang w:val="en-GB"/>
        </w:rPr>
        <w:t>The theoretical review highlights key frameworks explaining how microfinance interventions enhance the financial empowerment of women entrepreneurs. The Resource-Based Theory (RBT) emphasizes that a firm’s competitive advantage depends on access to valuable resources such as finance, knowledge, and social networks. For women entrepreneurs, microfinance provides credit and training opportunities that enhance business control and financial decision-making, overcoming institutional barriers like lack of collateral (</w:t>
      </w:r>
      <w:proofErr w:type="spellStart"/>
      <w:r w:rsidRPr="00B21AF4">
        <w:rPr>
          <w:rFonts w:cs="Times New Roman"/>
          <w:bCs/>
          <w:color w:val="000000" w:themeColor="text1"/>
          <w:kern w:val="2"/>
          <w:szCs w:val="24"/>
          <w:lang w:val="en-GB"/>
        </w:rPr>
        <w:t>Riro</w:t>
      </w:r>
      <w:proofErr w:type="spellEnd"/>
      <w:r w:rsidRPr="00B21AF4">
        <w:rPr>
          <w:rFonts w:cs="Times New Roman"/>
          <w:bCs/>
          <w:color w:val="000000" w:themeColor="text1"/>
          <w:kern w:val="2"/>
          <w:szCs w:val="24"/>
          <w:lang w:val="en-GB"/>
        </w:rPr>
        <w:t xml:space="preserve">, Musau, &amp; Njoka, 2024; </w:t>
      </w:r>
      <w:proofErr w:type="spellStart"/>
      <w:r w:rsidRPr="00B21AF4">
        <w:rPr>
          <w:rFonts w:cs="Times New Roman"/>
          <w:bCs/>
          <w:color w:val="000000" w:themeColor="text1"/>
          <w:kern w:val="2"/>
          <w:szCs w:val="24"/>
          <w:lang w:val="en-GB"/>
        </w:rPr>
        <w:t>Mengstie</w:t>
      </w:r>
      <w:proofErr w:type="spellEnd"/>
      <w:r w:rsidRPr="00B21AF4">
        <w:rPr>
          <w:rFonts w:cs="Times New Roman"/>
          <w:bCs/>
          <w:color w:val="000000" w:themeColor="text1"/>
          <w:kern w:val="2"/>
          <w:szCs w:val="24"/>
          <w:lang w:val="en-GB"/>
        </w:rPr>
        <w:t xml:space="preserve">, 2022). The Social Learning Theory, proposed by Bandura, explains that individuals acquire entrepreneurial skills through observation and imitation. Women benefit from peer networks, mentorship, and advisory services offered through microfinance programs, which foster confidence, financial literacy, and improved business performance (Abebe &amp; </w:t>
      </w:r>
      <w:proofErr w:type="spellStart"/>
      <w:r w:rsidRPr="00B21AF4">
        <w:rPr>
          <w:rFonts w:cs="Times New Roman"/>
          <w:bCs/>
          <w:color w:val="000000" w:themeColor="text1"/>
          <w:kern w:val="2"/>
          <w:szCs w:val="24"/>
          <w:lang w:val="en-GB"/>
        </w:rPr>
        <w:t>Kegne</w:t>
      </w:r>
      <w:proofErr w:type="spellEnd"/>
      <w:r w:rsidRPr="00B21AF4">
        <w:rPr>
          <w:rFonts w:cs="Times New Roman"/>
          <w:bCs/>
          <w:color w:val="000000" w:themeColor="text1"/>
          <w:kern w:val="2"/>
          <w:szCs w:val="24"/>
          <w:lang w:val="en-GB"/>
        </w:rPr>
        <w:t>, 2023). Lastly, the Financial Systems Model advocates for sustainable, market-driven microfinance institutions (MFIs) integrating credit, savings, and training. Empirical evidence shows that such holistic approaches better empower women compared to credit-only programs (</w:t>
      </w:r>
      <w:proofErr w:type="spellStart"/>
      <w:r w:rsidRPr="00B21AF4">
        <w:rPr>
          <w:rFonts w:cs="Times New Roman"/>
          <w:bCs/>
          <w:color w:val="000000" w:themeColor="text1"/>
          <w:kern w:val="2"/>
          <w:szCs w:val="24"/>
          <w:lang w:val="en-GB"/>
        </w:rPr>
        <w:t>Odunga</w:t>
      </w:r>
      <w:proofErr w:type="spellEnd"/>
      <w:r w:rsidRPr="00B21AF4">
        <w:rPr>
          <w:rFonts w:cs="Times New Roman"/>
          <w:bCs/>
          <w:color w:val="000000" w:themeColor="text1"/>
          <w:kern w:val="2"/>
          <w:szCs w:val="24"/>
          <w:lang w:val="en-GB"/>
        </w:rPr>
        <w:t xml:space="preserve">, 2024; </w:t>
      </w:r>
      <w:proofErr w:type="spellStart"/>
      <w:r w:rsidRPr="00B21AF4">
        <w:rPr>
          <w:rFonts w:cs="Times New Roman"/>
          <w:bCs/>
          <w:color w:val="000000" w:themeColor="text1"/>
          <w:kern w:val="2"/>
          <w:szCs w:val="24"/>
          <w:lang w:val="en-GB"/>
        </w:rPr>
        <w:t>Wanjaiya</w:t>
      </w:r>
      <w:proofErr w:type="spellEnd"/>
      <w:r w:rsidRPr="00B21AF4">
        <w:rPr>
          <w:rFonts w:cs="Times New Roman"/>
          <w:bCs/>
          <w:color w:val="000000" w:themeColor="text1"/>
          <w:kern w:val="2"/>
          <w:szCs w:val="24"/>
          <w:lang w:val="en-GB"/>
        </w:rPr>
        <w:t xml:space="preserve">, Ondieki-Mwaura, &amp; Ndwiga, 2025). Collectively, these theories underscore that sustainable, knowledge-oriented, and resource-enabling microfinance systems are instrumental in promoting women’s financial empowerment and entrepreneurial growth, particularly in low-income regions like </w:t>
      </w:r>
      <w:proofErr w:type="spellStart"/>
      <w:r w:rsidRPr="00B21AF4">
        <w:rPr>
          <w:rFonts w:cs="Times New Roman"/>
          <w:bCs/>
          <w:color w:val="000000" w:themeColor="text1"/>
          <w:kern w:val="2"/>
          <w:szCs w:val="24"/>
          <w:lang w:val="en-GB"/>
        </w:rPr>
        <w:t>Eldama</w:t>
      </w:r>
      <w:proofErr w:type="spellEnd"/>
      <w:r w:rsidRPr="00B21AF4">
        <w:rPr>
          <w:rFonts w:cs="Times New Roman"/>
          <w:bCs/>
          <w:color w:val="000000" w:themeColor="text1"/>
          <w:kern w:val="2"/>
          <w:szCs w:val="24"/>
          <w:lang w:val="en-GB"/>
        </w:rPr>
        <w:t xml:space="preserve"> Ravine Sub-County</w:t>
      </w:r>
      <w:r w:rsidR="00147E4C" w:rsidRPr="007A56B8">
        <w:rPr>
          <w:rFonts w:cs="Times New Roman"/>
          <w:bCs/>
          <w:color w:val="000000" w:themeColor="text1"/>
          <w:kern w:val="2"/>
          <w:szCs w:val="24"/>
          <w:lang w:val="en-GB"/>
        </w:rPr>
        <w:t>.</w:t>
      </w:r>
    </w:p>
    <w:p w14:paraId="34F84DFB" w14:textId="6D9FA3FA" w:rsidR="00B21AF4" w:rsidRPr="00B21AF4" w:rsidRDefault="00B21AF4" w:rsidP="00B21AF4">
      <w:pPr>
        <w:spacing w:before="0" w:after="160" w:line="259" w:lineRule="auto"/>
        <w:rPr>
          <w:rFonts w:cs="Times New Roman"/>
          <w:color w:val="000000" w:themeColor="text1"/>
          <w:szCs w:val="24"/>
        </w:rPr>
      </w:pPr>
      <w:r w:rsidRPr="00B21AF4">
        <w:rPr>
          <w:rFonts w:cs="Times New Roman"/>
          <w:b/>
          <w:bCs/>
          <w:i/>
          <w:iCs/>
          <w:color w:val="000000" w:themeColor="text1"/>
          <w:sz w:val="28"/>
          <w:szCs w:val="28"/>
        </w:rPr>
        <w:t>Empir</w:t>
      </w:r>
      <w:r>
        <w:rPr>
          <w:rFonts w:cs="Times New Roman"/>
          <w:b/>
          <w:bCs/>
          <w:i/>
          <w:iCs/>
          <w:color w:val="000000" w:themeColor="text1"/>
          <w:sz w:val="28"/>
          <w:szCs w:val="28"/>
        </w:rPr>
        <w:t>ical Literature Review</w:t>
      </w:r>
    </w:p>
    <w:p w14:paraId="522E46A1" w14:textId="7560ADC9" w:rsidR="00B21AF4" w:rsidRPr="00B21AF4" w:rsidRDefault="00B21AF4" w:rsidP="00B21AF4">
      <w:pPr>
        <w:spacing w:before="0" w:after="160" w:line="259" w:lineRule="auto"/>
        <w:rPr>
          <w:rFonts w:cs="Times New Roman"/>
          <w:color w:val="000000" w:themeColor="text1"/>
          <w:szCs w:val="24"/>
        </w:rPr>
      </w:pPr>
      <w:r w:rsidRPr="00B21AF4">
        <w:rPr>
          <w:rFonts w:cs="Times New Roman"/>
          <w:color w:val="000000" w:themeColor="text1"/>
          <w:szCs w:val="24"/>
        </w:rPr>
        <w:t>Empirical studies on microfinance interventions</w:t>
      </w:r>
      <w:r w:rsidR="008D472A">
        <w:rPr>
          <w:rFonts w:cs="Times New Roman"/>
          <w:color w:val="000000" w:themeColor="text1"/>
          <w:szCs w:val="24"/>
        </w:rPr>
        <w:t xml:space="preserve"> </w:t>
      </w:r>
      <w:r w:rsidRPr="00B21AF4">
        <w:rPr>
          <w:rFonts w:cs="Times New Roman"/>
          <w:color w:val="000000" w:themeColor="text1"/>
          <w:szCs w:val="24"/>
        </w:rPr>
        <w:t>micro-credit, micro-savings, business development services (BDS), and advisory and consultancy</w:t>
      </w:r>
      <w:r w:rsidR="008D472A">
        <w:rPr>
          <w:rFonts w:cs="Times New Roman"/>
          <w:color w:val="000000" w:themeColor="text1"/>
          <w:szCs w:val="24"/>
        </w:rPr>
        <w:t xml:space="preserve"> </w:t>
      </w:r>
      <w:r w:rsidRPr="00B21AF4">
        <w:rPr>
          <w:rFonts w:cs="Times New Roman"/>
          <w:color w:val="000000" w:themeColor="text1"/>
          <w:szCs w:val="24"/>
        </w:rPr>
        <w:t xml:space="preserve">highlight their collective role in promoting women’s financial empowerment. Women’s economic empowerment is reflected in their capacity to access resources, manage income, and participate in decision-making. </w:t>
      </w:r>
      <w:proofErr w:type="spellStart"/>
      <w:r w:rsidRPr="00B21AF4">
        <w:rPr>
          <w:rFonts w:cs="Times New Roman"/>
          <w:color w:val="000000" w:themeColor="text1"/>
          <w:szCs w:val="24"/>
        </w:rPr>
        <w:t>Mengstie</w:t>
      </w:r>
      <w:proofErr w:type="spellEnd"/>
      <w:r w:rsidRPr="00B21AF4">
        <w:rPr>
          <w:rFonts w:cs="Times New Roman"/>
          <w:color w:val="000000" w:themeColor="text1"/>
          <w:szCs w:val="24"/>
        </w:rPr>
        <w:t xml:space="preserve"> (2022) found that microfinance exposure enhances women’s autonomy, property rights, and earnings, while </w:t>
      </w:r>
      <w:proofErr w:type="spellStart"/>
      <w:r w:rsidRPr="00B21AF4">
        <w:rPr>
          <w:rFonts w:cs="Times New Roman"/>
          <w:color w:val="000000" w:themeColor="text1"/>
          <w:szCs w:val="24"/>
        </w:rPr>
        <w:t>Wanjaiya</w:t>
      </w:r>
      <w:proofErr w:type="spellEnd"/>
      <w:r w:rsidRPr="00B21AF4">
        <w:rPr>
          <w:rFonts w:cs="Times New Roman"/>
          <w:color w:val="000000" w:themeColor="text1"/>
          <w:szCs w:val="24"/>
        </w:rPr>
        <w:t xml:space="preserve"> et al. (2025) observed that microcredit usage in Nairobi improved entrepreneurial independence. However, </w:t>
      </w:r>
      <w:proofErr w:type="spellStart"/>
      <w:r w:rsidRPr="00B21AF4">
        <w:rPr>
          <w:rFonts w:cs="Times New Roman"/>
          <w:color w:val="000000" w:themeColor="text1"/>
          <w:szCs w:val="24"/>
        </w:rPr>
        <w:t>Riro</w:t>
      </w:r>
      <w:proofErr w:type="spellEnd"/>
      <w:r w:rsidRPr="00B21AF4">
        <w:rPr>
          <w:rFonts w:cs="Times New Roman"/>
          <w:color w:val="000000" w:themeColor="text1"/>
          <w:szCs w:val="24"/>
        </w:rPr>
        <w:t xml:space="preserve"> et al. (2024) cautioned that empowerment outcomes are limited without financial li</w:t>
      </w:r>
      <w:r w:rsidR="008D472A">
        <w:rPr>
          <w:rFonts w:cs="Times New Roman"/>
          <w:color w:val="000000" w:themeColor="text1"/>
          <w:szCs w:val="24"/>
        </w:rPr>
        <w:t>teracy and supportive measures.</w:t>
      </w:r>
    </w:p>
    <w:p w14:paraId="61D78B75" w14:textId="278DD49E" w:rsidR="00B21AF4" w:rsidRPr="00B21AF4" w:rsidRDefault="00B21AF4" w:rsidP="00B21AF4">
      <w:pPr>
        <w:spacing w:before="0" w:after="160" w:line="259" w:lineRule="auto"/>
        <w:rPr>
          <w:rFonts w:cs="Times New Roman"/>
          <w:color w:val="000000" w:themeColor="text1"/>
          <w:szCs w:val="24"/>
        </w:rPr>
      </w:pPr>
      <w:r w:rsidRPr="00B21AF4">
        <w:rPr>
          <w:rFonts w:cs="Times New Roman"/>
          <w:color w:val="000000" w:themeColor="text1"/>
          <w:szCs w:val="24"/>
        </w:rPr>
        <w:t xml:space="preserve">Micro-credit remains the most prevalent microfinance intervention. Studies (Abebe &amp; </w:t>
      </w:r>
      <w:proofErr w:type="spellStart"/>
      <w:r w:rsidRPr="00B21AF4">
        <w:rPr>
          <w:rFonts w:cs="Times New Roman"/>
          <w:color w:val="000000" w:themeColor="text1"/>
          <w:szCs w:val="24"/>
        </w:rPr>
        <w:t>Kegne</w:t>
      </w:r>
      <w:proofErr w:type="spellEnd"/>
      <w:r w:rsidRPr="00B21AF4">
        <w:rPr>
          <w:rFonts w:cs="Times New Roman"/>
          <w:color w:val="000000" w:themeColor="text1"/>
          <w:szCs w:val="24"/>
        </w:rPr>
        <w:t xml:space="preserve">, 2023; </w:t>
      </w:r>
      <w:proofErr w:type="spellStart"/>
      <w:r w:rsidRPr="00B21AF4">
        <w:rPr>
          <w:rFonts w:cs="Times New Roman"/>
          <w:color w:val="000000" w:themeColor="text1"/>
          <w:szCs w:val="24"/>
        </w:rPr>
        <w:t>Odunga</w:t>
      </w:r>
      <w:proofErr w:type="spellEnd"/>
      <w:r w:rsidRPr="00B21AF4">
        <w:rPr>
          <w:rFonts w:cs="Times New Roman"/>
          <w:color w:val="000000" w:themeColor="text1"/>
          <w:szCs w:val="24"/>
        </w:rPr>
        <w:t xml:space="preserve">, 2024) reveal that even small loans enhance women’s income, business performance, and social status, fostering resilience and decision-making power. Nevertheless, over-indebtedness, rigid repayment schedules, and poor market access may hinder progress (Rashid &amp; Ejaz, 2019). Hence, micro-credit is most effective when complemented by </w:t>
      </w:r>
      <w:r w:rsidR="008D472A">
        <w:rPr>
          <w:rFonts w:cs="Times New Roman"/>
          <w:color w:val="000000" w:themeColor="text1"/>
          <w:szCs w:val="24"/>
        </w:rPr>
        <w:t>training and advisory services.</w:t>
      </w:r>
    </w:p>
    <w:p w14:paraId="234DDED4" w14:textId="5FEB17CF" w:rsidR="00B21AF4" w:rsidRPr="00B21AF4" w:rsidRDefault="00B21AF4" w:rsidP="00B21AF4">
      <w:pPr>
        <w:spacing w:before="0" w:after="160" w:line="259" w:lineRule="auto"/>
        <w:rPr>
          <w:rFonts w:cs="Times New Roman"/>
          <w:color w:val="000000" w:themeColor="text1"/>
          <w:szCs w:val="24"/>
        </w:rPr>
      </w:pPr>
      <w:r w:rsidRPr="00B21AF4">
        <w:rPr>
          <w:rFonts w:cs="Times New Roman"/>
          <w:color w:val="000000" w:themeColor="text1"/>
          <w:szCs w:val="24"/>
        </w:rPr>
        <w:t xml:space="preserve">Micro-savings also play a vital role in improving financial security and independence. Evidence shows that savings enable women to manage economic shocks, control household spending, and reinvest profits, leading to sustainable empowerment (Ayub et al., 2020; </w:t>
      </w:r>
      <w:proofErr w:type="spellStart"/>
      <w:r w:rsidRPr="00B21AF4">
        <w:rPr>
          <w:rFonts w:cs="Times New Roman"/>
          <w:color w:val="000000" w:themeColor="text1"/>
          <w:szCs w:val="24"/>
        </w:rPr>
        <w:t>Weerasiri</w:t>
      </w:r>
      <w:proofErr w:type="spellEnd"/>
      <w:r w:rsidRPr="00B21AF4">
        <w:rPr>
          <w:rFonts w:cs="Times New Roman"/>
          <w:color w:val="000000" w:themeColor="text1"/>
          <w:szCs w:val="24"/>
        </w:rPr>
        <w:t xml:space="preserve"> &amp; Pathmini, 2020; </w:t>
      </w:r>
      <w:proofErr w:type="spellStart"/>
      <w:r w:rsidRPr="00B21AF4">
        <w:rPr>
          <w:rFonts w:cs="Times New Roman"/>
          <w:color w:val="000000" w:themeColor="text1"/>
          <w:szCs w:val="24"/>
        </w:rPr>
        <w:t>Riro</w:t>
      </w:r>
      <w:proofErr w:type="spellEnd"/>
      <w:r w:rsidRPr="00B21AF4">
        <w:rPr>
          <w:rFonts w:cs="Times New Roman"/>
          <w:color w:val="000000" w:themeColor="text1"/>
          <w:szCs w:val="24"/>
        </w:rPr>
        <w:t xml:space="preserve"> et al., 202</w:t>
      </w:r>
      <w:r w:rsidR="008D472A">
        <w:rPr>
          <w:rFonts w:cs="Times New Roman"/>
          <w:color w:val="000000" w:themeColor="text1"/>
          <w:szCs w:val="24"/>
        </w:rPr>
        <w:t>4).</w:t>
      </w:r>
    </w:p>
    <w:p w14:paraId="1211445F" w14:textId="33B6DC5E" w:rsidR="00CB6E82" w:rsidRDefault="00B21AF4" w:rsidP="00B21AF4">
      <w:pPr>
        <w:spacing w:before="0" w:after="160" w:line="259" w:lineRule="auto"/>
        <w:rPr>
          <w:rFonts w:cs="Times New Roman"/>
          <w:color w:val="000000" w:themeColor="text1"/>
          <w:szCs w:val="24"/>
        </w:rPr>
      </w:pPr>
      <w:r w:rsidRPr="00B21AF4">
        <w:rPr>
          <w:rFonts w:cs="Times New Roman"/>
          <w:color w:val="000000" w:themeColor="text1"/>
          <w:szCs w:val="24"/>
        </w:rPr>
        <w:t>Business development services, including training, mentorship, and market linkage, enhance managerial competence and business growth. Research indicates that women accessing BDS alongside credit achieve better income control and enterprise expansion (</w:t>
      </w:r>
      <w:proofErr w:type="spellStart"/>
      <w:r w:rsidRPr="00B21AF4">
        <w:rPr>
          <w:rFonts w:cs="Times New Roman"/>
          <w:color w:val="000000" w:themeColor="text1"/>
          <w:szCs w:val="24"/>
        </w:rPr>
        <w:t>Mengstie</w:t>
      </w:r>
      <w:proofErr w:type="spellEnd"/>
      <w:r w:rsidRPr="00B21AF4">
        <w:rPr>
          <w:rFonts w:cs="Times New Roman"/>
          <w:color w:val="000000" w:themeColor="text1"/>
          <w:szCs w:val="24"/>
        </w:rPr>
        <w:t xml:space="preserve">, 2022; Abebe &amp; </w:t>
      </w:r>
      <w:proofErr w:type="spellStart"/>
      <w:r w:rsidRPr="00B21AF4">
        <w:rPr>
          <w:rFonts w:cs="Times New Roman"/>
          <w:color w:val="000000" w:themeColor="text1"/>
          <w:szCs w:val="24"/>
        </w:rPr>
        <w:t>Kegne</w:t>
      </w:r>
      <w:proofErr w:type="spellEnd"/>
      <w:r w:rsidRPr="00B21AF4">
        <w:rPr>
          <w:rFonts w:cs="Times New Roman"/>
          <w:color w:val="000000" w:themeColor="text1"/>
          <w:szCs w:val="24"/>
        </w:rPr>
        <w:t>, 2023).</w:t>
      </w:r>
      <w:r>
        <w:rPr>
          <w:rFonts w:cs="Times New Roman"/>
          <w:color w:val="000000" w:themeColor="text1"/>
          <w:szCs w:val="24"/>
        </w:rPr>
        <w:t xml:space="preserve"> </w:t>
      </w:r>
      <w:r w:rsidRPr="00B21AF4">
        <w:rPr>
          <w:rFonts w:cs="Times New Roman"/>
          <w:color w:val="000000" w:themeColor="text1"/>
          <w:szCs w:val="24"/>
        </w:rPr>
        <w:t>Lastly, advisory and consultancy services</w:t>
      </w:r>
      <w:r w:rsidR="008D472A">
        <w:rPr>
          <w:rFonts w:cs="Times New Roman"/>
          <w:color w:val="000000" w:themeColor="text1"/>
          <w:szCs w:val="24"/>
        </w:rPr>
        <w:t xml:space="preserve"> </w:t>
      </w:r>
      <w:r w:rsidRPr="00B21AF4">
        <w:rPr>
          <w:rFonts w:cs="Times New Roman"/>
          <w:color w:val="000000" w:themeColor="text1"/>
          <w:szCs w:val="24"/>
        </w:rPr>
        <w:t>such as financial education and technical guidance</w:t>
      </w:r>
      <w:r w:rsidR="008D472A">
        <w:rPr>
          <w:rFonts w:cs="Times New Roman"/>
          <w:color w:val="000000" w:themeColor="text1"/>
          <w:szCs w:val="24"/>
        </w:rPr>
        <w:t xml:space="preserve"> </w:t>
      </w:r>
      <w:r w:rsidRPr="00B21AF4">
        <w:rPr>
          <w:rFonts w:cs="Times New Roman"/>
          <w:color w:val="000000" w:themeColor="text1"/>
          <w:szCs w:val="24"/>
        </w:rPr>
        <w:t>strengthen entrepreneurial skills, improve loan repayment, and foster leadership (</w:t>
      </w:r>
      <w:proofErr w:type="spellStart"/>
      <w:r w:rsidRPr="00B21AF4">
        <w:rPr>
          <w:rFonts w:cs="Times New Roman"/>
          <w:color w:val="000000" w:themeColor="text1"/>
          <w:szCs w:val="24"/>
        </w:rPr>
        <w:t>Odunga</w:t>
      </w:r>
      <w:proofErr w:type="spellEnd"/>
      <w:r w:rsidRPr="00B21AF4">
        <w:rPr>
          <w:rFonts w:cs="Times New Roman"/>
          <w:color w:val="000000" w:themeColor="text1"/>
          <w:szCs w:val="24"/>
        </w:rPr>
        <w:t xml:space="preserve">, 2024; </w:t>
      </w:r>
      <w:proofErr w:type="spellStart"/>
      <w:r w:rsidRPr="00B21AF4">
        <w:rPr>
          <w:rFonts w:cs="Times New Roman"/>
          <w:color w:val="000000" w:themeColor="text1"/>
          <w:szCs w:val="24"/>
        </w:rPr>
        <w:t>Riro</w:t>
      </w:r>
      <w:proofErr w:type="spellEnd"/>
      <w:r w:rsidRPr="00B21AF4">
        <w:rPr>
          <w:rFonts w:cs="Times New Roman"/>
          <w:color w:val="000000" w:themeColor="text1"/>
          <w:szCs w:val="24"/>
        </w:rPr>
        <w:t xml:space="preserve"> et al., 2024). Collectively, these microfinance interventions synergistically enhance women’s financial empowerment by combining access to finance with capacity-building support</w:t>
      </w:r>
      <w:r w:rsidR="00151266" w:rsidRPr="00151266">
        <w:rPr>
          <w:rFonts w:cs="Times New Roman"/>
          <w:color w:val="000000" w:themeColor="text1"/>
          <w:szCs w:val="24"/>
        </w:rPr>
        <w:t>.</w:t>
      </w:r>
    </w:p>
    <w:p w14:paraId="0930CC08" w14:textId="77777777" w:rsidR="008D472A" w:rsidRPr="007A56B8" w:rsidRDefault="008D472A" w:rsidP="00B21AF4">
      <w:pPr>
        <w:spacing w:before="0" w:after="160" w:line="259" w:lineRule="auto"/>
        <w:rPr>
          <w:rFonts w:cs="Times New Roman"/>
          <w:color w:val="000000" w:themeColor="text1"/>
          <w:szCs w:val="24"/>
        </w:rPr>
      </w:pPr>
    </w:p>
    <w:p w14:paraId="35BCEF5F" w14:textId="45B594DB" w:rsidR="00055D83" w:rsidRPr="007A56B8" w:rsidRDefault="00055D83" w:rsidP="002C6F25">
      <w:pPr>
        <w:spacing w:line="240" w:lineRule="auto"/>
        <w:rPr>
          <w:rFonts w:cs="Times New Roman"/>
          <w:b/>
          <w:bCs/>
          <w:color w:val="000000" w:themeColor="text1"/>
          <w:sz w:val="28"/>
          <w:szCs w:val="28"/>
        </w:rPr>
      </w:pPr>
      <w:r w:rsidRPr="007A56B8">
        <w:rPr>
          <w:rFonts w:cs="Times New Roman"/>
          <w:b/>
          <w:bCs/>
          <w:color w:val="000000" w:themeColor="text1"/>
          <w:sz w:val="28"/>
          <w:szCs w:val="28"/>
        </w:rPr>
        <w:lastRenderedPageBreak/>
        <w:t>3.0 METHODOLOGY</w:t>
      </w:r>
    </w:p>
    <w:p w14:paraId="410736A3" w14:textId="7CC2369E" w:rsidR="00B21AF4" w:rsidRPr="00B21AF4" w:rsidRDefault="00B21AF4" w:rsidP="00B21AF4">
      <w:pPr>
        <w:spacing w:after="160" w:line="259" w:lineRule="auto"/>
        <w:rPr>
          <w:rFonts w:cs="Times New Roman"/>
          <w:color w:val="000000" w:themeColor="text1"/>
          <w:szCs w:val="24"/>
        </w:rPr>
      </w:pPr>
      <w:r w:rsidRPr="00B21AF4">
        <w:rPr>
          <w:rFonts w:cs="Times New Roman"/>
          <w:color w:val="000000" w:themeColor="text1"/>
          <w:szCs w:val="24"/>
        </w:rPr>
        <w:t>The study adopted a survey research design, which provides a structured and systematic approach to gather quantitative data from a large population. This design is suitable for identifying correlations among variables within a defined population and enables generalization of results. The survey method was preferred because it allows standardized data collection, cost-effectiveness, and statistical analysis, enhancing objectivity and comparability of findings (Creswell &amp; Creswell</w:t>
      </w:r>
      <w:r w:rsidR="008D472A">
        <w:rPr>
          <w:rFonts w:cs="Times New Roman"/>
          <w:color w:val="000000" w:themeColor="text1"/>
          <w:szCs w:val="24"/>
        </w:rPr>
        <w:t>, 2018; Saunders et al., 2019).</w:t>
      </w:r>
    </w:p>
    <w:p w14:paraId="2B633EFE" w14:textId="7790A4B8" w:rsidR="00B21AF4" w:rsidRPr="00B21AF4" w:rsidRDefault="00B21AF4" w:rsidP="00B21AF4">
      <w:pPr>
        <w:spacing w:after="160" w:line="259" w:lineRule="auto"/>
        <w:rPr>
          <w:rFonts w:cs="Times New Roman"/>
          <w:color w:val="000000" w:themeColor="text1"/>
          <w:szCs w:val="24"/>
        </w:rPr>
      </w:pPr>
      <w:r w:rsidRPr="00B21AF4">
        <w:rPr>
          <w:rFonts w:cs="Times New Roman"/>
          <w:color w:val="000000" w:themeColor="text1"/>
          <w:szCs w:val="24"/>
        </w:rPr>
        <w:t xml:space="preserve">The target population comprised 735 registered women-owned businesses in </w:t>
      </w:r>
      <w:proofErr w:type="spellStart"/>
      <w:r w:rsidRPr="00B21AF4">
        <w:rPr>
          <w:rFonts w:cs="Times New Roman"/>
          <w:color w:val="000000" w:themeColor="text1"/>
          <w:szCs w:val="24"/>
        </w:rPr>
        <w:t>Eldama</w:t>
      </w:r>
      <w:proofErr w:type="spellEnd"/>
      <w:r w:rsidRPr="00B21AF4">
        <w:rPr>
          <w:rFonts w:cs="Times New Roman"/>
          <w:color w:val="000000" w:themeColor="text1"/>
          <w:szCs w:val="24"/>
        </w:rPr>
        <w:t xml:space="preserve"> Ravine Sub-County, Baringo County, as obtained from Microfinance Institution (MFI) databases (2022). These businesses included wholesale shops, beauty parlors, grocery stores, clothing and design enterprises, hair salons, restaurants, hardware shops, workshops, entertainment centers, educational institutions, and ICT firms. While the unit of observation was the business, the unit of analysis was the </w:t>
      </w:r>
      <w:r w:rsidR="008D472A">
        <w:rPr>
          <w:rFonts w:cs="Times New Roman"/>
          <w:color w:val="000000" w:themeColor="text1"/>
          <w:szCs w:val="24"/>
        </w:rPr>
        <w:t>woman entrepreneur managing it.</w:t>
      </w:r>
    </w:p>
    <w:p w14:paraId="211DCFCE" w14:textId="7051EADA" w:rsidR="00B21AF4" w:rsidRPr="00B21AF4" w:rsidRDefault="00B21AF4" w:rsidP="00B21AF4">
      <w:pPr>
        <w:spacing w:after="160" w:line="259" w:lineRule="auto"/>
        <w:rPr>
          <w:rFonts w:cs="Times New Roman"/>
          <w:color w:val="000000" w:themeColor="text1"/>
          <w:szCs w:val="24"/>
        </w:rPr>
      </w:pPr>
      <w:r w:rsidRPr="00B21AF4">
        <w:rPr>
          <w:rFonts w:cs="Times New Roman"/>
          <w:color w:val="000000" w:themeColor="text1"/>
          <w:szCs w:val="24"/>
        </w:rPr>
        <w:t>To ensure fair representation, the study used probability sampling, specifically stratified random sampling. Business categories formed the strata, from which respondents were selected using simple random sampling to minimize bias and sampling error. Using Slovin’s formula (1960) with a 7.5% margin of error, a sample size of 144 respondents was derived from the total population of 735. Proportionate allocation ensured each stratum contributed participants relative to its population size, guaranteeing balanced represen</w:t>
      </w:r>
      <w:r w:rsidR="008D472A">
        <w:rPr>
          <w:rFonts w:cs="Times New Roman"/>
          <w:color w:val="000000" w:themeColor="text1"/>
          <w:szCs w:val="24"/>
        </w:rPr>
        <w:t>tation of all business sectors.</w:t>
      </w:r>
    </w:p>
    <w:p w14:paraId="6A28C24D" w14:textId="77EDC086" w:rsidR="00B21AF4" w:rsidRPr="00B21AF4" w:rsidRDefault="00B21AF4" w:rsidP="00B21AF4">
      <w:pPr>
        <w:spacing w:after="160" w:line="259" w:lineRule="auto"/>
        <w:rPr>
          <w:rFonts w:cs="Times New Roman"/>
          <w:color w:val="000000" w:themeColor="text1"/>
          <w:szCs w:val="24"/>
        </w:rPr>
      </w:pPr>
      <w:r w:rsidRPr="00B21AF4">
        <w:rPr>
          <w:rFonts w:cs="Times New Roman"/>
          <w:color w:val="000000" w:themeColor="text1"/>
          <w:szCs w:val="24"/>
        </w:rPr>
        <w:t>Data were collected using structured questionnaires, which provided uniformity, reduced bias, and enhanced reliability. The instrument consisted of both closed-ended and Likert-scale questions. Section A captured demographic details such as age, education, and business experience, while subsequent sections addressed the key study variables</w:t>
      </w:r>
      <w:r w:rsidR="008D472A">
        <w:rPr>
          <w:rFonts w:cs="Times New Roman"/>
          <w:color w:val="000000" w:themeColor="text1"/>
          <w:szCs w:val="24"/>
        </w:rPr>
        <w:t xml:space="preserve"> </w:t>
      </w:r>
      <w:r w:rsidRPr="00B21AF4">
        <w:rPr>
          <w:rFonts w:cs="Times New Roman"/>
          <w:color w:val="000000" w:themeColor="text1"/>
          <w:szCs w:val="24"/>
        </w:rPr>
        <w:t>microcredit, micro-savings, business development services, advisory and consultancy, and financial empowerment. Respondents completed the questionnaires independently, with trained enumerators available</w:t>
      </w:r>
      <w:r w:rsidR="008D472A">
        <w:rPr>
          <w:rFonts w:cs="Times New Roman"/>
          <w:color w:val="000000" w:themeColor="text1"/>
          <w:szCs w:val="24"/>
        </w:rPr>
        <w:t xml:space="preserve"> for assistance when necessary.</w:t>
      </w:r>
    </w:p>
    <w:p w14:paraId="467D667A" w14:textId="0503FEA9" w:rsidR="00B21AF4" w:rsidRPr="00B21AF4" w:rsidRDefault="00B21AF4" w:rsidP="00B21AF4">
      <w:pPr>
        <w:spacing w:after="160" w:line="259" w:lineRule="auto"/>
        <w:rPr>
          <w:rFonts w:cs="Times New Roman"/>
          <w:color w:val="000000" w:themeColor="text1"/>
          <w:szCs w:val="24"/>
        </w:rPr>
      </w:pPr>
      <w:r w:rsidRPr="00B21AF4">
        <w:rPr>
          <w:rFonts w:cs="Times New Roman"/>
          <w:color w:val="000000" w:themeColor="text1"/>
          <w:szCs w:val="24"/>
        </w:rPr>
        <w:t>A pilot study was carried out in Baringo Central Sub-County to assess the questionnaire’s clarity, reliability, and validity before the main survey. Twenty-six respondents participated, helping refine the instrument’s structure and wording. Reliability was tested using Cronbach’s alpha, and all constructs exceeded the recommended threshold of 0.70, confirming internal consistency. Specifically, the reliability coefficients were: microcredit (.964), micro-savings (.923), business development services (.992), advisory and consultancy (.703), and women’s empowerment (.839), yielding an overall alpha of .962. Content validity was ensured through expert review by academic supervisors and microfinance specialists. Experts verified the questionnaire’s alignment with the research objectives, and the Content Validity Ratio (CVR) confirmed that</w:t>
      </w:r>
      <w:r w:rsidR="008D472A">
        <w:rPr>
          <w:rFonts w:cs="Times New Roman"/>
          <w:color w:val="000000" w:themeColor="text1"/>
          <w:szCs w:val="24"/>
        </w:rPr>
        <w:t xml:space="preserve"> all retained items were valid.</w:t>
      </w:r>
    </w:p>
    <w:p w14:paraId="1B5C84A1" w14:textId="2FCE86EE" w:rsidR="00B21AF4" w:rsidRPr="00B21AF4" w:rsidRDefault="00B21AF4" w:rsidP="00B21AF4">
      <w:pPr>
        <w:spacing w:after="160" w:line="259" w:lineRule="auto"/>
        <w:rPr>
          <w:rFonts w:cs="Times New Roman"/>
          <w:color w:val="000000" w:themeColor="text1"/>
          <w:szCs w:val="24"/>
        </w:rPr>
      </w:pPr>
      <w:r w:rsidRPr="00B21AF4">
        <w:rPr>
          <w:rFonts w:cs="Times New Roman"/>
          <w:color w:val="000000" w:themeColor="text1"/>
          <w:szCs w:val="24"/>
        </w:rPr>
        <w:t>Data were collected using a drop-and-pick method, which allowed flexibility for respondents to complete the questionnaires at their convenience, improving the response rate. Trained research assistants supported data administration, particularly where literacy levels varied. Completed questionnaires were retrieved within agreed timelines to mainta</w:t>
      </w:r>
      <w:r w:rsidR="008D472A">
        <w:rPr>
          <w:rFonts w:cs="Times New Roman"/>
          <w:color w:val="000000" w:themeColor="text1"/>
          <w:szCs w:val="24"/>
        </w:rPr>
        <w:t>in data integrity.</w:t>
      </w:r>
    </w:p>
    <w:p w14:paraId="4758D66D" w14:textId="77777777" w:rsidR="00B21AF4" w:rsidRPr="00B21AF4" w:rsidRDefault="00B21AF4" w:rsidP="00B21AF4">
      <w:pPr>
        <w:spacing w:after="160" w:line="259" w:lineRule="auto"/>
        <w:rPr>
          <w:rFonts w:cs="Times New Roman"/>
          <w:color w:val="000000" w:themeColor="text1"/>
          <w:szCs w:val="24"/>
        </w:rPr>
      </w:pPr>
      <w:r w:rsidRPr="00B21AF4">
        <w:rPr>
          <w:rFonts w:cs="Times New Roman"/>
          <w:color w:val="000000" w:themeColor="text1"/>
          <w:szCs w:val="24"/>
        </w:rPr>
        <w:t>Data analysis involved editing, coding, classification, and tabulation to prepare for statistical evaluation. Descriptive statistics (frequencies, percentages, means, and standard deviations) summarized demographic data and business characteristics. Correlation analysis tested relationships among variables, while multiple regression analysis examined the effects of microcredit, micro-savings, business development services, and advisory and consultancy on women’s financial empowerment. The adopted regression model was:</w:t>
      </w:r>
    </w:p>
    <w:p w14:paraId="3626E771" w14:textId="77777777" w:rsidR="00B21AF4" w:rsidRPr="00B21AF4" w:rsidRDefault="00B21AF4" w:rsidP="00B21AF4">
      <w:pPr>
        <w:spacing w:after="160" w:line="259" w:lineRule="auto"/>
        <w:rPr>
          <w:rFonts w:cs="Times New Roman"/>
          <w:color w:val="000000" w:themeColor="text1"/>
          <w:szCs w:val="24"/>
        </w:rPr>
      </w:pPr>
      <w:r w:rsidRPr="00B21AF4">
        <w:rPr>
          <w:rFonts w:cs="Times New Roman"/>
          <w:color w:val="000000" w:themeColor="text1"/>
          <w:szCs w:val="24"/>
        </w:rPr>
        <w:t>Y = β₀ + β₁X₁ + β₂X₂ + β₃X₃ + β₄X₄ + ε</w:t>
      </w:r>
    </w:p>
    <w:p w14:paraId="783F928E" w14:textId="0D696FAA" w:rsidR="00B21AF4" w:rsidRPr="00B21AF4" w:rsidRDefault="00B21AF4" w:rsidP="00B21AF4">
      <w:pPr>
        <w:spacing w:after="160" w:line="259" w:lineRule="auto"/>
        <w:rPr>
          <w:rFonts w:cs="Times New Roman"/>
          <w:color w:val="000000" w:themeColor="text1"/>
          <w:szCs w:val="24"/>
        </w:rPr>
      </w:pPr>
      <w:r w:rsidRPr="00B21AF4">
        <w:rPr>
          <w:rFonts w:cs="Times New Roman"/>
          <w:color w:val="000000" w:themeColor="text1"/>
          <w:szCs w:val="24"/>
        </w:rPr>
        <w:lastRenderedPageBreak/>
        <w:t>where Y represents financial empowerment, X₁–X₄ denote the independent variables, β values are coefficients, and ε is the error term. Results were presented in tables and figures</w:t>
      </w:r>
      <w:r w:rsidR="008D472A">
        <w:rPr>
          <w:rFonts w:cs="Times New Roman"/>
          <w:color w:val="000000" w:themeColor="text1"/>
          <w:szCs w:val="24"/>
        </w:rPr>
        <w:t xml:space="preserve"> for clarity and comparability.</w:t>
      </w:r>
    </w:p>
    <w:p w14:paraId="5360E99D" w14:textId="0380B11A" w:rsidR="00B21AF4" w:rsidRPr="00B21AF4" w:rsidRDefault="00B21AF4" w:rsidP="00B21AF4">
      <w:pPr>
        <w:spacing w:after="160" w:line="259" w:lineRule="auto"/>
        <w:rPr>
          <w:rFonts w:cs="Times New Roman"/>
          <w:color w:val="000000" w:themeColor="text1"/>
          <w:szCs w:val="24"/>
        </w:rPr>
      </w:pPr>
      <w:r w:rsidRPr="00B21AF4">
        <w:rPr>
          <w:rFonts w:cs="Times New Roman"/>
          <w:color w:val="000000" w:themeColor="text1"/>
          <w:szCs w:val="24"/>
        </w:rPr>
        <w:t xml:space="preserve">Variables were operationalized according to the research objectives. Microcredit was measured using indicators such as loan size, repayment terms, and interest rates; micro-savings by savings frequency and withdrawal flexibility; business development services by training and auditing support; and advisory services by financial literacy and management training. Financial empowerment was assessed through income growth, decision-making </w:t>
      </w:r>
      <w:r w:rsidR="008D472A">
        <w:rPr>
          <w:rFonts w:cs="Times New Roman"/>
          <w:color w:val="000000" w:themeColor="text1"/>
          <w:szCs w:val="24"/>
        </w:rPr>
        <w:t>authority, and asset ownership.</w:t>
      </w:r>
    </w:p>
    <w:p w14:paraId="68ECED9B" w14:textId="50D4F2A2" w:rsidR="009B3203" w:rsidRPr="007A56B8" w:rsidRDefault="00B21AF4" w:rsidP="00B21AF4">
      <w:pPr>
        <w:spacing w:after="160" w:line="259" w:lineRule="auto"/>
        <w:rPr>
          <w:rFonts w:cs="Times New Roman"/>
          <w:color w:val="000000" w:themeColor="text1"/>
          <w:szCs w:val="24"/>
        </w:rPr>
      </w:pPr>
      <w:r w:rsidRPr="00B21AF4">
        <w:rPr>
          <w:rFonts w:cs="Times New Roman"/>
          <w:color w:val="000000" w:themeColor="text1"/>
          <w:szCs w:val="24"/>
        </w:rPr>
        <w:t>Ethical integrity guided the entire process. Approval was obtained from the University Ethics Board and NACOSTI. Participants were informed of the study’s objectives and provided voluntary consent, with the right to withdraw at any point. Confidentiality and anonymity were ensured through coding and secure data storage. No names were recorded, and findings were used solely for academic purposes. The research adhered to international ethical principles of respect, benef</w:t>
      </w:r>
      <w:r>
        <w:rPr>
          <w:rFonts w:cs="Times New Roman"/>
          <w:color w:val="000000" w:themeColor="text1"/>
          <w:szCs w:val="24"/>
        </w:rPr>
        <w:t>icence, and justice (WHO, 2022)</w:t>
      </w:r>
      <w:r w:rsidRPr="00B21AF4">
        <w:rPr>
          <w:rFonts w:cs="Times New Roman"/>
          <w:color w:val="000000" w:themeColor="text1"/>
          <w:szCs w:val="24"/>
        </w:rPr>
        <w:t>, this study employed a robust, ethically grounded, and statistically rigorous methodology to examine how microfinance interventions</w:t>
      </w:r>
      <w:r w:rsidR="008D472A">
        <w:rPr>
          <w:rFonts w:cs="Times New Roman"/>
          <w:color w:val="000000" w:themeColor="text1"/>
          <w:szCs w:val="24"/>
        </w:rPr>
        <w:t xml:space="preserve"> </w:t>
      </w:r>
      <w:r w:rsidRPr="00B21AF4">
        <w:rPr>
          <w:rFonts w:cs="Times New Roman"/>
          <w:color w:val="000000" w:themeColor="text1"/>
          <w:szCs w:val="24"/>
        </w:rPr>
        <w:t>through credit, savings, training, and advisory services</w:t>
      </w:r>
      <w:r w:rsidR="008D472A">
        <w:rPr>
          <w:rFonts w:cs="Times New Roman"/>
          <w:color w:val="000000" w:themeColor="text1"/>
          <w:szCs w:val="24"/>
        </w:rPr>
        <w:t xml:space="preserve"> </w:t>
      </w:r>
      <w:r w:rsidRPr="00B21AF4">
        <w:rPr>
          <w:rFonts w:cs="Times New Roman"/>
          <w:color w:val="000000" w:themeColor="text1"/>
          <w:szCs w:val="24"/>
        </w:rPr>
        <w:t xml:space="preserve">affect the financial empowerment of women entrepreneurs in </w:t>
      </w:r>
      <w:proofErr w:type="spellStart"/>
      <w:r w:rsidRPr="00B21AF4">
        <w:rPr>
          <w:rFonts w:cs="Times New Roman"/>
          <w:color w:val="000000" w:themeColor="text1"/>
          <w:szCs w:val="24"/>
        </w:rPr>
        <w:t>Eldama</w:t>
      </w:r>
      <w:proofErr w:type="spellEnd"/>
      <w:r w:rsidRPr="00B21AF4">
        <w:rPr>
          <w:rFonts w:cs="Times New Roman"/>
          <w:color w:val="000000" w:themeColor="text1"/>
          <w:szCs w:val="24"/>
        </w:rPr>
        <w:t xml:space="preserve"> Ravine Sub-County.</w:t>
      </w:r>
    </w:p>
    <w:p w14:paraId="7C961926" w14:textId="77777777" w:rsidR="00B55CEF" w:rsidRPr="007A56B8" w:rsidRDefault="00B55CEF">
      <w:pPr>
        <w:spacing w:before="0" w:after="160" w:line="259" w:lineRule="auto"/>
        <w:jc w:val="left"/>
        <w:rPr>
          <w:b/>
          <w:bCs/>
          <w:color w:val="000000" w:themeColor="text1"/>
          <w:sz w:val="28"/>
          <w:szCs w:val="24"/>
        </w:rPr>
      </w:pPr>
      <w:r w:rsidRPr="007A56B8">
        <w:rPr>
          <w:b/>
          <w:bCs/>
          <w:color w:val="000000" w:themeColor="text1"/>
          <w:sz w:val="28"/>
          <w:szCs w:val="24"/>
        </w:rPr>
        <w:br w:type="page"/>
      </w:r>
    </w:p>
    <w:p w14:paraId="14C2E9C9" w14:textId="12B2C7C2" w:rsidR="00055D83" w:rsidRDefault="002B2D3C" w:rsidP="00711AB4">
      <w:pPr>
        <w:spacing w:before="0"/>
        <w:rPr>
          <w:b/>
          <w:bCs/>
          <w:color w:val="000000" w:themeColor="text1"/>
          <w:sz w:val="28"/>
          <w:szCs w:val="24"/>
        </w:rPr>
      </w:pPr>
      <w:r w:rsidRPr="007A56B8">
        <w:rPr>
          <w:b/>
          <w:bCs/>
          <w:color w:val="000000" w:themeColor="text1"/>
          <w:sz w:val="28"/>
          <w:szCs w:val="24"/>
        </w:rPr>
        <w:lastRenderedPageBreak/>
        <w:t xml:space="preserve">4.0 </w:t>
      </w:r>
      <w:r w:rsidR="00055D83" w:rsidRPr="007A56B8">
        <w:rPr>
          <w:b/>
          <w:bCs/>
          <w:color w:val="000000" w:themeColor="text1"/>
          <w:sz w:val="28"/>
          <w:szCs w:val="24"/>
        </w:rPr>
        <w:t xml:space="preserve">RESULTS </w:t>
      </w:r>
      <w:r w:rsidR="00C22AD2">
        <w:rPr>
          <w:b/>
          <w:bCs/>
          <w:color w:val="000000" w:themeColor="text1"/>
          <w:sz w:val="28"/>
          <w:szCs w:val="24"/>
        </w:rPr>
        <w:t>AND DISCSUSSION</w:t>
      </w:r>
    </w:p>
    <w:p w14:paraId="49D5AEF8" w14:textId="6F208E11" w:rsidR="00711AB4" w:rsidRPr="00711AB4" w:rsidRDefault="00711AB4" w:rsidP="00711AB4">
      <w:pPr>
        <w:spacing w:before="0"/>
        <w:rPr>
          <w:b/>
          <w:bCs/>
          <w:i/>
          <w:iCs/>
          <w:color w:val="000000" w:themeColor="text1"/>
          <w:sz w:val="28"/>
          <w:szCs w:val="24"/>
        </w:rPr>
      </w:pPr>
      <w:r w:rsidRPr="00711AB4">
        <w:rPr>
          <w:b/>
          <w:bCs/>
          <w:i/>
          <w:iCs/>
          <w:color w:val="000000" w:themeColor="text1"/>
          <w:sz w:val="28"/>
          <w:szCs w:val="24"/>
        </w:rPr>
        <w:t>Response Rate</w:t>
      </w:r>
    </w:p>
    <w:p w14:paraId="4C545711" w14:textId="0F528870" w:rsidR="00711AB4" w:rsidRDefault="00D530BF" w:rsidP="00711AB4">
      <w:pPr>
        <w:spacing w:before="0" w:line="240" w:lineRule="auto"/>
      </w:pPr>
      <w:r w:rsidRPr="00D530BF">
        <w:t>A total of 144 questionnaires were distributed and all were completed and returned, achieving a 100% response rate. This exceptionally high rate eliminated non-response bias, enhanced statistical validity, and strengthened the generalizability of the findings. Although large datasets may present challenges in data management, the study ensured data integrity through systematic cleansing, double-entry validation, and standardized analysis using SPSS, thereby maintaining high data quality and reliability of the results.</w:t>
      </w:r>
    </w:p>
    <w:p w14:paraId="3D485ED2" w14:textId="77777777" w:rsidR="00711AB4" w:rsidRDefault="00711AB4" w:rsidP="00711AB4">
      <w:pPr>
        <w:spacing w:before="0" w:line="240" w:lineRule="auto"/>
      </w:pPr>
    </w:p>
    <w:p w14:paraId="3AFCC242" w14:textId="560CFFF9" w:rsidR="00711AB4" w:rsidRDefault="00711AB4" w:rsidP="00711AB4">
      <w:pPr>
        <w:spacing w:before="0" w:line="240" w:lineRule="auto"/>
        <w:rPr>
          <w:b/>
          <w:bCs/>
          <w:i/>
          <w:iCs/>
        </w:rPr>
      </w:pPr>
      <w:r w:rsidRPr="00711AB4">
        <w:rPr>
          <w:b/>
          <w:bCs/>
          <w:i/>
          <w:iCs/>
        </w:rPr>
        <w:t>Table 1: Response rate</w:t>
      </w:r>
    </w:p>
    <w:tbl>
      <w:tblPr>
        <w:tblStyle w:val="TableGrid0"/>
        <w:tblW w:w="8165" w:type="dxa"/>
        <w:tblInd w:w="34" w:type="dxa"/>
        <w:tblCellMar>
          <w:top w:w="7" w:type="dxa"/>
          <w:left w:w="115" w:type="dxa"/>
          <w:right w:w="115" w:type="dxa"/>
        </w:tblCellMar>
        <w:tblLook w:val="04A0" w:firstRow="1" w:lastRow="0" w:firstColumn="1" w:lastColumn="0" w:noHBand="0" w:noVBand="1"/>
      </w:tblPr>
      <w:tblGrid>
        <w:gridCol w:w="4674"/>
        <w:gridCol w:w="2217"/>
        <w:gridCol w:w="1274"/>
      </w:tblGrid>
      <w:tr w:rsidR="00D530BF" w:rsidRPr="008651D0" w14:paraId="21198C82" w14:textId="77777777" w:rsidTr="00C46529">
        <w:trPr>
          <w:trHeight w:val="286"/>
        </w:trPr>
        <w:tc>
          <w:tcPr>
            <w:tcW w:w="4674" w:type="dxa"/>
            <w:tcBorders>
              <w:top w:val="single" w:sz="4" w:space="0" w:color="000000"/>
              <w:left w:val="single" w:sz="4" w:space="0" w:color="000000"/>
              <w:bottom w:val="single" w:sz="4" w:space="0" w:color="000000"/>
              <w:right w:val="single" w:sz="4" w:space="0" w:color="000000"/>
            </w:tcBorders>
          </w:tcPr>
          <w:p w14:paraId="2B354F93" w14:textId="77777777" w:rsidR="00D530BF" w:rsidRPr="008651D0" w:rsidRDefault="00D530BF" w:rsidP="00D530BF">
            <w:pPr>
              <w:spacing w:before="0" w:line="240" w:lineRule="auto"/>
              <w:ind w:right="6"/>
              <w:rPr>
                <w:szCs w:val="24"/>
              </w:rPr>
            </w:pPr>
            <w:r w:rsidRPr="008651D0">
              <w:rPr>
                <w:b/>
                <w:szCs w:val="24"/>
              </w:rPr>
              <w:t xml:space="preserve">Women Entrepreneurs by Region </w:t>
            </w:r>
          </w:p>
        </w:tc>
        <w:tc>
          <w:tcPr>
            <w:tcW w:w="2217" w:type="dxa"/>
            <w:tcBorders>
              <w:top w:val="single" w:sz="4" w:space="0" w:color="000000"/>
              <w:left w:val="single" w:sz="4" w:space="0" w:color="000000"/>
              <w:bottom w:val="single" w:sz="4" w:space="0" w:color="000000"/>
              <w:right w:val="single" w:sz="4" w:space="0" w:color="000000"/>
            </w:tcBorders>
          </w:tcPr>
          <w:p w14:paraId="373A9238" w14:textId="77777777" w:rsidR="00D530BF" w:rsidRPr="008651D0" w:rsidRDefault="00D530BF" w:rsidP="00D530BF">
            <w:pPr>
              <w:spacing w:before="0" w:line="240" w:lineRule="auto"/>
              <w:ind w:right="2"/>
              <w:rPr>
                <w:szCs w:val="24"/>
              </w:rPr>
            </w:pPr>
            <w:r w:rsidRPr="008651D0">
              <w:rPr>
                <w:b/>
                <w:szCs w:val="24"/>
              </w:rPr>
              <w:t xml:space="preserve">Number </w:t>
            </w:r>
          </w:p>
        </w:tc>
        <w:tc>
          <w:tcPr>
            <w:tcW w:w="1274" w:type="dxa"/>
            <w:tcBorders>
              <w:top w:val="single" w:sz="4" w:space="0" w:color="000000"/>
              <w:left w:val="single" w:sz="4" w:space="0" w:color="000000"/>
              <w:bottom w:val="single" w:sz="4" w:space="0" w:color="000000"/>
              <w:right w:val="single" w:sz="4" w:space="0" w:color="000000"/>
            </w:tcBorders>
          </w:tcPr>
          <w:p w14:paraId="5D0843B0" w14:textId="77777777" w:rsidR="00D530BF" w:rsidRPr="008651D0" w:rsidRDefault="00D530BF" w:rsidP="00D530BF">
            <w:pPr>
              <w:spacing w:before="0" w:line="240" w:lineRule="auto"/>
              <w:ind w:right="2"/>
              <w:rPr>
                <w:szCs w:val="24"/>
              </w:rPr>
            </w:pPr>
            <w:r w:rsidRPr="008651D0">
              <w:rPr>
                <w:b/>
                <w:szCs w:val="24"/>
              </w:rPr>
              <w:t xml:space="preserve">% </w:t>
            </w:r>
          </w:p>
        </w:tc>
      </w:tr>
      <w:tr w:rsidR="00D530BF" w:rsidRPr="008651D0" w14:paraId="1A039E22" w14:textId="77777777" w:rsidTr="00C46529">
        <w:trPr>
          <w:trHeight w:val="286"/>
        </w:trPr>
        <w:tc>
          <w:tcPr>
            <w:tcW w:w="4674" w:type="dxa"/>
            <w:tcBorders>
              <w:top w:val="single" w:sz="4" w:space="0" w:color="000000"/>
              <w:left w:val="single" w:sz="4" w:space="0" w:color="000000"/>
              <w:bottom w:val="single" w:sz="4" w:space="0" w:color="000000"/>
              <w:right w:val="single" w:sz="4" w:space="0" w:color="000000"/>
            </w:tcBorders>
          </w:tcPr>
          <w:p w14:paraId="6C301B56" w14:textId="77777777" w:rsidR="00D530BF" w:rsidRPr="008651D0" w:rsidRDefault="00D530BF" w:rsidP="00D530BF">
            <w:pPr>
              <w:spacing w:before="0" w:line="240" w:lineRule="auto"/>
              <w:ind w:right="3"/>
              <w:rPr>
                <w:szCs w:val="24"/>
              </w:rPr>
            </w:pPr>
            <w:proofErr w:type="spellStart"/>
            <w:r w:rsidRPr="008651D0">
              <w:rPr>
                <w:szCs w:val="24"/>
              </w:rPr>
              <w:t>Koibatek</w:t>
            </w:r>
            <w:proofErr w:type="spellEnd"/>
            <w:r w:rsidRPr="008651D0">
              <w:rPr>
                <w:szCs w:val="24"/>
              </w:rPr>
              <w:t xml:space="preserve"> </w:t>
            </w:r>
          </w:p>
        </w:tc>
        <w:tc>
          <w:tcPr>
            <w:tcW w:w="2217" w:type="dxa"/>
            <w:tcBorders>
              <w:top w:val="single" w:sz="4" w:space="0" w:color="000000"/>
              <w:left w:val="single" w:sz="4" w:space="0" w:color="000000"/>
              <w:bottom w:val="single" w:sz="4" w:space="0" w:color="000000"/>
              <w:right w:val="single" w:sz="4" w:space="0" w:color="000000"/>
            </w:tcBorders>
          </w:tcPr>
          <w:p w14:paraId="0C95905B" w14:textId="77777777" w:rsidR="00D530BF" w:rsidRPr="008651D0" w:rsidRDefault="00D530BF" w:rsidP="00D530BF">
            <w:pPr>
              <w:spacing w:before="0" w:line="240" w:lineRule="auto"/>
              <w:rPr>
                <w:szCs w:val="24"/>
              </w:rPr>
            </w:pPr>
            <w:r w:rsidRPr="008651D0">
              <w:rPr>
                <w:szCs w:val="24"/>
              </w:rPr>
              <w:t xml:space="preserve">30 </w:t>
            </w:r>
          </w:p>
        </w:tc>
        <w:tc>
          <w:tcPr>
            <w:tcW w:w="1274" w:type="dxa"/>
            <w:tcBorders>
              <w:top w:val="single" w:sz="4" w:space="0" w:color="000000"/>
              <w:left w:val="single" w:sz="4" w:space="0" w:color="000000"/>
              <w:bottom w:val="single" w:sz="4" w:space="0" w:color="000000"/>
              <w:right w:val="single" w:sz="4" w:space="0" w:color="000000"/>
            </w:tcBorders>
          </w:tcPr>
          <w:p w14:paraId="60CFABED" w14:textId="77777777" w:rsidR="00D530BF" w:rsidRPr="008651D0" w:rsidRDefault="00D530BF" w:rsidP="00D530BF">
            <w:pPr>
              <w:spacing w:before="0" w:line="240" w:lineRule="auto"/>
              <w:ind w:right="2"/>
              <w:rPr>
                <w:szCs w:val="24"/>
              </w:rPr>
            </w:pPr>
            <w:r w:rsidRPr="008651D0">
              <w:rPr>
                <w:szCs w:val="24"/>
              </w:rPr>
              <w:t xml:space="preserve">21 </w:t>
            </w:r>
          </w:p>
        </w:tc>
      </w:tr>
      <w:tr w:rsidR="00D530BF" w:rsidRPr="008651D0" w14:paraId="52C68F19" w14:textId="77777777" w:rsidTr="00C46529">
        <w:trPr>
          <w:trHeight w:val="286"/>
        </w:trPr>
        <w:tc>
          <w:tcPr>
            <w:tcW w:w="4674" w:type="dxa"/>
            <w:tcBorders>
              <w:top w:val="single" w:sz="4" w:space="0" w:color="000000"/>
              <w:left w:val="single" w:sz="4" w:space="0" w:color="000000"/>
              <w:bottom w:val="single" w:sz="4" w:space="0" w:color="000000"/>
              <w:right w:val="single" w:sz="4" w:space="0" w:color="000000"/>
            </w:tcBorders>
          </w:tcPr>
          <w:p w14:paraId="17D63B92" w14:textId="77777777" w:rsidR="00D530BF" w:rsidRPr="008651D0" w:rsidRDefault="00D530BF" w:rsidP="00D530BF">
            <w:pPr>
              <w:spacing w:before="0" w:line="240" w:lineRule="auto"/>
              <w:ind w:right="6"/>
              <w:rPr>
                <w:szCs w:val="24"/>
              </w:rPr>
            </w:pPr>
            <w:proofErr w:type="spellStart"/>
            <w:r w:rsidRPr="008651D0">
              <w:rPr>
                <w:szCs w:val="24"/>
              </w:rPr>
              <w:t>Lembus</w:t>
            </w:r>
            <w:proofErr w:type="spellEnd"/>
            <w:r w:rsidRPr="008651D0">
              <w:rPr>
                <w:szCs w:val="24"/>
              </w:rPr>
              <w:t xml:space="preserve"> Kwen </w:t>
            </w:r>
          </w:p>
        </w:tc>
        <w:tc>
          <w:tcPr>
            <w:tcW w:w="2217" w:type="dxa"/>
            <w:tcBorders>
              <w:top w:val="single" w:sz="4" w:space="0" w:color="000000"/>
              <w:left w:val="single" w:sz="4" w:space="0" w:color="000000"/>
              <w:bottom w:val="single" w:sz="4" w:space="0" w:color="000000"/>
              <w:right w:val="single" w:sz="4" w:space="0" w:color="000000"/>
            </w:tcBorders>
          </w:tcPr>
          <w:p w14:paraId="10B812E1" w14:textId="77777777" w:rsidR="00D530BF" w:rsidRPr="008651D0" w:rsidRDefault="00D530BF" w:rsidP="00D530BF">
            <w:pPr>
              <w:spacing w:before="0" w:line="240" w:lineRule="auto"/>
              <w:rPr>
                <w:szCs w:val="24"/>
              </w:rPr>
            </w:pPr>
            <w:r w:rsidRPr="008651D0">
              <w:rPr>
                <w:szCs w:val="24"/>
              </w:rPr>
              <w:t xml:space="preserve">25 </w:t>
            </w:r>
          </w:p>
        </w:tc>
        <w:tc>
          <w:tcPr>
            <w:tcW w:w="1274" w:type="dxa"/>
            <w:tcBorders>
              <w:top w:val="single" w:sz="4" w:space="0" w:color="000000"/>
              <w:left w:val="single" w:sz="4" w:space="0" w:color="000000"/>
              <w:bottom w:val="single" w:sz="4" w:space="0" w:color="000000"/>
              <w:right w:val="single" w:sz="4" w:space="0" w:color="000000"/>
            </w:tcBorders>
          </w:tcPr>
          <w:p w14:paraId="00B8F61E" w14:textId="77777777" w:rsidR="00D530BF" w:rsidRPr="008651D0" w:rsidRDefault="00D530BF" w:rsidP="00D530BF">
            <w:pPr>
              <w:spacing w:before="0" w:line="240" w:lineRule="auto"/>
              <w:ind w:right="2"/>
              <w:rPr>
                <w:szCs w:val="24"/>
              </w:rPr>
            </w:pPr>
            <w:r w:rsidRPr="008651D0">
              <w:rPr>
                <w:szCs w:val="24"/>
              </w:rPr>
              <w:t xml:space="preserve">17 </w:t>
            </w:r>
          </w:p>
        </w:tc>
      </w:tr>
      <w:tr w:rsidR="00D530BF" w:rsidRPr="008651D0" w14:paraId="4BEDC912" w14:textId="77777777" w:rsidTr="00C46529">
        <w:trPr>
          <w:trHeight w:val="288"/>
        </w:trPr>
        <w:tc>
          <w:tcPr>
            <w:tcW w:w="4674" w:type="dxa"/>
            <w:tcBorders>
              <w:top w:val="single" w:sz="4" w:space="0" w:color="000000"/>
              <w:left w:val="single" w:sz="4" w:space="0" w:color="000000"/>
              <w:bottom w:val="single" w:sz="4" w:space="0" w:color="000000"/>
              <w:right w:val="single" w:sz="4" w:space="0" w:color="000000"/>
            </w:tcBorders>
          </w:tcPr>
          <w:p w14:paraId="266CA6C0" w14:textId="77777777" w:rsidR="00D530BF" w:rsidRPr="008651D0" w:rsidRDefault="00D530BF" w:rsidP="00D530BF">
            <w:pPr>
              <w:spacing w:before="0" w:line="240" w:lineRule="auto"/>
              <w:rPr>
                <w:szCs w:val="24"/>
              </w:rPr>
            </w:pPr>
            <w:r w:rsidRPr="008651D0">
              <w:rPr>
                <w:szCs w:val="24"/>
              </w:rPr>
              <w:t xml:space="preserve">Ravine </w:t>
            </w:r>
          </w:p>
        </w:tc>
        <w:tc>
          <w:tcPr>
            <w:tcW w:w="2217" w:type="dxa"/>
            <w:tcBorders>
              <w:top w:val="single" w:sz="4" w:space="0" w:color="000000"/>
              <w:left w:val="single" w:sz="4" w:space="0" w:color="000000"/>
              <w:bottom w:val="single" w:sz="4" w:space="0" w:color="000000"/>
              <w:right w:val="single" w:sz="4" w:space="0" w:color="000000"/>
            </w:tcBorders>
          </w:tcPr>
          <w:p w14:paraId="3145CB93" w14:textId="77777777" w:rsidR="00D530BF" w:rsidRPr="008651D0" w:rsidRDefault="00D530BF" w:rsidP="00D530BF">
            <w:pPr>
              <w:spacing w:before="0" w:line="240" w:lineRule="auto"/>
              <w:rPr>
                <w:szCs w:val="24"/>
              </w:rPr>
            </w:pPr>
            <w:r w:rsidRPr="008651D0">
              <w:rPr>
                <w:szCs w:val="24"/>
              </w:rPr>
              <w:t xml:space="preserve">40 </w:t>
            </w:r>
          </w:p>
        </w:tc>
        <w:tc>
          <w:tcPr>
            <w:tcW w:w="1274" w:type="dxa"/>
            <w:tcBorders>
              <w:top w:val="single" w:sz="4" w:space="0" w:color="000000"/>
              <w:left w:val="single" w:sz="4" w:space="0" w:color="000000"/>
              <w:bottom w:val="single" w:sz="4" w:space="0" w:color="000000"/>
              <w:right w:val="single" w:sz="4" w:space="0" w:color="000000"/>
            </w:tcBorders>
          </w:tcPr>
          <w:p w14:paraId="5D9F863D" w14:textId="77777777" w:rsidR="00D530BF" w:rsidRPr="008651D0" w:rsidRDefault="00D530BF" w:rsidP="00D530BF">
            <w:pPr>
              <w:spacing w:before="0" w:line="240" w:lineRule="auto"/>
              <w:ind w:right="2"/>
              <w:rPr>
                <w:szCs w:val="24"/>
              </w:rPr>
            </w:pPr>
            <w:r w:rsidRPr="008651D0">
              <w:rPr>
                <w:szCs w:val="24"/>
              </w:rPr>
              <w:t xml:space="preserve">28 </w:t>
            </w:r>
          </w:p>
        </w:tc>
      </w:tr>
      <w:tr w:rsidR="00D530BF" w:rsidRPr="008651D0" w14:paraId="495B05BD" w14:textId="77777777" w:rsidTr="00C46529">
        <w:trPr>
          <w:trHeight w:val="286"/>
        </w:trPr>
        <w:tc>
          <w:tcPr>
            <w:tcW w:w="4674" w:type="dxa"/>
            <w:tcBorders>
              <w:top w:val="single" w:sz="4" w:space="0" w:color="000000"/>
              <w:left w:val="single" w:sz="4" w:space="0" w:color="000000"/>
              <w:bottom w:val="single" w:sz="4" w:space="0" w:color="000000"/>
              <w:right w:val="single" w:sz="4" w:space="0" w:color="000000"/>
            </w:tcBorders>
          </w:tcPr>
          <w:p w14:paraId="7C479B7D" w14:textId="77777777" w:rsidR="00D530BF" w:rsidRPr="008651D0" w:rsidRDefault="00D530BF" w:rsidP="00D530BF">
            <w:pPr>
              <w:spacing w:before="0" w:line="240" w:lineRule="auto"/>
              <w:ind w:right="1"/>
              <w:rPr>
                <w:szCs w:val="24"/>
              </w:rPr>
            </w:pPr>
            <w:r w:rsidRPr="008651D0">
              <w:rPr>
                <w:szCs w:val="24"/>
              </w:rPr>
              <w:t xml:space="preserve">Maji Mazuri </w:t>
            </w:r>
          </w:p>
        </w:tc>
        <w:tc>
          <w:tcPr>
            <w:tcW w:w="2217" w:type="dxa"/>
            <w:tcBorders>
              <w:top w:val="single" w:sz="4" w:space="0" w:color="000000"/>
              <w:left w:val="single" w:sz="4" w:space="0" w:color="000000"/>
              <w:bottom w:val="single" w:sz="4" w:space="0" w:color="000000"/>
              <w:right w:val="single" w:sz="4" w:space="0" w:color="000000"/>
            </w:tcBorders>
          </w:tcPr>
          <w:p w14:paraId="62251673" w14:textId="77777777" w:rsidR="00D530BF" w:rsidRPr="008651D0" w:rsidRDefault="00D530BF" w:rsidP="00D530BF">
            <w:pPr>
              <w:spacing w:before="0" w:line="240" w:lineRule="auto"/>
              <w:rPr>
                <w:szCs w:val="24"/>
              </w:rPr>
            </w:pPr>
            <w:r w:rsidRPr="008651D0">
              <w:rPr>
                <w:szCs w:val="24"/>
              </w:rPr>
              <w:t xml:space="preserve">24 </w:t>
            </w:r>
          </w:p>
        </w:tc>
        <w:tc>
          <w:tcPr>
            <w:tcW w:w="1274" w:type="dxa"/>
            <w:tcBorders>
              <w:top w:val="single" w:sz="4" w:space="0" w:color="000000"/>
              <w:left w:val="single" w:sz="4" w:space="0" w:color="000000"/>
              <w:bottom w:val="single" w:sz="4" w:space="0" w:color="000000"/>
              <w:right w:val="single" w:sz="4" w:space="0" w:color="000000"/>
            </w:tcBorders>
          </w:tcPr>
          <w:p w14:paraId="43DB2659" w14:textId="77777777" w:rsidR="00D530BF" w:rsidRPr="008651D0" w:rsidRDefault="00D530BF" w:rsidP="00D530BF">
            <w:pPr>
              <w:spacing w:before="0" w:line="240" w:lineRule="auto"/>
              <w:ind w:right="2"/>
              <w:rPr>
                <w:szCs w:val="24"/>
              </w:rPr>
            </w:pPr>
            <w:r w:rsidRPr="008651D0">
              <w:rPr>
                <w:szCs w:val="24"/>
              </w:rPr>
              <w:t xml:space="preserve">17 </w:t>
            </w:r>
          </w:p>
        </w:tc>
      </w:tr>
      <w:tr w:rsidR="00D530BF" w:rsidRPr="008651D0" w14:paraId="38D67CE4" w14:textId="77777777" w:rsidTr="00C46529">
        <w:trPr>
          <w:trHeight w:val="286"/>
        </w:trPr>
        <w:tc>
          <w:tcPr>
            <w:tcW w:w="4674" w:type="dxa"/>
            <w:tcBorders>
              <w:top w:val="single" w:sz="4" w:space="0" w:color="000000"/>
              <w:left w:val="single" w:sz="4" w:space="0" w:color="000000"/>
              <w:bottom w:val="single" w:sz="4" w:space="0" w:color="000000"/>
              <w:right w:val="single" w:sz="4" w:space="0" w:color="000000"/>
            </w:tcBorders>
          </w:tcPr>
          <w:p w14:paraId="43F80298" w14:textId="77777777" w:rsidR="00D530BF" w:rsidRPr="008651D0" w:rsidRDefault="00D530BF" w:rsidP="00D530BF">
            <w:pPr>
              <w:spacing w:before="0" w:line="240" w:lineRule="auto"/>
              <w:rPr>
                <w:szCs w:val="24"/>
              </w:rPr>
            </w:pPr>
            <w:proofErr w:type="spellStart"/>
            <w:r w:rsidRPr="008651D0">
              <w:rPr>
                <w:szCs w:val="24"/>
              </w:rPr>
              <w:t>Lembus</w:t>
            </w:r>
            <w:proofErr w:type="spellEnd"/>
            <w:r w:rsidRPr="008651D0">
              <w:rPr>
                <w:szCs w:val="24"/>
              </w:rPr>
              <w:t xml:space="preserve"> </w:t>
            </w:r>
            <w:proofErr w:type="spellStart"/>
            <w:r w:rsidRPr="008651D0">
              <w:rPr>
                <w:szCs w:val="24"/>
              </w:rPr>
              <w:t>Perkerra</w:t>
            </w:r>
            <w:proofErr w:type="spellEnd"/>
            <w:r w:rsidRPr="008651D0">
              <w:rPr>
                <w:szCs w:val="24"/>
              </w:rPr>
              <w:t xml:space="preserve"> </w:t>
            </w:r>
          </w:p>
        </w:tc>
        <w:tc>
          <w:tcPr>
            <w:tcW w:w="2217" w:type="dxa"/>
            <w:tcBorders>
              <w:top w:val="single" w:sz="4" w:space="0" w:color="000000"/>
              <w:left w:val="single" w:sz="4" w:space="0" w:color="000000"/>
              <w:bottom w:val="single" w:sz="4" w:space="0" w:color="000000"/>
              <w:right w:val="single" w:sz="4" w:space="0" w:color="000000"/>
            </w:tcBorders>
          </w:tcPr>
          <w:p w14:paraId="1C886061" w14:textId="77777777" w:rsidR="00D530BF" w:rsidRPr="008651D0" w:rsidRDefault="00D530BF" w:rsidP="00D530BF">
            <w:pPr>
              <w:spacing w:before="0" w:line="240" w:lineRule="auto"/>
              <w:rPr>
                <w:szCs w:val="24"/>
              </w:rPr>
            </w:pPr>
            <w:r w:rsidRPr="008651D0">
              <w:rPr>
                <w:szCs w:val="24"/>
              </w:rPr>
              <w:t xml:space="preserve">25 </w:t>
            </w:r>
          </w:p>
        </w:tc>
        <w:tc>
          <w:tcPr>
            <w:tcW w:w="1274" w:type="dxa"/>
            <w:tcBorders>
              <w:top w:val="single" w:sz="4" w:space="0" w:color="000000"/>
              <w:left w:val="single" w:sz="4" w:space="0" w:color="000000"/>
              <w:bottom w:val="single" w:sz="4" w:space="0" w:color="000000"/>
              <w:right w:val="single" w:sz="4" w:space="0" w:color="000000"/>
            </w:tcBorders>
          </w:tcPr>
          <w:p w14:paraId="36E636F1" w14:textId="77777777" w:rsidR="00D530BF" w:rsidRPr="008651D0" w:rsidRDefault="00D530BF" w:rsidP="00D530BF">
            <w:pPr>
              <w:spacing w:before="0" w:line="240" w:lineRule="auto"/>
              <w:ind w:right="2"/>
              <w:rPr>
                <w:szCs w:val="24"/>
              </w:rPr>
            </w:pPr>
            <w:r w:rsidRPr="008651D0">
              <w:rPr>
                <w:szCs w:val="24"/>
              </w:rPr>
              <w:t xml:space="preserve">17 </w:t>
            </w:r>
          </w:p>
        </w:tc>
      </w:tr>
      <w:tr w:rsidR="00D530BF" w:rsidRPr="008651D0" w14:paraId="24AC67C1" w14:textId="77777777" w:rsidTr="00C46529">
        <w:trPr>
          <w:trHeight w:val="286"/>
        </w:trPr>
        <w:tc>
          <w:tcPr>
            <w:tcW w:w="4674" w:type="dxa"/>
            <w:tcBorders>
              <w:top w:val="single" w:sz="4" w:space="0" w:color="000000"/>
              <w:left w:val="single" w:sz="4" w:space="0" w:color="000000"/>
              <w:bottom w:val="single" w:sz="4" w:space="0" w:color="000000"/>
              <w:right w:val="single" w:sz="4" w:space="0" w:color="000000"/>
            </w:tcBorders>
          </w:tcPr>
          <w:p w14:paraId="1781F94B" w14:textId="77777777" w:rsidR="00D530BF" w:rsidRPr="008651D0" w:rsidRDefault="00D530BF" w:rsidP="00D530BF">
            <w:pPr>
              <w:spacing w:before="0" w:line="240" w:lineRule="auto"/>
              <w:ind w:right="3"/>
              <w:rPr>
                <w:szCs w:val="24"/>
              </w:rPr>
            </w:pPr>
            <w:r w:rsidRPr="008651D0">
              <w:rPr>
                <w:b/>
                <w:szCs w:val="24"/>
              </w:rPr>
              <w:t xml:space="preserve">Total </w:t>
            </w:r>
          </w:p>
        </w:tc>
        <w:tc>
          <w:tcPr>
            <w:tcW w:w="2217" w:type="dxa"/>
            <w:tcBorders>
              <w:top w:val="single" w:sz="4" w:space="0" w:color="000000"/>
              <w:left w:val="single" w:sz="4" w:space="0" w:color="000000"/>
              <w:bottom w:val="single" w:sz="4" w:space="0" w:color="000000"/>
              <w:right w:val="single" w:sz="4" w:space="0" w:color="000000"/>
            </w:tcBorders>
          </w:tcPr>
          <w:p w14:paraId="70456A24" w14:textId="77777777" w:rsidR="00D530BF" w:rsidRPr="008651D0" w:rsidRDefault="00D530BF" w:rsidP="00D530BF">
            <w:pPr>
              <w:spacing w:before="0" w:line="240" w:lineRule="auto"/>
              <w:rPr>
                <w:szCs w:val="24"/>
              </w:rPr>
            </w:pPr>
            <w:r w:rsidRPr="008651D0">
              <w:rPr>
                <w:b/>
                <w:szCs w:val="24"/>
              </w:rPr>
              <w:t xml:space="preserve">144 </w:t>
            </w:r>
          </w:p>
        </w:tc>
        <w:tc>
          <w:tcPr>
            <w:tcW w:w="1274" w:type="dxa"/>
            <w:tcBorders>
              <w:top w:val="single" w:sz="4" w:space="0" w:color="000000"/>
              <w:left w:val="single" w:sz="4" w:space="0" w:color="000000"/>
              <w:bottom w:val="single" w:sz="4" w:space="0" w:color="000000"/>
              <w:right w:val="single" w:sz="4" w:space="0" w:color="000000"/>
            </w:tcBorders>
          </w:tcPr>
          <w:p w14:paraId="3205D440" w14:textId="77777777" w:rsidR="00D530BF" w:rsidRPr="008651D0" w:rsidRDefault="00D530BF" w:rsidP="00D530BF">
            <w:pPr>
              <w:spacing w:before="0" w:line="240" w:lineRule="auto"/>
              <w:ind w:right="2"/>
              <w:rPr>
                <w:szCs w:val="24"/>
              </w:rPr>
            </w:pPr>
            <w:r w:rsidRPr="008651D0">
              <w:rPr>
                <w:b/>
                <w:szCs w:val="24"/>
              </w:rPr>
              <w:t xml:space="preserve">100 </w:t>
            </w:r>
          </w:p>
        </w:tc>
      </w:tr>
    </w:tbl>
    <w:p w14:paraId="4BC4E25A" w14:textId="77777777" w:rsidR="00D530BF" w:rsidRPr="00711AB4" w:rsidRDefault="00D530BF" w:rsidP="00711AB4">
      <w:pPr>
        <w:spacing w:before="0" w:line="240" w:lineRule="auto"/>
        <w:rPr>
          <w:b/>
          <w:bCs/>
          <w:i/>
          <w:iCs/>
        </w:rPr>
      </w:pPr>
    </w:p>
    <w:p w14:paraId="295320A3" w14:textId="1218BD67" w:rsidR="00711AB4" w:rsidRDefault="00711AB4" w:rsidP="00711AB4">
      <w:pPr>
        <w:spacing w:before="0" w:line="240" w:lineRule="auto"/>
      </w:pPr>
    </w:p>
    <w:p w14:paraId="50F0A4DB" w14:textId="77777777" w:rsidR="0005136B" w:rsidRPr="0005136B" w:rsidRDefault="0005136B" w:rsidP="0005136B">
      <w:pPr>
        <w:rPr>
          <w:b/>
          <w:i/>
        </w:rPr>
      </w:pPr>
      <w:r w:rsidRPr="0005136B">
        <w:rPr>
          <w:b/>
          <w:i/>
        </w:rPr>
        <w:t>Diagnostic Tests</w:t>
      </w:r>
    </w:p>
    <w:p w14:paraId="3AF15175" w14:textId="77777777" w:rsidR="0005136B" w:rsidRPr="008651D0" w:rsidRDefault="0005136B" w:rsidP="0005136B">
      <w:pPr>
        <w:spacing w:before="0" w:line="240" w:lineRule="auto"/>
        <w:ind w:left="24" w:right="26"/>
        <w:rPr>
          <w:szCs w:val="24"/>
        </w:rPr>
      </w:pPr>
      <w:r w:rsidRPr="00CC1E97">
        <w:rPr>
          <w:color w:val="auto"/>
          <w:szCs w:val="24"/>
        </w:rPr>
        <w:t>For confirming the correctness of the model, tests for multicollinearity and autocorrelation diagnostics were conducted. These tests avoid the violation of statistical assumptions, boosting the accuracy and dependability of regression estimates (Gujarati &amp; Porter, 2020; Albright &amp; Marinova, 2022</w:t>
      </w:r>
      <w:r w:rsidRPr="00232B07">
        <w:rPr>
          <w:color w:val="auto"/>
          <w:szCs w:val="24"/>
        </w:rPr>
        <w:t>)</w:t>
      </w:r>
      <w:r w:rsidRPr="008651D0">
        <w:rPr>
          <w:szCs w:val="24"/>
        </w:rPr>
        <w:t>.</w:t>
      </w:r>
    </w:p>
    <w:p w14:paraId="3AE72DCD" w14:textId="77777777" w:rsidR="00C35625" w:rsidRDefault="00C35625" w:rsidP="0005136B">
      <w:pPr>
        <w:spacing w:before="0" w:after="160" w:line="240" w:lineRule="auto"/>
        <w:jc w:val="left"/>
      </w:pPr>
      <w:bookmarkStart w:id="2" w:name="_Toc143047"/>
    </w:p>
    <w:p w14:paraId="7AAB35D1" w14:textId="1755336F" w:rsidR="00C35625" w:rsidRPr="00C35625" w:rsidRDefault="00C35625" w:rsidP="00C35625">
      <w:pPr>
        <w:spacing w:before="100" w:beforeAutospacing="1" w:after="100" w:afterAutospacing="1" w:line="240" w:lineRule="auto"/>
        <w:jc w:val="left"/>
        <w:rPr>
          <w:rFonts w:eastAsia="Times New Roman" w:cs="Times New Roman"/>
          <w:i/>
          <w:color w:val="auto"/>
          <w:szCs w:val="24"/>
          <w14:ligatures w14:val="none"/>
        </w:rPr>
      </w:pPr>
      <w:r w:rsidRPr="00C35625">
        <w:rPr>
          <w:rFonts w:eastAsia="Times New Roman" w:cs="Times New Roman"/>
          <w:b/>
          <w:bCs/>
          <w:i/>
          <w:color w:val="auto"/>
          <w:szCs w:val="24"/>
          <w14:ligatures w14:val="none"/>
        </w:rPr>
        <w:t xml:space="preserve">Descriptive Analysis </w:t>
      </w:r>
    </w:p>
    <w:p w14:paraId="153C92FB" w14:textId="026817E6" w:rsidR="00C35625" w:rsidRPr="00C35625" w:rsidRDefault="00C35625" w:rsidP="00C35625">
      <w:pPr>
        <w:spacing w:before="100" w:beforeAutospacing="1" w:after="100" w:afterAutospacing="1" w:line="240" w:lineRule="auto"/>
        <w:rPr>
          <w:rFonts w:eastAsia="Times New Roman" w:cs="Times New Roman"/>
          <w:color w:val="auto"/>
          <w:szCs w:val="24"/>
          <w14:ligatures w14:val="none"/>
        </w:rPr>
      </w:pPr>
      <w:r w:rsidRPr="00C35625">
        <w:rPr>
          <w:rFonts w:eastAsia="Times New Roman" w:cs="Times New Roman"/>
          <w:color w:val="auto"/>
          <w:szCs w:val="24"/>
          <w14:ligatures w14:val="none"/>
        </w:rPr>
        <w:t xml:space="preserve">Descriptive analysis provided an overview of the key characteristics of the respondents to ensure accurate interpretation of the data. The study focused on the demographic profile of women entrepreneurs in </w:t>
      </w:r>
      <w:proofErr w:type="spellStart"/>
      <w:r w:rsidRPr="00C35625">
        <w:rPr>
          <w:rFonts w:eastAsia="Times New Roman" w:cs="Times New Roman"/>
          <w:color w:val="auto"/>
          <w:szCs w:val="24"/>
          <w14:ligatures w14:val="none"/>
        </w:rPr>
        <w:t>Eldama</w:t>
      </w:r>
      <w:proofErr w:type="spellEnd"/>
      <w:r w:rsidRPr="00C35625">
        <w:rPr>
          <w:rFonts w:eastAsia="Times New Roman" w:cs="Times New Roman"/>
          <w:color w:val="auto"/>
          <w:szCs w:val="24"/>
          <w14:ligatures w14:val="none"/>
        </w:rPr>
        <w:t xml:space="preserve"> Ravine Sub-County, assessing factors such as age, education, business experience, and firm size. Correlation analysis was employed to examine the relationship between microfinance interventions</w:t>
      </w:r>
      <w:r w:rsidR="008D472A">
        <w:rPr>
          <w:rFonts w:eastAsia="Times New Roman" w:cs="Times New Roman"/>
          <w:color w:val="auto"/>
          <w:szCs w:val="24"/>
          <w14:ligatures w14:val="none"/>
        </w:rPr>
        <w:t xml:space="preserve"> </w:t>
      </w:r>
      <w:r w:rsidRPr="00C35625">
        <w:rPr>
          <w:rFonts w:eastAsia="Times New Roman" w:cs="Times New Roman"/>
          <w:color w:val="auto"/>
          <w:szCs w:val="24"/>
          <w14:ligatures w14:val="none"/>
        </w:rPr>
        <w:t>specifically microcredit, micro-savings, business development services (BDS), and advisory support</w:t>
      </w:r>
      <w:r w:rsidR="008D472A">
        <w:rPr>
          <w:rFonts w:eastAsia="Times New Roman" w:cs="Times New Roman"/>
          <w:color w:val="auto"/>
          <w:szCs w:val="24"/>
          <w14:ligatures w14:val="none"/>
        </w:rPr>
        <w:t xml:space="preserve"> </w:t>
      </w:r>
      <w:r w:rsidRPr="00C35625">
        <w:rPr>
          <w:rFonts w:eastAsia="Times New Roman" w:cs="Times New Roman"/>
          <w:color w:val="auto"/>
          <w:szCs w:val="24"/>
          <w14:ligatures w14:val="none"/>
        </w:rPr>
        <w:t>and the financial empowerment of women entrepreneurs. Using Pearson’s correlation coefficient (r) in SPSS (Version 25), the study established the direction and strength of these relationships under normality and linearity assumptions.</w:t>
      </w:r>
    </w:p>
    <w:p w14:paraId="4FDF6AFE" w14:textId="2B0E914E" w:rsidR="00C35625" w:rsidRPr="00C35625" w:rsidRDefault="00C35625" w:rsidP="00C35625">
      <w:pPr>
        <w:spacing w:before="100" w:beforeAutospacing="1" w:after="100" w:afterAutospacing="1" w:line="240" w:lineRule="auto"/>
        <w:rPr>
          <w:rFonts w:eastAsia="Times New Roman" w:cs="Times New Roman"/>
          <w:color w:val="auto"/>
          <w:szCs w:val="24"/>
          <w14:ligatures w14:val="none"/>
        </w:rPr>
      </w:pPr>
      <w:r w:rsidRPr="00C35625">
        <w:rPr>
          <w:rFonts w:eastAsia="Times New Roman" w:cs="Times New Roman"/>
          <w:color w:val="auto"/>
          <w:szCs w:val="24"/>
          <w14:ligatures w14:val="none"/>
        </w:rPr>
        <w:t xml:space="preserve">Results revealed that a majority of the respondents (56.4%) received microcredit of less than </w:t>
      </w:r>
      <w:proofErr w:type="spellStart"/>
      <w:r w:rsidRPr="00C35625">
        <w:rPr>
          <w:rFonts w:eastAsia="Times New Roman" w:cs="Times New Roman"/>
          <w:color w:val="auto"/>
          <w:szCs w:val="24"/>
          <w14:ligatures w14:val="none"/>
        </w:rPr>
        <w:t>Kshs</w:t>
      </w:r>
      <w:proofErr w:type="spellEnd"/>
      <w:r w:rsidRPr="00C35625">
        <w:rPr>
          <w:rFonts w:eastAsia="Times New Roman" w:cs="Times New Roman"/>
          <w:color w:val="auto"/>
          <w:szCs w:val="24"/>
          <w14:ligatures w14:val="none"/>
        </w:rPr>
        <w:t xml:space="preserve">. 100,000, while 35.7% accessed between </w:t>
      </w:r>
      <w:proofErr w:type="spellStart"/>
      <w:r w:rsidRPr="00C35625">
        <w:rPr>
          <w:rFonts w:eastAsia="Times New Roman" w:cs="Times New Roman"/>
          <w:color w:val="auto"/>
          <w:szCs w:val="24"/>
          <w14:ligatures w14:val="none"/>
        </w:rPr>
        <w:t>Kshs</w:t>
      </w:r>
      <w:proofErr w:type="spellEnd"/>
      <w:r w:rsidRPr="00C35625">
        <w:rPr>
          <w:rFonts w:eastAsia="Times New Roman" w:cs="Times New Roman"/>
          <w:color w:val="auto"/>
          <w:szCs w:val="24"/>
          <w14:ligatures w14:val="none"/>
        </w:rPr>
        <w:t xml:space="preserve">. 100,001–200,000. Only a small proportion received amounts above </w:t>
      </w:r>
      <w:proofErr w:type="spellStart"/>
      <w:r w:rsidRPr="00C35625">
        <w:rPr>
          <w:rFonts w:eastAsia="Times New Roman" w:cs="Times New Roman"/>
          <w:color w:val="auto"/>
          <w:szCs w:val="24"/>
          <w14:ligatures w14:val="none"/>
        </w:rPr>
        <w:t>Kshs</w:t>
      </w:r>
      <w:proofErr w:type="spellEnd"/>
      <w:r w:rsidRPr="00C35625">
        <w:rPr>
          <w:rFonts w:eastAsia="Times New Roman" w:cs="Times New Roman"/>
          <w:color w:val="auto"/>
          <w:szCs w:val="24"/>
          <w14:ligatures w14:val="none"/>
        </w:rPr>
        <w:t>. 300,000, indicating that microcredit access remains largely limited to small loan sizes. This finding suggests that although microcredit plays a role in supporting women entrepreneurs, inadequate loan sizes restrict business expansion opportunities. Most respondents agreed that microfinance loans were crucial in business improvement (M = 4.24, SD = 0.844) and resource acquisition (M = 4.10, SD = 0.755), signifying that credit enhanced their operational efficiency and control over resources. The correlation between access to microcredit and women’s empowerment (r = 0.490, p &lt; 0.01) indicated a moderate and significant positive relationship, affirming that women with greater credit access demonstrated higher levels of empowerment and independence.</w:t>
      </w:r>
    </w:p>
    <w:p w14:paraId="49187AE0" w14:textId="01FA7554" w:rsidR="00C35625" w:rsidRPr="00C35625" w:rsidRDefault="00C35625" w:rsidP="00C35625">
      <w:pPr>
        <w:spacing w:before="100" w:beforeAutospacing="1" w:after="100" w:afterAutospacing="1" w:line="240" w:lineRule="auto"/>
        <w:rPr>
          <w:rFonts w:eastAsia="Times New Roman" w:cs="Times New Roman"/>
          <w:color w:val="auto"/>
          <w:szCs w:val="24"/>
          <w14:ligatures w14:val="none"/>
        </w:rPr>
      </w:pPr>
      <w:r w:rsidRPr="00C35625">
        <w:rPr>
          <w:rFonts w:eastAsia="Times New Roman" w:cs="Times New Roman"/>
          <w:color w:val="auto"/>
          <w:szCs w:val="24"/>
          <w14:ligatures w14:val="none"/>
        </w:rPr>
        <w:lastRenderedPageBreak/>
        <w:t>Savings were identified as an essential component of financial empowerment, providing a foundation for stability, reinvestment, and shock absorption. Survey data showed that 59% of women agreed and 38.2% strongly agreed that they consistently tracked their savings, while 61.1% agreed they understood their spending habits. Half of the respondents maintained separate personal and business savings accounts, showing growing financial discipline and strategic management practices. The correlation between micro-savings and empowerment (r = 0.366, p &lt; 0.01) reflected a moderate positive relationship, demonstrating that savings habits significantly contributed to financial independence and decision-making ability. This supports earlier findings that saving practices improve women’s resilience and access to productive resources, strengthening their socio-economic position.</w:t>
      </w:r>
    </w:p>
    <w:p w14:paraId="4B2EACBB" w14:textId="5BFE98F5" w:rsidR="00C35625" w:rsidRPr="00C35625" w:rsidRDefault="00C35625" w:rsidP="00C35625">
      <w:pPr>
        <w:spacing w:before="100" w:beforeAutospacing="1" w:after="100" w:afterAutospacing="1" w:line="240" w:lineRule="auto"/>
        <w:rPr>
          <w:rFonts w:eastAsia="Times New Roman" w:cs="Times New Roman"/>
          <w:color w:val="auto"/>
          <w:szCs w:val="24"/>
          <w14:ligatures w14:val="none"/>
        </w:rPr>
      </w:pPr>
      <w:r w:rsidRPr="00C35625">
        <w:rPr>
          <w:rFonts w:eastAsia="Times New Roman" w:cs="Times New Roman"/>
          <w:color w:val="auto"/>
          <w:szCs w:val="24"/>
          <w14:ligatures w14:val="none"/>
        </w:rPr>
        <w:t>Business Development Services (BDS) offered by microfinance institutions emerged as a critical factor in enhancing entrepreneurial capacity, technical skills, and market integration. Findings indicated that 43.7% agreed and 14.1% strongly agreed that they benefited from regular training programs (M = 3.56, SD = 0.959). Furthermore, 52.8% acknowledged the vital role of microfinance institutions in business development, while 62.9% agreed that such services facilitated cooperation and networking (M = 3.83, SD = 0.784). The correlation analysis (r = 0.551, p &lt; 0.01) revealed a strong positive relationship between BDS access and empowerment, confirming that business skills training, mentorship, and market linkages significantly increased women’s business sustainability and confidence.</w:t>
      </w:r>
    </w:p>
    <w:p w14:paraId="58A5551A" w14:textId="59326956" w:rsidR="00C35625" w:rsidRPr="00C35625" w:rsidRDefault="00C35625" w:rsidP="00C35625">
      <w:pPr>
        <w:spacing w:before="100" w:beforeAutospacing="1" w:after="100" w:afterAutospacing="1" w:line="240" w:lineRule="auto"/>
        <w:rPr>
          <w:rFonts w:eastAsia="Times New Roman" w:cs="Times New Roman"/>
          <w:color w:val="auto"/>
          <w:szCs w:val="24"/>
          <w14:ligatures w14:val="none"/>
        </w:rPr>
      </w:pPr>
      <w:r w:rsidRPr="00C35625">
        <w:rPr>
          <w:rFonts w:eastAsia="Times New Roman" w:cs="Times New Roman"/>
          <w:color w:val="auto"/>
          <w:szCs w:val="24"/>
          <w14:ligatures w14:val="none"/>
        </w:rPr>
        <w:t>Advisory and consultancy interventions also played an influential role in improving compliance, strategic decision-making, and financial literacy. Approximately 46.9% of respondents agreed that they had access to tax consultants, while 48.6% acknowledged access to promotional advisers (M = 3.56, SD = 0.851). These findings underline the growing importance of expert guidance in financial and managerial practices. Correlation analysis (r = 0.660, p &lt; 0.01) revealed a strong and significant positive relationship between advisory services and empowerment, emphasizing that access to professional advice fosters confidence, management competence, and resilience among women entrepreneurs.</w:t>
      </w:r>
    </w:p>
    <w:p w14:paraId="59BEB81C" w14:textId="63F1C863" w:rsidR="00C35625" w:rsidRPr="00C35625" w:rsidRDefault="00C35625" w:rsidP="00C35625">
      <w:pPr>
        <w:spacing w:before="100" w:beforeAutospacing="1" w:after="100" w:afterAutospacing="1" w:line="240" w:lineRule="auto"/>
        <w:rPr>
          <w:rFonts w:eastAsia="Times New Roman" w:cs="Times New Roman"/>
          <w:color w:val="auto"/>
          <w:szCs w:val="24"/>
          <w14:ligatures w14:val="none"/>
        </w:rPr>
      </w:pPr>
      <w:r w:rsidRPr="00C35625">
        <w:rPr>
          <w:rFonts w:eastAsia="Times New Roman" w:cs="Times New Roman"/>
          <w:color w:val="auto"/>
          <w:szCs w:val="24"/>
          <w14:ligatures w14:val="none"/>
        </w:rPr>
        <w:t>Overall, microfinance participation has extended beyond income generation to facilitate holistic socio-economic empowerment. Half of the respondents agreed that microfinance enabled them to generate adequate income for operations (M = 4.38, SD = 0.739), while 48.6% reported improved independence (M = 4.06, SD = 0.830). Additionally, 45.8% indicated enhanced control over resources, and 42.4% reported greater freedom from gender-based violence (M = 3.49, SD = 0.931). However, only 36.8% felt they had an increased voice in societal and policy matters, indicating persistent structural barriers. While 44.4% believed they had equal opportunities as men (M = 3.51, SD = 1.024), inequalities remain.</w:t>
      </w:r>
    </w:p>
    <w:p w14:paraId="04A9F912" w14:textId="77777777" w:rsidR="00C35625" w:rsidRPr="00C35625" w:rsidRDefault="00C35625" w:rsidP="00C35625">
      <w:pPr>
        <w:spacing w:before="100" w:beforeAutospacing="1" w:after="100" w:afterAutospacing="1" w:line="240" w:lineRule="auto"/>
        <w:rPr>
          <w:rFonts w:eastAsia="Times New Roman" w:cs="Times New Roman"/>
          <w:color w:val="auto"/>
          <w:szCs w:val="24"/>
          <w14:ligatures w14:val="none"/>
        </w:rPr>
      </w:pPr>
      <w:r w:rsidRPr="00C35625">
        <w:rPr>
          <w:rFonts w:eastAsia="Times New Roman" w:cs="Times New Roman"/>
          <w:color w:val="auto"/>
          <w:szCs w:val="24"/>
          <w14:ligatures w14:val="none"/>
        </w:rPr>
        <w:t xml:space="preserve">The findings confirm that microfinance significantly contributes to financial and economic empowerment through credit access, saving discipline, skills training, and advisory support. Nonetheless, full empowerment requires addressing broader social and institutional constraints. The results align with prior literature emphasizing that while microfinance strengthens women’s financial autonomy, decision-making power, and economic resilience, structural and cultural reforms are equally necessary to ensure inclusive and sustainable empowerment of women entrepreneurs in </w:t>
      </w:r>
      <w:proofErr w:type="spellStart"/>
      <w:r w:rsidRPr="00C35625">
        <w:rPr>
          <w:rFonts w:eastAsia="Times New Roman" w:cs="Times New Roman"/>
          <w:color w:val="auto"/>
          <w:szCs w:val="24"/>
          <w14:ligatures w14:val="none"/>
        </w:rPr>
        <w:t>Eldama</w:t>
      </w:r>
      <w:proofErr w:type="spellEnd"/>
      <w:r w:rsidRPr="00C35625">
        <w:rPr>
          <w:rFonts w:eastAsia="Times New Roman" w:cs="Times New Roman"/>
          <w:color w:val="auto"/>
          <w:szCs w:val="24"/>
          <w14:ligatures w14:val="none"/>
        </w:rPr>
        <w:t xml:space="preserve"> Ravine Sub-County.</w:t>
      </w:r>
    </w:p>
    <w:p w14:paraId="5471519C" w14:textId="1DB96F2D" w:rsidR="0005136B" w:rsidRPr="0005136B" w:rsidRDefault="0005136B" w:rsidP="0005136B">
      <w:pPr>
        <w:rPr>
          <w:b/>
          <w:i/>
        </w:rPr>
      </w:pPr>
      <w:bookmarkStart w:id="3" w:name="_Toc212721811"/>
      <w:r w:rsidRPr="0005136B">
        <w:rPr>
          <w:b/>
          <w:i/>
        </w:rPr>
        <w:t>Autocorrelation Test</w:t>
      </w:r>
      <w:bookmarkEnd w:id="3"/>
      <w:r w:rsidRPr="0005136B">
        <w:rPr>
          <w:b/>
          <w:i/>
        </w:rPr>
        <w:t xml:space="preserve"> </w:t>
      </w:r>
      <w:bookmarkEnd w:id="2"/>
    </w:p>
    <w:p w14:paraId="1A54A976" w14:textId="77777777" w:rsidR="0005136B" w:rsidRPr="008651D0" w:rsidRDefault="0005136B" w:rsidP="0005136B">
      <w:pPr>
        <w:spacing w:before="0" w:after="2" w:line="240" w:lineRule="auto"/>
        <w:ind w:left="24" w:right="26"/>
        <w:rPr>
          <w:szCs w:val="24"/>
        </w:rPr>
      </w:pPr>
      <w:r w:rsidRPr="008651D0">
        <w:rPr>
          <w:szCs w:val="24"/>
        </w:rPr>
        <w:t>Autocorrelation was tested using the Durbin–Watson statistic.</w:t>
      </w:r>
    </w:p>
    <w:p w14:paraId="619CA992" w14:textId="77777777" w:rsidR="00C35625" w:rsidRDefault="00C35625">
      <w:pPr>
        <w:spacing w:before="0" w:after="160" w:line="259" w:lineRule="auto"/>
        <w:jc w:val="left"/>
        <w:rPr>
          <w:b/>
          <w:i/>
        </w:rPr>
      </w:pPr>
      <w:bookmarkStart w:id="4" w:name="_Toc212721858"/>
      <w:r>
        <w:rPr>
          <w:b/>
          <w:i/>
        </w:rPr>
        <w:br w:type="page"/>
      </w:r>
    </w:p>
    <w:p w14:paraId="3CF5DAE6" w14:textId="1E84A438" w:rsidR="0005136B" w:rsidRPr="0005136B" w:rsidRDefault="0005136B" w:rsidP="0005136B">
      <w:pPr>
        <w:rPr>
          <w:b/>
          <w:i/>
        </w:rPr>
      </w:pPr>
      <w:r w:rsidRPr="0005136B">
        <w:rPr>
          <w:b/>
          <w:i/>
        </w:rPr>
        <w:lastRenderedPageBreak/>
        <w:t xml:space="preserve">Table </w:t>
      </w:r>
      <w:r w:rsidR="00C35625">
        <w:rPr>
          <w:b/>
          <w:i/>
        </w:rPr>
        <w:t>2</w:t>
      </w:r>
      <w:r w:rsidRPr="0005136B">
        <w:rPr>
          <w:b/>
          <w:i/>
        </w:rPr>
        <w:t xml:space="preserve"> Autocorrelation Test (Model Summary)</w:t>
      </w:r>
      <w:bookmarkEnd w:id="4"/>
    </w:p>
    <w:p w14:paraId="3EDB8AE3" w14:textId="77777777" w:rsidR="0005136B" w:rsidRPr="008651D0" w:rsidRDefault="0005136B" w:rsidP="0005136B">
      <w:pPr>
        <w:spacing w:before="0" w:after="53" w:line="240" w:lineRule="auto"/>
        <w:ind w:left="29"/>
        <w:rPr>
          <w:szCs w:val="24"/>
        </w:rPr>
      </w:pPr>
      <w:r w:rsidRPr="008651D0">
        <w:rPr>
          <w:noProof/>
          <w:szCs w:val="24"/>
        </w:rPr>
        <mc:AlternateContent>
          <mc:Choice Requires="wpg">
            <w:drawing>
              <wp:inline distT="0" distB="0" distL="0" distR="0" wp14:anchorId="4D3E22D3" wp14:editId="63CAD9E9">
                <wp:extent cx="6066410" cy="6096"/>
                <wp:effectExtent l="0" t="0" r="0" b="0"/>
                <wp:docPr id="127524" name="Group 127524"/>
                <wp:cNvGraphicFramePr/>
                <a:graphic xmlns:a="http://schemas.openxmlformats.org/drawingml/2006/main">
                  <a:graphicData uri="http://schemas.microsoft.com/office/word/2010/wordprocessingGroup">
                    <wpg:wgp>
                      <wpg:cNvGrpSpPr/>
                      <wpg:grpSpPr>
                        <a:xfrm>
                          <a:off x="0" y="0"/>
                          <a:ext cx="6066410" cy="6096"/>
                          <a:chOff x="0" y="0"/>
                          <a:chExt cx="6066410" cy="6096"/>
                        </a:xfrm>
                      </wpg:grpSpPr>
                      <wps:wsp>
                        <wps:cNvPr id="145544" name="Shape 145544"/>
                        <wps:cNvSpPr/>
                        <wps:spPr>
                          <a:xfrm>
                            <a:off x="0" y="0"/>
                            <a:ext cx="6066410" cy="9144"/>
                          </a:xfrm>
                          <a:custGeom>
                            <a:avLst/>
                            <a:gdLst/>
                            <a:ahLst/>
                            <a:cxnLst/>
                            <a:rect l="0" t="0" r="0" b="0"/>
                            <a:pathLst>
                              <a:path w="6066410" h="9144">
                                <a:moveTo>
                                  <a:pt x="0" y="0"/>
                                </a:moveTo>
                                <a:lnTo>
                                  <a:pt x="6066410" y="0"/>
                                </a:lnTo>
                                <a:lnTo>
                                  <a:pt x="60664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ACA27C5" id="Group 127524" o:spid="_x0000_s1026" style="width:477.65pt;height:.5pt;mso-position-horizontal-relative:char;mso-position-vertical-relative:line" coordsize="6066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">
                <v:shape id="Shape 145544" o:spid="_x0000_s1027" style="position:absolute;width:60664;height:91;visibility:visible;mso-wrap-style:square;v-text-anchor:top" coordsize="60664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" path="m,l6066410,r,9144l,9144,,e" fillcolor="black" stroked="f" strokeweight="0">
                  <v:stroke miterlimit="83231f" joinstyle="miter"/>
                  <v:path arrowok="t" textboxrect="0,0,6066410,9144"/>
                </v:shape>
                <w10:anchorlock/>
              </v:group>
            </w:pict>
          </mc:Fallback>
        </mc:AlternateContent>
      </w:r>
    </w:p>
    <w:p w14:paraId="076BFE6F" w14:textId="77777777" w:rsidR="0005136B" w:rsidRPr="008651D0" w:rsidRDefault="0005136B" w:rsidP="0005136B">
      <w:pPr>
        <w:spacing w:before="0" w:after="39" w:line="240" w:lineRule="auto"/>
        <w:ind w:left="12" w:right="596"/>
        <w:rPr>
          <w:szCs w:val="24"/>
        </w:rPr>
      </w:pPr>
      <w:r w:rsidRPr="008651D0">
        <w:rPr>
          <w:b/>
          <w:szCs w:val="24"/>
        </w:rPr>
        <w:t>Model Summary</w:t>
      </w:r>
      <w:r w:rsidRPr="008651D0">
        <w:rPr>
          <w:szCs w:val="24"/>
        </w:rPr>
        <w:t xml:space="preserve"> </w:t>
      </w:r>
    </w:p>
    <w:p w14:paraId="550CA53D" w14:textId="77777777" w:rsidR="0005136B" w:rsidRPr="008651D0" w:rsidRDefault="0005136B" w:rsidP="0005136B">
      <w:pPr>
        <w:tabs>
          <w:tab w:val="center" w:pos="1717"/>
          <w:tab w:val="center" w:pos="3084"/>
          <w:tab w:val="center" w:pos="4751"/>
          <w:tab w:val="center" w:pos="6684"/>
          <w:tab w:val="center" w:pos="8617"/>
        </w:tabs>
        <w:spacing w:before="0" w:after="25" w:line="240" w:lineRule="auto"/>
        <w:rPr>
          <w:szCs w:val="24"/>
        </w:rPr>
      </w:pPr>
      <w:r w:rsidRPr="008651D0">
        <w:rPr>
          <w:szCs w:val="24"/>
        </w:rPr>
        <w:t xml:space="preserve">Model </w:t>
      </w:r>
      <w:r w:rsidRPr="008651D0">
        <w:rPr>
          <w:szCs w:val="24"/>
        </w:rPr>
        <w:tab/>
        <w:t xml:space="preserve">R </w:t>
      </w:r>
      <w:r w:rsidRPr="008651D0">
        <w:rPr>
          <w:szCs w:val="24"/>
        </w:rPr>
        <w:tab/>
      </w:r>
      <w:proofErr w:type="spellStart"/>
      <w:r w:rsidRPr="008651D0">
        <w:rPr>
          <w:szCs w:val="24"/>
        </w:rPr>
        <w:t>R</w:t>
      </w:r>
      <w:proofErr w:type="spellEnd"/>
      <w:r w:rsidRPr="008651D0">
        <w:rPr>
          <w:szCs w:val="24"/>
        </w:rPr>
        <w:t xml:space="preserve"> Square </w:t>
      </w:r>
      <w:r w:rsidRPr="008651D0">
        <w:rPr>
          <w:szCs w:val="24"/>
        </w:rPr>
        <w:tab/>
        <w:t xml:space="preserve">Adjusted R </w:t>
      </w:r>
      <w:r w:rsidRPr="008651D0">
        <w:rPr>
          <w:szCs w:val="24"/>
        </w:rPr>
        <w:tab/>
        <w:t xml:space="preserve">Std. Error of the </w:t>
      </w:r>
      <w:r w:rsidRPr="008651D0">
        <w:rPr>
          <w:szCs w:val="24"/>
        </w:rPr>
        <w:tab/>
        <w:t xml:space="preserve">Durbin-Watson </w:t>
      </w:r>
    </w:p>
    <w:p w14:paraId="612C08D9" w14:textId="77777777" w:rsidR="0005136B" w:rsidRPr="008651D0" w:rsidRDefault="0005136B" w:rsidP="0005136B">
      <w:pPr>
        <w:tabs>
          <w:tab w:val="center" w:pos="4750"/>
          <w:tab w:val="center" w:pos="6683"/>
        </w:tabs>
        <w:spacing w:before="0" w:line="240" w:lineRule="auto"/>
        <w:rPr>
          <w:szCs w:val="24"/>
        </w:rPr>
      </w:pPr>
      <w:r w:rsidRPr="008651D0">
        <w:rPr>
          <w:szCs w:val="24"/>
        </w:rPr>
        <w:tab/>
        <w:t xml:space="preserve">Square </w:t>
      </w:r>
      <w:r w:rsidRPr="008651D0">
        <w:rPr>
          <w:szCs w:val="24"/>
        </w:rPr>
        <w:tab/>
        <w:t xml:space="preserve">Estimate </w:t>
      </w:r>
    </w:p>
    <w:p w14:paraId="715C580D" w14:textId="77777777" w:rsidR="0005136B" w:rsidRPr="008651D0" w:rsidRDefault="0005136B" w:rsidP="0005136B">
      <w:pPr>
        <w:spacing w:before="0" w:after="62" w:line="240" w:lineRule="auto"/>
        <w:ind w:left="29"/>
        <w:rPr>
          <w:szCs w:val="24"/>
        </w:rPr>
      </w:pPr>
      <w:r w:rsidRPr="008651D0">
        <w:rPr>
          <w:noProof/>
          <w:szCs w:val="24"/>
        </w:rPr>
        <mc:AlternateContent>
          <mc:Choice Requires="wpg">
            <w:drawing>
              <wp:inline distT="0" distB="0" distL="0" distR="0" wp14:anchorId="78169C1A" wp14:editId="166F9732">
                <wp:extent cx="6066409" cy="6096"/>
                <wp:effectExtent l="0" t="0" r="0" b="0"/>
                <wp:docPr id="127525" name="Group 127525"/>
                <wp:cNvGraphicFramePr/>
                <a:graphic xmlns:a="http://schemas.openxmlformats.org/drawingml/2006/main">
                  <a:graphicData uri="http://schemas.microsoft.com/office/word/2010/wordprocessingGroup">
                    <wpg:wgp>
                      <wpg:cNvGrpSpPr/>
                      <wpg:grpSpPr>
                        <a:xfrm>
                          <a:off x="0" y="0"/>
                          <a:ext cx="6066409" cy="6096"/>
                          <a:chOff x="0" y="0"/>
                          <a:chExt cx="6066409" cy="6096"/>
                        </a:xfrm>
                      </wpg:grpSpPr>
                      <wps:wsp>
                        <wps:cNvPr id="145546" name="Shape 145546"/>
                        <wps:cNvSpPr/>
                        <wps:spPr>
                          <a:xfrm>
                            <a:off x="0" y="0"/>
                            <a:ext cx="650748" cy="9144"/>
                          </a:xfrm>
                          <a:custGeom>
                            <a:avLst/>
                            <a:gdLst/>
                            <a:ahLst/>
                            <a:cxnLst/>
                            <a:rect l="0" t="0" r="0" b="0"/>
                            <a:pathLst>
                              <a:path w="650748" h="9144">
                                <a:moveTo>
                                  <a:pt x="0" y="0"/>
                                </a:moveTo>
                                <a:lnTo>
                                  <a:pt x="650748" y="0"/>
                                </a:lnTo>
                                <a:lnTo>
                                  <a:pt x="6507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547" name="Shape 145547"/>
                        <wps:cNvSpPr/>
                        <wps:spPr>
                          <a:xfrm>
                            <a:off x="65069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548" name="Shape 145548"/>
                        <wps:cNvSpPr/>
                        <wps:spPr>
                          <a:xfrm>
                            <a:off x="656793" y="0"/>
                            <a:ext cx="836676" cy="9144"/>
                          </a:xfrm>
                          <a:custGeom>
                            <a:avLst/>
                            <a:gdLst/>
                            <a:ahLst/>
                            <a:cxnLst/>
                            <a:rect l="0" t="0" r="0" b="0"/>
                            <a:pathLst>
                              <a:path w="836676" h="9144">
                                <a:moveTo>
                                  <a:pt x="0" y="0"/>
                                </a:moveTo>
                                <a:lnTo>
                                  <a:pt x="836676" y="0"/>
                                </a:lnTo>
                                <a:lnTo>
                                  <a:pt x="8366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549" name="Shape 145549"/>
                        <wps:cNvSpPr/>
                        <wps:spPr>
                          <a:xfrm>
                            <a:off x="149346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550" name="Shape 145550"/>
                        <wps:cNvSpPr/>
                        <wps:spPr>
                          <a:xfrm>
                            <a:off x="1499565" y="0"/>
                            <a:ext cx="885749" cy="9144"/>
                          </a:xfrm>
                          <a:custGeom>
                            <a:avLst/>
                            <a:gdLst/>
                            <a:ahLst/>
                            <a:cxnLst/>
                            <a:rect l="0" t="0" r="0" b="0"/>
                            <a:pathLst>
                              <a:path w="885749" h="9144">
                                <a:moveTo>
                                  <a:pt x="0" y="0"/>
                                </a:moveTo>
                                <a:lnTo>
                                  <a:pt x="885749" y="0"/>
                                </a:lnTo>
                                <a:lnTo>
                                  <a:pt x="8857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551" name="Shape 145551"/>
                        <wps:cNvSpPr/>
                        <wps:spPr>
                          <a:xfrm>
                            <a:off x="238539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552" name="Shape 145552"/>
                        <wps:cNvSpPr/>
                        <wps:spPr>
                          <a:xfrm>
                            <a:off x="2391486" y="0"/>
                            <a:ext cx="1221029" cy="9144"/>
                          </a:xfrm>
                          <a:custGeom>
                            <a:avLst/>
                            <a:gdLst/>
                            <a:ahLst/>
                            <a:cxnLst/>
                            <a:rect l="0" t="0" r="0" b="0"/>
                            <a:pathLst>
                              <a:path w="1221029" h="9144">
                                <a:moveTo>
                                  <a:pt x="0" y="0"/>
                                </a:moveTo>
                                <a:lnTo>
                                  <a:pt x="1221029" y="0"/>
                                </a:lnTo>
                                <a:lnTo>
                                  <a:pt x="12210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553" name="Shape 145553"/>
                        <wps:cNvSpPr/>
                        <wps:spPr>
                          <a:xfrm>
                            <a:off x="361246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554" name="Shape 145554"/>
                        <wps:cNvSpPr/>
                        <wps:spPr>
                          <a:xfrm>
                            <a:off x="3618561" y="0"/>
                            <a:ext cx="1220724" cy="9144"/>
                          </a:xfrm>
                          <a:custGeom>
                            <a:avLst/>
                            <a:gdLst/>
                            <a:ahLst/>
                            <a:cxnLst/>
                            <a:rect l="0" t="0" r="0" b="0"/>
                            <a:pathLst>
                              <a:path w="1220724" h="9144">
                                <a:moveTo>
                                  <a:pt x="0" y="0"/>
                                </a:moveTo>
                                <a:lnTo>
                                  <a:pt x="1220724" y="0"/>
                                </a:lnTo>
                                <a:lnTo>
                                  <a:pt x="12207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555" name="Shape 145555"/>
                        <wps:cNvSpPr/>
                        <wps:spPr>
                          <a:xfrm>
                            <a:off x="483928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556" name="Shape 145556"/>
                        <wps:cNvSpPr/>
                        <wps:spPr>
                          <a:xfrm>
                            <a:off x="4845380" y="0"/>
                            <a:ext cx="1221029" cy="9144"/>
                          </a:xfrm>
                          <a:custGeom>
                            <a:avLst/>
                            <a:gdLst/>
                            <a:ahLst/>
                            <a:cxnLst/>
                            <a:rect l="0" t="0" r="0" b="0"/>
                            <a:pathLst>
                              <a:path w="1221029" h="9144">
                                <a:moveTo>
                                  <a:pt x="0" y="0"/>
                                </a:moveTo>
                                <a:lnTo>
                                  <a:pt x="1221029" y="0"/>
                                </a:lnTo>
                                <a:lnTo>
                                  <a:pt x="12210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10680DA" id="Group 127525" o:spid="_x0000_s1026" style="width:477.65pt;height:.5pt;mso-position-horizontal-relative:char;mso-position-vertical-relative:line" coordsize="6066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">
                <v:shape id="Shape 145546" o:spid="_x0000_s1027" style="position:absolute;width:6507;height:91;visibility:visible;mso-wrap-style:square;v-text-anchor:top" coordsize="6507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" path="m,l650748,r,9144l,9144,,e" fillcolor="black" stroked="f" strokeweight="0">
                  <v:stroke miterlimit="83231f" joinstyle="miter"/>
                  <v:path arrowok="t" textboxrect="0,0,650748,9144"/>
                </v:shape>
                <v:shape id="Shape 145547" o:spid="_x0000_s1028" style="position:absolute;left:650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" path="m,l9144,r,9144l,9144,,e" fillcolor="black" stroked="f" strokeweight="0">
                  <v:stroke miterlimit="83231f" joinstyle="miter"/>
                  <v:path arrowok="t" textboxrect="0,0,9144,9144"/>
                </v:shape>
                <v:shape id="Shape 145548" o:spid="_x0000_s1029" style="position:absolute;left:6567;width:8367;height:91;visibility:visible;mso-wrap-style:square;v-text-anchor:top" coordsize="8366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" path="m,l836676,r,9144l,9144,,e" fillcolor="black" stroked="f" strokeweight="0">
                  <v:stroke miterlimit="83231f" joinstyle="miter"/>
                  <v:path arrowok="t" textboxrect="0,0,836676,9144"/>
                </v:shape>
                <v:shape id="Shape 145549" o:spid="_x0000_s1030" style="position:absolute;left:1493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" path="m,l9144,r,9144l,9144,,e" fillcolor="black" stroked="f" strokeweight="0">
                  <v:stroke miterlimit="83231f" joinstyle="miter"/>
                  <v:path arrowok="t" textboxrect="0,0,9144,9144"/>
                </v:shape>
                <v:shape id="Shape 145550" o:spid="_x0000_s1031" style="position:absolute;left:14995;width:8858;height:91;visibility:visible;mso-wrap-style:square;v-text-anchor:top" coordsize="8857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" path="m,l885749,r,9144l,9144,,e" fillcolor="black" stroked="f" strokeweight="0">
                  <v:stroke miterlimit="83231f" joinstyle="miter"/>
                  <v:path arrowok="t" textboxrect="0,0,885749,9144"/>
                </v:shape>
                <v:shape id="Shape 145551" o:spid="_x0000_s1032" style="position:absolute;left:2385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" path="m,l9144,r,9144l,9144,,e" fillcolor="black" stroked="f" strokeweight="0">
                  <v:stroke miterlimit="83231f" joinstyle="miter"/>
                  <v:path arrowok="t" textboxrect="0,0,9144,9144"/>
                </v:shape>
                <v:shape id="Shape 145552" o:spid="_x0000_s1033" style="position:absolute;left:23914;width:12211;height:91;visibility:visible;mso-wrap-style:square;v-text-anchor:top" coordsize="12210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" path="m,l1221029,r,9144l,9144,,e" fillcolor="black" stroked="f" strokeweight="0">
                  <v:stroke miterlimit="83231f" joinstyle="miter"/>
                  <v:path arrowok="t" textboxrect="0,0,1221029,9144"/>
                </v:shape>
                <v:shape id="Shape 145553" o:spid="_x0000_s1034" style="position:absolute;left:3612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" path="m,l9144,r,9144l,9144,,e" fillcolor="black" stroked="f" strokeweight="0">
                  <v:stroke miterlimit="83231f" joinstyle="miter"/>
                  <v:path arrowok="t" textboxrect="0,0,9144,9144"/>
                </v:shape>
                <v:shape id="Shape 145554" o:spid="_x0000_s1035" style="position:absolute;left:36185;width:12207;height:91;visibility:visible;mso-wrap-style:square;v-text-anchor:top" coordsize="122072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" path="m,l1220724,r,9144l,9144,,e" fillcolor="black" stroked="f" strokeweight="0">
                  <v:stroke miterlimit="83231f" joinstyle="miter"/>
                  <v:path arrowok="t" textboxrect="0,0,1220724,9144"/>
                </v:shape>
                <v:shape id="Shape 145555" o:spid="_x0000_s1036" style="position:absolute;left:4839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" path="m,l9144,r,9144l,9144,,e" fillcolor="black" stroked="f" strokeweight="0">
                  <v:stroke miterlimit="83231f" joinstyle="miter"/>
                  <v:path arrowok="t" textboxrect="0,0,9144,9144"/>
                </v:shape>
                <v:shape id="Shape 145556" o:spid="_x0000_s1037" style="position:absolute;left:48453;width:12211;height:91;visibility:visible;mso-wrap-style:square;v-text-anchor:top" coordsize="12210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" path="m,l1221029,r,9144l,9144,,e" fillcolor="black" stroked="f" strokeweight="0">
                  <v:stroke miterlimit="83231f" joinstyle="miter"/>
                  <v:path arrowok="t" textboxrect="0,0,1221029,9144"/>
                </v:shape>
                <w10:anchorlock/>
              </v:group>
            </w:pict>
          </mc:Fallback>
        </mc:AlternateContent>
      </w:r>
    </w:p>
    <w:p w14:paraId="7EAAE826" w14:textId="77777777" w:rsidR="0005136B" w:rsidRPr="008651D0" w:rsidRDefault="0005136B" w:rsidP="0005136B">
      <w:pPr>
        <w:tabs>
          <w:tab w:val="center" w:pos="2074"/>
          <w:tab w:val="center" w:pos="3518"/>
          <w:tab w:val="center" w:pos="5448"/>
          <w:tab w:val="center" w:pos="7200"/>
          <w:tab w:val="center" w:pos="9255"/>
        </w:tabs>
        <w:spacing w:before="0" w:after="225" w:line="240" w:lineRule="auto"/>
        <w:rPr>
          <w:szCs w:val="24"/>
        </w:rPr>
      </w:pPr>
      <w:r w:rsidRPr="008651D0">
        <w:rPr>
          <w:szCs w:val="24"/>
          <w:u w:val="single" w:color="000000"/>
        </w:rPr>
        <w:t xml:space="preserve">1 </w:t>
      </w:r>
      <w:r w:rsidRPr="008651D0">
        <w:rPr>
          <w:szCs w:val="24"/>
          <w:u w:val="single" w:color="000000"/>
        </w:rPr>
        <w:tab/>
        <w:t>.720</w:t>
      </w:r>
      <w:r w:rsidRPr="008651D0">
        <w:rPr>
          <w:szCs w:val="24"/>
          <w:vertAlign w:val="superscript"/>
        </w:rPr>
        <w:t>a</w:t>
      </w:r>
      <w:r w:rsidRPr="008651D0">
        <w:rPr>
          <w:szCs w:val="24"/>
          <w:u w:val="single" w:color="000000"/>
        </w:rPr>
        <w:t xml:space="preserve"> </w:t>
      </w:r>
      <w:r w:rsidRPr="008651D0">
        <w:rPr>
          <w:szCs w:val="24"/>
          <w:u w:val="single" w:color="000000"/>
        </w:rPr>
        <w:tab/>
        <w:t xml:space="preserve">.518 </w:t>
      </w:r>
      <w:r w:rsidRPr="008651D0">
        <w:rPr>
          <w:szCs w:val="24"/>
          <w:u w:val="single" w:color="000000"/>
        </w:rPr>
        <w:tab/>
        <w:t xml:space="preserve">.504 </w:t>
      </w:r>
      <w:r w:rsidRPr="008651D0">
        <w:rPr>
          <w:szCs w:val="24"/>
          <w:u w:val="single" w:color="000000"/>
        </w:rPr>
        <w:tab/>
        <w:t xml:space="preserve">3.04503 </w:t>
      </w:r>
      <w:r w:rsidRPr="008651D0">
        <w:rPr>
          <w:szCs w:val="24"/>
          <w:u w:val="single" w:color="000000"/>
        </w:rPr>
        <w:tab/>
        <w:t xml:space="preserve">2.110 </w:t>
      </w:r>
    </w:p>
    <w:p w14:paraId="7D98FCB3" w14:textId="77777777" w:rsidR="0005136B" w:rsidRPr="008651D0" w:rsidRDefault="0005136B" w:rsidP="0005136B">
      <w:pPr>
        <w:spacing w:before="0" w:after="48" w:line="240" w:lineRule="auto"/>
        <w:ind w:left="29"/>
        <w:rPr>
          <w:szCs w:val="24"/>
        </w:rPr>
      </w:pPr>
      <w:r w:rsidRPr="008651D0">
        <w:rPr>
          <w:szCs w:val="24"/>
        </w:rPr>
        <w:t xml:space="preserve">Source: Survey (2025) </w:t>
      </w:r>
    </w:p>
    <w:p w14:paraId="71236BD1" w14:textId="77777777" w:rsidR="0005136B" w:rsidRPr="002D5D47" w:rsidRDefault="0005136B" w:rsidP="0005136B">
      <w:pPr>
        <w:spacing w:before="0" w:line="240" w:lineRule="auto"/>
        <w:ind w:left="24" w:right="26"/>
        <w:rPr>
          <w:szCs w:val="24"/>
        </w:rPr>
      </w:pPr>
      <w:r w:rsidRPr="002D5D47">
        <w:rPr>
          <w:szCs w:val="24"/>
        </w:rPr>
        <w:t>The Durbin–Watson measure of 2.110 is close to 2, showing no such extreme autocorrelation of residuals. The model also possesses an R = 0.720, which shows a fairly high positive relationship between the predictors and women's empowerment. The R² value of 0.518 indicates that approximately 51.8% of women's empowerment variance is explained by the four predictors. This is well above acceptable standards for explanation power in social science research (Hair et al., 2020).</w:t>
      </w:r>
    </w:p>
    <w:p w14:paraId="76EC1673" w14:textId="1CA530D5" w:rsidR="0005136B" w:rsidRPr="0005136B" w:rsidRDefault="0005136B" w:rsidP="0005136B">
      <w:pPr>
        <w:rPr>
          <w:b/>
          <w:i/>
        </w:rPr>
      </w:pPr>
      <w:bookmarkStart w:id="5" w:name="_Toc212721812"/>
      <w:r w:rsidRPr="0005136B">
        <w:rPr>
          <w:b/>
          <w:i/>
        </w:rPr>
        <w:t>The Test of Multicollinearity</w:t>
      </w:r>
      <w:bookmarkEnd w:id="5"/>
    </w:p>
    <w:p w14:paraId="5A263EC6" w14:textId="77777777" w:rsidR="0005136B" w:rsidRPr="008651D0" w:rsidRDefault="0005136B" w:rsidP="0005136B">
      <w:pPr>
        <w:spacing w:before="0" w:line="240" w:lineRule="auto"/>
        <w:ind w:left="24" w:right="26"/>
        <w:rPr>
          <w:szCs w:val="24"/>
        </w:rPr>
      </w:pPr>
      <w:r w:rsidRPr="002D5D47">
        <w:rPr>
          <w:szCs w:val="24"/>
        </w:rPr>
        <w:t>The Tolerance and VIF values tested multicollinearity</w:t>
      </w:r>
      <w:r w:rsidRPr="008651D0">
        <w:rPr>
          <w:szCs w:val="24"/>
        </w:rPr>
        <w:t>.</w:t>
      </w:r>
    </w:p>
    <w:p w14:paraId="08431BA8" w14:textId="1A9050FE" w:rsidR="0005136B" w:rsidRDefault="0005136B" w:rsidP="0005136B">
      <w:pPr>
        <w:spacing w:before="0" w:after="160" w:line="240" w:lineRule="auto"/>
        <w:jc w:val="left"/>
        <w:rPr>
          <w:b/>
        </w:rPr>
      </w:pPr>
    </w:p>
    <w:p w14:paraId="1188BAD3" w14:textId="31D3B6D5" w:rsidR="0005136B" w:rsidRPr="0005136B" w:rsidRDefault="0005136B" w:rsidP="0005136B">
      <w:pPr>
        <w:rPr>
          <w:b/>
          <w:i/>
        </w:rPr>
      </w:pPr>
      <w:bookmarkStart w:id="6" w:name="_Toc212721859"/>
      <w:r w:rsidRPr="0005136B">
        <w:rPr>
          <w:b/>
          <w:i/>
        </w:rPr>
        <w:t xml:space="preserve">Table </w:t>
      </w:r>
      <w:r w:rsidR="00C35625">
        <w:rPr>
          <w:b/>
          <w:i/>
        </w:rPr>
        <w:t>3</w:t>
      </w:r>
      <w:r w:rsidRPr="0005136B">
        <w:rPr>
          <w:b/>
          <w:i/>
        </w:rPr>
        <w:t xml:space="preserve"> Multicollinearity Test</w:t>
      </w:r>
      <w:bookmarkEnd w:id="6"/>
    </w:p>
    <w:tbl>
      <w:tblPr>
        <w:tblStyle w:val="TableGrid0"/>
        <w:tblW w:w="9316" w:type="dxa"/>
        <w:tblInd w:w="52" w:type="dxa"/>
        <w:tblBorders>
          <w:top w:val="single" w:sz="4" w:space="0" w:color="auto"/>
          <w:bottom w:val="single" w:sz="4" w:space="0" w:color="auto"/>
        </w:tblBorders>
        <w:tblCellMar>
          <w:top w:w="41" w:type="dxa"/>
          <w:left w:w="37" w:type="dxa"/>
        </w:tblCellMar>
        <w:tblLook w:val="04A0" w:firstRow="1" w:lastRow="0" w:firstColumn="1" w:lastColumn="0" w:noHBand="0" w:noVBand="1"/>
      </w:tblPr>
      <w:tblGrid>
        <w:gridCol w:w="2136"/>
        <w:gridCol w:w="2186"/>
        <w:gridCol w:w="2007"/>
        <w:gridCol w:w="642"/>
        <w:gridCol w:w="620"/>
        <w:gridCol w:w="1108"/>
        <w:gridCol w:w="617"/>
      </w:tblGrid>
      <w:tr w:rsidR="0005136B" w:rsidRPr="008651D0" w14:paraId="6A1460A7" w14:textId="77777777" w:rsidTr="00C46529">
        <w:trPr>
          <w:trHeight w:val="630"/>
        </w:trPr>
        <w:tc>
          <w:tcPr>
            <w:tcW w:w="2136" w:type="dxa"/>
            <w:tcBorders>
              <w:top w:val="single" w:sz="4" w:space="0" w:color="auto"/>
              <w:bottom w:val="single" w:sz="4" w:space="0" w:color="auto"/>
            </w:tcBorders>
            <w:vAlign w:val="center"/>
          </w:tcPr>
          <w:p w14:paraId="4573EC5F" w14:textId="77777777" w:rsidR="0005136B" w:rsidRPr="008651D0" w:rsidRDefault="0005136B" w:rsidP="0005136B">
            <w:pPr>
              <w:spacing w:before="0" w:line="240" w:lineRule="auto"/>
              <w:ind w:right="45"/>
              <w:rPr>
                <w:szCs w:val="24"/>
              </w:rPr>
            </w:pPr>
            <w:r w:rsidRPr="008651D0">
              <w:rPr>
                <w:b/>
                <w:szCs w:val="24"/>
              </w:rPr>
              <w:t>Predictor</w:t>
            </w:r>
          </w:p>
        </w:tc>
        <w:tc>
          <w:tcPr>
            <w:tcW w:w="2186" w:type="dxa"/>
            <w:tcBorders>
              <w:top w:val="single" w:sz="4" w:space="0" w:color="auto"/>
              <w:bottom w:val="single" w:sz="4" w:space="0" w:color="auto"/>
            </w:tcBorders>
          </w:tcPr>
          <w:p w14:paraId="0B3FC970" w14:textId="77777777" w:rsidR="0005136B" w:rsidRPr="008651D0" w:rsidRDefault="0005136B" w:rsidP="0005136B">
            <w:pPr>
              <w:spacing w:before="0" w:line="240" w:lineRule="auto"/>
              <w:rPr>
                <w:szCs w:val="24"/>
              </w:rPr>
            </w:pPr>
            <w:r w:rsidRPr="008651D0">
              <w:rPr>
                <w:b/>
                <w:szCs w:val="24"/>
              </w:rPr>
              <w:t xml:space="preserve">Unstandardized Coefficients (B) </w:t>
            </w:r>
          </w:p>
        </w:tc>
        <w:tc>
          <w:tcPr>
            <w:tcW w:w="2007" w:type="dxa"/>
            <w:tcBorders>
              <w:top w:val="single" w:sz="4" w:space="0" w:color="auto"/>
              <w:bottom w:val="single" w:sz="4" w:space="0" w:color="auto"/>
            </w:tcBorders>
          </w:tcPr>
          <w:p w14:paraId="291F87C2" w14:textId="77777777" w:rsidR="0005136B" w:rsidRPr="008651D0" w:rsidRDefault="0005136B" w:rsidP="0005136B">
            <w:pPr>
              <w:spacing w:before="0" w:line="240" w:lineRule="auto"/>
              <w:rPr>
                <w:szCs w:val="24"/>
              </w:rPr>
            </w:pPr>
            <w:r w:rsidRPr="008651D0">
              <w:rPr>
                <w:b/>
                <w:szCs w:val="24"/>
              </w:rPr>
              <w:t xml:space="preserve">Standardized Coefficients (Beta) </w:t>
            </w:r>
          </w:p>
        </w:tc>
        <w:tc>
          <w:tcPr>
            <w:tcW w:w="642" w:type="dxa"/>
            <w:tcBorders>
              <w:top w:val="single" w:sz="4" w:space="0" w:color="auto"/>
              <w:bottom w:val="single" w:sz="4" w:space="0" w:color="auto"/>
            </w:tcBorders>
            <w:vAlign w:val="center"/>
          </w:tcPr>
          <w:p w14:paraId="39A7EE8D" w14:textId="77777777" w:rsidR="0005136B" w:rsidRPr="008651D0" w:rsidRDefault="0005136B" w:rsidP="0005136B">
            <w:pPr>
              <w:spacing w:before="0" w:line="240" w:lineRule="auto"/>
              <w:ind w:right="33"/>
              <w:rPr>
                <w:szCs w:val="24"/>
              </w:rPr>
            </w:pPr>
            <w:r w:rsidRPr="008651D0">
              <w:rPr>
                <w:b/>
                <w:szCs w:val="24"/>
              </w:rPr>
              <w:t xml:space="preserve">t </w:t>
            </w:r>
          </w:p>
        </w:tc>
        <w:tc>
          <w:tcPr>
            <w:tcW w:w="620" w:type="dxa"/>
            <w:tcBorders>
              <w:top w:val="single" w:sz="4" w:space="0" w:color="auto"/>
              <w:bottom w:val="single" w:sz="4" w:space="0" w:color="auto"/>
            </w:tcBorders>
            <w:vAlign w:val="center"/>
          </w:tcPr>
          <w:p w14:paraId="7A775F3A" w14:textId="77777777" w:rsidR="0005136B" w:rsidRPr="008651D0" w:rsidRDefault="0005136B" w:rsidP="0005136B">
            <w:pPr>
              <w:spacing w:before="0" w:line="240" w:lineRule="auto"/>
              <w:ind w:left="82"/>
              <w:rPr>
                <w:szCs w:val="24"/>
              </w:rPr>
            </w:pPr>
            <w:r w:rsidRPr="008651D0">
              <w:rPr>
                <w:b/>
                <w:szCs w:val="24"/>
              </w:rPr>
              <w:t xml:space="preserve">Sig. </w:t>
            </w:r>
          </w:p>
        </w:tc>
        <w:tc>
          <w:tcPr>
            <w:tcW w:w="1108" w:type="dxa"/>
            <w:tcBorders>
              <w:top w:val="single" w:sz="4" w:space="0" w:color="auto"/>
              <w:bottom w:val="single" w:sz="4" w:space="0" w:color="auto"/>
            </w:tcBorders>
            <w:vAlign w:val="center"/>
          </w:tcPr>
          <w:p w14:paraId="508D2343" w14:textId="77777777" w:rsidR="0005136B" w:rsidRPr="008651D0" w:rsidRDefault="0005136B" w:rsidP="0005136B">
            <w:pPr>
              <w:spacing w:before="0" w:line="240" w:lineRule="auto"/>
              <w:ind w:left="4"/>
              <w:rPr>
                <w:szCs w:val="24"/>
              </w:rPr>
            </w:pPr>
            <w:r w:rsidRPr="008651D0">
              <w:rPr>
                <w:b/>
                <w:szCs w:val="24"/>
              </w:rPr>
              <w:t xml:space="preserve">Tolerance </w:t>
            </w:r>
          </w:p>
        </w:tc>
        <w:tc>
          <w:tcPr>
            <w:tcW w:w="617" w:type="dxa"/>
            <w:tcBorders>
              <w:top w:val="single" w:sz="4" w:space="0" w:color="auto"/>
              <w:bottom w:val="single" w:sz="4" w:space="0" w:color="auto"/>
            </w:tcBorders>
            <w:vAlign w:val="center"/>
          </w:tcPr>
          <w:p w14:paraId="518EB075" w14:textId="77777777" w:rsidR="0005136B" w:rsidRPr="008651D0" w:rsidRDefault="0005136B" w:rsidP="0005136B">
            <w:pPr>
              <w:spacing w:before="0" w:line="240" w:lineRule="auto"/>
              <w:ind w:left="65"/>
              <w:rPr>
                <w:szCs w:val="24"/>
              </w:rPr>
            </w:pPr>
            <w:r w:rsidRPr="008651D0">
              <w:rPr>
                <w:b/>
                <w:szCs w:val="24"/>
              </w:rPr>
              <w:t xml:space="preserve">VIF </w:t>
            </w:r>
          </w:p>
        </w:tc>
      </w:tr>
      <w:tr w:rsidR="0005136B" w:rsidRPr="008651D0" w14:paraId="2FB45873" w14:textId="77777777" w:rsidTr="00C46529">
        <w:trPr>
          <w:trHeight w:val="634"/>
        </w:trPr>
        <w:tc>
          <w:tcPr>
            <w:tcW w:w="2136" w:type="dxa"/>
            <w:tcBorders>
              <w:top w:val="single" w:sz="4" w:space="0" w:color="auto"/>
            </w:tcBorders>
            <w:vAlign w:val="center"/>
          </w:tcPr>
          <w:p w14:paraId="2ACCD2F1" w14:textId="77777777" w:rsidR="0005136B" w:rsidRPr="008651D0" w:rsidRDefault="0005136B" w:rsidP="0005136B">
            <w:pPr>
              <w:spacing w:before="0" w:line="240" w:lineRule="auto"/>
              <w:rPr>
                <w:szCs w:val="24"/>
              </w:rPr>
            </w:pPr>
            <w:r w:rsidRPr="008651D0">
              <w:rPr>
                <w:b/>
                <w:szCs w:val="24"/>
              </w:rPr>
              <w:t>(Constant)</w:t>
            </w:r>
            <w:r w:rsidRPr="008651D0">
              <w:rPr>
                <w:szCs w:val="24"/>
              </w:rPr>
              <w:t xml:space="preserve"> </w:t>
            </w:r>
          </w:p>
        </w:tc>
        <w:tc>
          <w:tcPr>
            <w:tcW w:w="2186" w:type="dxa"/>
            <w:tcBorders>
              <w:top w:val="single" w:sz="4" w:space="0" w:color="auto"/>
            </w:tcBorders>
            <w:vAlign w:val="center"/>
          </w:tcPr>
          <w:p w14:paraId="0EC52D16" w14:textId="77777777" w:rsidR="0005136B" w:rsidRPr="008651D0" w:rsidRDefault="0005136B" w:rsidP="0005136B">
            <w:pPr>
              <w:spacing w:before="0" w:line="240" w:lineRule="auto"/>
              <w:ind w:left="2"/>
              <w:rPr>
                <w:szCs w:val="24"/>
              </w:rPr>
            </w:pPr>
            <w:r w:rsidRPr="008651D0">
              <w:rPr>
                <w:szCs w:val="24"/>
              </w:rPr>
              <w:t xml:space="preserve">-2.020 </w:t>
            </w:r>
          </w:p>
        </w:tc>
        <w:tc>
          <w:tcPr>
            <w:tcW w:w="2007" w:type="dxa"/>
            <w:tcBorders>
              <w:top w:val="single" w:sz="4" w:space="0" w:color="auto"/>
            </w:tcBorders>
            <w:vAlign w:val="center"/>
          </w:tcPr>
          <w:p w14:paraId="3D5F6E0C" w14:textId="77777777" w:rsidR="0005136B" w:rsidRPr="008651D0" w:rsidRDefault="0005136B" w:rsidP="0005136B">
            <w:pPr>
              <w:spacing w:before="0" w:line="240" w:lineRule="auto"/>
              <w:ind w:left="4"/>
              <w:rPr>
                <w:szCs w:val="24"/>
              </w:rPr>
            </w:pPr>
            <w:r w:rsidRPr="008651D0">
              <w:rPr>
                <w:szCs w:val="24"/>
              </w:rPr>
              <w:t xml:space="preserve">- </w:t>
            </w:r>
          </w:p>
        </w:tc>
        <w:tc>
          <w:tcPr>
            <w:tcW w:w="642" w:type="dxa"/>
            <w:tcBorders>
              <w:top w:val="single" w:sz="4" w:space="0" w:color="auto"/>
            </w:tcBorders>
          </w:tcPr>
          <w:p w14:paraId="110DA006" w14:textId="77777777" w:rsidR="0005136B" w:rsidRPr="008651D0" w:rsidRDefault="0005136B" w:rsidP="0005136B">
            <w:pPr>
              <w:spacing w:before="0" w:line="240" w:lineRule="auto"/>
              <w:ind w:left="4"/>
              <w:rPr>
                <w:szCs w:val="24"/>
              </w:rPr>
            </w:pPr>
            <w:r w:rsidRPr="008651D0">
              <w:rPr>
                <w:szCs w:val="24"/>
              </w:rPr>
              <w:t>-</w:t>
            </w:r>
          </w:p>
          <w:p w14:paraId="52C0BB9A" w14:textId="77777777" w:rsidR="0005136B" w:rsidRPr="008651D0" w:rsidRDefault="0005136B" w:rsidP="0005136B">
            <w:pPr>
              <w:spacing w:before="0" w:line="240" w:lineRule="auto"/>
              <w:ind w:left="4"/>
              <w:rPr>
                <w:szCs w:val="24"/>
              </w:rPr>
            </w:pPr>
            <w:r w:rsidRPr="008651D0">
              <w:rPr>
                <w:szCs w:val="24"/>
              </w:rPr>
              <w:t xml:space="preserve">0.783 </w:t>
            </w:r>
          </w:p>
        </w:tc>
        <w:tc>
          <w:tcPr>
            <w:tcW w:w="620" w:type="dxa"/>
            <w:tcBorders>
              <w:top w:val="single" w:sz="4" w:space="0" w:color="auto"/>
            </w:tcBorders>
            <w:vAlign w:val="center"/>
          </w:tcPr>
          <w:p w14:paraId="46E9F057" w14:textId="77777777" w:rsidR="0005136B" w:rsidRPr="008651D0" w:rsidRDefault="0005136B" w:rsidP="0005136B">
            <w:pPr>
              <w:spacing w:before="0" w:line="240" w:lineRule="auto"/>
              <w:ind w:left="2"/>
              <w:rPr>
                <w:szCs w:val="24"/>
              </w:rPr>
            </w:pPr>
            <w:r w:rsidRPr="008651D0">
              <w:rPr>
                <w:szCs w:val="24"/>
              </w:rPr>
              <w:t xml:space="preserve">0.435 </w:t>
            </w:r>
          </w:p>
        </w:tc>
        <w:tc>
          <w:tcPr>
            <w:tcW w:w="1108" w:type="dxa"/>
            <w:tcBorders>
              <w:top w:val="single" w:sz="4" w:space="0" w:color="auto"/>
            </w:tcBorders>
            <w:vAlign w:val="center"/>
          </w:tcPr>
          <w:p w14:paraId="17B61AF1" w14:textId="77777777" w:rsidR="0005136B" w:rsidRPr="008651D0" w:rsidRDefault="0005136B" w:rsidP="0005136B">
            <w:pPr>
              <w:spacing w:before="0" w:line="240" w:lineRule="auto"/>
              <w:ind w:left="4"/>
              <w:rPr>
                <w:szCs w:val="24"/>
              </w:rPr>
            </w:pPr>
            <w:r w:rsidRPr="008651D0">
              <w:rPr>
                <w:szCs w:val="24"/>
              </w:rPr>
              <w:t xml:space="preserve">- </w:t>
            </w:r>
          </w:p>
        </w:tc>
        <w:tc>
          <w:tcPr>
            <w:tcW w:w="617" w:type="dxa"/>
            <w:tcBorders>
              <w:top w:val="single" w:sz="4" w:space="0" w:color="auto"/>
            </w:tcBorders>
            <w:vAlign w:val="center"/>
          </w:tcPr>
          <w:p w14:paraId="40344127" w14:textId="77777777" w:rsidR="0005136B" w:rsidRPr="008651D0" w:rsidRDefault="0005136B" w:rsidP="0005136B">
            <w:pPr>
              <w:spacing w:before="0" w:line="240" w:lineRule="auto"/>
              <w:ind w:left="2"/>
              <w:rPr>
                <w:szCs w:val="24"/>
              </w:rPr>
            </w:pPr>
            <w:r w:rsidRPr="008651D0">
              <w:rPr>
                <w:szCs w:val="24"/>
              </w:rPr>
              <w:t xml:space="preserve">- </w:t>
            </w:r>
          </w:p>
        </w:tc>
      </w:tr>
      <w:tr w:rsidR="0005136B" w:rsidRPr="008651D0" w14:paraId="3617F94E" w14:textId="77777777" w:rsidTr="00C46529">
        <w:trPr>
          <w:trHeight w:val="355"/>
        </w:trPr>
        <w:tc>
          <w:tcPr>
            <w:tcW w:w="2136" w:type="dxa"/>
          </w:tcPr>
          <w:p w14:paraId="34B2011B" w14:textId="77777777" w:rsidR="0005136B" w:rsidRPr="008651D0" w:rsidRDefault="0005136B" w:rsidP="0005136B">
            <w:pPr>
              <w:spacing w:before="0" w:line="240" w:lineRule="auto"/>
              <w:rPr>
                <w:szCs w:val="24"/>
              </w:rPr>
            </w:pPr>
            <w:r w:rsidRPr="008651D0">
              <w:rPr>
                <w:b/>
                <w:szCs w:val="24"/>
              </w:rPr>
              <w:t>Access Microcredit</w:t>
            </w:r>
            <w:r w:rsidRPr="008651D0">
              <w:rPr>
                <w:szCs w:val="24"/>
              </w:rPr>
              <w:t xml:space="preserve"> </w:t>
            </w:r>
          </w:p>
        </w:tc>
        <w:tc>
          <w:tcPr>
            <w:tcW w:w="2186" w:type="dxa"/>
          </w:tcPr>
          <w:p w14:paraId="2BE12DAB" w14:textId="77777777" w:rsidR="0005136B" w:rsidRPr="008651D0" w:rsidRDefault="0005136B" w:rsidP="0005136B">
            <w:pPr>
              <w:spacing w:before="0" w:line="240" w:lineRule="auto"/>
              <w:ind w:left="2"/>
              <w:rPr>
                <w:szCs w:val="24"/>
              </w:rPr>
            </w:pPr>
            <w:r w:rsidRPr="008651D0">
              <w:rPr>
                <w:szCs w:val="24"/>
              </w:rPr>
              <w:t xml:space="preserve">0.182 </w:t>
            </w:r>
          </w:p>
        </w:tc>
        <w:tc>
          <w:tcPr>
            <w:tcW w:w="2007" w:type="dxa"/>
          </w:tcPr>
          <w:p w14:paraId="78A1D02F" w14:textId="77777777" w:rsidR="0005136B" w:rsidRPr="008651D0" w:rsidRDefault="0005136B" w:rsidP="0005136B">
            <w:pPr>
              <w:spacing w:before="0" w:line="240" w:lineRule="auto"/>
              <w:ind w:left="4"/>
              <w:rPr>
                <w:szCs w:val="24"/>
              </w:rPr>
            </w:pPr>
            <w:r w:rsidRPr="008651D0">
              <w:rPr>
                <w:szCs w:val="24"/>
              </w:rPr>
              <w:t xml:space="preserve">0.146 </w:t>
            </w:r>
          </w:p>
        </w:tc>
        <w:tc>
          <w:tcPr>
            <w:tcW w:w="642" w:type="dxa"/>
          </w:tcPr>
          <w:p w14:paraId="72BC9DD2" w14:textId="77777777" w:rsidR="0005136B" w:rsidRPr="008651D0" w:rsidRDefault="0005136B" w:rsidP="0005136B">
            <w:pPr>
              <w:spacing w:before="0" w:line="240" w:lineRule="auto"/>
              <w:ind w:left="4"/>
              <w:rPr>
                <w:szCs w:val="24"/>
              </w:rPr>
            </w:pPr>
            <w:r w:rsidRPr="008651D0">
              <w:rPr>
                <w:szCs w:val="24"/>
              </w:rPr>
              <w:t xml:space="preserve">2.037 </w:t>
            </w:r>
          </w:p>
        </w:tc>
        <w:tc>
          <w:tcPr>
            <w:tcW w:w="620" w:type="dxa"/>
          </w:tcPr>
          <w:p w14:paraId="48FF8024" w14:textId="77777777" w:rsidR="0005136B" w:rsidRPr="008651D0" w:rsidRDefault="0005136B" w:rsidP="0005136B">
            <w:pPr>
              <w:spacing w:before="0" w:line="240" w:lineRule="auto"/>
              <w:ind w:left="2"/>
              <w:rPr>
                <w:szCs w:val="24"/>
              </w:rPr>
            </w:pPr>
            <w:r w:rsidRPr="008651D0">
              <w:rPr>
                <w:szCs w:val="24"/>
              </w:rPr>
              <w:t xml:space="preserve">0.044 </w:t>
            </w:r>
          </w:p>
        </w:tc>
        <w:tc>
          <w:tcPr>
            <w:tcW w:w="1108" w:type="dxa"/>
          </w:tcPr>
          <w:p w14:paraId="0CE3D2DA" w14:textId="77777777" w:rsidR="0005136B" w:rsidRPr="008651D0" w:rsidRDefault="0005136B" w:rsidP="0005136B">
            <w:pPr>
              <w:spacing w:before="0" w:line="240" w:lineRule="auto"/>
              <w:ind w:left="4"/>
              <w:rPr>
                <w:szCs w:val="24"/>
              </w:rPr>
            </w:pPr>
            <w:r w:rsidRPr="008651D0">
              <w:rPr>
                <w:szCs w:val="24"/>
              </w:rPr>
              <w:t xml:space="preserve">0.683 </w:t>
            </w:r>
          </w:p>
        </w:tc>
        <w:tc>
          <w:tcPr>
            <w:tcW w:w="617" w:type="dxa"/>
          </w:tcPr>
          <w:p w14:paraId="1B1CACA5" w14:textId="77777777" w:rsidR="0005136B" w:rsidRPr="008651D0" w:rsidRDefault="0005136B" w:rsidP="0005136B">
            <w:pPr>
              <w:spacing w:before="0" w:line="240" w:lineRule="auto"/>
              <w:ind w:left="2"/>
              <w:rPr>
                <w:szCs w:val="24"/>
              </w:rPr>
            </w:pPr>
            <w:r w:rsidRPr="008651D0">
              <w:rPr>
                <w:szCs w:val="24"/>
              </w:rPr>
              <w:t>1.464</w:t>
            </w:r>
          </w:p>
        </w:tc>
      </w:tr>
      <w:tr w:rsidR="0005136B" w:rsidRPr="008651D0" w14:paraId="682825DB" w14:textId="77777777" w:rsidTr="00C46529">
        <w:trPr>
          <w:trHeight w:val="356"/>
        </w:trPr>
        <w:tc>
          <w:tcPr>
            <w:tcW w:w="2136" w:type="dxa"/>
          </w:tcPr>
          <w:p w14:paraId="50C3E420" w14:textId="77777777" w:rsidR="0005136B" w:rsidRPr="008651D0" w:rsidRDefault="0005136B" w:rsidP="0005136B">
            <w:pPr>
              <w:spacing w:before="0" w:line="240" w:lineRule="auto"/>
              <w:rPr>
                <w:szCs w:val="24"/>
              </w:rPr>
            </w:pPr>
            <w:r w:rsidRPr="008651D0">
              <w:rPr>
                <w:b/>
                <w:szCs w:val="24"/>
              </w:rPr>
              <w:t>Micro Saving</w:t>
            </w:r>
            <w:r w:rsidRPr="008651D0">
              <w:rPr>
                <w:szCs w:val="24"/>
              </w:rPr>
              <w:t xml:space="preserve"> </w:t>
            </w:r>
          </w:p>
        </w:tc>
        <w:tc>
          <w:tcPr>
            <w:tcW w:w="2186" w:type="dxa"/>
          </w:tcPr>
          <w:p w14:paraId="061381B6" w14:textId="77777777" w:rsidR="0005136B" w:rsidRPr="008651D0" w:rsidRDefault="0005136B" w:rsidP="0005136B">
            <w:pPr>
              <w:spacing w:before="0" w:line="240" w:lineRule="auto"/>
              <w:ind w:left="2"/>
              <w:rPr>
                <w:szCs w:val="24"/>
              </w:rPr>
            </w:pPr>
            <w:r w:rsidRPr="008651D0">
              <w:rPr>
                <w:szCs w:val="24"/>
              </w:rPr>
              <w:t xml:space="preserve">0.191 </w:t>
            </w:r>
          </w:p>
        </w:tc>
        <w:tc>
          <w:tcPr>
            <w:tcW w:w="2007" w:type="dxa"/>
          </w:tcPr>
          <w:p w14:paraId="3563CDAD" w14:textId="77777777" w:rsidR="0005136B" w:rsidRPr="008651D0" w:rsidRDefault="0005136B" w:rsidP="0005136B">
            <w:pPr>
              <w:spacing w:before="0" w:line="240" w:lineRule="auto"/>
              <w:ind w:left="4"/>
              <w:rPr>
                <w:szCs w:val="24"/>
              </w:rPr>
            </w:pPr>
            <w:r w:rsidRPr="008651D0">
              <w:rPr>
                <w:szCs w:val="24"/>
              </w:rPr>
              <w:t xml:space="preserve">0.152 </w:t>
            </w:r>
          </w:p>
        </w:tc>
        <w:tc>
          <w:tcPr>
            <w:tcW w:w="642" w:type="dxa"/>
          </w:tcPr>
          <w:p w14:paraId="50D64648" w14:textId="77777777" w:rsidR="0005136B" w:rsidRPr="008651D0" w:rsidRDefault="0005136B" w:rsidP="0005136B">
            <w:pPr>
              <w:spacing w:before="0" w:line="240" w:lineRule="auto"/>
              <w:ind w:left="4"/>
              <w:rPr>
                <w:szCs w:val="24"/>
              </w:rPr>
            </w:pPr>
            <w:r w:rsidRPr="008651D0">
              <w:rPr>
                <w:szCs w:val="24"/>
              </w:rPr>
              <w:t xml:space="preserve">2.388 </w:t>
            </w:r>
          </w:p>
        </w:tc>
        <w:tc>
          <w:tcPr>
            <w:tcW w:w="620" w:type="dxa"/>
          </w:tcPr>
          <w:p w14:paraId="4753093B" w14:textId="77777777" w:rsidR="0005136B" w:rsidRPr="008651D0" w:rsidRDefault="0005136B" w:rsidP="0005136B">
            <w:pPr>
              <w:spacing w:before="0" w:line="240" w:lineRule="auto"/>
              <w:ind w:left="2"/>
              <w:rPr>
                <w:szCs w:val="24"/>
              </w:rPr>
            </w:pPr>
            <w:r w:rsidRPr="008651D0">
              <w:rPr>
                <w:szCs w:val="24"/>
              </w:rPr>
              <w:t xml:space="preserve">0.018 </w:t>
            </w:r>
          </w:p>
        </w:tc>
        <w:tc>
          <w:tcPr>
            <w:tcW w:w="1108" w:type="dxa"/>
          </w:tcPr>
          <w:p w14:paraId="5795E470" w14:textId="77777777" w:rsidR="0005136B" w:rsidRPr="008651D0" w:rsidRDefault="0005136B" w:rsidP="0005136B">
            <w:pPr>
              <w:spacing w:before="0" w:line="240" w:lineRule="auto"/>
              <w:ind w:left="4"/>
              <w:rPr>
                <w:szCs w:val="24"/>
              </w:rPr>
            </w:pPr>
            <w:r w:rsidRPr="008651D0">
              <w:rPr>
                <w:szCs w:val="24"/>
              </w:rPr>
              <w:t xml:space="preserve">0.873 </w:t>
            </w:r>
          </w:p>
        </w:tc>
        <w:tc>
          <w:tcPr>
            <w:tcW w:w="617" w:type="dxa"/>
          </w:tcPr>
          <w:p w14:paraId="2C698BE2" w14:textId="77777777" w:rsidR="0005136B" w:rsidRPr="008651D0" w:rsidRDefault="0005136B" w:rsidP="0005136B">
            <w:pPr>
              <w:spacing w:before="0" w:line="240" w:lineRule="auto"/>
              <w:ind w:left="2"/>
              <w:rPr>
                <w:szCs w:val="24"/>
              </w:rPr>
            </w:pPr>
            <w:r w:rsidRPr="008651D0">
              <w:rPr>
                <w:szCs w:val="24"/>
              </w:rPr>
              <w:t>1.146</w:t>
            </w:r>
          </w:p>
        </w:tc>
      </w:tr>
      <w:tr w:rsidR="0005136B" w:rsidRPr="008651D0" w14:paraId="7454DE06" w14:textId="77777777" w:rsidTr="00C46529">
        <w:trPr>
          <w:trHeight w:val="910"/>
        </w:trPr>
        <w:tc>
          <w:tcPr>
            <w:tcW w:w="2136" w:type="dxa"/>
          </w:tcPr>
          <w:p w14:paraId="67412AB5" w14:textId="77777777" w:rsidR="0005136B" w:rsidRPr="008651D0" w:rsidRDefault="0005136B" w:rsidP="0005136B">
            <w:pPr>
              <w:spacing w:before="0" w:line="240" w:lineRule="auto"/>
              <w:rPr>
                <w:szCs w:val="24"/>
              </w:rPr>
            </w:pPr>
            <w:r w:rsidRPr="008651D0">
              <w:rPr>
                <w:b/>
                <w:szCs w:val="24"/>
              </w:rPr>
              <w:t xml:space="preserve">Business </w:t>
            </w:r>
          </w:p>
          <w:p w14:paraId="4A104E06" w14:textId="77777777" w:rsidR="0005136B" w:rsidRPr="008651D0" w:rsidRDefault="0005136B" w:rsidP="0005136B">
            <w:pPr>
              <w:spacing w:before="0" w:line="240" w:lineRule="auto"/>
              <w:rPr>
                <w:szCs w:val="24"/>
              </w:rPr>
            </w:pPr>
            <w:r w:rsidRPr="008651D0">
              <w:rPr>
                <w:b/>
                <w:szCs w:val="24"/>
              </w:rPr>
              <w:t xml:space="preserve">Development </w:t>
            </w:r>
          </w:p>
          <w:p w14:paraId="6E8E2813" w14:textId="77777777" w:rsidR="0005136B" w:rsidRPr="008651D0" w:rsidRDefault="0005136B" w:rsidP="0005136B">
            <w:pPr>
              <w:spacing w:before="0" w:line="240" w:lineRule="auto"/>
              <w:rPr>
                <w:szCs w:val="24"/>
              </w:rPr>
            </w:pPr>
            <w:r w:rsidRPr="008651D0">
              <w:rPr>
                <w:b/>
                <w:szCs w:val="24"/>
              </w:rPr>
              <w:t>Services (BDS)</w:t>
            </w:r>
            <w:r w:rsidRPr="008651D0">
              <w:rPr>
                <w:szCs w:val="24"/>
              </w:rPr>
              <w:t xml:space="preserve"> </w:t>
            </w:r>
          </w:p>
        </w:tc>
        <w:tc>
          <w:tcPr>
            <w:tcW w:w="2186" w:type="dxa"/>
            <w:vAlign w:val="center"/>
          </w:tcPr>
          <w:p w14:paraId="5EA45052" w14:textId="77777777" w:rsidR="0005136B" w:rsidRPr="008651D0" w:rsidRDefault="0005136B" w:rsidP="0005136B">
            <w:pPr>
              <w:spacing w:before="0" w:line="240" w:lineRule="auto"/>
              <w:ind w:left="2"/>
              <w:rPr>
                <w:szCs w:val="24"/>
              </w:rPr>
            </w:pPr>
            <w:r w:rsidRPr="008651D0">
              <w:rPr>
                <w:szCs w:val="24"/>
              </w:rPr>
              <w:t xml:space="preserve">0.180 </w:t>
            </w:r>
          </w:p>
        </w:tc>
        <w:tc>
          <w:tcPr>
            <w:tcW w:w="2007" w:type="dxa"/>
            <w:vAlign w:val="center"/>
          </w:tcPr>
          <w:p w14:paraId="60AA3786" w14:textId="77777777" w:rsidR="0005136B" w:rsidRPr="008651D0" w:rsidRDefault="0005136B" w:rsidP="0005136B">
            <w:pPr>
              <w:spacing w:before="0" w:line="240" w:lineRule="auto"/>
              <w:ind w:left="4"/>
              <w:rPr>
                <w:szCs w:val="24"/>
              </w:rPr>
            </w:pPr>
            <w:r w:rsidRPr="008651D0">
              <w:rPr>
                <w:szCs w:val="24"/>
              </w:rPr>
              <w:t xml:space="preserve">0.178 </w:t>
            </w:r>
          </w:p>
        </w:tc>
        <w:tc>
          <w:tcPr>
            <w:tcW w:w="642" w:type="dxa"/>
            <w:vAlign w:val="center"/>
          </w:tcPr>
          <w:p w14:paraId="7D20F26F" w14:textId="77777777" w:rsidR="0005136B" w:rsidRPr="008651D0" w:rsidRDefault="0005136B" w:rsidP="0005136B">
            <w:pPr>
              <w:spacing w:before="0" w:line="240" w:lineRule="auto"/>
              <w:ind w:left="4"/>
              <w:rPr>
                <w:szCs w:val="24"/>
              </w:rPr>
            </w:pPr>
            <w:r w:rsidRPr="008651D0">
              <w:rPr>
                <w:szCs w:val="24"/>
              </w:rPr>
              <w:t xml:space="preserve">2.306 </w:t>
            </w:r>
          </w:p>
        </w:tc>
        <w:tc>
          <w:tcPr>
            <w:tcW w:w="620" w:type="dxa"/>
            <w:vAlign w:val="center"/>
          </w:tcPr>
          <w:p w14:paraId="74017598" w14:textId="77777777" w:rsidR="0005136B" w:rsidRPr="008651D0" w:rsidRDefault="0005136B" w:rsidP="0005136B">
            <w:pPr>
              <w:spacing w:before="0" w:line="240" w:lineRule="auto"/>
              <w:ind w:left="2"/>
              <w:rPr>
                <w:szCs w:val="24"/>
              </w:rPr>
            </w:pPr>
            <w:r w:rsidRPr="008651D0">
              <w:rPr>
                <w:szCs w:val="24"/>
              </w:rPr>
              <w:t xml:space="preserve">0.023 </w:t>
            </w:r>
          </w:p>
        </w:tc>
        <w:tc>
          <w:tcPr>
            <w:tcW w:w="1108" w:type="dxa"/>
            <w:vAlign w:val="center"/>
          </w:tcPr>
          <w:p w14:paraId="7709505C" w14:textId="77777777" w:rsidR="0005136B" w:rsidRPr="008651D0" w:rsidRDefault="0005136B" w:rsidP="0005136B">
            <w:pPr>
              <w:spacing w:before="0" w:line="240" w:lineRule="auto"/>
              <w:ind w:left="4"/>
              <w:rPr>
                <w:szCs w:val="24"/>
              </w:rPr>
            </w:pPr>
            <w:r w:rsidRPr="008651D0">
              <w:rPr>
                <w:szCs w:val="24"/>
              </w:rPr>
              <w:t xml:space="preserve">0.587 </w:t>
            </w:r>
          </w:p>
        </w:tc>
        <w:tc>
          <w:tcPr>
            <w:tcW w:w="617" w:type="dxa"/>
            <w:vAlign w:val="center"/>
          </w:tcPr>
          <w:p w14:paraId="3B5CDB46" w14:textId="77777777" w:rsidR="0005136B" w:rsidRPr="008651D0" w:rsidRDefault="0005136B" w:rsidP="0005136B">
            <w:pPr>
              <w:spacing w:before="0" w:line="240" w:lineRule="auto"/>
              <w:ind w:left="2"/>
              <w:rPr>
                <w:szCs w:val="24"/>
              </w:rPr>
            </w:pPr>
            <w:r w:rsidRPr="008651D0">
              <w:rPr>
                <w:szCs w:val="24"/>
              </w:rPr>
              <w:t>1.703</w:t>
            </w:r>
          </w:p>
        </w:tc>
      </w:tr>
      <w:tr w:rsidR="0005136B" w:rsidRPr="008651D0" w14:paraId="6CA5A039" w14:textId="77777777" w:rsidTr="00C46529">
        <w:trPr>
          <w:trHeight w:val="630"/>
        </w:trPr>
        <w:tc>
          <w:tcPr>
            <w:tcW w:w="2136" w:type="dxa"/>
          </w:tcPr>
          <w:p w14:paraId="76D684F6" w14:textId="77777777" w:rsidR="0005136B" w:rsidRPr="008651D0" w:rsidRDefault="0005136B" w:rsidP="0005136B">
            <w:pPr>
              <w:spacing w:before="0" w:line="240" w:lineRule="auto"/>
              <w:rPr>
                <w:szCs w:val="24"/>
              </w:rPr>
            </w:pPr>
            <w:r w:rsidRPr="008651D0">
              <w:rPr>
                <w:b/>
                <w:szCs w:val="24"/>
              </w:rPr>
              <w:t xml:space="preserve">Advisory and </w:t>
            </w:r>
          </w:p>
          <w:p w14:paraId="1EB7CA14" w14:textId="77777777" w:rsidR="0005136B" w:rsidRPr="008651D0" w:rsidRDefault="0005136B" w:rsidP="0005136B">
            <w:pPr>
              <w:spacing w:before="0" w:line="240" w:lineRule="auto"/>
              <w:rPr>
                <w:szCs w:val="24"/>
              </w:rPr>
            </w:pPr>
            <w:r w:rsidRPr="008651D0">
              <w:rPr>
                <w:b/>
                <w:szCs w:val="24"/>
              </w:rPr>
              <w:t>Consultancy (AC)</w:t>
            </w:r>
            <w:r w:rsidRPr="008651D0">
              <w:rPr>
                <w:szCs w:val="24"/>
              </w:rPr>
              <w:t xml:space="preserve"> </w:t>
            </w:r>
          </w:p>
        </w:tc>
        <w:tc>
          <w:tcPr>
            <w:tcW w:w="2186" w:type="dxa"/>
            <w:vAlign w:val="center"/>
          </w:tcPr>
          <w:p w14:paraId="0BD02CB9" w14:textId="77777777" w:rsidR="0005136B" w:rsidRPr="008651D0" w:rsidRDefault="0005136B" w:rsidP="0005136B">
            <w:pPr>
              <w:spacing w:before="0" w:line="240" w:lineRule="auto"/>
              <w:ind w:left="2"/>
              <w:rPr>
                <w:szCs w:val="24"/>
              </w:rPr>
            </w:pPr>
            <w:r w:rsidRPr="008651D0">
              <w:rPr>
                <w:szCs w:val="24"/>
              </w:rPr>
              <w:t xml:space="preserve">0.533 </w:t>
            </w:r>
          </w:p>
        </w:tc>
        <w:tc>
          <w:tcPr>
            <w:tcW w:w="2007" w:type="dxa"/>
            <w:vAlign w:val="center"/>
          </w:tcPr>
          <w:p w14:paraId="4C506550" w14:textId="77777777" w:rsidR="0005136B" w:rsidRPr="008651D0" w:rsidRDefault="0005136B" w:rsidP="0005136B">
            <w:pPr>
              <w:spacing w:before="0" w:line="240" w:lineRule="auto"/>
              <w:ind w:left="4"/>
              <w:rPr>
                <w:szCs w:val="24"/>
              </w:rPr>
            </w:pPr>
            <w:r w:rsidRPr="008651D0">
              <w:rPr>
                <w:szCs w:val="24"/>
              </w:rPr>
              <w:t xml:space="preserve">0.443 </w:t>
            </w:r>
          </w:p>
        </w:tc>
        <w:tc>
          <w:tcPr>
            <w:tcW w:w="642" w:type="dxa"/>
            <w:vAlign w:val="center"/>
          </w:tcPr>
          <w:p w14:paraId="434B7911" w14:textId="77777777" w:rsidR="0005136B" w:rsidRPr="008651D0" w:rsidRDefault="0005136B" w:rsidP="0005136B">
            <w:pPr>
              <w:spacing w:before="0" w:line="240" w:lineRule="auto"/>
              <w:ind w:left="4"/>
              <w:rPr>
                <w:szCs w:val="24"/>
              </w:rPr>
            </w:pPr>
            <w:r w:rsidRPr="008651D0">
              <w:rPr>
                <w:szCs w:val="24"/>
              </w:rPr>
              <w:t xml:space="preserve">5.776 </w:t>
            </w:r>
          </w:p>
        </w:tc>
        <w:tc>
          <w:tcPr>
            <w:tcW w:w="620" w:type="dxa"/>
            <w:vAlign w:val="center"/>
          </w:tcPr>
          <w:p w14:paraId="41705432" w14:textId="77777777" w:rsidR="0005136B" w:rsidRPr="008651D0" w:rsidRDefault="0005136B" w:rsidP="0005136B">
            <w:pPr>
              <w:spacing w:before="0" w:line="240" w:lineRule="auto"/>
              <w:ind w:left="2"/>
              <w:rPr>
                <w:szCs w:val="24"/>
              </w:rPr>
            </w:pPr>
            <w:r w:rsidRPr="008651D0">
              <w:rPr>
                <w:szCs w:val="24"/>
              </w:rPr>
              <w:t xml:space="preserve">0.000 </w:t>
            </w:r>
          </w:p>
        </w:tc>
        <w:tc>
          <w:tcPr>
            <w:tcW w:w="1108" w:type="dxa"/>
            <w:vAlign w:val="center"/>
          </w:tcPr>
          <w:p w14:paraId="0D5AE5E6" w14:textId="77777777" w:rsidR="0005136B" w:rsidRPr="008651D0" w:rsidRDefault="0005136B" w:rsidP="0005136B">
            <w:pPr>
              <w:spacing w:before="0" w:line="240" w:lineRule="auto"/>
              <w:ind w:left="4"/>
              <w:rPr>
                <w:szCs w:val="24"/>
              </w:rPr>
            </w:pPr>
            <w:r w:rsidRPr="008651D0">
              <w:rPr>
                <w:szCs w:val="24"/>
              </w:rPr>
              <w:t xml:space="preserve">0.598 </w:t>
            </w:r>
          </w:p>
        </w:tc>
        <w:tc>
          <w:tcPr>
            <w:tcW w:w="617" w:type="dxa"/>
            <w:vAlign w:val="center"/>
          </w:tcPr>
          <w:p w14:paraId="733252F6" w14:textId="77777777" w:rsidR="0005136B" w:rsidRPr="008651D0" w:rsidRDefault="0005136B" w:rsidP="0005136B">
            <w:pPr>
              <w:spacing w:before="0" w:line="240" w:lineRule="auto"/>
              <w:ind w:left="2"/>
              <w:rPr>
                <w:szCs w:val="24"/>
              </w:rPr>
            </w:pPr>
            <w:r w:rsidRPr="008651D0">
              <w:rPr>
                <w:szCs w:val="24"/>
              </w:rPr>
              <w:t>1.673</w:t>
            </w:r>
          </w:p>
        </w:tc>
      </w:tr>
    </w:tbl>
    <w:p w14:paraId="2900AA76" w14:textId="77777777" w:rsidR="0005136B" w:rsidRPr="008651D0" w:rsidRDefault="0005136B" w:rsidP="0005136B">
      <w:pPr>
        <w:spacing w:before="0" w:after="336" w:line="240" w:lineRule="auto"/>
        <w:ind w:left="24" w:right="26"/>
        <w:rPr>
          <w:szCs w:val="24"/>
        </w:rPr>
      </w:pPr>
      <w:r w:rsidRPr="008651D0">
        <w:rPr>
          <w:szCs w:val="24"/>
        </w:rPr>
        <w:t>Dependent Variable: Women’s Empowerment.</w:t>
      </w:r>
    </w:p>
    <w:p w14:paraId="19983F2C" w14:textId="77777777" w:rsidR="0005136B" w:rsidRPr="008651D0" w:rsidRDefault="0005136B" w:rsidP="0005136B">
      <w:pPr>
        <w:spacing w:before="0" w:after="336" w:line="240" w:lineRule="auto"/>
        <w:ind w:left="24" w:right="4823"/>
        <w:rPr>
          <w:szCs w:val="24"/>
        </w:rPr>
      </w:pPr>
      <w:r w:rsidRPr="008651D0">
        <w:rPr>
          <w:szCs w:val="24"/>
        </w:rPr>
        <w:t>Source: Survey (2025)</w:t>
      </w:r>
    </w:p>
    <w:p w14:paraId="57DFAC67" w14:textId="4641FC97" w:rsidR="0005136B" w:rsidRDefault="0005136B" w:rsidP="0005136B">
      <w:pPr>
        <w:spacing w:before="0" w:line="240" w:lineRule="auto"/>
      </w:pPr>
      <w:r w:rsidRPr="002D5D47">
        <w:rPr>
          <w:szCs w:val="24"/>
        </w:rPr>
        <w:t>All tolerance values are larger than 0.2 and all VIF values are significantly less than 10, confirming there is no genuine multicollinearity among predictors. This indicates each predictor has an independent role in explaining variations in women's empowerment (Field, 2021</w:t>
      </w:r>
      <w:r>
        <w:rPr>
          <w:szCs w:val="24"/>
        </w:rPr>
        <w:t>.</w:t>
      </w:r>
    </w:p>
    <w:p w14:paraId="507698FF" w14:textId="6DC61605" w:rsidR="0005136B" w:rsidRDefault="0005136B" w:rsidP="00711AB4">
      <w:pPr>
        <w:spacing w:before="0" w:line="240" w:lineRule="auto"/>
      </w:pPr>
    </w:p>
    <w:p w14:paraId="55792BE7" w14:textId="77777777" w:rsidR="00C35625" w:rsidRDefault="00C35625" w:rsidP="00D530BF">
      <w:pPr>
        <w:rPr>
          <w:b/>
          <w:i/>
        </w:rPr>
      </w:pPr>
    </w:p>
    <w:p w14:paraId="37654E41" w14:textId="512D6499" w:rsidR="00D530BF" w:rsidRDefault="00D530BF" w:rsidP="00D530BF">
      <w:pPr>
        <w:rPr>
          <w:b/>
          <w:i/>
        </w:rPr>
      </w:pPr>
      <w:r w:rsidRPr="00D530BF">
        <w:rPr>
          <w:b/>
          <w:i/>
        </w:rPr>
        <w:lastRenderedPageBreak/>
        <w:t>Model Summary</w:t>
      </w:r>
    </w:p>
    <w:p w14:paraId="52C12852" w14:textId="63843064" w:rsidR="00D530BF" w:rsidRPr="00D530BF" w:rsidRDefault="00D530BF" w:rsidP="00D530BF">
      <w:pPr>
        <w:rPr>
          <w:b/>
          <w:i/>
        </w:rPr>
      </w:pPr>
      <w:r>
        <w:rPr>
          <w:b/>
          <w:i/>
        </w:rPr>
        <w:t xml:space="preserve">Table </w:t>
      </w:r>
      <w:r w:rsidR="00C35625">
        <w:rPr>
          <w:b/>
          <w:i/>
        </w:rPr>
        <w:t>4</w:t>
      </w:r>
      <w:r>
        <w:rPr>
          <w:b/>
          <w:i/>
        </w:rPr>
        <w:t>: Model Summary</w:t>
      </w:r>
    </w:p>
    <w:tbl>
      <w:tblPr>
        <w:tblStyle w:val="TableGrid0"/>
        <w:tblW w:w="8590" w:type="dxa"/>
        <w:tblInd w:w="29" w:type="dxa"/>
        <w:tblCellMar>
          <w:top w:w="26" w:type="dxa"/>
        </w:tblCellMar>
        <w:tblLook w:val="04A0" w:firstRow="1" w:lastRow="0" w:firstColumn="1" w:lastColumn="0" w:noHBand="0" w:noVBand="1"/>
      </w:tblPr>
      <w:tblGrid>
        <w:gridCol w:w="1247"/>
        <w:gridCol w:w="1311"/>
        <w:gridCol w:w="4071"/>
        <w:gridCol w:w="1961"/>
      </w:tblGrid>
      <w:tr w:rsidR="00D530BF" w:rsidRPr="008651D0" w14:paraId="6E59F062" w14:textId="77777777" w:rsidTr="00C46529">
        <w:trPr>
          <w:trHeight w:val="349"/>
        </w:trPr>
        <w:tc>
          <w:tcPr>
            <w:tcW w:w="1247" w:type="dxa"/>
            <w:tcBorders>
              <w:top w:val="single" w:sz="4" w:space="0" w:color="000000"/>
              <w:left w:val="nil"/>
              <w:bottom w:val="nil"/>
              <w:right w:val="nil"/>
            </w:tcBorders>
          </w:tcPr>
          <w:p w14:paraId="4910DEF9" w14:textId="77777777" w:rsidR="00D530BF" w:rsidRPr="008651D0" w:rsidRDefault="00D530BF" w:rsidP="00D530BF">
            <w:pPr>
              <w:spacing w:before="0" w:line="240" w:lineRule="auto"/>
              <w:rPr>
                <w:szCs w:val="24"/>
              </w:rPr>
            </w:pPr>
          </w:p>
        </w:tc>
        <w:tc>
          <w:tcPr>
            <w:tcW w:w="1311" w:type="dxa"/>
            <w:tcBorders>
              <w:top w:val="single" w:sz="4" w:space="0" w:color="000000"/>
              <w:left w:val="nil"/>
              <w:bottom w:val="nil"/>
              <w:right w:val="nil"/>
            </w:tcBorders>
          </w:tcPr>
          <w:p w14:paraId="2746E341" w14:textId="77777777" w:rsidR="00D530BF" w:rsidRPr="008651D0" w:rsidRDefault="00D530BF" w:rsidP="00D530BF">
            <w:pPr>
              <w:spacing w:before="0" w:line="240" w:lineRule="auto"/>
              <w:rPr>
                <w:szCs w:val="24"/>
              </w:rPr>
            </w:pPr>
          </w:p>
        </w:tc>
        <w:tc>
          <w:tcPr>
            <w:tcW w:w="4071" w:type="dxa"/>
            <w:tcBorders>
              <w:top w:val="single" w:sz="4" w:space="0" w:color="000000"/>
              <w:left w:val="nil"/>
              <w:bottom w:val="nil"/>
              <w:right w:val="nil"/>
            </w:tcBorders>
          </w:tcPr>
          <w:p w14:paraId="6589048F" w14:textId="77777777" w:rsidR="00D530BF" w:rsidRPr="008651D0" w:rsidRDefault="00D530BF" w:rsidP="00D530BF">
            <w:pPr>
              <w:spacing w:before="0" w:line="240" w:lineRule="auto"/>
              <w:ind w:left="504"/>
              <w:rPr>
                <w:szCs w:val="24"/>
              </w:rPr>
            </w:pPr>
            <w:r w:rsidRPr="008651D0">
              <w:rPr>
                <w:b/>
                <w:szCs w:val="24"/>
              </w:rPr>
              <w:t>Model Summary</w:t>
            </w:r>
            <w:r w:rsidRPr="008651D0">
              <w:rPr>
                <w:szCs w:val="24"/>
              </w:rPr>
              <w:t xml:space="preserve"> </w:t>
            </w:r>
          </w:p>
        </w:tc>
        <w:tc>
          <w:tcPr>
            <w:tcW w:w="1961" w:type="dxa"/>
            <w:tcBorders>
              <w:top w:val="single" w:sz="4" w:space="0" w:color="000000"/>
              <w:left w:val="nil"/>
              <w:bottom w:val="nil"/>
              <w:right w:val="nil"/>
            </w:tcBorders>
          </w:tcPr>
          <w:p w14:paraId="5480DAE2" w14:textId="77777777" w:rsidR="00D530BF" w:rsidRPr="008651D0" w:rsidRDefault="00D530BF" w:rsidP="00D530BF">
            <w:pPr>
              <w:spacing w:before="0" w:line="240" w:lineRule="auto"/>
              <w:rPr>
                <w:szCs w:val="24"/>
              </w:rPr>
            </w:pPr>
          </w:p>
        </w:tc>
      </w:tr>
      <w:tr w:rsidR="00D530BF" w:rsidRPr="008651D0" w14:paraId="138EFF26" w14:textId="77777777" w:rsidTr="00C46529">
        <w:trPr>
          <w:trHeight w:val="621"/>
        </w:trPr>
        <w:tc>
          <w:tcPr>
            <w:tcW w:w="1247" w:type="dxa"/>
            <w:tcBorders>
              <w:top w:val="nil"/>
              <w:left w:val="nil"/>
              <w:bottom w:val="single" w:sz="4" w:space="0" w:color="000000"/>
              <w:right w:val="nil"/>
            </w:tcBorders>
          </w:tcPr>
          <w:p w14:paraId="0B67C91B" w14:textId="77777777" w:rsidR="00D530BF" w:rsidRPr="008651D0" w:rsidRDefault="00D530BF" w:rsidP="00D530BF">
            <w:pPr>
              <w:spacing w:before="0" w:line="240" w:lineRule="auto"/>
              <w:ind w:left="60"/>
              <w:rPr>
                <w:szCs w:val="24"/>
              </w:rPr>
            </w:pPr>
            <w:r w:rsidRPr="008651D0">
              <w:rPr>
                <w:szCs w:val="24"/>
              </w:rPr>
              <w:t xml:space="preserve">Model </w:t>
            </w:r>
          </w:p>
        </w:tc>
        <w:tc>
          <w:tcPr>
            <w:tcW w:w="1311" w:type="dxa"/>
            <w:tcBorders>
              <w:top w:val="nil"/>
              <w:left w:val="nil"/>
              <w:bottom w:val="single" w:sz="4" w:space="0" w:color="000000"/>
              <w:right w:val="nil"/>
            </w:tcBorders>
          </w:tcPr>
          <w:p w14:paraId="279ABAB2" w14:textId="77777777" w:rsidR="00D530BF" w:rsidRPr="008651D0" w:rsidRDefault="00D530BF" w:rsidP="00D530BF">
            <w:pPr>
              <w:spacing w:before="0" w:line="240" w:lineRule="auto"/>
              <w:rPr>
                <w:szCs w:val="24"/>
              </w:rPr>
            </w:pPr>
            <w:r w:rsidRPr="008651D0">
              <w:rPr>
                <w:szCs w:val="24"/>
              </w:rPr>
              <w:t xml:space="preserve">R </w:t>
            </w:r>
          </w:p>
        </w:tc>
        <w:tc>
          <w:tcPr>
            <w:tcW w:w="4071" w:type="dxa"/>
            <w:tcBorders>
              <w:top w:val="nil"/>
              <w:left w:val="nil"/>
              <w:bottom w:val="single" w:sz="4" w:space="0" w:color="000000"/>
              <w:right w:val="nil"/>
            </w:tcBorders>
          </w:tcPr>
          <w:p w14:paraId="75F906BE" w14:textId="77777777" w:rsidR="00D530BF" w:rsidRPr="008651D0" w:rsidRDefault="00D530BF" w:rsidP="00D530BF">
            <w:pPr>
              <w:tabs>
                <w:tab w:val="center" w:pos="2486"/>
              </w:tabs>
              <w:spacing w:before="0" w:line="240" w:lineRule="auto"/>
              <w:rPr>
                <w:szCs w:val="24"/>
              </w:rPr>
            </w:pPr>
            <w:r w:rsidRPr="008651D0">
              <w:rPr>
                <w:szCs w:val="24"/>
              </w:rPr>
              <w:t xml:space="preserve">R Square </w:t>
            </w:r>
            <w:r w:rsidRPr="008651D0">
              <w:rPr>
                <w:szCs w:val="24"/>
              </w:rPr>
              <w:tab/>
              <w:t xml:space="preserve">Adjusted R Square </w:t>
            </w:r>
          </w:p>
        </w:tc>
        <w:tc>
          <w:tcPr>
            <w:tcW w:w="1961" w:type="dxa"/>
            <w:tcBorders>
              <w:top w:val="nil"/>
              <w:left w:val="nil"/>
              <w:bottom w:val="single" w:sz="4" w:space="0" w:color="000000"/>
              <w:right w:val="nil"/>
            </w:tcBorders>
          </w:tcPr>
          <w:p w14:paraId="6D849D2F" w14:textId="77777777" w:rsidR="00D530BF" w:rsidRPr="008651D0" w:rsidRDefault="00D530BF" w:rsidP="00D530BF">
            <w:pPr>
              <w:spacing w:before="0" w:line="240" w:lineRule="auto"/>
              <w:ind w:left="358" w:hanging="358"/>
              <w:rPr>
                <w:szCs w:val="24"/>
              </w:rPr>
            </w:pPr>
            <w:r w:rsidRPr="008651D0">
              <w:rPr>
                <w:szCs w:val="24"/>
              </w:rPr>
              <w:t xml:space="preserve">Std. Error of the Estimate </w:t>
            </w:r>
          </w:p>
        </w:tc>
      </w:tr>
      <w:tr w:rsidR="00D530BF" w:rsidRPr="008651D0" w14:paraId="20F3027D" w14:textId="77777777" w:rsidTr="00C46529">
        <w:trPr>
          <w:trHeight w:val="331"/>
        </w:trPr>
        <w:tc>
          <w:tcPr>
            <w:tcW w:w="1247" w:type="dxa"/>
            <w:tcBorders>
              <w:top w:val="single" w:sz="4" w:space="0" w:color="000000"/>
              <w:left w:val="nil"/>
              <w:bottom w:val="nil"/>
              <w:right w:val="nil"/>
            </w:tcBorders>
          </w:tcPr>
          <w:p w14:paraId="6FDF1E02" w14:textId="77777777" w:rsidR="00D530BF" w:rsidRPr="008651D0" w:rsidRDefault="00D530BF" w:rsidP="00D530BF">
            <w:pPr>
              <w:spacing w:before="0" w:line="240" w:lineRule="auto"/>
              <w:ind w:left="60"/>
              <w:rPr>
                <w:szCs w:val="24"/>
              </w:rPr>
            </w:pPr>
            <w:r w:rsidRPr="008651D0">
              <w:rPr>
                <w:szCs w:val="24"/>
                <w:u w:val="single" w:color="000000"/>
              </w:rPr>
              <w:t xml:space="preserve">1 </w:t>
            </w:r>
          </w:p>
        </w:tc>
        <w:tc>
          <w:tcPr>
            <w:tcW w:w="1311" w:type="dxa"/>
            <w:tcBorders>
              <w:top w:val="single" w:sz="4" w:space="0" w:color="000000"/>
              <w:left w:val="nil"/>
              <w:bottom w:val="nil"/>
              <w:right w:val="nil"/>
            </w:tcBorders>
          </w:tcPr>
          <w:p w14:paraId="5D8F1E52" w14:textId="77777777" w:rsidR="00D530BF" w:rsidRPr="008651D0" w:rsidRDefault="00D530BF" w:rsidP="00D530BF">
            <w:pPr>
              <w:spacing w:before="0" w:line="240" w:lineRule="auto"/>
              <w:ind w:left="221"/>
              <w:rPr>
                <w:szCs w:val="24"/>
              </w:rPr>
            </w:pPr>
            <w:r w:rsidRPr="008651D0">
              <w:rPr>
                <w:szCs w:val="24"/>
                <w:u w:val="single" w:color="000000"/>
              </w:rPr>
              <w:t>0.720</w:t>
            </w:r>
            <w:r w:rsidRPr="008651D0">
              <w:rPr>
                <w:szCs w:val="24"/>
                <w:vertAlign w:val="superscript"/>
              </w:rPr>
              <w:t>a</w:t>
            </w:r>
            <w:r w:rsidRPr="008651D0">
              <w:rPr>
                <w:szCs w:val="24"/>
                <w:u w:val="single" w:color="000000"/>
              </w:rPr>
              <w:t xml:space="preserve"> </w:t>
            </w:r>
          </w:p>
        </w:tc>
        <w:tc>
          <w:tcPr>
            <w:tcW w:w="4071" w:type="dxa"/>
            <w:tcBorders>
              <w:top w:val="single" w:sz="4" w:space="0" w:color="000000"/>
              <w:left w:val="nil"/>
              <w:bottom w:val="single" w:sz="4" w:space="0" w:color="000000"/>
              <w:right w:val="nil"/>
            </w:tcBorders>
          </w:tcPr>
          <w:p w14:paraId="568B29B2" w14:textId="77777777" w:rsidR="00D530BF" w:rsidRPr="008651D0" w:rsidRDefault="00D530BF" w:rsidP="00D530BF">
            <w:pPr>
              <w:tabs>
                <w:tab w:val="center" w:pos="976"/>
                <w:tab w:val="center" w:pos="3340"/>
              </w:tabs>
              <w:spacing w:before="0" w:line="240" w:lineRule="auto"/>
              <w:rPr>
                <w:szCs w:val="24"/>
              </w:rPr>
            </w:pPr>
            <w:r w:rsidRPr="008651D0">
              <w:rPr>
                <w:szCs w:val="24"/>
              </w:rPr>
              <w:tab/>
              <w:t xml:space="preserve">0.518 </w:t>
            </w:r>
            <w:r w:rsidRPr="008651D0">
              <w:rPr>
                <w:szCs w:val="24"/>
              </w:rPr>
              <w:tab/>
              <w:t xml:space="preserve">0.504 </w:t>
            </w:r>
          </w:p>
        </w:tc>
        <w:tc>
          <w:tcPr>
            <w:tcW w:w="1961" w:type="dxa"/>
            <w:tcBorders>
              <w:top w:val="single" w:sz="4" w:space="0" w:color="000000"/>
              <w:left w:val="nil"/>
              <w:bottom w:val="single" w:sz="4" w:space="0" w:color="000000"/>
              <w:right w:val="nil"/>
            </w:tcBorders>
          </w:tcPr>
          <w:p w14:paraId="33CB7FCF" w14:textId="77777777" w:rsidR="00D530BF" w:rsidRPr="008651D0" w:rsidRDefault="00D530BF" w:rsidP="00D530BF">
            <w:pPr>
              <w:spacing w:before="0" w:line="240" w:lineRule="auto"/>
              <w:ind w:right="60"/>
              <w:rPr>
                <w:szCs w:val="24"/>
              </w:rPr>
            </w:pPr>
            <w:r w:rsidRPr="008651D0">
              <w:rPr>
                <w:szCs w:val="24"/>
              </w:rPr>
              <w:t xml:space="preserve">3.04503 </w:t>
            </w:r>
          </w:p>
        </w:tc>
      </w:tr>
    </w:tbl>
    <w:p w14:paraId="25B34A88" w14:textId="77777777" w:rsidR="00D530BF" w:rsidRPr="008651D0" w:rsidRDefault="00D530BF" w:rsidP="00D530BF">
      <w:pPr>
        <w:ind w:left="29"/>
        <w:rPr>
          <w:szCs w:val="24"/>
        </w:rPr>
      </w:pPr>
      <w:r w:rsidRPr="008651D0">
        <w:rPr>
          <w:szCs w:val="24"/>
        </w:rPr>
        <w:t>Predictors: (Constant), Advisory &amp; Consultancy, Micro-Saving, Access to Microcredit, BDS.</w:t>
      </w:r>
    </w:p>
    <w:p w14:paraId="6A3F0411" w14:textId="77777777" w:rsidR="00D530BF" w:rsidRPr="008651D0" w:rsidRDefault="00D530BF" w:rsidP="00D530BF">
      <w:pPr>
        <w:spacing w:line="240" w:lineRule="auto"/>
        <w:ind w:left="29"/>
        <w:rPr>
          <w:szCs w:val="24"/>
        </w:rPr>
      </w:pPr>
      <w:r w:rsidRPr="008651D0">
        <w:rPr>
          <w:szCs w:val="24"/>
        </w:rPr>
        <w:t>Source: Survey (2025).</w:t>
      </w:r>
    </w:p>
    <w:p w14:paraId="0E8BF704" w14:textId="77777777" w:rsidR="00D530BF" w:rsidRPr="002D5D47" w:rsidRDefault="00D530BF" w:rsidP="00D530BF">
      <w:pPr>
        <w:spacing w:after="125" w:line="240" w:lineRule="auto"/>
        <w:ind w:left="24" w:right="26"/>
        <w:rPr>
          <w:szCs w:val="24"/>
        </w:rPr>
      </w:pPr>
      <w:r w:rsidRPr="002D5D47">
        <w:rPr>
          <w:szCs w:val="24"/>
        </w:rPr>
        <w:t>The model had an R² of 0.518, meaning that 51.8% of women's empowerment variance is explained by the four predictors. The Adjusted R² of 0.504 tells us of stability, controlling for model complexity. This explanatory power would be considered moderate to strong in behavioral and social sciences studies (Hair et al., 2020; Field, 2021).</w:t>
      </w:r>
    </w:p>
    <w:p w14:paraId="6B5AF384" w14:textId="77777777" w:rsidR="00711AB4" w:rsidRDefault="00711AB4" w:rsidP="00711AB4">
      <w:pPr>
        <w:spacing w:before="0" w:line="240" w:lineRule="auto"/>
        <w:rPr>
          <w:color w:val="000000" w:themeColor="text1"/>
        </w:rPr>
      </w:pPr>
    </w:p>
    <w:p w14:paraId="2C021795" w14:textId="77777777" w:rsidR="00D530BF" w:rsidRPr="00D530BF" w:rsidRDefault="00D530BF" w:rsidP="00D530BF">
      <w:pPr>
        <w:spacing w:before="0" w:line="240" w:lineRule="auto"/>
        <w:rPr>
          <w:b/>
        </w:rPr>
      </w:pPr>
      <w:r w:rsidRPr="00D530BF">
        <w:rPr>
          <w:b/>
        </w:rPr>
        <w:t>Analysis of Variance (ANOVA)</w:t>
      </w:r>
    </w:p>
    <w:p w14:paraId="674F70EA" w14:textId="5B7685BA" w:rsidR="00D530BF" w:rsidRPr="008651D0" w:rsidRDefault="00D530BF" w:rsidP="00D530BF">
      <w:pPr>
        <w:spacing w:before="0" w:after="125" w:line="240" w:lineRule="auto"/>
        <w:ind w:left="24" w:right="26"/>
        <w:rPr>
          <w:szCs w:val="24"/>
        </w:rPr>
      </w:pPr>
      <w:r w:rsidRPr="002D5D47">
        <w:rPr>
          <w:szCs w:val="24"/>
        </w:rPr>
        <w:t xml:space="preserve">The ANOVA table displays the variance analysis of the regression model describing women's empowerment based on the predictors' microcredit, </w:t>
      </w:r>
      <w:proofErr w:type="spellStart"/>
      <w:r w:rsidRPr="002D5D47">
        <w:rPr>
          <w:szCs w:val="24"/>
        </w:rPr>
        <w:t>microsaving</w:t>
      </w:r>
      <w:proofErr w:type="spellEnd"/>
      <w:r w:rsidRPr="002D5D47">
        <w:rPr>
          <w:szCs w:val="24"/>
        </w:rPr>
        <w:t xml:space="preserve">, business development services, and advisory and consultancy </w:t>
      </w:r>
    </w:p>
    <w:p w14:paraId="763AE07A" w14:textId="1CB70A21" w:rsidR="00D530BF" w:rsidRPr="00D530BF" w:rsidRDefault="00D530BF" w:rsidP="00D530BF">
      <w:pPr>
        <w:spacing w:before="0" w:after="45" w:line="240" w:lineRule="auto"/>
        <w:ind w:left="16"/>
        <w:rPr>
          <w:b/>
          <w:i/>
        </w:rPr>
      </w:pPr>
      <w:r w:rsidRPr="00D530BF">
        <w:rPr>
          <w:b/>
          <w:i/>
        </w:rPr>
        <w:t xml:space="preserve">Table </w:t>
      </w:r>
      <w:r w:rsidR="00C35625">
        <w:rPr>
          <w:b/>
          <w:i/>
        </w:rPr>
        <w:t>5</w:t>
      </w:r>
      <w:r w:rsidRPr="00D530BF">
        <w:rPr>
          <w:b/>
          <w:i/>
        </w:rPr>
        <w:t xml:space="preserve"> ANOVA</w:t>
      </w:r>
    </w:p>
    <w:p w14:paraId="6E2368B0" w14:textId="2E1EFF74" w:rsidR="00D530BF" w:rsidRPr="008651D0" w:rsidRDefault="00D530BF" w:rsidP="00D530BF">
      <w:pPr>
        <w:spacing w:before="0" w:after="45" w:line="240" w:lineRule="auto"/>
        <w:ind w:left="16"/>
        <w:rPr>
          <w:szCs w:val="24"/>
        </w:rPr>
      </w:pPr>
      <w:r w:rsidRPr="008651D0">
        <w:rPr>
          <w:noProof/>
          <w:szCs w:val="24"/>
        </w:rPr>
        <w:drawing>
          <wp:inline distT="0" distB="0" distL="0" distR="0" wp14:anchorId="32ECDD81" wp14:editId="43FA60C6">
            <wp:extent cx="5949697" cy="938784"/>
            <wp:effectExtent l="0" t="0" r="0" b="0"/>
            <wp:docPr id="139636" name="Picture 139636"/>
            <wp:cNvGraphicFramePr/>
            <a:graphic xmlns:a="http://schemas.openxmlformats.org/drawingml/2006/main">
              <a:graphicData uri="http://schemas.openxmlformats.org/drawingml/2006/picture">
                <pic:pic xmlns:pic="http://schemas.openxmlformats.org/drawingml/2006/picture">
                  <pic:nvPicPr>
                    <pic:cNvPr id="139636" name="Picture 139636"/>
                    <pic:cNvPicPr/>
                  </pic:nvPicPr>
                  <pic:blipFill>
                    <a:blip r:embed="rId7"/>
                    <a:stretch>
                      <a:fillRect/>
                    </a:stretch>
                  </pic:blipFill>
                  <pic:spPr>
                    <a:xfrm>
                      <a:off x="0" y="0"/>
                      <a:ext cx="5949697" cy="938784"/>
                    </a:xfrm>
                    <a:prstGeom prst="rect">
                      <a:avLst/>
                    </a:prstGeom>
                  </pic:spPr>
                </pic:pic>
              </a:graphicData>
            </a:graphic>
          </wp:inline>
        </w:drawing>
      </w:r>
    </w:p>
    <w:p w14:paraId="5F74175B" w14:textId="77777777" w:rsidR="00D530BF" w:rsidRPr="008651D0" w:rsidRDefault="00D530BF" w:rsidP="00D530BF">
      <w:pPr>
        <w:spacing w:before="0" w:after="77" w:line="240" w:lineRule="auto"/>
        <w:ind w:right="802"/>
        <w:rPr>
          <w:szCs w:val="24"/>
        </w:rPr>
      </w:pPr>
      <w:r w:rsidRPr="008651D0">
        <w:rPr>
          <w:szCs w:val="24"/>
        </w:rPr>
        <w:t>Dependent Variable: Women’s Empowerment. Source: Survey (2025).</w:t>
      </w:r>
    </w:p>
    <w:p w14:paraId="1D79B701" w14:textId="0685E012" w:rsidR="00BE5008" w:rsidRDefault="00D530BF" w:rsidP="00D530BF">
      <w:pPr>
        <w:spacing w:before="0" w:line="240" w:lineRule="auto"/>
        <w:rPr>
          <w:szCs w:val="24"/>
        </w:rPr>
      </w:pPr>
      <w:r w:rsidRPr="002D5D47">
        <w:rPr>
          <w:szCs w:val="24"/>
        </w:rPr>
        <w:t>F-statistic value of 36.819 (p &lt; 0.001) indicates that the model is statistically significant, corroborating the evidence that the predictors as a group explain the overwhelming proportion of the variance of women's empowerment. It corroborates the robustness of the regression model (Gujarati &amp; Porter, 2020</w:t>
      </w:r>
      <w:r>
        <w:rPr>
          <w:szCs w:val="24"/>
        </w:rPr>
        <w:t xml:space="preserve">). </w:t>
      </w:r>
    </w:p>
    <w:p w14:paraId="58F1C3B1" w14:textId="109E74C8" w:rsidR="00D530BF" w:rsidRDefault="00D530BF" w:rsidP="00D530BF">
      <w:pPr>
        <w:spacing w:before="0" w:line="240" w:lineRule="auto"/>
        <w:rPr>
          <w:b/>
          <w:bCs/>
          <w:color w:val="000000" w:themeColor="text1"/>
          <w:sz w:val="28"/>
          <w:szCs w:val="24"/>
        </w:rPr>
      </w:pPr>
    </w:p>
    <w:p w14:paraId="29E0CABC" w14:textId="77777777" w:rsidR="0005136B" w:rsidRPr="0005136B" w:rsidRDefault="0005136B" w:rsidP="0005136B">
      <w:pPr>
        <w:spacing w:before="0" w:line="240" w:lineRule="auto"/>
        <w:rPr>
          <w:b/>
          <w:i/>
        </w:rPr>
      </w:pPr>
      <w:r w:rsidRPr="0005136B">
        <w:rPr>
          <w:b/>
          <w:i/>
        </w:rPr>
        <w:t>Coefficients of Predictors</w:t>
      </w:r>
    </w:p>
    <w:p w14:paraId="2FCE4632" w14:textId="75E3CD17" w:rsidR="0005136B" w:rsidRDefault="0005136B" w:rsidP="0005136B">
      <w:pPr>
        <w:spacing w:before="0" w:line="240" w:lineRule="auto"/>
        <w:ind w:left="24" w:right="26"/>
        <w:rPr>
          <w:szCs w:val="24"/>
        </w:rPr>
      </w:pPr>
      <w:r w:rsidRPr="002D5D47">
        <w:rPr>
          <w:szCs w:val="24"/>
        </w:rPr>
        <w:t>These coefficients provide estimates of the impact each predictor has on the outcome of the regression. The significance levels indicate whether the coefficients are statistically significant, with p-values less than 0.05 usually being considered significant. Prescribed here are the resul</w:t>
      </w:r>
      <w:r>
        <w:rPr>
          <w:szCs w:val="24"/>
        </w:rPr>
        <w:t xml:space="preserve">ts of the analysis in table </w:t>
      </w:r>
      <w:r w:rsidR="00C35625">
        <w:rPr>
          <w:szCs w:val="24"/>
        </w:rPr>
        <w:t>6</w:t>
      </w:r>
      <w:r w:rsidRPr="008651D0">
        <w:rPr>
          <w:szCs w:val="24"/>
        </w:rPr>
        <w:t xml:space="preserve">. </w:t>
      </w:r>
    </w:p>
    <w:p w14:paraId="5292B5E5" w14:textId="77777777" w:rsidR="0005136B" w:rsidRPr="008651D0" w:rsidRDefault="0005136B" w:rsidP="0005136B">
      <w:pPr>
        <w:spacing w:before="0" w:line="240" w:lineRule="auto"/>
        <w:ind w:left="24" w:right="26"/>
        <w:rPr>
          <w:szCs w:val="24"/>
        </w:rPr>
      </w:pPr>
    </w:p>
    <w:p w14:paraId="1767B2F9" w14:textId="650C7DAB" w:rsidR="0005136B" w:rsidRPr="0005136B" w:rsidRDefault="0005136B" w:rsidP="0005136B">
      <w:pPr>
        <w:spacing w:before="0" w:line="240" w:lineRule="auto"/>
        <w:rPr>
          <w:b/>
        </w:rPr>
      </w:pPr>
      <w:bookmarkStart w:id="7" w:name="_Toc212721862"/>
      <w:r w:rsidRPr="0005136B">
        <w:rPr>
          <w:b/>
        </w:rPr>
        <w:t xml:space="preserve">Table </w:t>
      </w:r>
      <w:r w:rsidR="00C35625">
        <w:rPr>
          <w:b/>
        </w:rPr>
        <w:t>6</w:t>
      </w:r>
      <w:r w:rsidRPr="0005136B">
        <w:rPr>
          <w:b/>
        </w:rPr>
        <w:t>: Coefficients for Women’s Empowerment Regression Model</w:t>
      </w:r>
      <w:bookmarkEnd w:id="7"/>
    </w:p>
    <w:tbl>
      <w:tblPr>
        <w:tblStyle w:val="TableGrid0"/>
        <w:tblW w:w="8780" w:type="dxa"/>
        <w:tblInd w:w="52" w:type="dxa"/>
        <w:tblBorders>
          <w:top w:val="single" w:sz="4" w:space="0" w:color="auto"/>
          <w:bottom w:val="single" w:sz="4" w:space="0" w:color="auto"/>
        </w:tblBorders>
        <w:tblCellMar>
          <w:top w:w="41" w:type="dxa"/>
          <w:left w:w="37" w:type="dxa"/>
          <w:right w:w="30" w:type="dxa"/>
        </w:tblCellMar>
        <w:tblLook w:val="04A0" w:firstRow="1" w:lastRow="0" w:firstColumn="1" w:lastColumn="0" w:noHBand="0" w:noVBand="1"/>
      </w:tblPr>
      <w:tblGrid>
        <w:gridCol w:w="2582"/>
        <w:gridCol w:w="2760"/>
        <w:gridCol w:w="2151"/>
        <w:gridCol w:w="670"/>
        <w:gridCol w:w="617"/>
      </w:tblGrid>
      <w:tr w:rsidR="0005136B" w:rsidRPr="008651D0" w14:paraId="0693F21F" w14:textId="77777777" w:rsidTr="00C46529">
        <w:trPr>
          <w:trHeight w:val="633"/>
        </w:trPr>
        <w:tc>
          <w:tcPr>
            <w:tcW w:w="2582" w:type="dxa"/>
            <w:tcBorders>
              <w:top w:val="single" w:sz="4" w:space="0" w:color="auto"/>
              <w:bottom w:val="single" w:sz="4" w:space="0" w:color="auto"/>
            </w:tcBorders>
            <w:vAlign w:val="center"/>
          </w:tcPr>
          <w:p w14:paraId="0049C6E3" w14:textId="77777777" w:rsidR="0005136B" w:rsidRPr="008651D0" w:rsidRDefault="0005136B" w:rsidP="0005136B">
            <w:pPr>
              <w:spacing w:before="0" w:line="240" w:lineRule="auto"/>
              <w:ind w:right="15"/>
              <w:rPr>
                <w:szCs w:val="24"/>
              </w:rPr>
            </w:pPr>
            <w:r w:rsidRPr="008651D0">
              <w:rPr>
                <w:b/>
                <w:szCs w:val="24"/>
              </w:rPr>
              <w:t xml:space="preserve">Model </w:t>
            </w:r>
          </w:p>
        </w:tc>
        <w:tc>
          <w:tcPr>
            <w:tcW w:w="2760" w:type="dxa"/>
            <w:tcBorders>
              <w:top w:val="single" w:sz="4" w:space="0" w:color="auto"/>
              <w:bottom w:val="single" w:sz="4" w:space="0" w:color="auto"/>
            </w:tcBorders>
          </w:tcPr>
          <w:p w14:paraId="295FB06F" w14:textId="77777777" w:rsidR="0005136B" w:rsidRPr="008651D0" w:rsidRDefault="0005136B" w:rsidP="0005136B">
            <w:pPr>
              <w:spacing w:before="0" w:line="240" w:lineRule="auto"/>
              <w:rPr>
                <w:szCs w:val="24"/>
              </w:rPr>
            </w:pPr>
            <w:r w:rsidRPr="008651D0">
              <w:rPr>
                <w:b/>
                <w:szCs w:val="24"/>
              </w:rPr>
              <w:t xml:space="preserve">Unstandardized Coefficients (B) </w:t>
            </w:r>
          </w:p>
        </w:tc>
        <w:tc>
          <w:tcPr>
            <w:tcW w:w="2151" w:type="dxa"/>
            <w:tcBorders>
              <w:top w:val="single" w:sz="4" w:space="0" w:color="auto"/>
              <w:bottom w:val="single" w:sz="4" w:space="0" w:color="auto"/>
            </w:tcBorders>
          </w:tcPr>
          <w:p w14:paraId="57004E1E" w14:textId="77777777" w:rsidR="0005136B" w:rsidRPr="008651D0" w:rsidRDefault="0005136B" w:rsidP="0005136B">
            <w:pPr>
              <w:spacing w:before="0" w:line="240" w:lineRule="auto"/>
              <w:ind w:left="11"/>
              <w:rPr>
                <w:szCs w:val="24"/>
              </w:rPr>
            </w:pPr>
            <w:r w:rsidRPr="008651D0">
              <w:rPr>
                <w:b/>
                <w:szCs w:val="24"/>
              </w:rPr>
              <w:t xml:space="preserve">Standardized Coefficients (Beta) </w:t>
            </w:r>
          </w:p>
        </w:tc>
        <w:tc>
          <w:tcPr>
            <w:tcW w:w="670" w:type="dxa"/>
            <w:tcBorders>
              <w:top w:val="single" w:sz="4" w:space="0" w:color="auto"/>
              <w:bottom w:val="single" w:sz="4" w:space="0" w:color="auto"/>
            </w:tcBorders>
            <w:vAlign w:val="center"/>
          </w:tcPr>
          <w:p w14:paraId="41C1BB2D" w14:textId="77777777" w:rsidR="0005136B" w:rsidRPr="008651D0" w:rsidRDefault="0005136B" w:rsidP="0005136B">
            <w:pPr>
              <w:spacing w:before="0" w:line="240" w:lineRule="auto"/>
              <w:ind w:right="9"/>
              <w:rPr>
                <w:szCs w:val="24"/>
              </w:rPr>
            </w:pPr>
            <w:r w:rsidRPr="008651D0">
              <w:rPr>
                <w:b/>
                <w:szCs w:val="24"/>
              </w:rPr>
              <w:t xml:space="preserve">t </w:t>
            </w:r>
          </w:p>
        </w:tc>
        <w:tc>
          <w:tcPr>
            <w:tcW w:w="617" w:type="dxa"/>
            <w:tcBorders>
              <w:top w:val="single" w:sz="4" w:space="0" w:color="auto"/>
              <w:bottom w:val="single" w:sz="4" w:space="0" w:color="auto"/>
            </w:tcBorders>
            <w:vAlign w:val="center"/>
          </w:tcPr>
          <w:p w14:paraId="403684DD" w14:textId="77777777" w:rsidR="0005136B" w:rsidRPr="008651D0" w:rsidRDefault="0005136B" w:rsidP="0005136B">
            <w:pPr>
              <w:spacing w:before="0" w:line="240" w:lineRule="auto"/>
              <w:ind w:left="82"/>
              <w:rPr>
                <w:szCs w:val="24"/>
              </w:rPr>
            </w:pPr>
            <w:r w:rsidRPr="008651D0">
              <w:rPr>
                <w:b/>
                <w:szCs w:val="24"/>
              </w:rPr>
              <w:t xml:space="preserve">Sig. </w:t>
            </w:r>
          </w:p>
        </w:tc>
      </w:tr>
      <w:tr w:rsidR="0005136B" w:rsidRPr="008651D0" w14:paraId="38C39D74" w14:textId="77777777" w:rsidTr="00C46529">
        <w:trPr>
          <w:trHeight w:val="631"/>
        </w:trPr>
        <w:tc>
          <w:tcPr>
            <w:tcW w:w="2582" w:type="dxa"/>
            <w:tcBorders>
              <w:top w:val="single" w:sz="4" w:space="0" w:color="auto"/>
            </w:tcBorders>
            <w:vAlign w:val="center"/>
          </w:tcPr>
          <w:p w14:paraId="74BC4EF3" w14:textId="77777777" w:rsidR="0005136B" w:rsidRPr="008651D0" w:rsidRDefault="0005136B" w:rsidP="0005136B">
            <w:pPr>
              <w:spacing w:before="0" w:line="240" w:lineRule="auto"/>
              <w:rPr>
                <w:szCs w:val="24"/>
              </w:rPr>
            </w:pPr>
            <w:r w:rsidRPr="008651D0">
              <w:rPr>
                <w:b/>
                <w:szCs w:val="24"/>
              </w:rPr>
              <w:t>(Constant)</w:t>
            </w:r>
            <w:r w:rsidRPr="008651D0">
              <w:rPr>
                <w:szCs w:val="24"/>
              </w:rPr>
              <w:t xml:space="preserve"> </w:t>
            </w:r>
          </w:p>
        </w:tc>
        <w:tc>
          <w:tcPr>
            <w:tcW w:w="2760" w:type="dxa"/>
            <w:tcBorders>
              <w:top w:val="single" w:sz="4" w:space="0" w:color="auto"/>
            </w:tcBorders>
            <w:vAlign w:val="center"/>
          </w:tcPr>
          <w:p w14:paraId="772DA940" w14:textId="77777777" w:rsidR="0005136B" w:rsidRPr="008651D0" w:rsidRDefault="0005136B" w:rsidP="0005136B">
            <w:pPr>
              <w:spacing w:before="0" w:line="240" w:lineRule="auto"/>
              <w:ind w:left="4"/>
              <w:rPr>
                <w:szCs w:val="24"/>
              </w:rPr>
            </w:pPr>
            <w:r w:rsidRPr="008651D0">
              <w:rPr>
                <w:szCs w:val="24"/>
              </w:rPr>
              <w:t xml:space="preserve">-2.020 </w:t>
            </w:r>
          </w:p>
        </w:tc>
        <w:tc>
          <w:tcPr>
            <w:tcW w:w="2151" w:type="dxa"/>
            <w:tcBorders>
              <w:top w:val="single" w:sz="4" w:space="0" w:color="auto"/>
            </w:tcBorders>
            <w:vAlign w:val="center"/>
          </w:tcPr>
          <w:p w14:paraId="2DC2E886" w14:textId="77777777" w:rsidR="0005136B" w:rsidRPr="008651D0" w:rsidRDefault="0005136B" w:rsidP="0005136B">
            <w:pPr>
              <w:spacing w:before="0" w:line="240" w:lineRule="auto"/>
              <w:ind w:left="4"/>
              <w:rPr>
                <w:szCs w:val="24"/>
              </w:rPr>
            </w:pPr>
            <w:r w:rsidRPr="008651D0">
              <w:rPr>
                <w:szCs w:val="24"/>
              </w:rPr>
              <w:t xml:space="preserve">- </w:t>
            </w:r>
          </w:p>
        </w:tc>
        <w:tc>
          <w:tcPr>
            <w:tcW w:w="670" w:type="dxa"/>
            <w:tcBorders>
              <w:top w:val="single" w:sz="4" w:space="0" w:color="auto"/>
            </w:tcBorders>
          </w:tcPr>
          <w:p w14:paraId="295F224A" w14:textId="77777777" w:rsidR="0005136B" w:rsidRPr="008651D0" w:rsidRDefault="0005136B" w:rsidP="0005136B">
            <w:pPr>
              <w:spacing w:before="0" w:line="240" w:lineRule="auto"/>
              <w:ind w:left="2"/>
              <w:rPr>
                <w:szCs w:val="24"/>
              </w:rPr>
            </w:pPr>
            <w:r w:rsidRPr="008651D0">
              <w:rPr>
                <w:szCs w:val="24"/>
              </w:rPr>
              <w:t>-</w:t>
            </w:r>
          </w:p>
          <w:p w14:paraId="41B340E8" w14:textId="77777777" w:rsidR="0005136B" w:rsidRPr="008651D0" w:rsidRDefault="0005136B" w:rsidP="0005136B">
            <w:pPr>
              <w:spacing w:before="0" w:line="240" w:lineRule="auto"/>
              <w:ind w:left="2"/>
              <w:rPr>
                <w:szCs w:val="24"/>
              </w:rPr>
            </w:pPr>
            <w:r w:rsidRPr="008651D0">
              <w:rPr>
                <w:szCs w:val="24"/>
              </w:rPr>
              <w:t xml:space="preserve">0.783 </w:t>
            </w:r>
          </w:p>
        </w:tc>
        <w:tc>
          <w:tcPr>
            <w:tcW w:w="617" w:type="dxa"/>
            <w:tcBorders>
              <w:top w:val="single" w:sz="4" w:space="0" w:color="auto"/>
            </w:tcBorders>
            <w:vAlign w:val="center"/>
          </w:tcPr>
          <w:p w14:paraId="14CDDDD3" w14:textId="77777777" w:rsidR="0005136B" w:rsidRPr="008651D0" w:rsidRDefault="0005136B" w:rsidP="0005136B">
            <w:pPr>
              <w:spacing w:before="0" w:line="240" w:lineRule="auto"/>
              <w:ind w:left="2"/>
              <w:rPr>
                <w:szCs w:val="24"/>
              </w:rPr>
            </w:pPr>
            <w:r w:rsidRPr="008651D0">
              <w:rPr>
                <w:szCs w:val="24"/>
              </w:rPr>
              <w:t>0.435</w:t>
            </w:r>
          </w:p>
        </w:tc>
      </w:tr>
      <w:tr w:rsidR="0005136B" w:rsidRPr="008651D0" w14:paraId="70A04341" w14:textId="77777777" w:rsidTr="00C46529">
        <w:trPr>
          <w:trHeight w:val="358"/>
        </w:trPr>
        <w:tc>
          <w:tcPr>
            <w:tcW w:w="2582" w:type="dxa"/>
          </w:tcPr>
          <w:p w14:paraId="437C2EA7" w14:textId="77777777" w:rsidR="0005136B" w:rsidRPr="008651D0" w:rsidRDefault="0005136B" w:rsidP="0005136B">
            <w:pPr>
              <w:spacing w:before="0" w:line="240" w:lineRule="auto"/>
              <w:rPr>
                <w:szCs w:val="24"/>
              </w:rPr>
            </w:pPr>
            <w:r w:rsidRPr="008651D0">
              <w:rPr>
                <w:b/>
                <w:szCs w:val="24"/>
              </w:rPr>
              <w:t>Access Microcredit</w:t>
            </w:r>
            <w:r w:rsidRPr="008651D0">
              <w:rPr>
                <w:szCs w:val="24"/>
              </w:rPr>
              <w:t xml:space="preserve"> </w:t>
            </w:r>
          </w:p>
        </w:tc>
        <w:tc>
          <w:tcPr>
            <w:tcW w:w="2760" w:type="dxa"/>
          </w:tcPr>
          <w:p w14:paraId="0E168966" w14:textId="77777777" w:rsidR="0005136B" w:rsidRPr="008651D0" w:rsidRDefault="0005136B" w:rsidP="0005136B">
            <w:pPr>
              <w:spacing w:before="0" w:line="240" w:lineRule="auto"/>
              <w:ind w:left="4"/>
              <w:rPr>
                <w:szCs w:val="24"/>
              </w:rPr>
            </w:pPr>
            <w:r w:rsidRPr="008651D0">
              <w:rPr>
                <w:szCs w:val="24"/>
              </w:rPr>
              <w:t xml:space="preserve">0.182 </w:t>
            </w:r>
          </w:p>
        </w:tc>
        <w:tc>
          <w:tcPr>
            <w:tcW w:w="2151" w:type="dxa"/>
          </w:tcPr>
          <w:p w14:paraId="11A1C189" w14:textId="77777777" w:rsidR="0005136B" w:rsidRPr="008651D0" w:rsidRDefault="0005136B" w:rsidP="0005136B">
            <w:pPr>
              <w:spacing w:before="0" w:line="240" w:lineRule="auto"/>
              <w:ind w:left="4"/>
              <w:rPr>
                <w:szCs w:val="24"/>
              </w:rPr>
            </w:pPr>
            <w:r w:rsidRPr="008651D0">
              <w:rPr>
                <w:szCs w:val="24"/>
              </w:rPr>
              <w:t xml:space="preserve">0.146 </w:t>
            </w:r>
          </w:p>
        </w:tc>
        <w:tc>
          <w:tcPr>
            <w:tcW w:w="670" w:type="dxa"/>
          </w:tcPr>
          <w:p w14:paraId="058A5015" w14:textId="77777777" w:rsidR="0005136B" w:rsidRPr="008651D0" w:rsidRDefault="0005136B" w:rsidP="0005136B">
            <w:pPr>
              <w:spacing w:before="0" w:line="240" w:lineRule="auto"/>
              <w:ind w:left="2"/>
              <w:rPr>
                <w:szCs w:val="24"/>
              </w:rPr>
            </w:pPr>
            <w:r w:rsidRPr="008651D0">
              <w:rPr>
                <w:szCs w:val="24"/>
              </w:rPr>
              <w:t xml:space="preserve">2.037 </w:t>
            </w:r>
          </w:p>
        </w:tc>
        <w:tc>
          <w:tcPr>
            <w:tcW w:w="617" w:type="dxa"/>
          </w:tcPr>
          <w:p w14:paraId="262EE8A8" w14:textId="77777777" w:rsidR="0005136B" w:rsidRPr="008651D0" w:rsidRDefault="0005136B" w:rsidP="0005136B">
            <w:pPr>
              <w:spacing w:before="0" w:line="240" w:lineRule="auto"/>
              <w:ind w:left="2"/>
              <w:rPr>
                <w:szCs w:val="24"/>
              </w:rPr>
            </w:pPr>
            <w:r w:rsidRPr="008651D0">
              <w:rPr>
                <w:szCs w:val="24"/>
              </w:rPr>
              <w:t>0.044</w:t>
            </w:r>
          </w:p>
        </w:tc>
      </w:tr>
      <w:tr w:rsidR="0005136B" w:rsidRPr="008651D0" w14:paraId="1A7B6B74" w14:textId="77777777" w:rsidTr="00C46529">
        <w:trPr>
          <w:trHeight w:val="355"/>
        </w:trPr>
        <w:tc>
          <w:tcPr>
            <w:tcW w:w="2582" w:type="dxa"/>
          </w:tcPr>
          <w:p w14:paraId="4F4106BA" w14:textId="77777777" w:rsidR="0005136B" w:rsidRPr="008651D0" w:rsidRDefault="0005136B" w:rsidP="0005136B">
            <w:pPr>
              <w:spacing w:before="0" w:line="240" w:lineRule="auto"/>
              <w:rPr>
                <w:szCs w:val="24"/>
              </w:rPr>
            </w:pPr>
            <w:r w:rsidRPr="008651D0">
              <w:rPr>
                <w:b/>
                <w:szCs w:val="24"/>
              </w:rPr>
              <w:t>Micro Saving</w:t>
            </w:r>
            <w:r w:rsidRPr="008651D0">
              <w:rPr>
                <w:szCs w:val="24"/>
              </w:rPr>
              <w:t xml:space="preserve"> </w:t>
            </w:r>
          </w:p>
        </w:tc>
        <w:tc>
          <w:tcPr>
            <w:tcW w:w="2760" w:type="dxa"/>
          </w:tcPr>
          <w:p w14:paraId="0CABFFFD" w14:textId="77777777" w:rsidR="0005136B" w:rsidRPr="008651D0" w:rsidRDefault="0005136B" w:rsidP="0005136B">
            <w:pPr>
              <w:spacing w:before="0" w:line="240" w:lineRule="auto"/>
              <w:ind w:left="4"/>
              <w:rPr>
                <w:szCs w:val="24"/>
              </w:rPr>
            </w:pPr>
            <w:r w:rsidRPr="008651D0">
              <w:rPr>
                <w:szCs w:val="24"/>
              </w:rPr>
              <w:t xml:space="preserve">0.191 </w:t>
            </w:r>
          </w:p>
        </w:tc>
        <w:tc>
          <w:tcPr>
            <w:tcW w:w="2151" w:type="dxa"/>
          </w:tcPr>
          <w:p w14:paraId="3D884E66" w14:textId="77777777" w:rsidR="0005136B" w:rsidRPr="008651D0" w:rsidRDefault="0005136B" w:rsidP="0005136B">
            <w:pPr>
              <w:spacing w:before="0" w:line="240" w:lineRule="auto"/>
              <w:ind w:left="4"/>
              <w:rPr>
                <w:szCs w:val="24"/>
              </w:rPr>
            </w:pPr>
            <w:r w:rsidRPr="008651D0">
              <w:rPr>
                <w:szCs w:val="24"/>
              </w:rPr>
              <w:t xml:space="preserve">0.152 </w:t>
            </w:r>
          </w:p>
        </w:tc>
        <w:tc>
          <w:tcPr>
            <w:tcW w:w="670" w:type="dxa"/>
          </w:tcPr>
          <w:p w14:paraId="31346F74" w14:textId="77777777" w:rsidR="0005136B" w:rsidRPr="008651D0" w:rsidRDefault="0005136B" w:rsidP="0005136B">
            <w:pPr>
              <w:spacing w:before="0" w:line="240" w:lineRule="auto"/>
              <w:ind w:left="2"/>
              <w:rPr>
                <w:szCs w:val="24"/>
              </w:rPr>
            </w:pPr>
            <w:r w:rsidRPr="008651D0">
              <w:rPr>
                <w:szCs w:val="24"/>
              </w:rPr>
              <w:t xml:space="preserve">2.388 </w:t>
            </w:r>
          </w:p>
        </w:tc>
        <w:tc>
          <w:tcPr>
            <w:tcW w:w="617" w:type="dxa"/>
          </w:tcPr>
          <w:p w14:paraId="43A48B29" w14:textId="77777777" w:rsidR="0005136B" w:rsidRPr="008651D0" w:rsidRDefault="0005136B" w:rsidP="0005136B">
            <w:pPr>
              <w:spacing w:before="0" w:line="240" w:lineRule="auto"/>
              <w:ind w:left="2"/>
              <w:rPr>
                <w:szCs w:val="24"/>
              </w:rPr>
            </w:pPr>
            <w:r w:rsidRPr="008651D0">
              <w:rPr>
                <w:szCs w:val="24"/>
              </w:rPr>
              <w:t>0.018</w:t>
            </w:r>
          </w:p>
        </w:tc>
      </w:tr>
      <w:tr w:rsidR="0005136B" w:rsidRPr="008651D0" w14:paraId="6AEFE9EA" w14:textId="77777777" w:rsidTr="00C46529">
        <w:trPr>
          <w:trHeight w:val="631"/>
        </w:trPr>
        <w:tc>
          <w:tcPr>
            <w:tcW w:w="2582" w:type="dxa"/>
          </w:tcPr>
          <w:p w14:paraId="0BD60687" w14:textId="77777777" w:rsidR="0005136B" w:rsidRPr="008651D0" w:rsidRDefault="0005136B" w:rsidP="0005136B">
            <w:pPr>
              <w:spacing w:before="0" w:line="240" w:lineRule="auto"/>
              <w:rPr>
                <w:szCs w:val="24"/>
              </w:rPr>
            </w:pPr>
            <w:r w:rsidRPr="008651D0">
              <w:rPr>
                <w:b/>
                <w:szCs w:val="24"/>
              </w:rPr>
              <w:lastRenderedPageBreak/>
              <w:t>Business Development Services</w:t>
            </w:r>
            <w:r w:rsidRPr="008651D0">
              <w:rPr>
                <w:szCs w:val="24"/>
              </w:rPr>
              <w:t xml:space="preserve"> </w:t>
            </w:r>
          </w:p>
        </w:tc>
        <w:tc>
          <w:tcPr>
            <w:tcW w:w="2760" w:type="dxa"/>
            <w:vAlign w:val="center"/>
          </w:tcPr>
          <w:p w14:paraId="2CC5242A" w14:textId="77777777" w:rsidR="0005136B" w:rsidRPr="008651D0" w:rsidRDefault="0005136B" w:rsidP="0005136B">
            <w:pPr>
              <w:spacing w:before="0" w:line="240" w:lineRule="auto"/>
              <w:ind w:left="4"/>
              <w:rPr>
                <w:szCs w:val="24"/>
              </w:rPr>
            </w:pPr>
            <w:r w:rsidRPr="008651D0">
              <w:rPr>
                <w:szCs w:val="24"/>
              </w:rPr>
              <w:t xml:space="preserve">0.180 </w:t>
            </w:r>
          </w:p>
        </w:tc>
        <w:tc>
          <w:tcPr>
            <w:tcW w:w="2151" w:type="dxa"/>
            <w:vAlign w:val="center"/>
          </w:tcPr>
          <w:p w14:paraId="22091ECD" w14:textId="77777777" w:rsidR="0005136B" w:rsidRPr="008651D0" w:rsidRDefault="0005136B" w:rsidP="0005136B">
            <w:pPr>
              <w:spacing w:before="0" w:line="240" w:lineRule="auto"/>
              <w:ind w:left="4"/>
              <w:rPr>
                <w:szCs w:val="24"/>
              </w:rPr>
            </w:pPr>
            <w:r w:rsidRPr="008651D0">
              <w:rPr>
                <w:szCs w:val="24"/>
              </w:rPr>
              <w:t xml:space="preserve">0.178 </w:t>
            </w:r>
          </w:p>
        </w:tc>
        <w:tc>
          <w:tcPr>
            <w:tcW w:w="670" w:type="dxa"/>
            <w:vAlign w:val="center"/>
          </w:tcPr>
          <w:p w14:paraId="52EF5325" w14:textId="77777777" w:rsidR="0005136B" w:rsidRPr="008651D0" w:rsidRDefault="0005136B" w:rsidP="0005136B">
            <w:pPr>
              <w:spacing w:before="0" w:line="240" w:lineRule="auto"/>
              <w:ind w:left="2"/>
              <w:rPr>
                <w:szCs w:val="24"/>
              </w:rPr>
            </w:pPr>
            <w:r w:rsidRPr="008651D0">
              <w:rPr>
                <w:szCs w:val="24"/>
              </w:rPr>
              <w:t xml:space="preserve">2.306 </w:t>
            </w:r>
          </w:p>
        </w:tc>
        <w:tc>
          <w:tcPr>
            <w:tcW w:w="617" w:type="dxa"/>
            <w:vAlign w:val="center"/>
          </w:tcPr>
          <w:p w14:paraId="4255A6E1" w14:textId="77777777" w:rsidR="0005136B" w:rsidRPr="008651D0" w:rsidRDefault="0005136B" w:rsidP="0005136B">
            <w:pPr>
              <w:spacing w:before="0" w:line="240" w:lineRule="auto"/>
              <w:ind w:left="2"/>
              <w:rPr>
                <w:szCs w:val="24"/>
              </w:rPr>
            </w:pPr>
            <w:r w:rsidRPr="008651D0">
              <w:rPr>
                <w:szCs w:val="24"/>
              </w:rPr>
              <w:t>0.023</w:t>
            </w:r>
          </w:p>
        </w:tc>
      </w:tr>
      <w:tr w:rsidR="0005136B" w:rsidRPr="008651D0" w14:paraId="73FBB303" w14:textId="77777777" w:rsidTr="00C46529">
        <w:trPr>
          <w:trHeight w:val="632"/>
        </w:trPr>
        <w:tc>
          <w:tcPr>
            <w:tcW w:w="2582" w:type="dxa"/>
          </w:tcPr>
          <w:p w14:paraId="10EDB098" w14:textId="77777777" w:rsidR="0005136B" w:rsidRPr="008651D0" w:rsidRDefault="0005136B" w:rsidP="0005136B">
            <w:pPr>
              <w:spacing w:before="0" w:line="240" w:lineRule="auto"/>
              <w:rPr>
                <w:szCs w:val="24"/>
              </w:rPr>
            </w:pPr>
            <w:r w:rsidRPr="008651D0">
              <w:rPr>
                <w:b/>
                <w:szCs w:val="24"/>
              </w:rPr>
              <w:t>Advisory and Consultancy</w:t>
            </w:r>
            <w:r w:rsidRPr="008651D0">
              <w:rPr>
                <w:szCs w:val="24"/>
              </w:rPr>
              <w:t xml:space="preserve"> </w:t>
            </w:r>
          </w:p>
        </w:tc>
        <w:tc>
          <w:tcPr>
            <w:tcW w:w="2760" w:type="dxa"/>
            <w:vAlign w:val="center"/>
          </w:tcPr>
          <w:p w14:paraId="099C70FE" w14:textId="77777777" w:rsidR="0005136B" w:rsidRPr="008651D0" w:rsidRDefault="0005136B" w:rsidP="0005136B">
            <w:pPr>
              <w:spacing w:before="0" w:line="240" w:lineRule="auto"/>
              <w:ind w:left="4"/>
              <w:rPr>
                <w:szCs w:val="24"/>
              </w:rPr>
            </w:pPr>
            <w:r w:rsidRPr="008651D0">
              <w:rPr>
                <w:szCs w:val="24"/>
              </w:rPr>
              <w:t xml:space="preserve">0.533 </w:t>
            </w:r>
          </w:p>
        </w:tc>
        <w:tc>
          <w:tcPr>
            <w:tcW w:w="2151" w:type="dxa"/>
            <w:vAlign w:val="center"/>
          </w:tcPr>
          <w:p w14:paraId="51A77579" w14:textId="77777777" w:rsidR="0005136B" w:rsidRPr="008651D0" w:rsidRDefault="0005136B" w:rsidP="0005136B">
            <w:pPr>
              <w:spacing w:before="0" w:line="240" w:lineRule="auto"/>
              <w:ind w:left="4"/>
              <w:rPr>
                <w:szCs w:val="24"/>
              </w:rPr>
            </w:pPr>
            <w:r w:rsidRPr="008651D0">
              <w:rPr>
                <w:szCs w:val="24"/>
              </w:rPr>
              <w:t xml:space="preserve">0.443 </w:t>
            </w:r>
          </w:p>
        </w:tc>
        <w:tc>
          <w:tcPr>
            <w:tcW w:w="670" w:type="dxa"/>
            <w:vAlign w:val="center"/>
          </w:tcPr>
          <w:p w14:paraId="20527B73" w14:textId="77777777" w:rsidR="0005136B" w:rsidRPr="008651D0" w:rsidRDefault="0005136B" w:rsidP="0005136B">
            <w:pPr>
              <w:spacing w:before="0" w:line="240" w:lineRule="auto"/>
              <w:ind w:left="2"/>
              <w:rPr>
                <w:szCs w:val="24"/>
              </w:rPr>
            </w:pPr>
            <w:r w:rsidRPr="008651D0">
              <w:rPr>
                <w:szCs w:val="24"/>
              </w:rPr>
              <w:t xml:space="preserve">5.776 </w:t>
            </w:r>
          </w:p>
        </w:tc>
        <w:tc>
          <w:tcPr>
            <w:tcW w:w="617" w:type="dxa"/>
            <w:vAlign w:val="center"/>
          </w:tcPr>
          <w:p w14:paraId="1756B21D" w14:textId="77777777" w:rsidR="0005136B" w:rsidRPr="008651D0" w:rsidRDefault="0005136B" w:rsidP="0005136B">
            <w:pPr>
              <w:spacing w:before="0" w:line="240" w:lineRule="auto"/>
              <w:ind w:left="2"/>
              <w:rPr>
                <w:szCs w:val="24"/>
              </w:rPr>
            </w:pPr>
            <w:r w:rsidRPr="008651D0">
              <w:rPr>
                <w:szCs w:val="24"/>
              </w:rPr>
              <w:t>0.000</w:t>
            </w:r>
          </w:p>
        </w:tc>
      </w:tr>
    </w:tbl>
    <w:p w14:paraId="1A0F67F0" w14:textId="77777777" w:rsidR="0005136B" w:rsidRPr="008651D0" w:rsidRDefault="0005136B" w:rsidP="0005136B">
      <w:pPr>
        <w:spacing w:before="0" w:line="240" w:lineRule="auto"/>
        <w:rPr>
          <w:szCs w:val="24"/>
        </w:rPr>
      </w:pPr>
      <w:r w:rsidRPr="008651D0">
        <w:rPr>
          <w:szCs w:val="24"/>
        </w:rPr>
        <w:t xml:space="preserve">Dependent Variable: Women’s Empowerment. Source: Survey (2025). </w:t>
      </w:r>
    </w:p>
    <w:p w14:paraId="4991A41E" w14:textId="77777777" w:rsidR="0005136B" w:rsidRDefault="0005136B" w:rsidP="0005136B">
      <w:pPr>
        <w:spacing w:before="0" w:line="240" w:lineRule="auto"/>
        <w:rPr>
          <w:szCs w:val="24"/>
        </w:rPr>
      </w:pPr>
    </w:p>
    <w:p w14:paraId="29F2C485" w14:textId="1C3F75A9" w:rsidR="0005136B" w:rsidRDefault="0005136B" w:rsidP="0005136B">
      <w:pPr>
        <w:spacing w:before="0" w:line="240" w:lineRule="auto"/>
        <w:rPr>
          <w:szCs w:val="24"/>
        </w:rPr>
      </w:pPr>
      <w:r w:rsidRPr="00A54BB5">
        <w:rPr>
          <w:szCs w:val="24"/>
        </w:rPr>
        <w:t>Interpretation: Advisory and consultancy had the strongest impact. This is shown by a coefficient of B = 0.533, β = 0.443, p &lt; 0.001, which highlights the importance of professional advice in empowering women. Micro-saving, with B = 0.191 and p = 0.018, and BDS, with B = 0.180 and p = 0.023, had moderate positive effects, emphasizing their roles in business sustainability. Access to microcredit had a smaller effect, with B = 0.182 and p = 0.044. This shows that access to credit supports empowerment but depends on loan size and repayment terms</w:t>
      </w:r>
      <w:r>
        <w:rPr>
          <w:szCs w:val="24"/>
        </w:rPr>
        <w:t xml:space="preserve">. </w:t>
      </w:r>
    </w:p>
    <w:p w14:paraId="73DFB463" w14:textId="5CF69149" w:rsidR="0005136B" w:rsidRDefault="0005136B" w:rsidP="0005136B">
      <w:pPr>
        <w:spacing w:before="0" w:line="240" w:lineRule="auto"/>
        <w:rPr>
          <w:szCs w:val="24"/>
        </w:rPr>
      </w:pPr>
    </w:p>
    <w:p w14:paraId="7A30728F" w14:textId="77777777" w:rsidR="0005136B" w:rsidRDefault="0005136B" w:rsidP="0005136B">
      <w:pPr>
        <w:spacing w:before="0" w:line="240" w:lineRule="auto"/>
        <w:rPr>
          <w:b/>
          <w:bCs/>
          <w:color w:val="000000" w:themeColor="text1"/>
          <w:sz w:val="28"/>
          <w:szCs w:val="24"/>
        </w:rPr>
      </w:pPr>
    </w:p>
    <w:p w14:paraId="359E84B3" w14:textId="69EAA060" w:rsidR="00055D83" w:rsidRPr="007A56B8" w:rsidRDefault="00055D83" w:rsidP="00055D83">
      <w:pPr>
        <w:shd w:val="clear" w:color="auto" w:fill="FFFFFF"/>
        <w:spacing w:line="240" w:lineRule="auto"/>
        <w:rPr>
          <w:rFonts w:eastAsia="Times New Roman" w:cs="Times New Roman"/>
          <w:b/>
          <w:bCs/>
          <w:color w:val="000000" w:themeColor="text1"/>
          <w:sz w:val="28"/>
          <w:szCs w:val="28"/>
        </w:rPr>
      </w:pPr>
      <w:r w:rsidRPr="007A56B8">
        <w:rPr>
          <w:rFonts w:eastAsia="Times New Roman" w:cs="Times New Roman"/>
          <w:b/>
          <w:bCs/>
          <w:color w:val="000000" w:themeColor="text1"/>
          <w:sz w:val="28"/>
          <w:szCs w:val="28"/>
        </w:rPr>
        <w:t xml:space="preserve">5.0 CONCLUSIONS </w:t>
      </w:r>
    </w:p>
    <w:p w14:paraId="50F0BC2F" w14:textId="54986EE7" w:rsidR="00A27439" w:rsidRPr="007A56B8" w:rsidRDefault="003C67DD" w:rsidP="002E784F">
      <w:pPr>
        <w:spacing w:line="240" w:lineRule="auto"/>
        <w:rPr>
          <w:rFonts w:cs="Times New Roman"/>
          <w:color w:val="000000" w:themeColor="text1"/>
          <w:szCs w:val="24"/>
        </w:rPr>
      </w:pPr>
      <w:r w:rsidRPr="003C67DD">
        <w:rPr>
          <w:rFonts w:cs="Times New Roman"/>
          <w:color w:val="000000" w:themeColor="text1"/>
          <w:szCs w:val="24"/>
        </w:rPr>
        <w:t>The study examined how microfinance interventions</w:t>
      </w:r>
      <w:r w:rsidR="008D472A">
        <w:rPr>
          <w:rFonts w:cs="Times New Roman"/>
          <w:color w:val="000000" w:themeColor="text1"/>
          <w:szCs w:val="24"/>
        </w:rPr>
        <w:t xml:space="preserve"> </w:t>
      </w:r>
      <w:r w:rsidRPr="003C67DD">
        <w:rPr>
          <w:rFonts w:cs="Times New Roman"/>
          <w:color w:val="000000" w:themeColor="text1"/>
          <w:szCs w:val="24"/>
        </w:rPr>
        <w:t xml:space="preserve">microcredit access, </w:t>
      </w:r>
      <w:proofErr w:type="spellStart"/>
      <w:r w:rsidRPr="003C67DD">
        <w:rPr>
          <w:rFonts w:cs="Times New Roman"/>
          <w:color w:val="000000" w:themeColor="text1"/>
          <w:szCs w:val="24"/>
        </w:rPr>
        <w:t>microsaving</w:t>
      </w:r>
      <w:proofErr w:type="spellEnd"/>
      <w:r w:rsidRPr="003C67DD">
        <w:rPr>
          <w:rFonts w:cs="Times New Roman"/>
          <w:color w:val="000000" w:themeColor="text1"/>
          <w:szCs w:val="24"/>
        </w:rPr>
        <w:t xml:space="preserve"> practices, business development, and advisory services</w:t>
      </w:r>
      <w:r w:rsidR="008D472A">
        <w:rPr>
          <w:rFonts w:cs="Times New Roman"/>
          <w:color w:val="000000" w:themeColor="text1"/>
          <w:szCs w:val="24"/>
        </w:rPr>
        <w:t xml:space="preserve"> </w:t>
      </w:r>
      <w:r w:rsidRPr="003C67DD">
        <w:rPr>
          <w:rFonts w:cs="Times New Roman"/>
          <w:color w:val="000000" w:themeColor="text1"/>
          <w:szCs w:val="24"/>
        </w:rPr>
        <w:t xml:space="preserve">affect the financial empowerment of women entrepreneurs in </w:t>
      </w:r>
      <w:proofErr w:type="spellStart"/>
      <w:r w:rsidRPr="003C67DD">
        <w:rPr>
          <w:rFonts w:cs="Times New Roman"/>
          <w:color w:val="000000" w:themeColor="text1"/>
          <w:szCs w:val="24"/>
        </w:rPr>
        <w:t>Eldama</w:t>
      </w:r>
      <w:proofErr w:type="spellEnd"/>
      <w:r w:rsidRPr="003C67DD">
        <w:rPr>
          <w:rFonts w:cs="Times New Roman"/>
          <w:color w:val="000000" w:themeColor="text1"/>
          <w:szCs w:val="24"/>
        </w:rPr>
        <w:t xml:space="preserve"> Ravine Sub-County. Findings revealed that these interventions significantly enhanced women’s financial independence, business growth, and decision-making capacity. Microcredit improved access to productive assets and income stability, while </w:t>
      </w:r>
      <w:proofErr w:type="spellStart"/>
      <w:r w:rsidRPr="003C67DD">
        <w:rPr>
          <w:rFonts w:cs="Times New Roman"/>
          <w:color w:val="000000" w:themeColor="text1"/>
          <w:szCs w:val="24"/>
        </w:rPr>
        <w:t>microsaving</w:t>
      </w:r>
      <w:proofErr w:type="spellEnd"/>
      <w:r w:rsidRPr="003C67DD">
        <w:rPr>
          <w:rFonts w:cs="Times New Roman"/>
          <w:color w:val="000000" w:themeColor="text1"/>
          <w:szCs w:val="24"/>
        </w:rPr>
        <w:t xml:space="preserve"> fostered financial discipline and resilience. Business development services, including training and mentorship, boosted innovation and sustainability in women-owned enterprises. Advisory and consultancy support emerged as the strongest predictor of empowerment by enhancing managerial confidence and competitiveness. Overall, microfinance has evolved beyond credit provision to encompass holistic empowerment tools that enable women to build financial capability, overcome structural barriers, and achieve sustainable entrepreneurial success.</w:t>
      </w:r>
      <w:r w:rsidR="00E05059" w:rsidRPr="00E05059">
        <w:rPr>
          <w:rFonts w:cs="Times New Roman"/>
          <w:color w:val="000000" w:themeColor="text1"/>
          <w:szCs w:val="24"/>
        </w:rPr>
        <w:t xml:space="preserve"> </w:t>
      </w:r>
    </w:p>
    <w:p w14:paraId="750144BF" w14:textId="7E52FE3F" w:rsidR="00055D83" w:rsidRPr="007A56B8" w:rsidRDefault="00055D83" w:rsidP="00D26C8B">
      <w:pPr>
        <w:spacing w:line="240" w:lineRule="auto"/>
        <w:rPr>
          <w:rFonts w:cs="Times New Roman"/>
          <w:b/>
          <w:bCs/>
          <w:color w:val="000000" w:themeColor="text1"/>
          <w:sz w:val="28"/>
          <w:szCs w:val="28"/>
        </w:rPr>
      </w:pPr>
      <w:r w:rsidRPr="007A56B8">
        <w:rPr>
          <w:rFonts w:cs="Times New Roman"/>
          <w:b/>
          <w:bCs/>
          <w:color w:val="000000" w:themeColor="text1"/>
          <w:sz w:val="28"/>
          <w:szCs w:val="28"/>
        </w:rPr>
        <w:t>6.0 RECOMMENDATIONS</w:t>
      </w:r>
    </w:p>
    <w:p w14:paraId="648B633B" w14:textId="70CA7332" w:rsidR="00D16476" w:rsidRPr="007A56B8" w:rsidRDefault="003C67DD" w:rsidP="00E05059">
      <w:pPr>
        <w:spacing w:before="0" w:line="240" w:lineRule="auto"/>
      </w:pPr>
      <w:r w:rsidRPr="003C67DD">
        <w:t>Microfinance institutions should expand affordable and accessible credit facilities with flexible repayment terms while integrating micro-savings schemes to enhance financial literacy and disciplined saving among women entrepreneurs. Policymakers should strengthen business development services, including mentorship, training, and digital literacy, to foster competitiveness in modern markets. Women entrepreneurs need access to institutionalized advisory and consultancy services through partnerships among MFIs, government agencies, and professional bodies to improve compliance, management, and confidence. The government should align microfinance policies with national gender and economic strategies by providing supportive regulatory frameworks, infrastructure, and subsidies. Integrating microfinance into broader empowerment programs can sustainably promote women’s economic participation and drive social transformation in Baringo County and beyond.</w:t>
      </w:r>
    </w:p>
    <w:p w14:paraId="41E182C6" w14:textId="77777777" w:rsidR="00D1695D" w:rsidRPr="0002489D" w:rsidRDefault="007A56B8" w:rsidP="00D1695D">
      <w:pPr>
        <w:rPr>
          <w:rFonts w:ascii="Calibri" w:hAnsi="Calibri" w:cs="Times New Roman"/>
          <w:kern w:val="2"/>
          <w:highlight w:val="yellow"/>
        </w:rPr>
      </w:pPr>
      <w:r w:rsidRPr="007A56B8">
        <w:rPr>
          <w:rFonts w:eastAsia="Times New Roman" w:cs="Times New Roman"/>
          <w:b/>
          <w:bCs/>
          <w:color w:val="000000" w:themeColor="text1"/>
          <w:sz w:val="28"/>
          <w:szCs w:val="28"/>
        </w:rPr>
        <w:br w:type="page"/>
      </w:r>
      <w:r w:rsidR="00D1695D" w:rsidRPr="0002489D">
        <w:rPr>
          <w:rFonts w:ascii="Calibri" w:hAnsi="Calibri" w:cs="Times New Roman"/>
          <w:kern w:val="2"/>
          <w:highlight w:val="yellow"/>
        </w:rPr>
        <w:lastRenderedPageBreak/>
        <w:t>Disclaimer (Artificial intelligence)</w:t>
      </w:r>
    </w:p>
    <w:p w14:paraId="0362BD86" w14:textId="77777777" w:rsidR="00D1695D" w:rsidRPr="0002489D" w:rsidRDefault="00D1695D" w:rsidP="00D1695D">
      <w:pPr>
        <w:rPr>
          <w:rFonts w:ascii="Calibri" w:hAnsi="Calibri" w:cs="Times New Roman"/>
          <w:kern w:val="2"/>
          <w:highlight w:val="yellow"/>
        </w:rPr>
      </w:pPr>
      <w:r w:rsidRPr="0002489D">
        <w:rPr>
          <w:rFonts w:ascii="Calibri" w:hAnsi="Calibri" w:cs="Times New Roman"/>
          <w:kern w:val="2"/>
          <w:highlight w:val="yellow"/>
        </w:rPr>
        <w:t xml:space="preserve">Option 1: </w:t>
      </w:r>
    </w:p>
    <w:p w14:paraId="7E0D7E1D" w14:textId="77777777" w:rsidR="00D1695D" w:rsidRPr="0002489D" w:rsidRDefault="00D1695D" w:rsidP="00D1695D">
      <w:pPr>
        <w:rPr>
          <w:rFonts w:ascii="Calibri" w:hAnsi="Calibri" w:cs="Times New Roman"/>
          <w:kern w:val="2"/>
          <w:highlight w:val="yellow"/>
        </w:rPr>
      </w:pPr>
      <w:r w:rsidRPr="0002489D">
        <w:rPr>
          <w:rFonts w:ascii="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66AC26D4" w14:textId="77777777" w:rsidR="00D1695D" w:rsidRPr="0002489D" w:rsidRDefault="00D1695D" w:rsidP="00D1695D">
      <w:pPr>
        <w:rPr>
          <w:rFonts w:ascii="Calibri" w:hAnsi="Calibri" w:cs="Times New Roman"/>
          <w:kern w:val="2"/>
          <w:highlight w:val="yellow"/>
        </w:rPr>
      </w:pPr>
      <w:r w:rsidRPr="0002489D">
        <w:rPr>
          <w:rFonts w:ascii="Calibri" w:hAnsi="Calibri" w:cs="Times New Roman"/>
          <w:kern w:val="2"/>
          <w:highlight w:val="yellow"/>
        </w:rPr>
        <w:t xml:space="preserve">Option 2: </w:t>
      </w:r>
    </w:p>
    <w:p w14:paraId="755A7C70" w14:textId="77777777" w:rsidR="00D1695D" w:rsidRPr="0002489D" w:rsidRDefault="00D1695D" w:rsidP="00D1695D">
      <w:pPr>
        <w:rPr>
          <w:rFonts w:ascii="Calibri" w:hAnsi="Calibri" w:cs="Times New Roman"/>
          <w:kern w:val="2"/>
          <w:highlight w:val="yellow"/>
        </w:rPr>
      </w:pPr>
      <w:r w:rsidRPr="0002489D">
        <w:rPr>
          <w:rFonts w:ascii="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B64C455" w14:textId="77777777" w:rsidR="00D1695D" w:rsidRPr="0002489D" w:rsidRDefault="00D1695D" w:rsidP="00D1695D">
      <w:pPr>
        <w:rPr>
          <w:rFonts w:ascii="Calibri" w:hAnsi="Calibri" w:cs="Times New Roman"/>
          <w:kern w:val="2"/>
          <w:highlight w:val="yellow"/>
        </w:rPr>
      </w:pPr>
      <w:r w:rsidRPr="0002489D">
        <w:rPr>
          <w:rFonts w:ascii="Calibri" w:hAnsi="Calibri" w:cs="Times New Roman"/>
          <w:kern w:val="2"/>
          <w:highlight w:val="yellow"/>
        </w:rPr>
        <w:t>Details of the AI usage are given below:</w:t>
      </w:r>
    </w:p>
    <w:p w14:paraId="53CCBD3B" w14:textId="77777777" w:rsidR="00D1695D" w:rsidRPr="0002489D" w:rsidRDefault="00D1695D" w:rsidP="00D1695D">
      <w:pPr>
        <w:rPr>
          <w:rFonts w:ascii="Calibri" w:hAnsi="Calibri" w:cs="Times New Roman"/>
          <w:kern w:val="2"/>
          <w:highlight w:val="yellow"/>
        </w:rPr>
      </w:pPr>
      <w:r w:rsidRPr="0002489D">
        <w:rPr>
          <w:rFonts w:ascii="Calibri" w:hAnsi="Calibri" w:cs="Times New Roman"/>
          <w:kern w:val="2"/>
          <w:highlight w:val="yellow"/>
        </w:rPr>
        <w:t>1.</w:t>
      </w:r>
    </w:p>
    <w:p w14:paraId="70845DCB" w14:textId="77777777" w:rsidR="00D1695D" w:rsidRPr="0002489D" w:rsidRDefault="00D1695D" w:rsidP="00D1695D">
      <w:pPr>
        <w:rPr>
          <w:rFonts w:ascii="Calibri" w:hAnsi="Calibri" w:cs="Times New Roman"/>
          <w:kern w:val="2"/>
          <w:highlight w:val="yellow"/>
        </w:rPr>
      </w:pPr>
      <w:r w:rsidRPr="0002489D">
        <w:rPr>
          <w:rFonts w:ascii="Calibri" w:hAnsi="Calibri" w:cs="Times New Roman"/>
          <w:kern w:val="2"/>
          <w:highlight w:val="yellow"/>
        </w:rPr>
        <w:t>2.</w:t>
      </w:r>
    </w:p>
    <w:p w14:paraId="210F1B07" w14:textId="77777777" w:rsidR="00D1695D" w:rsidRPr="0002489D" w:rsidRDefault="00D1695D" w:rsidP="00D1695D">
      <w:pPr>
        <w:rPr>
          <w:rFonts w:ascii="Calibri" w:hAnsi="Calibri" w:cs="Times New Roman"/>
          <w:kern w:val="2"/>
        </w:rPr>
      </w:pPr>
      <w:r w:rsidRPr="0002489D">
        <w:rPr>
          <w:rFonts w:ascii="Calibri" w:hAnsi="Calibri" w:cs="Times New Roman"/>
          <w:kern w:val="2"/>
          <w:highlight w:val="yellow"/>
        </w:rPr>
        <w:t>3.</w:t>
      </w:r>
    </w:p>
    <w:p w14:paraId="38ACF2C4" w14:textId="77777777" w:rsidR="007A56B8" w:rsidRPr="007A56B8" w:rsidRDefault="007A56B8">
      <w:pPr>
        <w:spacing w:before="0" w:after="160" w:line="259" w:lineRule="auto"/>
        <w:jc w:val="left"/>
        <w:rPr>
          <w:rFonts w:eastAsia="Times New Roman" w:cs="Times New Roman"/>
          <w:b/>
          <w:bCs/>
          <w:color w:val="000000" w:themeColor="text1"/>
          <w:sz w:val="28"/>
          <w:szCs w:val="28"/>
        </w:rPr>
      </w:pPr>
    </w:p>
    <w:p w14:paraId="5A202687" w14:textId="2912289E" w:rsidR="00B55CEF" w:rsidRPr="007A56B8" w:rsidRDefault="00055D83" w:rsidP="002151BA">
      <w:pPr>
        <w:shd w:val="clear" w:color="auto" w:fill="FFFFFF"/>
        <w:spacing w:line="240" w:lineRule="auto"/>
        <w:rPr>
          <w:rFonts w:eastAsia="Times New Roman" w:cs="Times New Roman"/>
          <w:b/>
          <w:bCs/>
          <w:color w:val="000000" w:themeColor="text1"/>
          <w:sz w:val="28"/>
          <w:szCs w:val="28"/>
        </w:rPr>
      </w:pPr>
      <w:r w:rsidRPr="007A56B8">
        <w:rPr>
          <w:rFonts w:eastAsia="Times New Roman" w:cs="Times New Roman"/>
          <w:b/>
          <w:bCs/>
          <w:color w:val="000000" w:themeColor="text1"/>
          <w:sz w:val="28"/>
          <w:szCs w:val="28"/>
        </w:rPr>
        <w:t>REFERENCES</w:t>
      </w:r>
    </w:p>
    <w:p w14:paraId="552AE7A3" w14:textId="77777777" w:rsidR="00EC5319" w:rsidRPr="00EC5319" w:rsidRDefault="00EC5319" w:rsidP="00EC5319">
      <w:pPr>
        <w:pStyle w:val="NormalWeb"/>
        <w:spacing w:before="0"/>
        <w:ind w:left="720" w:hanging="720"/>
        <w:rPr>
          <w:rFonts w:eastAsia="Calibri"/>
          <w:color w:val="000000"/>
          <w14:ligatures w14:val="standardContextual"/>
        </w:rPr>
      </w:pPr>
      <w:r w:rsidRPr="00EC5319">
        <w:rPr>
          <w:rFonts w:eastAsia="Calibri"/>
          <w:color w:val="000000"/>
          <w14:ligatures w14:val="standardContextual"/>
        </w:rPr>
        <w:t>Abubakar, A., &amp; Bello, R. (2024). Effectiveness of advisory and consultancy services in strengthening women-led enterprises in rural Kenya. Journal of Small Business &amp; Entrepreneurship Development, 11(2), 98–115. https://doi.org/10.5281/zenodo.11458932</w:t>
      </w:r>
    </w:p>
    <w:p w14:paraId="6A053713" w14:textId="77777777" w:rsidR="00EC5319" w:rsidRPr="00EC5319" w:rsidRDefault="00EC5319" w:rsidP="00EC5319">
      <w:pPr>
        <w:pStyle w:val="NormalWeb"/>
        <w:spacing w:before="0"/>
        <w:ind w:left="720" w:hanging="720"/>
        <w:rPr>
          <w:rFonts w:eastAsia="Calibri"/>
          <w:color w:val="000000"/>
          <w14:ligatures w14:val="standardContextual"/>
        </w:rPr>
      </w:pPr>
      <w:proofErr w:type="spellStart"/>
      <w:r w:rsidRPr="00EC5319">
        <w:rPr>
          <w:rFonts w:eastAsia="Calibri"/>
          <w:color w:val="000000"/>
          <w14:ligatures w14:val="standardContextual"/>
        </w:rPr>
        <w:t>Akanle</w:t>
      </w:r>
      <w:proofErr w:type="spellEnd"/>
      <w:r w:rsidRPr="00EC5319">
        <w:rPr>
          <w:rFonts w:eastAsia="Calibri"/>
          <w:color w:val="000000"/>
          <w14:ligatures w14:val="standardContextual"/>
        </w:rPr>
        <w:t xml:space="preserve">, O., Okafor, S., &amp; </w:t>
      </w:r>
      <w:proofErr w:type="spellStart"/>
      <w:r w:rsidRPr="00EC5319">
        <w:rPr>
          <w:rFonts w:eastAsia="Calibri"/>
          <w:color w:val="000000"/>
          <w14:ligatures w14:val="standardContextual"/>
        </w:rPr>
        <w:t>Olutayo</w:t>
      </w:r>
      <w:proofErr w:type="spellEnd"/>
      <w:r w:rsidRPr="00EC5319">
        <w:rPr>
          <w:rFonts w:eastAsia="Calibri"/>
          <w:color w:val="000000"/>
          <w14:ligatures w14:val="standardContextual"/>
        </w:rPr>
        <w:t>, A. (2020). Field research challenges in African contexts: Lessons for development studies. African Journal of Social Sciences, 12(3), 45–61. https://doi.org/10.4314/ajss.v12i3.321</w:t>
      </w:r>
    </w:p>
    <w:p w14:paraId="651EC318" w14:textId="77777777" w:rsidR="00EC5319" w:rsidRPr="00EC5319" w:rsidRDefault="00EC5319" w:rsidP="00EC5319">
      <w:pPr>
        <w:pStyle w:val="NormalWeb"/>
        <w:spacing w:before="0"/>
        <w:ind w:left="720" w:hanging="720"/>
        <w:rPr>
          <w:rFonts w:eastAsia="Calibri"/>
          <w:color w:val="000000"/>
          <w14:ligatures w14:val="standardContextual"/>
        </w:rPr>
      </w:pPr>
      <w:r w:rsidRPr="00EC5319">
        <w:rPr>
          <w:rFonts w:eastAsia="Calibri"/>
          <w:color w:val="000000"/>
          <w14:ligatures w14:val="standardContextual"/>
        </w:rPr>
        <w:t xml:space="preserve">Akinbami, O., &amp; </w:t>
      </w:r>
      <w:proofErr w:type="spellStart"/>
      <w:r w:rsidRPr="00EC5319">
        <w:rPr>
          <w:rFonts w:eastAsia="Calibri"/>
          <w:color w:val="000000"/>
          <w14:ligatures w14:val="standardContextual"/>
        </w:rPr>
        <w:t>Aribaba</w:t>
      </w:r>
      <w:proofErr w:type="spellEnd"/>
      <w:r w:rsidRPr="00EC5319">
        <w:rPr>
          <w:rFonts w:eastAsia="Calibri"/>
          <w:color w:val="000000"/>
          <w14:ligatures w14:val="standardContextual"/>
        </w:rPr>
        <w:t xml:space="preserve">, F. (2023). Role of </w:t>
      </w:r>
      <w:proofErr w:type="spellStart"/>
      <w:r w:rsidRPr="00EC5319">
        <w:rPr>
          <w:rFonts w:eastAsia="Calibri"/>
          <w:color w:val="000000"/>
          <w14:ligatures w14:val="standardContextual"/>
        </w:rPr>
        <w:t>microsaving</w:t>
      </w:r>
      <w:proofErr w:type="spellEnd"/>
      <w:r w:rsidRPr="00EC5319">
        <w:rPr>
          <w:rFonts w:eastAsia="Calibri"/>
          <w:color w:val="000000"/>
          <w14:ligatures w14:val="standardContextual"/>
        </w:rPr>
        <w:t xml:space="preserve"> in enhancing financial resilience among women entrepreneurs. African Journal of Finance and Management, 9(1), 45–60. https://doi.org/10.1080/26673192.2023.114523</w:t>
      </w:r>
    </w:p>
    <w:p w14:paraId="682F5ED6" w14:textId="77777777" w:rsidR="00EC5319" w:rsidRPr="00EC5319" w:rsidRDefault="00EC5319" w:rsidP="00EC5319">
      <w:pPr>
        <w:pStyle w:val="NormalWeb"/>
        <w:spacing w:before="0"/>
        <w:ind w:left="720" w:hanging="720"/>
        <w:rPr>
          <w:rFonts w:eastAsia="Calibri"/>
          <w:color w:val="000000"/>
          <w14:ligatures w14:val="standardContextual"/>
        </w:rPr>
      </w:pPr>
      <w:r w:rsidRPr="00EC5319">
        <w:rPr>
          <w:rFonts w:eastAsia="Calibri"/>
          <w:color w:val="000000"/>
          <w14:ligatures w14:val="standardContextual"/>
        </w:rPr>
        <w:lastRenderedPageBreak/>
        <w:t>Atieno, R., &amp; Mwangi, J. (2023). Integrated microfinance and advisory support for women entrepreneurs in Kenya. Journal of Development Studies in Africa, 15(2), 77–94. https://doi.org/10.1177/27530490231135412</w:t>
      </w:r>
    </w:p>
    <w:p w14:paraId="7C561FE4" w14:textId="77777777" w:rsidR="00EC5319" w:rsidRPr="00EC5319" w:rsidRDefault="00EC5319" w:rsidP="00EC5319">
      <w:pPr>
        <w:pStyle w:val="NormalWeb"/>
        <w:spacing w:before="0"/>
        <w:ind w:left="720" w:hanging="720"/>
        <w:rPr>
          <w:rFonts w:eastAsia="Calibri"/>
          <w:color w:val="000000"/>
          <w14:ligatures w14:val="standardContextual"/>
        </w:rPr>
      </w:pPr>
      <w:r w:rsidRPr="00EC5319">
        <w:rPr>
          <w:rFonts w:eastAsia="Calibri"/>
          <w:color w:val="000000"/>
          <w14:ligatures w14:val="standardContextual"/>
        </w:rPr>
        <w:t>Canovas, R., &amp; Omondi, D. (2021). Empowerment of women entrepreneurs in Nairobi County: The role of microcredit access channels. Journal of Development Policy and Practice, 6(4), 502–520. https://doi.org/10.1177/09720634211023947</w:t>
      </w:r>
    </w:p>
    <w:p w14:paraId="0F125A1A" w14:textId="77777777" w:rsidR="00EC5319" w:rsidRPr="00EC5319" w:rsidRDefault="00EC5319" w:rsidP="00EC5319">
      <w:pPr>
        <w:pStyle w:val="NormalWeb"/>
        <w:spacing w:before="0"/>
        <w:ind w:left="720" w:hanging="720"/>
        <w:rPr>
          <w:rFonts w:eastAsia="Calibri"/>
          <w:color w:val="000000"/>
          <w14:ligatures w14:val="standardContextual"/>
        </w:rPr>
      </w:pPr>
      <w:proofErr w:type="spellStart"/>
      <w:r w:rsidRPr="00EC5319">
        <w:rPr>
          <w:rFonts w:eastAsia="Calibri"/>
          <w:color w:val="000000"/>
          <w14:ligatures w14:val="standardContextual"/>
        </w:rPr>
        <w:t>Chiguta</w:t>
      </w:r>
      <w:proofErr w:type="spellEnd"/>
      <w:r w:rsidRPr="00EC5319">
        <w:rPr>
          <w:rFonts w:eastAsia="Calibri"/>
          <w:color w:val="000000"/>
          <w14:ligatures w14:val="standardContextual"/>
        </w:rPr>
        <w:t>, F. (2021). The role of mentorship and consultancy in enhancing women’s entrepreneurial capacity in sub-Saharan Africa. International Journal of Gender and Entrepreneurship, 13(4), 321–338. https://doi.org/10.1108/IJGE-05-2021-0092</w:t>
      </w:r>
    </w:p>
    <w:p w14:paraId="4E175D0E" w14:textId="77777777" w:rsidR="00EC5319" w:rsidRPr="00EC5319" w:rsidRDefault="00EC5319" w:rsidP="00EC5319">
      <w:pPr>
        <w:pStyle w:val="NormalWeb"/>
        <w:spacing w:before="0"/>
        <w:ind w:left="720" w:hanging="720"/>
        <w:rPr>
          <w:rFonts w:eastAsia="Calibri"/>
          <w:color w:val="000000"/>
          <w14:ligatures w14:val="standardContextual"/>
        </w:rPr>
      </w:pPr>
      <w:proofErr w:type="spellStart"/>
      <w:r w:rsidRPr="00EC5319">
        <w:rPr>
          <w:rFonts w:eastAsia="Calibri"/>
          <w:color w:val="000000"/>
          <w14:ligatures w14:val="standardContextual"/>
        </w:rPr>
        <w:t>Chironga</w:t>
      </w:r>
      <w:proofErr w:type="spellEnd"/>
      <w:r w:rsidRPr="00EC5319">
        <w:rPr>
          <w:rFonts w:eastAsia="Calibri"/>
          <w:color w:val="000000"/>
          <w14:ligatures w14:val="standardContextual"/>
        </w:rPr>
        <w:t>, M., &amp; Malila, V. (2021). Overcoming language and trust barriers in African survey research. Journal of African Methodological Studies, 5(1), 61–74. https://doi.org/10.1177/20531680211023961</w:t>
      </w:r>
    </w:p>
    <w:p w14:paraId="7159B21B" w14:textId="77777777" w:rsidR="00EC5319" w:rsidRPr="00EC5319" w:rsidRDefault="00EC5319" w:rsidP="00EC5319">
      <w:pPr>
        <w:pStyle w:val="NormalWeb"/>
        <w:spacing w:before="0"/>
        <w:ind w:left="720" w:hanging="720"/>
        <w:rPr>
          <w:rFonts w:eastAsia="Calibri"/>
          <w:color w:val="000000"/>
          <w14:ligatures w14:val="standardContextual"/>
        </w:rPr>
      </w:pPr>
      <w:r w:rsidRPr="00EC5319">
        <w:rPr>
          <w:rFonts w:eastAsia="Calibri"/>
          <w:color w:val="000000"/>
          <w14:ligatures w14:val="standardContextual"/>
        </w:rPr>
        <w:t>Digital finance leads women entrepreneurship and poverty reduction: Evidence from Bangladesh. (2025). Innovation and Entrepreneurship, 14(1), 87. https://doi.org/10.1186/s13731-025-00471-2</w:t>
      </w:r>
    </w:p>
    <w:p w14:paraId="1912B5B7" w14:textId="77777777" w:rsidR="00EC5319" w:rsidRPr="00EC5319" w:rsidRDefault="00EC5319" w:rsidP="00EC5319">
      <w:pPr>
        <w:pStyle w:val="NormalWeb"/>
        <w:spacing w:before="0"/>
        <w:ind w:left="720" w:hanging="720"/>
        <w:rPr>
          <w:rFonts w:eastAsia="Calibri"/>
          <w:color w:val="000000"/>
          <w14:ligatures w14:val="standardContextual"/>
        </w:rPr>
      </w:pPr>
      <w:r w:rsidRPr="00EC5319">
        <w:rPr>
          <w:rFonts w:eastAsia="Calibri"/>
          <w:color w:val="000000"/>
          <w14:ligatures w14:val="standardContextual"/>
        </w:rPr>
        <w:t>Exploring the synergy between microfinance and poverty: A gendered analysis. (2025). SAGE Open, 15(2), 1–13. https://doi.org/10.1177/21582440251340771</w:t>
      </w:r>
    </w:p>
    <w:p w14:paraId="7DD1E35A" w14:textId="77777777" w:rsidR="00EC5319" w:rsidRPr="00EC5319" w:rsidRDefault="00EC5319" w:rsidP="00EC5319">
      <w:pPr>
        <w:pStyle w:val="NormalWeb"/>
        <w:spacing w:before="0"/>
        <w:ind w:left="720" w:hanging="720"/>
        <w:rPr>
          <w:rFonts w:eastAsia="Calibri"/>
          <w:color w:val="000000"/>
          <w14:ligatures w14:val="standardContextual"/>
        </w:rPr>
      </w:pPr>
      <w:r w:rsidRPr="00EC5319">
        <w:rPr>
          <w:rFonts w:eastAsia="Calibri"/>
          <w:color w:val="000000"/>
          <w14:ligatures w14:val="standardContextual"/>
        </w:rPr>
        <w:t xml:space="preserve">Invest2Impact. (2022). Supporting African women entrepreneurs. </w:t>
      </w:r>
      <w:proofErr w:type="spellStart"/>
      <w:r w:rsidRPr="00EC5319">
        <w:rPr>
          <w:rFonts w:eastAsia="Calibri"/>
          <w:color w:val="000000"/>
          <w14:ligatures w14:val="standardContextual"/>
        </w:rPr>
        <w:t>FinDev</w:t>
      </w:r>
      <w:proofErr w:type="spellEnd"/>
      <w:r w:rsidRPr="00EC5319">
        <w:rPr>
          <w:rFonts w:eastAsia="Calibri"/>
          <w:color w:val="000000"/>
          <w14:ligatures w14:val="standardContextual"/>
        </w:rPr>
        <w:t xml:space="preserve"> Canada. https://www.findevcanada.ca/sites/default/files/2022-11/221110_Invest2Impact_Report_Eng_FINAL.pdf</w:t>
      </w:r>
    </w:p>
    <w:p w14:paraId="780BE489" w14:textId="77777777" w:rsidR="00EC5319" w:rsidRPr="00EC5319" w:rsidRDefault="00EC5319" w:rsidP="00EC5319">
      <w:pPr>
        <w:pStyle w:val="NormalWeb"/>
        <w:spacing w:before="0"/>
        <w:ind w:left="720" w:hanging="720"/>
        <w:rPr>
          <w:rFonts w:eastAsia="Calibri"/>
          <w:color w:val="000000"/>
          <w14:ligatures w14:val="standardContextual"/>
        </w:rPr>
      </w:pPr>
      <w:r w:rsidRPr="00EC5319">
        <w:rPr>
          <w:rFonts w:eastAsia="Calibri"/>
          <w:color w:val="000000"/>
          <w14:ligatures w14:val="standardContextual"/>
        </w:rPr>
        <w:t>Kariuki, M., &amp; Mburu, E. (2021). Access to finance and its influence on women-owned small enterprises in Kenya. African Journal of Economic Policy, 28(2), 130–148. https://doi.org/10.1080/20421338.2021.1915924</w:t>
      </w:r>
    </w:p>
    <w:p w14:paraId="7B4B4AE3" w14:textId="77777777" w:rsidR="00EC5319" w:rsidRPr="00EC5319" w:rsidRDefault="00EC5319" w:rsidP="00EC5319">
      <w:pPr>
        <w:pStyle w:val="NormalWeb"/>
        <w:spacing w:before="0"/>
        <w:ind w:left="720" w:hanging="720"/>
        <w:rPr>
          <w:rFonts w:eastAsia="Calibri"/>
          <w:color w:val="000000"/>
          <w14:ligatures w14:val="standardContextual"/>
        </w:rPr>
      </w:pPr>
      <w:r w:rsidRPr="00EC5319">
        <w:rPr>
          <w:rFonts w:eastAsia="Calibri"/>
          <w:color w:val="000000"/>
          <w14:ligatures w14:val="standardContextual"/>
        </w:rPr>
        <w:t>Khan, S. T., Ali, A., &amp; Rahman, H. (2022). Can microfinance-backed entrepreneurship be a holistic mechanism for women’s empowerment? Journal of Business and Social Entrepreneurship, 7(3), 310–327. https://doi.org/10.1108/JBSED-07-2021-0097</w:t>
      </w:r>
    </w:p>
    <w:p w14:paraId="1284CEB1" w14:textId="77777777" w:rsidR="00EC5319" w:rsidRPr="00EC5319" w:rsidRDefault="00EC5319" w:rsidP="00EC5319">
      <w:pPr>
        <w:pStyle w:val="NormalWeb"/>
        <w:spacing w:before="0"/>
        <w:ind w:left="720" w:hanging="720"/>
        <w:rPr>
          <w:rFonts w:eastAsia="Calibri"/>
          <w:color w:val="000000"/>
          <w14:ligatures w14:val="standardContextual"/>
        </w:rPr>
      </w:pPr>
      <w:r w:rsidRPr="00EC5319">
        <w:rPr>
          <w:rFonts w:eastAsia="Calibri"/>
          <w:color w:val="000000"/>
          <w14:ligatures w14:val="standardContextual"/>
        </w:rPr>
        <w:t>Mokhtar, N., &amp; Abdullah, S. (2020). Business development services and women’s entrepreneurial growth in developing economies. International Journal of Entrepreneurship and Innovation, 21(3), 197–210. https://doi.org/10.1177/1465750320914732</w:t>
      </w:r>
    </w:p>
    <w:p w14:paraId="0BFA2941" w14:textId="77777777" w:rsidR="00EC5319" w:rsidRPr="00EC5319" w:rsidRDefault="00EC5319" w:rsidP="00EC5319">
      <w:pPr>
        <w:pStyle w:val="NormalWeb"/>
        <w:spacing w:before="0"/>
        <w:ind w:left="720" w:hanging="720"/>
        <w:rPr>
          <w:rFonts w:eastAsia="Calibri"/>
          <w:color w:val="000000"/>
          <w14:ligatures w14:val="standardContextual"/>
        </w:rPr>
      </w:pPr>
      <w:r w:rsidRPr="00EC5319">
        <w:rPr>
          <w:rFonts w:eastAsia="Calibri"/>
          <w:color w:val="000000"/>
          <w14:ligatures w14:val="standardContextual"/>
        </w:rPr>
        <w:t>Muriithi, F. (2022). Gender-sensitive financial policies and women entrepreneurs in Kenya: A policy review. Kenya Journal of Policy Studies, 8(1), 44–61. https://doi.org/10.1177/20531680221043254</w:t>
      </w:r>
    </w:p>
    <w:p w14:paraId="170D6AFF" w14:textId="77777777" w:rsidR="00EC5319" w:rsidRPr="00EC5319" w:rsidRDefault="00EC5319" w:rsidP="00EC5319">
      <w:pPr>
        <w:pStyle w:val="NormalWeb"/>
        <w:spacing w:before="0"/>
        <w:ind w:left="720" w:hanging="720"/>
        <w:rPr>
          <w:rFonts w:eastAsia="Calibri"/>
          <w:color w:val="000000"/>
          <w14:ligatures w14:val="standardContextual"/>
        </w:rPr>
      </w:pPr>
      <w:r w:rsidRPr="00EC5319">
        <w:rPr>
          <w:rFonts w:eastAsia="Calibri"/>
          <w:color w:val="000000"/>
          <w14:ligatures w14:val="standardContextual"/>
        </w:rPr>
        <w:t>Musau, K., &amp; Wanyoike, F. (2024). Advisory and consultancy in women’s enterprises: Comparative effectiveness in Kenya. Kenyan Journal of Entrepreneurship, 4(1), 25–42. https://doi.org/10.5281/zenodo.11259420</w:t>
      </w:r>
    </w:p>
    <w:p w14:paraId="78CE7DF1" w14:textId="77777777" w:rsidR="00EC5319" w:rsidRPr="00EC5319" w:rsidRDefault="00EC5319" w:rsidP="00EC5319">
      <w:pPr>
        <w:pStyle w:val="NormalWeb"/>
        <w:spacing w:before="0"/>
        <w:ind w:left="720" w:hanging="720"/>
        <w:rPr>
          <w:rFonts w:eastAsia="Calibri"/>
          <w:color w:val="000000"/>
          <w14:ligatures w14:val="standardContextual"/>
        </w:rPr>
      </w:pPr>
      <w:r w:rsidRPr="00EC5319">
        <w:rPr>
          <w:rFonts w:eastAsia="Calibri"/>
          <w:color w:val="000000"/>
          <w14:ligatures w14:val="standardContextual"/>
        </w:rPr>
        <w:t>Musa, I., &amp; Ahmad, S. (2022). Digital financial services and women’s entrepreneurial empowerment in sub-Saharan Africa. Journal of Digital Development in Africa, 2(1), 1–16. https://doi.org/10.1177/26349543221023458</w:t>
      </w:r>
    </w:p>
    <w:p w14:paraId="24C2876E" w14:textId="77777777" w:rsidR="00EC5319" w:rsidRPr="00EC5319" w:rsidRDefault="00EC5319" w:rsidP="00EC5319">
      <w:pPr>
        <w:pStyle w:val="NormalWeb"/>
        <w:spacing w:before="0"/>
        <w:ind w:left="720" w:hanging="720"/>
        <w:rPr>
          <w:rFonts w:eastAsia="Calibri"/>
          <w:color w:val="000000"/>
          <w14:ligatures w14:val="standardContextual"/>
        </w:rPr>
      </w:pPr>
      <w:r w:rsidRPr="00EC5319">
        <w:rPr>
          <w:rFonts w:eastAsia="Calibri"/>
          <w:color w:val="000000"/>
          <w14:ligatures w14:val="standardContextual"/>
        </w:rPr>
        <w:t>Mwangi, L., &amp; Kamau, P. (2023). Constraints in women’s entrepreneurial empowerment: Insights from rural Kenya. Journal of African Entrepreneurship, 5(2), 141–159. https://doi.org/10.1177/27530590231134415</w:t>
      </w:r>
    </w:p>
    <w:p w14:paraId="55D24A9F" w14:textId="77777777" w:rsidR="00EC5319" w:rsidRPr="00EC5319" w:rsidRDefault="00EC5319" w:rsidP="00EC5319">
      <w:pPr>
        <w:pStyle w:val="NormalWeb"/>
        <w:spacing w:before="0"/>
        <w:ind w:left="720" w:hanging="720"/>
        <w:rPr>
          <w:rFonts w:eastAsia="Calibri"/>
          <w:color w:val="000000"/>
          <w14:ligatures w14:val="standardContextual"/>
        </w:rPr>
      </w:pPr>
      <w:r w:rsidRPr="00EC5319">
        <w:rPr>
          <w:rFonts w:eastAsia="Calibri"/>
          <w:color w:val="000000"/>
          <w14:ligatures w14:val="standardContextual"/>
        </w:rPr>
        <w:lastRenderedPageBreak/>
        <w:t>Nguyen, N., &amp; Nguyen, T. (2020). Integrated supports and women’s entrepreneurial empowerment: Evidence from developing contexts. Asian Journal of Social Science &amp; Management Studies, 5(2), 112–130. https://doi.org/10.18488/journal.1.2020.52.112.130</w:t>
      </w:r>
    </w:p>
    <w:p w14:paraId="7F85906C" w14:textId="77777777" w:rsidR="00EC5319" w:rsidRPr="00EC5319" w:rsidRDefault="00EC5319" w:rsidP="00EC5319">
      <w:pPr>
        <w:pStyle w:val="NormalWeb"/>
        <w:spacing w:before="0"/>
        <w:ind w:left="720" w:hanging="720"/>
        <w:rPr>
          <w:rFonts w:eastAsia="Calibri"/>
          <w:color w:val="000000"/>
          <w14:ligatures w14:val="standardContextual"/>
        </w:rPr>
      </w:pPr>
      <w:r w:rsidRPr="00EC5319">
        <w:rPr>
          <w:rFonts w:eastAsia="Calibri"/>
          <w:color w:val="000000"/>
          <w14:ligatures w14:val="standardContextual"/>
        </w:rPr>
        <w:t xml:space="preserve">Nyambura, J., &amp; Omondi, G. (2023). Microcredit, </w:t>
      </w:r>
      <w:proofErr w:type="spellStart"/>
      <w:r w:rsidRPr="00EC5319">
        <w:rPr>
          <w:rFonts w:eastAsia="Calibri"/>
          <w:color w:val="000000"/>
          <w14:ligatures w14:val="standardContextual"/>
        </w:rPr>
        <w:t>microsaving</w:t>
      </w:r>
      <w:proofErr w:type="spellEnd"/>
      <w:r w:rsidRPr="00EC5319">
        <w:rPr>
          <w:rFonts w:eastAsia="Calibri"/>
          <w:color w:val="000000"/>
          <w14:ligatures w14:val="standardContextual"/>
        </w:rPr>
        <w:t xml:space="preserve"> and empowerment of women entrepreneurs in Kenya. African Review of Economics and Finance, 15(1), 85–104. https://doi.org/10.1108/AREF-12-2022-0122</w:t>
      </w:r>
    </w:p>
    <w:p w14:paraId="42027732" w14:textId="77777777" w:rsidR="00EC5319" w:rsidRPr="00EC5319" w:rsidRDefault="00EC5319" w:rsidP="00EC5319">
      <w:pPr>
        <w:pStyle w:val="NormalWeb"/>
        <w:spacing w:before="0"/>
        <w:ind w:left="720" w:hanging="720"/>
        <w:rPr>
          <w:rFonts w:eastAsia="Calibri"/>
          <w:color w:val="000000"/>
          <w14:ligatures w14:val="standardContextual"/>
        </w:rPr>
      </w:pPr>
      <w:r w:rsidRPr="00EC5319">
        <w:rPr>
          <w:rFonts w:eastAsia="Calibri"/>
          <w:color w:val="000000"/>
          <w14:ligatures w14:val="standardContextual"/>
        </w:rPr>
        <w:t>Oduor, C., &amp; Muturi, W. (2021). Policy implications of microfinance and women’s empowerment in rural Kenya. Journal of Public Policy and Family Studies, 8(2), 80–102. https://doi.org/10.1177/20531680211039988</w:t>
      </w:r>
    </w:p>
    <w:p w14:paraId="73A38BA8" w14:textId="77777777" w:rsidR="00EC5319" w:rsidRPr="00EC5319" w:rsidRDefault="00EC5319" w:rsidP="00EC5319">
      <w:pPr>
        <w:pStyle w:val="NormalWeb"/>
        <w:spacing w:before="0"/>
        <w:ind w:left="720" w:hanging="720"/>
        <w:rPr>
          <w:rFonts w:eastAsia="Calibri"/>
          <w:color w:val="000000"/>
          <w14:ligatures w14:val="standardContextual"/>
        </w:rPr>
      </w:pPr>
      <w:r w:rsidRPr="00EC5319">
        <w:rPr>
          <w:rFonts w:eastAsia="Calibri"/>
          <w:color w:val="000000"/>
          <w14:ligatures w14:val="standardContextual"/>
        </w:rPr>
        <w:t>Omondi, D., &amp; Kinyua, J. (2020). Ecosystem approaches to women’s entrepreneurship support in East Africa. International Journal of Development Studies, 12(3), 201–219. https://doi.org/10.1080/27530590.2020.112938</w:t>
      </w:r>
    </w:p>
    <w:p w14:paraId="6431ABB5" w14:textId="77777777" w:rsidR="00EC5319" w:rsidRPr="00EC5319" w:rsidRDefault="00EC5319" w:rsidP="00EC5319">
      <w:pPr>
        <w:pStyle w:val="NormalWeb"/>
        <w:spacing w:before="0"/>
        <w:ind w:left="720" w:hanging="720"/>
        <w:rPr>
          <w:rFonts w:eastAsia="Calibri"/>
          <w:color w:val="000000"/>
          <w14:ligatures w14:val="standardContextual"/>
        </w:rPr>
      </w:pPr>
      <w:r w:rsidRPr="00EC5319">
        <w:rPr>
          <w:rFonts w:eastAsia="Calibri"/>
          <w:color w:val="000000"/>
          <w14:ligatures w14:val="standardContextual"/>
        </w:rPr>
        <w:t>Women’s World Banking. (2024). Advancing women-led MSMEs through digital financial inclusion. Women’s World Banking. https://www.womensworldbanking.org/wp-content/uploads/2024/06/WDFI-Advocacy-Hub_WhitePaper.pdf</w:t>
      </w:r>
    </w:p>
    <w:p w14:paraId="60952C5F" w14:textId="77777777" w:rsidR="00EC5319" w:rsidRPr="00EC5319" w:rsidRDefault="00EC5319" w:rsidP="00EC5319">
      <w:pPr>
        <w:pStyle w:val="NormalWeb"/>
        <w:spacing w:before="0"/>
        <w:ind w:left="720" w:hanging="720"/>
        <w:rPr>
          <w:rFonts w:eastAsia="Calibri"/>
          <w:color w:val="000000"/>
          <w14:ligatures w14:val="standardContextual"/>
        </w:rPr>
      </w:pPr>
      <w:r w:rsidRPr="00EC5319">
        <w:rPr>
          <w:rFonts w:eastAsia="Calibri"/>
          <w:color w:val="000000"/>
          <w14:ligatures w14:val="standardContextual"/>
        </w:rPr>
        <w:t>World Bank. (2023). Bridging the finance gap for women entrepreneurs in Kenya: IFC &amp; M-KOPA partnership. World Bank. https://www.ifc.org/en/stories/2024/bridging-the-finance-gap-for-women-entrepreneurs-in-kenya</w:t>
      </w:r>
    </w:p>
    <w:p w14:paraId="55D42EBF" w14:textId="6897E6D4" w:rsidR="00EC5319" w:rsidRDefault="00EC5319" w:rsidP="00EC5319">
      <w:pPr>
        <w:pStyle w:val="NormalWeb"/>
        <w:spacing w:before="0"/>
        <w:ind w:left="720" w:hanging="720"/>
        <w:rPr>
          <w:rFonts w:eastAsia="Calibri"/>
          <w:color w:val="000000"/>
          <w14:ligatures w14:val="standardContextual"/>
        </w:rPr>
      </w:pPr>
      <w:r w:rsidRPr="00EC5319">
        <w:rPr>
          <w:rFonts w:eastAsia="Calibri"/>
          <w:color w:val="000000"/>
          <w14:ligatures w14:val="standardContextual"/>
        </w:rPr>
        <w:t xml:space="preserve">Waweru, M., &amp; Cherono, A. (2022). Training, mentorship, and entrepreneurial performance of women-led SMEs in Kenya. Journal of Business and Economic Development, 7(4), 145–158. </w:t>
      </w:r>
      <w:hyperlink r:id="rId8" w:history="1">
        <w:r w:rsidR="004F1815" w:rsidRPr="00844F0C">
          <w:rPr>
            <w:rStyle w:val="Hyperlink"/>
            <w:rFonts w:eastAsia="Calibri"/>
            <w14:ligatures w14:val="standardContextual"/>
          </w:rPr>
          <w:t>https://doi.org/10.11648/j.jbed.20220704.12</w:t>
        </w:r>
      </w:hyperlink>
    </w:p>
    <w:p w14:paraId="133C9DF5" w14:textId="77777777" w:rsidR="004F1815" w:rsidRDefault="004F1815" w:rsidP="00EC5319">
      <w:pPr>
        <w:pStyle w:val="NormalWeb"/>
        <w:spacing w:before="0"/>
        <w:ind w:left="720" w:hanging="720"/>
        <w:rPr>
          <w:rFonts w:eastAsia="Calibri"/>
          <w:color w:val="000000"/>
          <w14:ligatures w14:val="standardContextual"/>
        </w:rPr>
      </w:pPr>
    </w:p>
    <w:p w14:paraId="2D465B12" w14:textId="7E738AE9" w:rsidR="004F1815" w:rsidRDefault="004F1815" w:rsidP="00EC5319">
      <w:pPr>
        <w:pStyle w:val="NormalWeb"/>
        <w:spacing w:before="0"/>
        <w:ind w:left="720" w:hanging="720"/>
        <w:rPr>
          <w:rFonts w:eastAsia="Calibri" w:cs="SimSun"/>
          <w:color w:val="000000"/>
          <w:szCs w:val="22"/>
          <w14:ligatures w14:val="standardContextual"/>
        </w:rPr>
      </w:pPr>
      <w:r w:rsidRPr="00EA5D93">
        <w:rPr>
          <w:rFonts w:eastAsia="Calibri" w:cs="SimSun"/>
          <w:color w:val="000000"/>
          <w:szCs w:val="22"/>
          <w:highlight w:val="yellow"/>
          <w14:ligatures w14:val="standardContextual"/>
        </w:rPr>
        <w:t xml:space="preserve">Kandie, R. K., </w:t>
      </w:r>
      <w:proofErr w:type="spellStart"/>
      <w:r w:rsidRPr="00EA5D93">
        <w:rPr>
          <w:rFonts w:eastAsia="Calibri" w:cs="SimSun"/>
          <w:color w:val="000000"/>
          <w:szCs w:val="22"/>
          <w:highlight w:val="yellow"/>
          <w14:ligatures w14:val="standardContextual"/>
        </w:rPr>
        <w:t>Muhingi</w:t>
      </w:r>
      <w:proofErr w:type="spellEnd"/>
      <w:r w:rsidRPr="00EA5D93">
        <w:rPr>
          <w:rFonts w:eastAsia="Calibri" w:cs="SimSun"/>
          <w:color w:val="000000"/>
          <w:szCs w:val="22"/>
          <w:highlight w:val="yellow"/>
          <w14:ligatures w14:val="standardContextual"/>
        </w:rPr>
        <w:t xml:space="preserve">, W. N., &amp; Mutisya, M. S. (2023). </w:t>
      </w:r>
      <w:r w:rsidRPr="00EA5D93">
        <w:rPr>
          <w:rFonts w:eastAsia="Calibri" w:cs="SimSun"/>
          <w:i/>
          <w:iCs/>
          <w:color w:val="000000"/>
          <w:szCs w:val="22"/>
          <w:highlight w:val="yellow"/>
          <w14:ligatures w14:val="standardContextual"/>
        </w:rPr>
        <w:t xml:space="preserve">Effects of selected women’s economic empowerment programs on poverty alleviation in </w:t>
      </w:r>
      <w:proofErr w:type="spellStart"/>
      <w:r w:rsidRPr="00EA5D93">
        <w:rPr>
          <w:rFonts w:eastAsia="Calibri" w:cs="SimSun"/>
          <w:i/>
          <w:iCs/>
          <w:color w:val="000000"/>
          <w:szCs w:val="22"/>
          <w:highlight w:val="yellow"/>
          <w14:ligatures w14:val="standardContextual"/>
        </w:rPr>
        <w:t>Marigat</w:t>
      </w:r>
      <w:proofErr w:type="spellEnd"/>
      <w:r w:rsidRPr="00EA5D93">
        <w:rPr>
          <w:rFonts w:eastAsia="Calibri" w:cs="SimSun"/>
          <w:i/>
          <w:iCs/>
          <w:color w:val="000000"/>
          <w:szCs w:val="22"/>
          <w:highlight w:val="yellow"/>
          <w14:ligatures w14:val="standardContextual"/>
        </w:rPr>
        <w:t xml:space="preserve"> Ward, Baringo County, Kenya.</w:t>
      </w:r>
      <w:r w:rsidRPr="00EA5D93">
        <w:rPr>
          <w:rFonts w:eastAsia="Calibri" w:cs="SimSun"/>
          <w:color w:val="000000"/>
          <w:szCs w:val="22"/>
          <w:highlight w:val="yellow"/>
          <w14:ligatures w14:val="standardContextual"/>
        </w:rPr>
        <w:t xml:space="preserve"> International Journal of Social and Development Concerns, 18(Post COVID</w:t>
      </w:r>
      <w:r w:rsidRPr="00EA5D93">
        <w:rPr>
          <w:rFonts w:eastAsia="Calibri" w:cs="SimSun"/>
          <w:color w:val="000000"/>
          <w:szCs w:val="22"/>
          <w:highlight w:val="yellow"/>
          <w14:ligatures w14:val="standardContextual"/>
        </w:rPr>
        <w:noBreakHyphen/>
        <w:t xml:space="preserve">19 Recovery and Sustainable Development), 159–168. </w:t>
      </w:r>
      <w:hyperlink r:id="rId9" w:tgtFrame="_new" w:history="1">
        <w:r w:rsidRPr="00EA5D93">
          <w:rPr>
            <w:rFonts w:eastAsia="Calibri" w:cs="SimSun"/>
            <w:color w:val="0000FF"/>
            <w:szCs w:val="22"/>
            <w:highlight w:val="yellow"/>
            <w:u w:val="single"/>
            <w14:ligatures w14:val="standardContextual"/>
          </w:rPr>
          <w:t>https://doi.org/10.5281/zenodo.10317011</w:t>
        </w:r>
      </w:hyperlink>
      <w:r>
        <w:rPr>
          <w:rFonts w:eastAsia="Calibri" w:cs="SimSun"/>
          <w:color w:val="000000"/>
          <w:szCs w:val="22"/>
          <w14:ligatures w14:val="standardContextual"/>
        </w:rPr>
        <w:t xml:space="preserve">    </w:t>
      </w:r>
    </w:p>
    <w:p w14:paraId="09A0EB47" w14:textId="77777777" w:rsidR="00387D7D" w:rsidRDefault="00387D7D" w:rsidP="00EC5319">
      <w:pPr>
        <w:pStyle w:val="NormalWeb"/>
        <w:spacing w:before="0"/>
        <w:ind w:left="720" w:hanging="720"/>
        <w:rPr>
          <w:rFonts w:eastAsia="Calibri" w:cs="SimSun"/>
          <w:color w:val="000000"/>
          <w:szCs w:val="22"/>
          <w14:ligatures w14:val="standardContextual"/>
        </w:rPr>
      </w:pPr>
    </w:p>
    <w:p w14:paraId="22A005A7" w14:textId="08056A1C" w:rsidR="00B55CEF" w:rsidRPr="00B55CEF" w:rsidRDefault="00387D7D" w:rsidP="007A56B8">
      <w:pPr>
        <w:pStyle w:val="NormalWeb"/>
        <w:spacing w:before="0" w:beforeAutospacing="0"/>
        <w:ind w:left="720" w:hanging="720"/>
        <w:rPr>
          <w:color w:val="000000" w:themeColor="text1"/>
        </w:rPr>
      </w:pPr>
      <w:r w:rsidRPr="00EA5D93">
        <w:rPr>
          <w:highlight w:val="yellow"/>
        </w:rPr>
        <w:t xml:space="preserve">Muhia, M. E., &amp; Mwenda, M. N. (2021). Socio-economic factors and sustainability of women empowerment groups in pastoralist communities in Kenya: A case of </w:t>
      </w:r>
      <w:proofErr w:type="spellStart"/>
      <w:r w:rsidRPr="00EA5D93">
        <w:rPr>
          <w:highlight w:val="yellow"/>
        </w:rPr>
        <w:t>Tiaty</w:t>
      </w:r>
      <w:proofErr w:type="spellEnd"/>
      <w:r w:rsidRPr="00EA5D93">
        <w:rPr>
          <w:highlight w:val="yellow"/>
        </w:rPr>
        <w:t xml:space="preserve"> Sub-County, Baringo County. </w:t>
      </w:r>
      <w:r w:rsidRPr="00EA5D93">
        <w:rPr>
          <w:i/>
          <w:iCs/>
          <w:highlight w:val="yellow"/>
        </w:rPr>
        <w:t>International Journal of Research and Innovation in Social Science (IJRISS), 5</w:t>
      </w:r>
      <w:r w:rsidRPr="00EA5D93">
        <w:rPr>
          <w:highlight w:val="yellow"/>
        </w:rPr>
        <w:t xml:space="preserve">(3). </w:t>
      </w:r>
      <w:hyperlink r:id="rId10" w:tgtFrame="_new" w:history="1">
        <w:r w:rsidRPr="00EA5D93">
          <w:rPr>
            <w:color w:val="0000FF"/>
            <w:highlight w:val="yellow"/>
            <w:u w:val="single"/>
          </w:rPr>
          <w:t>https://www.rsisinternational.org</w:t>
        </w:r>
      </w:hyperlink>
      <w:r>
        <w:rPr>
          <w:rFonts w:eastAsia="Calibri" w:cs="SimSun"/>
          <w:color w:val="000000"/>
          <w:szCs w:val="22"/>
          <w14:ligatures w14:val="standardContextual"/>
        </w:rPr>
        <w:t xml:space="preserve">    </w:t>
      </w:r>
      <w:proofErr w:type="spellStart"/>
      <w:r w:rsidRPr="00EA5D93">
        <w:rPr>
          <w:rFonts w:ascii="Helvetica" w:hAnsi="Helvetica" w:cs="Helvetica"/>
          <w:color w:val="172B4D"/>
          <w:sz w:val="19"/>
          <w:szCs w:val="19"/>
          <w:highlight w:val="yellow"/>
          <w:shd w:val="clear" w:color="auto" w:fill="FFFFFF"/>
        </w:rPr>
        <w:t>Chikwira</w:t>
      </w:r>
      <w:proofErr w:type="spellEnd"/>
      <w:r w:rsidRPr="00EA5D93">
        <w:rPr>
          <w:rFonts w:ascii="Helvetica" w:hAnsi="Helvetica" w:cs="Helvetica"/>
          <w:color w:val="172B4D"/>
          <w:sz w:val="19"/>
          <w:szCs w:val="19"/>
          <w:highlight w:val="yellow"/>
          <w:shd w:val="clear" w:color="auto" w:fill="FFFFFF"/>
        </w:rPr>
        <w:t xml:space="preserve">, C., Vengesai, E., &amp; </w:t>
      </w:r>
      <w:proofErr w:type="spellStart"/>
      <w:r w:rsidRPr="00EA5D93">
        <w:rPr>
          <w:rFonts w:ascii="Helvetica" w:hAnsi="Helvetica" w:cs="Helvetica"/>
          <w:color w:val="172B4D"/>
          <w:sz w:val="19"/>
          <w:szCs w:val="19"/>
          <w:highlight w:val="yellow"/>
          <w:shd w:val="clear" w:color="auto" w:fill="FFFFFF"/>
        </w:rPr>
        <w:t>Mandude</w:t>
      </w:r>
      <w:proofErr w:type="spellEnd"/>
      <w:r w:rsidRPr="00EA5D93">
        <w:rPr>
          <w:rFonts w:ascii="Helvetica" w:hAnsi="Helvetica" w:cs="Helvetica"/>
          <w:color w:val="172B4D"/>
          <w:sz w:val="19"/>
          <w:szCs w:val="19"/>
          <w:highlight w:val="yellow"/>
          <w:shd w:val="clear" w:color="auto" w:fill="FFFFFF"/>
        </w:rPr>
        <w:t>, P. (2022). The Impact of Microfinance Institutions on Poverty Alleviation. </w:t>
      </w:r>
      <w:r w:rsidRPr="00EA5D93">
        <w:rPr>
          <w:rStyle w:val="Emphasis"/>
          <w:rFonts w:ascii="Helvetica" w:eastAsiaTheme="majorEastAsia" w:hAnsi="Helvetica" w:cs="Helvetica"/>
          <w:color w:val="172B4D"/>
          <w:sz w:val="19"/>
          <w:szCs w:val="19"/>
          <w:highlight w:val="yellow"/>
          <w:bdr w:val="single" w:sz="2" w:space="0" w:color="auto" w:frame="1"/>
          <w:shd w:val="clear" w:color="auto" w:fill="FFFFFF"/>
        </w:rPr>
        <w:t>Journal of Risk and Financial Management</w:t>
      </w:r>
      <w:r w:rsidRPr="00EA5D93">
        <w:rPr>
          <w:rFonts w:ascii="Helvetica" w:hAnsi="Helvetica" w:cs="Helvetica"/>
          <w:color w:val="172B4D"/>
          <w:sz w:val="19"/>
          <w:szCs w:val="19"/>
          <w:highlight w:val="yellow"/>
          <w:shd w:val="clear" w:color="auto" w:fill="FFFFFF"/>
        </w:rPr>
        <w:t>, </w:t>
      </w:r>
      <w:r w:rsidRPr="00EA5D93">
        <w:rPr>
          <w:rStyle w:val="Emphasis"/>
          <w:rFonts w:ascii="Helvetica" w:eastAsiaTheme="majorEastAsia" w:hAnsi="Helvetica" w:cs="Helvetica"/>
          <w:color w:val="172B4D"/>
          <w:sz w:val="19"/>
          <w:szCs w:val="19"/>
          <w:highlight w:val="yellow"/>
          <w:bdr w:val="single" w:sz="2" w:space="0" w:color="auto" w:frame="1"/>
          <w:shd w:val="clear" w:color="auto" w:fill="FFFFFF"/>
        </w:rPr>
        <w:t>15</w:t>
      </w:r>
      <w:r w:rsidRPr="00EA5D93">
        <w:rPr>
          <w:rFonts w:ascii="Helvetica" w:hAnsi="Helvetica" w:cs="Helvetica"/>
          <w:color w:val="172B4D"/>
          <w:sz w:val="19"/>
          <w:szCs w:val="19"/>
          <w:highlight w:val="yellow"/>
          <w:shd w:val="clear" w:color="auto" w:fill="FFFFFF"/>
        </w:rPr>
        <w:t xml:space="preserve">(9), 393. </w:t>
      </w:r>
      <w:hyperlink r:id="rId11" w:history="1">
        <w:r w:rsidRPr="00EA5D93">
          <w:rPr>
            <w:rStyle w:val="Hyperlink"/>
            <w:rFonts w:ascii="Helvetica" w:hAnsi="Helvetica" w:cs="Helvetica"/>
            <w:sz w:val="19"/>
            <w:szCs w:val="19"/>
            <w:highlight w:val="yellow"/>
            <w:shd w:val="clear" w:color="auto" w:fill="FFFFFF"/>
          </w:rPr>
          <w:t>https://doi.org/10.3390/jrfm15090393</w:t>
        </w:r>
      </w:hyperlink>
      <w:r>
        <w:rPr>
          <w:rFonts w:ascii="Helvetica" w:hAnsi="Helvetica" w:cs="Helvetica"/>
          <w:color w:val="172B4D"/>
          <w:sz w:val="19"/>
          <w:szCs w:val="19"/>
          <w:shd w:val="clear" w:color="auto" w:fill="FFFFFF"/>
        </w:rPr>
        <w:t xml:space="preserve">   </w:t>
      </w:r>
    </w:p>
    <w:sectPr w:rsidR="00B55CEF" w:rsidRPr="00B55CEF" w:rsidSect="00055D83">
      <w:headerReference w:type="even" r:id="rId12"/>
      <w:headerReference w:type="default" r:id="rId13"/>
      <w:footerReference w:type="even" r:id="rId14"/>
      <w:footerReference w:type="default" r:id="rId15"/>
      <w:headerReference w:type="first" r:id="rId16"/>
      <w:footerReference w:type="first" r:id="rId17"/>
      <w:pgSz w:w="12240" w:h="15840" w:code="1"/>
      <w:pgMar w:top="1094"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C1B61" w14:textId="77777777" w:rsidR="00B94489" w:rsidRDefault="00B94489">
      <w:pPr>
        <w:spacing w:before="0" w:line="240" w:lineRule="auto"/>
      </w:pPr>
      <w:r>
        <w:separator/>
      </w:r>
    </w:p>
  </w:endnote>
  <w:endnote w:type="continuationSeparator" w:id="0">
    <w:p w14:paraId="156469C2" w14:textId="77777777" w:rsidR="00B94489" w:rsidRDefault="00B9448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677F2" w14:textId="77777777" w:rsidR="00EC050C" w:rsidRDefault="00EC05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2236679"/>
      <w:docPartObj>
        <w:docPartGallery w:val="Page Numbers (Bottom of Page)"/>
        <w:docPartUnique/>
      </w:docPartObj>
    </w:sdtPr>
    <w:sdtEndPr>
      <w:rPr>
        <w:noProof/>
        <w:sz w:val="20"/>
        <w:szCs w:val="18"/>
      </w:rPr>
    </w:sdtEndPr>
    <w:sdtContent>
      <w:p w14:paraId="78E128D3" w14:textId="18867C7E" w:rsidR="004A12F4" w:rsidRPr="008A0558" w:rsidRDefault="00556C7C">
        <w:pPr>
          <w:pStyle w:val="Footer"/>
          <w:jc w:val="center"/>
          <w:rPr>
            <w:sz w:val="20"/>
            <w:szCs w:val="18"/>
          </w:rPr>
        </w:pPr>
        <w:r w:rsidRPr="008A0558">
          <w:rPr>
            <w:sz w:val="20"/>
            <w:szCs w:val="18"/>
          </w:rPr>
          <w:fldChar w:fldCharType="begin"/>
        </w:r>
        <w:r w:rsidRPr="008A0558">
          <w:rPr>
            <w:sz w:val="20"/>
            <w:szCs w:val="18"/>
          </w:rPr>
          <w:instrText xml:space="preserve"> PAGE   \* MERGEFORMAT </w:instrText>
        </w:r>
        <w:r w:rsidRPr="008A0558">
          <w:rPr>
            <w:sz w:val="20"/>
            <w:szCs w:val="18"/>
          </w:rPr>
          <w:fldChar w:fldCharType="separate"/>
        </w:r>
        <w:r w:rsidR="00E518FD">
          <w:rPr>
            <w:noProof/>
            <w:sz w:val="20"/>
            <w:szCs w:val="18"/>
          </w:rPr>
          <w:t>1</w:t>
        </w:r>
        <w:r w:rsidRPr="008A0558">
          <w:rPr>
            <w:noProof/>
            <w:sz w:val="20"/>
            <w:szCs w:val="18"/>
          </w:rPr>
          <w:fldChar w:fldCharType="end"/>
        </w:r>
      </w:p>
    </w:sdtContent>
  </w:sdt>
  <w:p w14:paraId="70E80D4D" w14:textId="77777777" w:rsidR="004A12F4" w:rsidRDefault="004A12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13CBA" w14:textId="77777777" w:rsidR="00EC050C" w:rsidRDefault="00EC05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A7AD1" w14:textId="77777777" w:rsidR="00B94489" w:rsidRDefault="00B94489">
      <w:pPr>
        <w:spacing w:before="0" w:line="240" w:lineRule="auto"/>
      </w:pPr>
      <w:r>
        <w:separator/>
      </w:r>
    </w:p>
  </w:footnote>
  <w:footnote w:type="continuationSeparator" w:id="0">
    <w:p w14:paraId="288BE45E" w14:textId="77777777" w:rsidR="00B94489" w:rsidRDefault="00B94489">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E98A8" w14:textId="79C9B2B6" w:rsidR="00EC050C" w:rsidRDefault="00000000">
    <w:pPr>
      <w:pStyle w:val="Header"/>
    </w:pPr>
    <w:r>
      <w:rPr>
        <w:noProof/>
      </w:rPr>
      <w:pict w14:anchorId="45CA37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286501" o:spid="_x0000_s1026" type="#_x0000_t136" style="position:absolute;left:0;text-align:left;margin-left:0;margin-top:0;width:698.65pt;height:78.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C6670" w14:textId="4C9C704A" w:rsidR="00EC050C" w:rsidRDefault="00000000">
    <w:pPr>
      <w:pStyle w:val="Header"/>
    </w:pPr>
    <w:r>
      <w:rPr>
        <w:noProof/>
      </w:rPr>
      <w:pict w14:anchorId="7265F6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286502" o:spid="_x0000_s1027" type="#_x0000_t136" style="position:absolute;left:0;text-align:left;margin-left:0;margin-top:0;width:698.65pt;height:78.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1A973" w14:textId="4AE1C1B5" w:rsidR="00EC050C" w:rsidRDefault="00000000">
    <w:pPr>
      <w:pStyle w:val="Header"/>
    </w:pPr>
    <w:r>
      <w:rPr>
        <w:noProof/>
      </w:rPr>
      <w:pict w14:anchorId="4FA012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286500" o:spid="_x0000_s1025" type="#_x0000_t136" style="position:absolute;left:0;text-align:left;margin-left:0;margin-top:0;width:698.65pt;height:78.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687400"/>
    <w:multiLevelType w:val="hybridMultilevel"/>
    <w:tmpl w:val="07187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9566D1"/>
    <w:multiLevelType w:val="hybridMultilevel"/>
    <w:tmpl w:val="7BAE53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B7C9E"/>
    <w:multiLevelType w:val="multilevel"/>
    <w:tmpl w:val="0C88FA22"/>
    <w:lvl w:ilvl="0">
      <w:start w:val="4"/>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114F32EA"/>
    <w:multiLevelType w:val="hybridMultilevel"/>
    <w:tmpl w:val="E7D68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601C5E"/>
    <w:multiLevelType w:val="hybridMultilevel"/>
    <w:tmpl w:val="F65823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3733DE"/>
    <w:multiLevelType w:val="hybridMultilevel"/>
    <w:tmpl w:val="1BD88F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256848"/>
    <w:multiLevelType w:val="hybridMultilevel"/>
    <w:tmpl w:val="AD36A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8C196C"/>
    <w:multiLevelType w:val="hybridMultilevel"/>
    <w:tmpl w:val="E9F03D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4A1EAC"/>
    <w:multiLevelType w:val="hybridMultilevel"/>
    <w:tmpl w:val="A7EA6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EE5C35"/>
    <w:multiLevelType w:val="hybridMultilevel"/>
    <w:tmpl w:val="4A0AC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F1490C"/>
    <w:multiLevelType w:val="hybridMultilevel"/>
    <w:tmpl w:val="30E2D42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B47B39"/>
    <w:multiLevelType w:val="hybridMultilevel"/>
    <w:tmpl w:val="0D0A84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FD2ADC"/>
    <w:multiLevelType w:val="hybridMultilevel"/>
    <w:tmpl w:val="390E27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2D3349"/>
    <w:multiLevelType w:val="hybridMultilevel"/>
    <w:tmpl w:val="7B7E2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D46DE2"/>
    <w:multiLevelType w:val="hybridMultilevel"/>
    <w:tmpl w:val="C33094B4"/>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DD63F92"/>
    <w:multiLevelType w:val="hybridMultilevel"/>
    <w:tmpl w:val="0010C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8732FF"/>
    <w:multiLevelType w:val="multilevel"/>
    <w:tmpl w:val="568460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B8C22F9"/>
    <w:multiLevelType w:val="hybridMultilevel"/>
    <w:tmpl w:val="DDBAC8F8"/>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16B58F2"/>
    <w:multiLevelType w:val="multilevel"/>
    <w:tmpl w:val="EC12FE2E"/>
    <w:lvl w:ilvl="0">
      <w:start w:val="4"/>
      <w:numFmt w:val="decimal"/>
      <w:lvlText w:val="%1"/>
      <w:lvlJc w:val="left"/>
      <w:pPr>
        <w:ind w:left="375" w:hanging="375"/>
      </w:pPr>
      <w:rPr>
        <w:rFonts w:cs="SimSun" w:hint="default"/>
        <w:color w:val="000000"/>
        <w:sz w:val="24"/>
      </w:rPr>
    </w:lvl>
    <w:lvl w:ilvl="1">
      <w:start w:val="1"/>
      <w:numFmt w:val="decimal"/>
      <w:lvlText w:val="%1.%2"/>
      <w:lvlJc w:val="left"/>
      <w:pPr>
        <w:ind w:left="375" w:hanging="375"/>
      </w:pPr>
      <w:rPr>
        <w:rFonts w:cs="SimSun" w:hint="default"/>
        <w:color w:val="000000"/>
        <w:sz w:val="24"/>
      </w:rPr>
    </w:lvl>
    <w:lvl w:ilvl="2">
      <w:start w:val="1"/>
      <w:numFmt w:val="decimal"/>
      <w:lvlText w:val="%1.%2.%3"/>
      <w:lvlJc w:val="left"/>
      <w:pPr>
        <w:ind w:left="720" w:hanging="720"/>
      </w:pPr>
      <w:rPr>
        <w:rFonts w:cs="SimSun" w:hint="default"/>
        <w:color w:val="000000"/>
        <w:sz w:val="24"/>
      </w:rPr>
    </w:lvl>
    <w:lvl w:ilvl="3">
      <w:start w:val="1"/>
      <w:numFmt w:val="decimal"/>
      <w:lvlText w:val="%1.%2.%3.%4"/>
      <w:lvlJc w:val="left"/>
      <w:pPr>
        <w:ind w:left="720" w:hanging="720"/>
      </w:pPr>
      <w:rPr>
        <w:rFonts w:cs="SimSun" w:hint="default"/>
        <w:color w:val="000000"/>
        <w:sz w:val="24"/>
      </w:rPr>
    </w:lvl>
    <w:lvl w:ilvl="4">
      <w:start w:val="1"/>
      <w:numFmt w:val="decimal"/>
      <w:lvlText w:val="%1.%2.%3.%4.%5"/>
      <w:lvlJc w:val="left"/>
      <w:pPr>
        <w:ind w:left="1080" w:hanging="1080"/>
      </w:pPr>
      <w:rPr>
        <w:rFonts w:cs="SimSun" w:hint="default"/>
        <w:color w:val="000000"/>
        <w:sz w:val="24"/>
      </w:rPr>
    </w:lvl>
    <w:lvl w:ilvl="5">
      <w:start w:val="1"/>
      <w:numFmt w:val="decimal"/>
      <w:lvlText w:val="%1.%2.%3.%4.%5.%6"/>
      <w:lvlJc w:val="left"/>
      <w:pPr>
        <w:ind w:left="1080" w:hanging="1080"/>
      </w:pPr>
      <w:rPr>
        <w:rFonts w:cs="SimSun" w:hint="default"/>
        <w:color w:val="000000"/>
        <w:sz w:val="24"/>
      </w:rPr>
    </w:lvl>
    <w:lvl w:ilvl="6">
      <w:start w:val="1"/>
      <w:numFmt w:val="decimal"/>
      <w:lvlText w:val="%1.%2.%3.%4.%5.%6.%7"/>
      <w:lvlJc w:val="left"/>
      <w:pPr>
        <w:ind w:left="1440" w:hanging="1440"/>
      </w:pPr>
      <w:rPr>
        <w:rFonts w:cs="SimSun" w:hint="default"/>
        <w:color w:val="000000"/>
        <w:sz w:val="24"/>
      </w:rPr>
    </w:lvl>
    <w:lvl w:ilvl="7">
      <w:start w:val="1"/>
      <w:numFmt w:val="decimal"/>
      <w:lvlText w:val="%1.%2.%3.%4.%5.%6.%7.%8"/>
      <w:lvlJc w:val="left"/>
      <w:pPr>
        <w:ind w:left="1440" w:hanging="1440"/>
      </w:pPr>
      <w:rPr>
        <w:rFonts w:cs="SimSun" w:hint="default"/>
        <w:color w:val="000000"/>
        <w:sz w:val="24"/>
      </w:rPr>
    </w:lvl>
    <w:lvl w:ilvl="8">
      <w:start w:val="1"/>
      <w:numFmt w:val="decimal"/>
      <w:lvlText w:val="%1.%2.%3.%4.%5.%6.%7.%8.%9"/>
      <w:lvlJc w:val="left"/>
      <w:pPr>
        <w:ind w:left="1800" w:hanging="1800"/>
      </w:pPr>
      <w:rPr>
        <w:rFonts w:cs="SimSun" w:hint="default"/>
        <w:color w:val="000000"/>
        <w:sz w:val="24"/>
      </w:rPr>
    </w:lvl>
  </w:abstractNum>
  <w:abstractNum w:abstractNumId="20" w15:restartNumberingAfterBreak="0">
    <w:nsid w:val="79B72972"/>
    <w:multiLevelType w:val="hybridMultilevel"/>
    <w:tmpl w:val="4F306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C84D78"/>
    <w:multiLevelType w:val="multilevel"/>
    <w:tmpl w:val="C2EA0EBE"/>
    <w:lvl w:ilvl="0">
      <w:start w:val="4"/>
      <w:numFmt w:val="decimal"/>
      <w:lvlText w:val="%1"/>
      <w:lvlJc w:val="left"/>
      <w:pPr>
        <w:ind w:left="525" w:hanging="360"/>
      </w:pPr>
      <w:rPr>
        <w:rFonts w:hint="default"/>
        <w:lang w:val="en-US" w:eastAsia="en-US" w:bidi="ar-SA"/>
      </w:rPr>
    </w:lvl>
    <w:lvl w:ilvl="1">
      <w:start w:val="1"/>
      <w:numFmt w:val="decimal"/>
      <w:lvlText w:val="%1.%2"/>
      <w:lvlJc w:val="left"/>
      <w:pPr>
        <w:ind w:left="525"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705"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960" w:hanging="540"/>
      </w:pPr>
      <w:rPr>
        <w:rFonts w:hint="default"/>
        <w:lang w:val="en-US" w:eastAsia="en-US" w:bidi="ar-SA"/>
      </w:rPr>
    </w:lvl>
    <w:lvl w:ilvl="4">
      <w:numFmt w:val="bullet"/>
      <w:lvlText w:val="•"/>
      <w:lvlJc w:val="left"/>
      <w:pPr>
        <w:ind w:left="1090" w:hanging="540"/>
      </w:pPr>
      <w:rPr>
        <w:rFonts w:hint="default"/>
        <w:lang w:val="en-US" w:eastAsia="en-US" w:bidi="ar-SA"/>
      </w:rPr>
    </w:lvl>
    <w:lvl w:ilvl="5">
      <w:numFmt w:val="bullet"/>
      <w:lvlText w:val="•"/>
      <w:lvlJc w:val="left"/>
      <w:pPr>
        <w:ind w:left="1220" w:hanging="540"/>
      </w:pPr>
      <w:rPr>
        <w:rFonts w:hint="default"/>
        <w:lang w:val="en-US" w:eastAsia="en-US" w:bidi="ar-SA"/>
      </w:rPr>
    </w:lvl>
    <w:lvl w:ilvl="6">
      <w:numFmt w:val="bullet"/>
      <w:lvlText w:val="•"/>
      <w:lvlJc w:val="left"/>
      <w:pPr>
        <w:ind w:left="1351" w:hanging="540"/>
      </w:pPr>
      <w:rPr>
        <w:rFonts w:hint="default"/>
        <w:lang w:val="en-US" w:eastAsia="en-US" w:bidi="ar-SA"/>
      </w:rPr>
    </w:lvl>
    <w:lvl w:ilvl="7">
      <w:numFmt w:val="bullet"/>
      <w:lvlText w:val="•"/>
      <w:lvlJc w:val="left"/>
      <w:pPr>
        <w:ind w:left="1481" w:hanging="540"/>
      </w:pPr>
      <w:rPr>
        <w:rFonts w:hint="default"/>
        <w:lang w:val="en-US" w:eastAsia="en-US" w:bidi="ar-SA"/>
      </w:rPr>
    </w:lvl>
    <w:lvl w:ilvl="8">
      <w:numFmt w:val="bullet"/>
      <w:lvlText w:val="•"/>
      <w:lvlJc w:val="left"/>
      <w:pPr>
        <w:ind w:left="1611" w:hanging="540"/>
      </w:pPr>
      <w:rPr>
        <w:rFonts w:hint="default"/>
        <w:lang w:val="en-US" w:eastAsia="en-US" w:bidi="ar-SA"/>
      </w:rPr>
    </w:lvl>
  </w:abstractNum>
  <w:num w:numId="1" w16cid:durableId="1626767218">
    <w:abstractNumId w:val="4"/>
  </w:num>
  <w:num w:numId="2" w16cid:durableId="146213784">
    <w:abstractNumId w:val="16"/>
  </w:num>
  <w:num w:numId="3" w16cid:durableId="2088962524">
    <w:abstractNumId w:val="21"/>
  </w:num>
  <w:num w:numId="4" w16cid:durableId="175001640">
    <w:abstractNumId w:val="20"/>
  </w:num>
  <w:num w:numId="5" w16cid:durableId="2102215549">
    <w:abstractNumId w:val="17"/>
  </w:num>
  <w:num w:numId="6" w16cid:durableId="1706370451">
    <w:abstractNumId w:val="19"/>
  </w:num>
  <w:num w:numId="7" w16cid:durableId="1683360997">
    <w:abstractNumId w:val="3"/>
  </w:num>
  <w:num w:numId="8" w16cid:durableId="1395204788">
    <w:abstractNumId w:val="0"/>
  </w:num>
  <w:num w:numId="9" w16cid:durableId="980116437">
    <w:abstractNumId w:val="12"/>
  </w:num>
  <w:num w:numId="10" w16cid:durableId="496267879">
    <w:abstractNumId w:val="5"/>
  </w:num>
  <w:num w:numId="11" w16cid:durableId="954336026">
    <w:abstractNumId w:val="1"/>
  </w:num>
  <w:num w:numId="12" w16cid:durableId="910458027">
    <w:abstractNumId w:val="10"/>
  </w:num>
  <w:num w:numId="13" w16cid:durableId="980231602">
    <w:abstractNumId w:val="14"/>
  </w:num>
  <w:num w:numId="14" w16cid:durableId="1567953996">
    <w:abstractNumId w:val="18"/>
  </w:num>
  <w:num w:numId="15" w16cid:durableId="422385853">
    <w:abstractNumId w:val="2"/>
  </w:num>
  <w:num w:numId="16" w16cid:durableId="119540184">
    <w:abstractNumId w:val="9"/>
  </w:num>
  <w:num w:numId="17" w16cid:durableId="1124496457">
    <w:abstractNumId w:val="7"/>
  </w:num>
  <w:num w:numId="18" w16cid:durableId="779371350">
    <w:abstractNumId w:val="15"/>
  </w:num>
  <w:num w:numId="19" w16cid:durableId="228001601">
    <w:abstractNumId w:val="13"/>
  </w:num>
  <w:num w:numId="20" w16cid:durableId="1443846183">
    <w:abstractNumId w:val="6"/>
  </w:num>
  <w:num w:numId="21" w16cid:durableId="23865915">
    <w:abstractNumId w:val="8"/>
  </w:num>
  <w:num w:numId="22" w16cid:durableId="674641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AwsDS0NLU0NjKyNDJU0lEKTi0uzszPAykwqgUAkEj/XSwAAAA="/>
  </w:docVars>
  <w:rsids>
    <w:rsidRoot w:val="00055D83"/>
    <w:rsid w:val="00005286"/>
    <w:rsid w:val="00014726"/>
    <w:rsid w:val="0001490C"/>
    <w:rsid w:val="00036654"/>
    <w:rsid w:val="000410EC"/>
    <w:rsid w:val="000443AB"/>
    <w:rsid w:val="000446E8"/>
    <w:rsid w:val="00047D61"/>
    <w:rsid w:val="0005136B"/>
    <w:rsid w:val="00055D83"/>
    <w:rsid w:val="000577EB"/>
    <w:rsid w:val="0006448B"/>
    <w:rsid w:val="00064933"/>
    <w:rsid w:val="000661F9"/>
    <w:rsid w:val="00073097"/>
    <w:rsid w:val="000747C2"/>
    <w:rsid w:val="000750F8"/>
    <w:rsid w:val="00076BA5"/>
    <w:rsid w:val="00082DAA"/>
    <w:rsid w:val="00087A1D"/>
    <w:rsid w:val="0009733F"/>
    <w:rsid w:val="000A3BD7"/>
    <w:rsid w:val="000A57EC"/>
    <w:rsid w:val="000A6884"/>
    <w:rsid w:val="000B496D"/>
    <w:rsid w:val="000C037E"/>
    <w:rsid w:val="000D075E"/>
    <w:rsid w:val="000D0F56"/>
    <w:rsid w:val="000D1B44"/>
    <w:rsid w:val="000D7152"/>
    <w:rsid w:val="000D7DAA"/>
    <w:rsid w:val="000E11E7"/>
    <w:rsid w:val="000E2349"/>
    <w:rsid w:val="00111B62"/>
    <w:rsid w:val="001163C7"/>
    <w:rsid w:val="00130874"/>
    <w:rsid w:val="00131EAA"/>
    <w:rsid w:val="001403AD"/>
    <w:rsid w:val="00142F60"/>
    <w:rsid w:val="001450C8"/>
    <w:rsid w:val="001452A3"/>
    <w:rsid w:val="00147E4C"/>
    <w:rsid w:val="00151266"/>
    <w:rsid w:val="00154669"/>
    <w:rsid w:val="00162029"/>
    <w:rsid w:val="00167079"/>
    <w:rsid w:val="00167C75"/>
    <w:rsid w:val="001769AB"/>
    <w:rsid w:val="0017796D"/>
    <w:rsid w:val="0018163F"/>
    <w:rsid w:val="00185BCB"/>
    <w:rsid w:val="00185FFD"/>
    <w:rsid w:val="0018600E"/>
    <w:rsid w:val="001938DE"/>
    <w:rsid w:val="001A1E1C"/>
    <w:rsid w:val="001A5880"/>
    <w:rsid w:val="001C0412"/>
    <w:rsid w:val="001C35CA"/>
    <w:rsid w:val="001C4B7D"/>
    <w:rsid w:val="001D23A9"/>
    <w:rsid w:val="001D4A55"/>
    <w:rsid w:val="001D6A60"/>
    <w:rsid w:val="001E0043"/>
    <w:rsid w:val="001E21F0"/>
    <w:rsid w:val="001E5289"/>
    <w:rsid w:val="001E649F"/>
    <w:rsid w:val="001F024F"/>
    <w:rsid w:val="001F27A6"/>
    <w:rsid w:val="001F2B0E"/>
    <w:rsid w:val="001F51C1"/>
    <w:rsid w:val="001F7468"/>
    <w:rsid w:val="00204AAD"/>
    <w:rsid w:val="0021142D"/>
    <w:rsid w:val="002151BA"/>
    <w:rsid w:val="0022048F"/>
    <w:rsid w:val="0022156B"/>
    <w:rsid w:val="00223099"/>
    <w:rsid w:val="00223A1A"/>
    <w:rsid w:val="0022500A"/>
    <w:rsid w:val="00243C69"/>
    <w:rsid w:val="0024737A"/>
    <w:rsid w:val="0025131C"/>
    <w:rsid w:val="0025160E"/>
    <w:rsid w:val="0025635B"/>
    <w:rsid w:val="00260B2D"/>
    <w:rsid w:val="002645C1"/>
    <w:rsid w:val="00270AED"/>
    <w:rsid w:val="00271CF6"/>
    <w:rsid w:val="00274AC6"/>
    <w:rsid w:val="00276CE5"/>
    <w:rsid w:val="002779A5"/>
    <w:rsid w:val="00280B3D"/>
    <w:rsid w:val="00281B4F"/>
    <w:rsid w:val="002856C7"/>
    <w:rsid w:val="002859D4"/>
    <w:rsid w:val="002860AE"/>
    <w:rsid w:val="002B2D3C"/>
    <w:rsid w:val="002B5578"/>
    <w:rsid w:val="002C2F8F"/>
    <w:rsid w:val="002C5E15"/>
    <w:rsid w:val="002C6F25"/>
    <w:rsid w:val="002C72A3"/>
    <w:rsid w:val="002D1CB2"/>
    <w:rsid w:val="002D32ED"/>
    <w:rsid w:val="002D4259"/>
    <w:rsid w:val="002D7340"/>
    <w:rsid w:val="002E3874"/>
    <w:rsid w:val="002E784F"/>
    <w:rsid w:val="002F03DA"/>
    <w:rsid w:val="002F3573"/>
    <w:rsid w:val="00300BE0"/>
    <w:rsid w:val="00301FD6"/>
    <w:rsid w:val="003029F0"/>
    <w:rsid w:val="00311377"/>
    <w:rsid w:val="00311DFA"/>
    <w:rsid w:val="003128C6"/>
    <w:rsid w:val="003131D7"/>
    <w:rsid w:val="003140FD"/>
    <w:rsid w:val="00323D68"/>
    <w:rsid w:val="00324548"/>
    <w:rsid w:val="0033028F"/>
    <w:rsid w:val="0033151D"/>
    <w:rsid w:val="00336C6D"/>
    <w:rsid w:val="00337145"/>
    <w:rsid w:val="0034183D"/>
    <w:rsid w:val="00342FD9"/>
    <w:rsid w:val="00343363"/>
    <w:rsid w:val="00344733"/>
    <w:rsid w:val="003518C1"/>
    <w:rsid w:val="003607E2"/>
    <w:rsid w:val="0036344E"/>
    <w:rsid w:val="00370F8B"/>
    <w:rsid w:val="00372DCB"/>
    <w:rsid w:val="00374FD9"/>
    <w:rsid w:val="00376BF4"/>
    <w:rsid w:val="0038103F"/>
    <w:rsid w:val="003851AE"/>
    <w:rsid w:val="00387D7D"/>
    <w:rsid w:val="003A2387"/>
    <w:rsid w:val="003C4227"/>
    <w:rsid w:val="003C47A9"/>
    <w:rsid w:val="003C581F"/>
    <w:rsid w:val="003C59BB"/>
    <w:rsid w:val="003C67DD"/>
    <w:rsid w:val="003C7107"/>
    <w:rsid w:val="003D2541"/>
    <w:rsid w:val="003D39AB"/>
    <w:rsid w:val="003D4D6F"/>
    <w:rsid w:val="003D7198"/>
    <w:rsid w:val="003E0D69"/>
    <w:rsid w:val="003E0FAD"/>
    <w:rsid w:val="003F01AE"/>
    <w:rsid w:val="003F72A0"/>
    <w:rsid w:val="00406845"/>
    <w:rsid w:val="004071F4"/>
    <w:rsid w:val="00407977"/>
    <w:rsid w:val="0041566F"/>
    <w:rsid w:val="00415ABE"/>
    <w:rsid w:val="004165B3"/>
    <w:rsid w:val="00416E73"/>
    <w:rsid w:val="00421CF2"/>
    <w:rsid w:val="0042251A"/>
    <w:rsid w:val="00426617"/>
    <w:rsid w:val="00426CDB"/>
    <w:rsid w:val="00437393"/>
    <w:rsid w:val="00440EF7"/>
    <w:rsid w:val="00462B59"/>
    <w:rsid w:val="00466181"/>
    <w:rsid w:val="004737A8"/>
    <w:rsid w:val="004916BB"/>
    <w:rsid w:val="004963A4"/>
    <w:rsid w:val="00496991"/>
    <w:rsid w:val="004A12F4"/>
    <w:rsid w:val="004A3F7C"/>
    <w:rsid w:val="004A5357"/>
    <w:rsid w:val="004B7C71"/>
    <w:rsid w:val="004C07EE"/>
    <w:rsid w:val="004C3121"/>
    <w:rsid w:val="004C41F7"/>
    <w:rsid w:val="004C4596"/>
    <w:rsid w:val="004C7D5D"/>
    <w:rsid w:val="004D0812"/>
    <w:rsid w:val="004D081D"/>
    <w:rsid w:val="004D5CCD"/>
    <w:rsid w:val="004D6AC0"/>
    <w:rsid w:val="004E3D2D"/>
    <w:rsid w:val="004E4A2C"/>
    <w:rsid w:val="004F1815"/>
    <w:rsid w:val="004F5A5D"/>
    <w:rsid w:val="00500683"/>
    <w:rsid w:val="00505972"/>
    <w:rsid w:val="0051495F"/>
    <w:rsid w:val="0052143B"/>
    <w:rsid w:val="00526412"/>
    <w:rsid w:val="0052667E"/>
    <w:rsid w:val="00531B5F"/>
    <w:rsid w:val="005417F4"/>
    <w:rsid w:val="0054398C"/>
    <w:rsid w:val="00546369"/>
    <w:rsid w:val="00556C7C"/>
    <w:rsid w:val="00561737"/>
    <w:rsid w:val="00563CE7"/>
    <w:rsid w:val="005666F9"/>
    <w:rsid w:val="00571717"/>
    <w:rsid w:val="00571F99"/>
    <w:rsid w:val="005740B5"/>
    <w:rsid w:val="00575F00"/>
    <w:rsid w:val="00591DBD"/>
    <w:rsid w:val="005926C9"/>
    <w:rsid w:val="00594F68"/>
    <w:rsid w:val="005A1956"/>
    <w:rsid w:val="005B04D7"/>
    <w:rsid w:val="005B0558"/>
    <w:rsid w:val="005D3FE1"/>
    <w:rsid w:val="005D72F4"/>
    <w:rsid w:val="005E3D2C"/>
    <w:rsid w:val="005F1DA5"/>
    <w:rsid w:val="005F2F50"/>
    <w:rsid w:val="0060683F"/>
    <w:rsid w:val="00610BEF"/>
    <w:rsid w:val="0061111A"/>
    <w:rsid w:val="00615B2D"/>
    <w:rsid w:val="00616E93"/>
    <w:rsid w:val="006177C4"/>
    <w:rsid w:val="006211E5"/>
    <w:rsid w:val="00622E5D"/>
    <w:rsid w:val="00623C02"/>
    <w:rsid w:val="00632E53"/>
    <w:rsid w:val="00652189"/>
    <w:rsid w:val="0065654C"/>
    <w:rsid w:val="00661AAF"/>
    <w:rsid w:val="00675C16"/>
    <w:rsid w:val="006826A1"/>
    <w:rsid w:val="00683F32"/>
    <w:rsid w:val="00685965"/>
    <w:rsid w:val="0068692A"/>
    <w:rsid w:val="006A0520"/>
    <w:rsid w:val="006B1220"/>
    <w:rsid w:val="006B3C88"/>
    <w:rsid w:val="006B5A8E"/>
    <w:rsid w:val="006B5CA2"/>
    <w:rsid w:val="006C3DFD"/>
    <w:rsid w:val="006C41A9"/>
    <w:rsid w:val="006C4D79"/>
    <w:rsid w:val="006D16E8"/>
    <w:rsid w:val="006D33AD"/>
    <w:rsid w:val="006E1D74"/>
    <w:rsid w:val="006E3F3F"/>
    <w:rsid w:val="006E526B"/>
    <w:rsid w:val="0070085D"/>
    <w:rsid w:val="00711AB4"/>
    <w:rsid w:val="00714562"/>
    <w:rsid w:val="0071731F"/>
    <w:rsid w:val="007173FC"/>
    <w:rsid w:val="00717F18"/>
    <w:rsid w:val="007205CE"/>
    <w:rsid w:val="00722A32"/>
    <w:rsid w:val="00723B81"/>
    <w:rsid w:val="007313ED"/>
    <w:rsid w:val="00750F50"/>
    <w:rsid w:val="0076188C"/>
    <w:rsid w:val="00762807"/>
    <w:rsid w:val="007656A9"/>
    <w:rsid w:val="0077042C"/>
    <w:rsid w:val="00772A04"/>
    <w:rsid w:val="00774F84"/>
    <w:rsid w:val="007769D0"/>
    <w:rsid w:val="00777615"/>
    <w:rsid w:val="007846B3"/>
    <w:rsid w:val="00784B96"/>
    <w:rsid w:val="00785F6F"/>
    <w:rsid w:val="00790BF9"/>
    <w:rsid w:val="00795B86"/>
    <w:rsid w:val="00797B58"/>
    <w:rsid w:val="007A0442"/>
    <w:rsid w:val="007A2567"/>
    <w:rsid w:val="007A48D9"/>
    <w:rsid w:val="007A56B8"/>
    <w:rsid w:val="007A602B"/>
    <w:rsid w:val="007A6B64"/>
    <w:rsid w:val="007A7328"/>
    <w:rsid w:val="007A784F"/>
    <w:rsid w:val="007A7BFC"/>
    <w:rsid w:val="007B3AE1"/>
    <w:rsid w:val="007B75C6"/>
    <w:rsid w:val="007C3182"/>
    <w:rsid w:val="007C6929"/>
    <w:rsid w:val="007D08AC"/>
    <w:rsid w:val="007D4F35"/>
    <w:rsid w:val="007E3458"/>
    <w:rsid w:val="007E5A6C"/>
    <w:rsid w:val="007F1318"/>
    <w:rsid w:val="007F4F3C"/>
    <w:rsid w:val="008003E7"/>
    <w:rsid w:val="0081762C"/>
    <w:rsid w:val="008209F0"/>
    <w:rsid w:val="00822A7E"/>
    <w:rsid w:val="008263C5"/>
    <w:rsid w:val="008456FF"/>
    <w:rsid w:val="00854FF7"/>
    <w:rsid w:val="00857BF9"/>
    <w:rsid w:val="00860F17"/>
    <w:rsid w:val="00870B4E"/>
    <w:rsid w:val="008718EE"/>
    <w:rsid w:val="00872612"/>
    <w:rsid w:val="00876501"/>
    <w:rsid w:val="00880213"/>
    <w:rsid w:val="00895281"/>
    <w:rsid w:val="008A5E87"/>
    <w:rsid w:val="008B0097"/>
    <w:rsid w:val="008B4F87"/>
    <w:rsid w:val="008B511B"/>
    <w:rsid w:val="008B630B"/>
    <w:rsid w:val="008B7836"/>
    <w:rsid w:val="008B7D65"/>
    <w:rsid w:val="008C2098"/>
    <w:rsid w:val="008D43EA"/>
    <w:rsid w:val="008D472A"/>
    <w:rsid w:val="008E2312"/>
    <w:rsid w:val="008E3B0E"/>
    <w:rsid w:val="008F4E62"/>
    <w:rsid w:val="00904374"/>
    <w:rsid w:val="00906288"/>
    <w:rsid w:val="00912F66"/>
    <w:rsid w:val="0092006B"/>
    <w:rsid w:val="00925466"/>
    <w:rsid w:val="0092720B"/>
    <w:rsid w:val="00935ABF"/>
    <w:rsid w:val="00945F70"/>
    <w:rsid w:val="00961903"/>
    <w:rsid w:val="00963A57"/>
    <w:rsid w:val="00973355"/>
    <w:rsid w:val="00976A17"/>
    <w:rsid w:val="009841F2"/>
    <w:rsid w:val="00984917"/>
    <w:rsid w:val="00993BED"/>
    <w:rsid w:val="009963FB"/>
    <w:rsid w:val="009A067C"/>
    <w:rsid w:val="009A1D5D"/>
    <w:rsid w:val="009A2D28"/>
    <w:rsid w:val="009B17C5"/>
    <w:rsid w:val="009B2CE5"/>
    <w:rsid w:val="009B3203"/>
    <w:rsid w:val="009B38E7"/>
    <w:rsid w:val="009B7DE4"/>
    <w:rsid w:val="009C0C7F"/>
    <w:rsid w:val="009C11BB"/>
    <w:rsid w:val="009D5CE2"/>
    <w:rsid w:val="009E0B92"/>
    <w:rsid w:val="009E0CF9"/>
    <w:rsid w:val="009E42B6"/>
    <w:rsid w:val="009E457F"/>
    <w:rsid w:val="009E4B16"/>
    <w:rsid w:val="009E783A"/>
    <w:rsid w:val="009F3871"/>
    <w:rsid w:val="009F5632"/>
    <w:rsid w:val="009F6D2D"/>
    <w:rsid w:val="00A00A05"/>
    <w:rsid w:val="00A0120F"/>
    <w:rsid w:val="00A01B25"/>
    <w:rsid w:val="00A01E19"/>
    <w:rsid w:val="00A22EB7"/>
    <w:rsid w:val="00A27439"/>
    <w:rsid w:val="00A31119"/>
    <w:rsid w:val="00A40F08"/>
    <w:rsid w:val="00A52C12"/>
    <w:rsid w:val="00A53CB4"/>
    <w:rsid w:val="00A57832"/>
    <w:rsid w:val="00A616A9"/>
    <w:rsid w:val="00A6679B"/>
    <w:rsid w:val="00A67F40"/>
    <w:rsid w:val="00A73EDF"/>
    <w:rsid w:val="00A75341"/>
    <w:rsid w:val="00A81F27"/>
    <w:rsid w:val="00A82DFB"/>
    <w:rsid w:val="00A85593"/>
    <w:rsid w:val="00A85B82"/>
    <w:rsid w:val="00A91ACF"/>
    <w:rsid w:val="00A91C98"/>
    <w:rsid w:val="00A94D23"/>
    <w:rsid w:val="00A9586C"/>
    <w:rsid w:val="00A9631D"/>
    <w:rsid w:val="00A96A1E"/>
    <w:rsid w:val="00AC0D69"/>
    <w:rsid w:val="00AD0959"/>
    <w:rsid w:val="00AD4106"/>
    <w:rsid w:val="00AD51A6"/>
    <w:rsid w:val="00AD6429"/>
    <w:rsid w:val="00AE3911"/>
    <w:rsid w:val="00AE4AA5"/>
    <w:rsid w:val="00AE69E8"/>
    <w:rsid w:val="00AF253B"/>
    <w:rsid w:val="00AF38F9"/>
    <w:rsid w:val="00AF46F3"/>
    <w:rsid w:val="00B00FCB"/>
    <w:rsid w:val="00B03327"/>
    <w:rsid w:val="00B04E6C"/>
    <w:rsid w:val="00B108BB"/>
    <w:rsid w:val="00B14EAC"/>
    <w:rsid w:val="00B2188D"/>
    <w:rsid w:val="00B21AF4"/>
    <w:rsid w:val="00B22173"/>
    <w:rsid w:val="00B40B7A"/>
    <w:rsid w:val="00B40DD3"/>
    <w:rsid w:val="00B449E1"/>
    <w:rsid w:val="00B44B78"/>
    <w:rsid w:val="00B55CEF"/>
    <w:rsid w:val="00B55DC9"/>
    <w:rsid w:val="00B67158"/>
    <w:rsid w:val="00B717D1"/>
    <w:rsid w:val="00B836B4"/>
    <w:rsid w:val="00B85E42"/>
    <w:rsid w:val="00B87A83"/>
    <w:rsid w:val="00B93488"/>
    <w:rsid w:val="00B94489"/>
    <w:rsid w:val="00B9497F"/>
    <w:rsid w:val="00BA58DB"/>
    <w:rsid w:val="00BA790C"/>
    <w:rsid w:val="00BB1899"/>
    <w:rsid w:val="00BB3A83"/>
    <w:rsid w:val="00BC2524"/>
    <w:rsid w:val="00BC6A0A"/>
    <w:rsid w:val="00BC7830"/>
    <w:rsid w:val="00BD0E33"/>
    <w:rsid w:val="00BD15A0"/>
    <w:rsid w:val="00BD64EB"/>
    <w:rsid w:val="00BD7BE1"/>
    <w:rsid w:val="00BE1869"/>
    <w:rsid w:val="00BE24E1"/>
    <w:rsid w:val="00BE5008"/>
    <w:rsid w:val="00BF3C23"/>
    <w:rsid w:val="00BF6F97"/>
    <w:rsid w:val="00C01423"/>
    <w:rsid w:val="00C0320B"/>
    <w:rsid w:val="00C03297"/>
    <w:rsid w:val="00C053F5"/>
    <w:rsid w:val="00C06731"/>
    <w:rsid w:val="00C10FCA"/>
    <w:rsid w:val="00C1335A"/>
    <w:rsid w:val="00C22AD2"/>
    <w:rsid w:val="00C237CE"/>
    <w:rsid w:val="00C25488"/>
    <w:rsid w:val="00C32AB8"/>
    <w:rsid w:val="00C35625"/>
    <w:rsid w:val="00C4118B"/>
    <w:rsid w:val="00C54577"/>
    <w:rsid w:val="00C67694"/>
    <w:rsid w:val="00C864EE"/>
    <w:rsid w:val="00C9348C"/>
    <w:rsid w:val="00C95979"/>
    <w:rsid w:val="00CA2418"/>
    <w:rsid w:val="00CA37C0"/>
    <w:rsid w:val="00CA6BD4"/>
    <w:rsid w:val="00CB6E82"/>
    <w:rsid w:val="00CE4C91"/>
    <w:rsid w:val="00CE7EED"/>
    <w:rsid w:val="00CF7125"/>
    <w:rsid w:val="00CF7422"/>
    <w:rsid w:val="00D01AC4"/>
    <w:rsid w:val="00D15E77"/>
    <w:rsid w:val="00D16476"/>
    <w:rsid w:val="00D1695D"/>
    <w:rsid w:val="00D20B1E"/>
    <w:rsid w:val="00D21679"/>
    <w:rsid w:val="00D242AA"/>
    <w:rsid w:val="00D257C4"/>
    <w:rsid w:val="00D257F6"/>
    <w:rsid w:val="00D26C8B"/>
    <w:rsid w:val="00D309F6"/>
    <w:rsid w:val="00D352C1"/>
    <w:rsid w:val="00D35C0E"/>
    <w:rsid w:val="00D36322"/>
    <w:rsid w:val="00D530BF"/>
    <w:rsid w:val="00D54CAA"/>
    <w:rsid w:val="00D56393"/>
    <w:rsid w:val="00D56DAA"/>
    <w:rsid w:val="00D656A4"/>
    <w:rsid w:val="00D665A0"/>
    <w:rsid w:val="00D73F27"/>
    <w:rsid w:val="00D74259"/>
    <w:rsid w:val="00D7477F"/>
    <w:rsid w:val="00D7785F"/>
    <w:rsid w:val="00D916BC"/>
    <w:rsid w:val="00D94638"/>
    <w:rsid w:val="00DA0813"/>
    <w:rsid w:val="00DB266B"/>
    <w:rsid w:val="00DB408B"/>
    <w:rsid w:val="00DC406B"/>
    <w:rsid w:val="00DC4076"/>
    <w:rsid w:val="00DC411F"/>
    <w:rsid w:val="00DD21C0"/>
    <w:rsid w:val="00DD507F"/>
    <w:rsid w:val="00DE2430"/>
    <w:rsid w:val="00DE5974"/>
    <w:rsid w:val="00DF126E"/>
    <w:rsid w:val="00E05059"/>
    <w:rsid w:val="00E0554F"/>
    <w:rsid w:val="00E07021"/>
    <w:rsid w:val="00E1065F"/>
    <w:rsid w:val="00E1453F"/>
    <w:rsid w:val="00E160F3"/>
    <w:rsid w:val="00E17890"/>
    <w:rsid w:val="00E22B03"/>
    <w:rsid w:val="00E22FC8"/>
    <w:rsid w:val="00E236F2"/>
    <w:rsid w:val="00E24AB2"/>
    <w:rsid w:val="00E31A3E"/>
    <w:rsid w:val="00E3230A"/>
    <w:rsid w:val="00E3709F"/>
    <w:rsid w:val="00E41E2F"/>
    <w:rsid w:val="00E448DE"/>
    <w:rsid w:val="00E468EC"/>
    <w:rsid w:val="00E5141C"/>
    <w:rsid w:val="00E518FD"/>
    <w:rsid w:val="00E54B24"/>
    <w:rsid w:val="00E550A5"/>
    <w:rsid w:val="00E555ED"/>
    <w:rsid w:val="00E57ADC"/>
    <w:rsid w:val="00E60AE6"/>
    <w:rsid w:val="00E63B72"/>
    <w:rsid w:val="00E63DD0"/>
    <w:rsid w:val="00E70601"/>
    <w:rsid w:val="00E728DB"/>
    <w:rsid w:val="00E730D7"/>
    <w:rsid w:val="00E737F5"/>
    <w:rsid w:val="00E73E17"/>
    <w:rsid w:val="00E7572C"/>
    <w:rsid w:val="00E75DCB"/>
    <w:rsid w:val="00E77E87"/>
    <w:rsid w:val="00E819C7"/>
    <w:rsid w:val="00E85394"/>
    <w:rsid w:val="00E85589"/>
    <w:rsid w:val="00E85EDC"/>
    <w:rsid w:val="00E87A78"/>
    <w:rsid w:val="00EA355D"/>
    <w:rsid w:val="00EA5D93"/>
    <w:rsid w:val="00EA6B12"/>
    <w:rsid w:val="00EA7AE3"/>
    <w:rsid w:val="00EC050C"/>
    <w:rsid w:val="00EC5319"/>
    <w:rsid w:val="00EC58C5"/>
    <w:rsid w:val="00ED008A"/>
    <w:rsid w:val="00ED0CCB"/>
    <w:rsid w:val="00ED5030"/>
    <w:rsid w:val="00EE0214"/>
    <w:rsid w:val="00F00D01"/>
    <w:rsid w:val="00F01BA4"/>
    <w:rsid w:val="00F02225"/>
    <w:rsid w:val="00F05D67"/>
    <w:rsid w:val="00F111A2"/>
    <w:rsid w:val="00F14915"/>
    <w:rsid w:val="00F16858"/>
    <w:rsid w:val="00F23691"/>
    <w:rsid w:val="00F341B9"/>
    <w:rsid w:val="00F42712"/>
    <w:rsid w:val="00F42A52"/>
    <w:rsid w:val="00F42B0A"/>
    <w:rsid w:val="00F46BA3"/>
    <w:rsid w:val="00F61F6F"/>
    <w:rsid w:val="00F6655B"/>
    <w:rsid w:val="00F74A68"/>
    <w:rsid w:val="00F74BD5"/>
    <w:rsid w:val="00F857CA"/>
    <w:rsid w:val="00F926C6"/>
    <w:rsid w:val="00F933EE"/>
    <w:rsid w:val="00F93EB9"/>
    <w:rsid w:val="00FA3A0A"/>
    <w:rsid w:val="00FA74EF"/>
    <w:rsid w:val="00FB2E0F"/>
    <w:rsid w:val="00FB3030"/>
    <w:rsid w:val="00FB4E25"/>
    <w:rsid w:val="00FC34D0"/>
    <w:rsid w:val="00FC4A1C"/>
    <w:rsid w:val="00FD3DAC"/>
    <w:rsid w:val="00FD4A02"/>
    <w:rsid w:val="00FE5B93"/>
    <w:rsid w:val="00FE6B26"/>
    <w:rsid w:val="00FE7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660C7A"/>
  <w15:chartTrackingRefBased/>
  <w15:docId w15:val="{F58B4E4C-2E9A-4CEF-A397-9B648E9CC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D83"/>
    <w:pPr>
      <w:spacing w:before="240" w:after="0" w:line="480" w:lineRule="auto"/>
      <w:jc w:val="both"/>
    </w:pPr>
    <w:rPr>
      <w:rFonts w:ascii="Times New Roman" w:eastAsia="Calibri" w:hAnsi="Times New Roman" w:cs="SimSun"/>
      <w:color w:val="000000"/>
      <w:kern w:val="0"/>
      <w:sz w:val="24"/>
    </w:rPr>
  </w:style>
  <w:style w:type="paragraph" w:styleId="Heading1">
    <w:name w:val="heading 1"/>
    <w:basedOn w:val="Normal"/>
    <w:next w:val="Normal"/>
    <w:link w:val="Heading1Char"/>
    <w:autoRedefine/>
    <w:uiPriority w:val="9"/>
    <w:qFormat/>
    <w:rsid w:val="00B67158"/>
    <w:pPr>
      <w:keepNext/>
      <w:keepLines/>
      <w:spacing w:before="600" w:after="120" w:line="240" w:lineRule="auto"/>
      <w:outlineLvl w:val="0"/>
    </w:pPr>
    <w:rPr>
      <w:rFonts w:eastAsia="Times New Roman" w:cs="Times New Roman"/>
      <w:b/>
      <w:color w:val="000000" w:themeColor="text1"/>
      <w:kern w:val="2"/>
      <w:sz w:val="28"/>
      <w:szCs w:val="28"/>
      <w:u w:val="single"/>
    </w:rPr>
  </w:style>
  <w:style w:type="paragraph" w:styleId="Heading2">
    <w:name w:val="heading 2"/>
    <w:basedOn w:val="Normal"/>
    <w:next w:val="Normal"/>
    <w:link w:val="Heading2Char"/>
    <w:uiPriority w:val="9"/>
    <w:semiHidden/>
    <w:unhideWhenUsed/>
    <w:qFormat/>
    <w:rsid w:val="0060683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111A2"/>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3D7198"/>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55D83"/>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158"/>
    <w:rPr>
      <w:rFonts w:ascii="Times New Roman" w:eastAsia="Times New Roman" w:hAnsi="Times New Roman" w:cs="Times New Roman"/>
      <w:b/>
      <w:color w:val="000000" w:themeColor="text1"/>
      <w:sz w:val="28"/>
      <w:szCs w:val="28"/>
      <w:u w:val="single"/>
    </w:rPr>
  </w:style>
  <w:style w:type="character" w:customStyle="1" w:styleId="Heading5Char">
    <w:name w:val="Heading 5 Char"/>
    <w:basedOn w:val="DefaultParagraphFont"/>
    <w:link w:val="Heading5"/>
    <w:uiPriority w:val="9"/>
    <w:rsid w:val="00055D83"/>
    <w:rPr>
      <w:rFonts w:asciiTheme="majorHAnsi" w:eastAsiaTheme="majorEastAsia" w:hAnsiTheme="majorHAnsi" w:cstheme="majorBidi"/>
      <w:color w:val="2F5496" w:themeColor="accent1" w:themeShade="BF"/>
      <w:kern w:val="0"/>
      <w:sz w:val="24"/>
    </w:rPr>
  </w:style>
  <w:style w:type="character" w:customStyle="1" w:styleId="ListParagraphChar">
    <w:name w:val="List Paragraph Char"/>
    <w:link w:val="ListParagraph"/>
    <w:uiPriority w:val="34"/>
    <w:rsid w:val="00055D83"/>
    <w:rPr>
      <w:rFonts w:ascii="Calibri" w:eastAsia="Calibri" w:hAnsi="Calibri" w:cs="Times New Roman"/>
    </w:rPr>
  </w:style>
  <w:style w:type="paragraph" w:styleId="ListParagraph">
    <w:name w:val="List Paragraph"/>
    <w:basedOn w:val="Normal"/>
    <w:link w:val="ListParagraphChar"/>
    <w:uiPriority w:val="34"/>
    <w:qFormat/>
    <w:rsid w:val="00055D83"/>
    <w:pPr>
      <w:spacing w:before="120" w:after="200"/>
      <w:ind w:left="720"/>
      <w:contextualSpacing/>
    </w:pPr>
    <w:rPr>
      <w:rFonts w:ascii="Calibri" w:hAnsi="Calibri" w:cs="Times New Roman"/>
      <w:color w:val="auto"/>
      <w:kern w:val="2"/>
      <w:sz w:val="22"/>
    </w:rPr>
  </w:style>
  <w:style w:type="paragraph" w:styleId="Footer">
    <w:name w:val="footer"/>
    <w:basedOn w:val="Normal"/>
    <w:link w:val="FooterChar"/>
    <w:uiPriority w:val="99"/>
    <w:unhideWhenUsed/>
    <w:rsid w:val="00055D83"/>
    <w:pPr>
      <w:tabs>
        <w:tab w:val="center" w:pos="4680"/>
        <w:tab w:val="right" w:pos="9360"/>
      </w:tabs>
      <w:spacing w:before="0" w:line="240" w:lineRule="auto"/>
    </w:pPr>
  </w:style>
  <w:style w:type="character" w:customStyle="1" w:styleId="FooterChar">
    <w:name w:val="Footer Char"/>
    <w:basedOn w:val="DefaultParagraphFont"/>
    <w:link w:val="Footer"/>
    <w:uiPriority w:val="99"/>
    <w:rsid w:val="00055D83"/>
    <w:rPr>
      <w:rFonts w:ascii="Times New Roman" w:eastAsia="Calibri" w:hAnsi="Times New Roman" w:cs="SimSun"/>
      <w:color w:val="000000"/>
      <w:kern w:val="0"/>
      <w:sz w:val="24"/>
    </w:rPr>
  </w:style>
  <w:style w:type="paragraph" w:styleId="BodyText">
    <w:name w:val="Body Text"/>
    <w:basedOn w:val="Normal"/>
    <w:link w:val="BodyTextChar"/>
    <w:uiPriority w:val="1"/>
    <w:qFormat/>
    <w:rsid w:val="00055D83"/>
    <w:pPr>
      <w:widowControl w:val="0"/>
      <w:autoSpaceDE w:val="0"/>
      <w:autoSpaceDN w:val="0"/>
      <w:spacing w:before="0" w:line="240" w:lineRule="auto"/>
      <w:jc w:val="left"/>
    </w:pPr>
    <w:rPr>
      <w:rFonts w:eastAsia="Times New Roman" w:cs="Times New Roman"/>
      <w:color w:val="auto"/>
      <w:szCs w:val="24"/>
      <w:lang w:val="en-GB"/>
      <w14:ligatures w14:val="none"/>
    </w:rPr>
  </w:style>
  <w:style w:type="character" w:customStyle="1" w:styleId="BodyTextChar">
    <w:name w:val="Body Text Char"/>
    <w:basedOn w:val="DefaultParagraphFont"/>
    <w:link w:val="BodyText"/>
    <w:uiPriority w:val="1"/>
    <w:rsid w:val="00055D83"/>
    <w:rPr>
      <w:rFonts w:ascii="Times New Roman" w:eastAsia="Times New Roman" w:hAnsi="Times New Roman" w:cs="Times New Roman"/>
      <w:kern w:val="0"/>
      <w:sz w:val="24"/>
      <w:szCs w:val="24"/>
      <w:lang w:val="en-GB"/>
      <w14:ligatures w14:val="none"/>
    </w:rPr>
  </w:style>
  <w:style w:type="paragraph" w:customStyle="1" w:styleId="Default">
    <w:name w:val="Default"/>
    <w:rsid w:val="00055D83"/>
    <w:pPr>
      <w:autoSpaceDE w:val="0"/>
      <w:autoSpaceDN w:val="0"/>
      <w:adjustRightInd w:val="0"/>
      <w:spacing w:after="0" w:line="240" w:lineRule="auto"/>
    </w:pPr>
    <w:rPr>
      <w:rFonts w:ascii="Times New Roman" w:hAnsi="Times New Roman" w:cs="Times New Roman"/>
      <w:color w:val="000000"/>
      <w:kern w:val="0"/>
      <w:sz w:val="24"/>
      <w:szCs w:val="24"/>
      <w:lang w:val="en-GB"/>
      <w14:ligatures w14:val="none"/>
    </w:rPr>
  </w:style>
  <w:style w:type="character" w:customStyle="1" w:styleId="apple-converted-space">
    <w:name w:val="apple-converted-space"/>
    <w:basedOn w:val="DefaultParagraphFont"/>
    <w:rsid w:val="007F1318"/>
  </w:style>
  <w:style w:type="paragraph" w:customStyle="1" w:styleId="TableParagraph">
    <w:name w:val="Table Paragraph"/>
    <w:basedOn w:val="Normal"/>
    <w:uiPriority w:val="1"/>
    <w:qFormat/>
    <w:rsid w:val="00A6679B"/>
    <w:pPr>
      <w:widowControl w:val="0"/>
      <w:autoSpaceDE w:val="0"/>
      <w:autoSpaceDN w:val="0"/>
      <w:spacing w:before="0" w:line="240" w:lineRule="auto"/>
      <w:jc w:val="left"/>
    </w:pPr>
    <w:rPr>
      <w:rFonts w:eastAsia="Times New Roman" w:cs="Times New Roman"/>
      <w:color w:val="auto"/>
      <w:sz w:val="22"/>
      <w14:ligatures w14:val="none"/>
    </w:rPr>
  </w:style>
  <w:style w:type="character" w:customStyle="1" w:styleId="Heading2Char">
    <w:name w:val="Heading 2 Char"/>
    <w:basedOn w:val="DefaultParagraphFont"/>
    <w:link w:val="Heading2"/>
    <w:uiPriority w:val="9"/>
    <w:semiHidden/>
    <w:rsid w:val="0060683F"/>
    <w:rPr>
      <w:rFonts w:asciiTheme="majorHAnsi" w:eastAsiaTheme="majorEastAsia" w:hAnsiTheme="majorHAnsi" w:cstheme="majorBidi"/>
      <w:color w:val="2F5496" w:themeColor="accent1" w:themeShade="BF"/>
      <w:kern w:val="0"/>
      <w:sz w:val="26"/>
      <w:szCs w:val="26"/>
    </w:rPr>
  </w:style>
  <w:style w:type="character" w:customStyle="1" w:styleId="Heading4Char">
    <w:name w:val="Heading 4 Char"/>
    <w:basedOn w:val="DefaultParagraphFont"/>
    <w:link w:val="Heading4"/>
    <w:uiPriority w:val="9"/>
    <w:rsid w:val="003D7198"/>
    <w:rPr>
      <w:rFonts w:asciiTheme="majorHAnsi" w:eastAsiaTheme="majorEastAsia" w:hAnsiTheme="majorHAnsi" w:cstheme="majorBidi"/>
      <w:i/>
      <w:iCs/>
      <w:color w:val="2F5496" w:themeColor="accent1" w:themeShade="BF"/>
      <w:kern w:val="0"/>
      <w:sz w:val="24"/>
    </w:rPr>
  </w:style>
  <w:style w:type="character" w:styleId="Emphasis">
    <w:name w:val="Emphasis"/>
    <w:uiPriority w:val="20"/>
    <w:qFormat/>
    <w:rsid w:val="00E1453F"/>
    <w:rPr>
      <w:i/>
      <w:iCs/>
    </w:rPr>
  </w:style>
  <w:style w:type="character" w:customStyle="1" w:styleId="Heading3Char">
    <w:name w:val="Heading 3 Char"/>
    <w:basedOn w:val="DefaultParagraphFont"/>
    <w:link w:val="Heading3"/>
    <w:uiPriority w:val="9"/>
    <w:qFormat/>
    <w:rsid w:val="00F111A2"/>
    <w:rPr>
      <w:rFonts w:asciiTheme="majorHAnsi" w:eastAsiaTheme="majorEastAsia" w:hAnsiTheme="majorHAnsi" w:cstheme="majorBidi"/>
      <w:color w:val="1F3763" w:themeColor="accent1" w:themeShade="7F"/>
      <w:kern w:val="0"/>
      <w:sz w:val="24"/>
      <w:szCs w:val="24"/>
    </w:rPr>
  </w:style>
  <w:style w:type="paragraph" w:styleId="NoSpacing">
    <w:name w:val="No Spacing"/>
    <w:uiPriority w:val="1"/>
    <w:qFormat/>
    <w:rsid w:val="00BB3A83"/>
    <w:pPr>
      <w:spacing w:after="0" w:line="240" w:lineRule="auto"/>
      <w:jc w:val="center"/>
    </w:pPr>
    <w:rPr>
      <w:rFonts w:ascii="Times New Roman" w:hAnsi="Times New Roman"/>
      <w:b/>
      <w:i/>
      <w:color w:val="000000" w:themeColor="text1"/>
      <w:kern w:val="0"/>
      <w:sz w:val="24"/>
      <w14:ligatures w14:val="none"/>
    </w:rPr>
  </w:style>
  <w:style w:type="table" w:styleId="TableGrid">
    <w:name w:val="Table Grid"/>
    <w:basedOn w:val="TableNormal"/>
    <w:uiPriority w:val="59"/>
    <w:qFormat/>
    <w:rsid w:val="00BB3A8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B3A83"/>
    <w:pPr>
      <w:spacing w:before="0" w:after="200" w:line="240" w:lineRule="auto"/>
    </w:pPr>
    <w:rPr>
      <w:rFonts w:eastAsia="Times New Roman" w:cs="Times New Roman"/>
      <w:b/>
      <w:bCs/>
      <w:color w:val="4472C4" w:themeColor="accent1"/>
      <w:sz w:val="18"/>
      <w:szCs w:val="18"/>
      <w14:ligatures w14:val="none"/>
    </w:rPr>
  </w:style>
  <w:style w:type="character" w:customStyle="1" w:styleId="markedcontent">
    <w:name w:val="markedcontent"/>
    <w:basedOn w:val="DefaultParagraphFont"/>
    <w:rsid w:val="002D7340"/>
  </w:style>
  <w:style w:type="paragraph" w:customStyle="1" w:styleId="Tables">
    <w:name w:val="Tables"/>
    <w:basedOn w:val="Normal"/>
    <w:link w:val="TablesChar"/>
    <w:qFormat/>
    <w:rsid w:val="00076BA5"/>
    <w:pPr>
      <w:spacing w:before="0" w:line="240" w:lineRule="auto"/>
      <w:jc w:val="left"/>
    </w:pPr>
    <w:rPr>
      <w:rFonts w:eastAsiaTheme="minorHAnsi" w:cs="Times New Roman"/>
      <w:b/>
      <w:color w:val="auto"/>
      <w:szCs w:val="24"/>
      <w14:ligatures w14:val="none"/>
    </w:rPr>
  </w:style>
  <w:style w:type="character" w:customStyle="1" w:styleId="TablesChar">
    <w:name w:val="Tables Char"/>
    <w:basedOn w:val="DefaultParagraphFont"/>
    <w:link w:val="Tables"/>
    <w:rsid w:val="00076BA5"/>
    <w:rPr>
      <w:rFonts w:ascii="Times New Roman" w:hAnsi="Times New Roman" w:cs="Times New Roman"/>
      <w:b/>
      <w:kern w:val="0"/>
      <w:sz w:val="24"/>
      <w:szCs w:val="24"/>
      <w14:ligatures w14:val="none"/>
    </w:rPr>
  </w:style>
  <w:style w:type="character" w:styleId="Hyperlink">
    <w:name w:val="Hyperlink"/>
    <w:basedOn w:val="DefaultParagraphFont"/>
    <w:uiPriority w:val="99"/>
    <w:unhideWhenUsed/>
    <w:rsid w:val="001E649F"/>
    <w:rPr>
      <w:color w:val="0563C1" w:themeColor="hyperlink"/>
      <w:u w:val="single"/>
    </w:rPr>
  </w:style>
  <w:style w:type="character" w:customStyle="1" w:styleId="UnresolvedMention1">
    <w:name w:val="Unresolved Mention1"/>
    <w:basedOn w:val="DefaultParagraphFont"/>
    <w:uiPriority w:val="99"/>
    <w:semiHidden/>
    <w:unhideWhenUsed/>
    <w:rsid w:val="001E649F"/>
    <w:rPr>
      <w:color w:val="605E5C"/>
      <w:shd w:val="clear" w:color="auto" w:fill="E1DFDD"/>
    </w:rPr>
  </w:style>
  <w:style w:type="paragraph" w:styleId="NormalWeb">
    <w:name w:val="Normal (Web)"/>
    <w:basedOn w:val="Normal"/>
    <w:uiPriority w:val="99"/>
    <w:unhideWhenUsed/>
    <w:rsid w:val="00D16476"/>
    <w:pPr>
      <w:spacing w:before="100" w:beforeAutospacing="1" w:after="100" w:afterAutospacing="1" w:line="240" w:lineRule="auto"/>
      <w:jc w:val="left"/>
    </w:pPr>
    <w:rPr>
      <w:rFonts w:eastAsia="Times New Roman" w:cs="Times New Roman"/>
      <w:color w:val="auto"/>
      <w:szCs w:val="24"/>
      <w14:ligatures w14:val="none"/>
    </w:rPr>
  </w:style>
  <w:style w:type="paragraph" w:customStyle="1" w:styleId="TABLES0">
    <w:name w:val="TABLES"/>
    <w:basedOn w:val="Normal"/>
    <w:qFormat/>
    <w:rsid w:val="00437393"/>
    <w:pPr>
      <w:spacing w:before="120" w:after="120"/>
    </w:pPr>
    <w:rPr>
      <w:rFonts w:cs="Times New Roman"/>
      <w:b/>
      <w:color w:val="auto"/>
      <w14:ligatures w14:val="none"/>
    </w:rPr>
  </w:style>
  <w:style w:type="table" w:styleId="PlainTable5">
    <w:name w:val="Plain Table 5"/>
    <w:basedOn w:val="TableNormal"/>
    <w:uiPriority w:val="45"/>
    <w:rsid w:val="00C053F5"/>
    <w:pPr>
      <w:spacing w:after="0" w:line="240" w:lineRule="auto"/>
      <w:jc w:val="both"/>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ListofTables">
    <w:name w:val="List of Tables"/>
    <w:basedOn w:val="Caption"/>
    <w:next w:val="Caption"/>
    <w:qFormat/>
    <w:rsid w:val="00860F17"/>
    <w:pPr>
      <w:keepNext/>
      <w:jc w:val="left"/>
    </w:pPr>
    <w:rPr>
      <w:rFonts w:eastAsia="Calibri"/>
      <w:color w:val="auto"/>
      <w:kern w:val="2"/>
      <w:sz w:val="24"/>
      <w:szCs w:val="24"/>
      <w14:ligatures w14:val="standardContextual"/>
    </w:rPr>
  </w:style>
  <w:style w:type="character" w:customStyle="1" w:styleId="UnresolvedMention2">
    <w:name w:val="Unresolved Mention2"/>
    <w:basedOn w:val="DefaultParagraphFont"/>
    <w:uiPriority w:val="99"/>
    <w:semiHidden/>
    <w:unhideWhenUsed/>
    <w:rsid w:val="00790BF9"/>
    <w:rPr>
      <w:color w:val="605E5C"/>
      <w:shd w:val="clear" w:color="auto" w:fill="E1DFDD"/>
    </w:rPr>
  </w:style>
  <w:style w:type="character" w:styleId="Strong">
    <w:name w:val="Strong"/>
    <w:basedOn w:val="DefaultParagraphFont"/>
    <w:uiPriority w:val="22"/>
    <w:qFormat/>
    <w:rsid w:val="001F51C1"/>
    <w:rPr>
      <w:b/>
      <w:bCs/>
    </w:rPr>
  </w:style>
  <w:style w:type="table" w:customStyle="1" w:styleId="TableGrid1">
    <w:name w:val="Table Grid1"/>
    <w:basedOn w:val="TableNormal"/>
    <w:next w:val="TableGrid"/>
    <w:uiPriority w:val="39"/>
    <w:qFormat/>
    <w:rsid w:val="007E3458"/>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D916BC"/>
    <w:pPr>
      <w:widowControl w:val="0"/>
      <w:autoSpaceDE w:val="0"/>
      <w:autoSpaceDN w:val="0"/>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
    <w:name w:val="Plain Table 21"/>
    <w:basedOn w:val="TableNormal"/>
    <w:uiPriority w:val="42"/>
    <w:rsid w:val="00D916BC"/>
    <w:pPr>
      <w:spacing w:after="0" w:line="240" w:lineRule="auto"/>
    </w:pPr>
    <w:rPr>
      <w:rFonts w:ascii="Calibri" w:eastAsia="Calibri" w:hAnsi="Calibri" w:cs="SimSun"/>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pagerange">
    <w:name w:val="page_range"/>
    <w:basedOn w:val="DefaultParagraphFont"/>
    <w:rsid w:val="009E42B6"/>
  </w:style>
  <w:style w:type="table" w:customStyle="1" w:styleId="TableGrid0">
    <w:name w:val="TableGrid"/>
    <w:rsid w:val="00D530BF"/>
    <w:pPr>
      <w:spacing w:after="0" w:line="240" w:lineRule="auto"/>
    </w:pPr>
    <w:rPr>
      <w:rFonts w:eastAsiaTheme="minorEastAsia"/>
      <w:kern w:val="0"/>
      <w14:ligatures w14:val="none"/>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D01AC4"/>
    <w:rPr>
      <w:color w:val="605E5C"/>
      <w:shd w:val="clear" w:color="auto" w:fill="E1DFDD"/>
    </w:rPr>
  </w:style>
  <w:style w:type="paragraph" w:styleId="Header">
    <w:name w:val="header"/>
    <w:basedOn w:val="Normal"/>
    <w:link w:val="HeaderChar"/>
    <w:uiPriority w:val="99"/>
    <w:unhideWhenUsed/>
    <w:rsid w:val="00EC050C"/>
    <w:pPr>
      <w:tabs>
        <w:tab w:val="center" w:pos="4680"/>
        <w:tab w:val="right" w:pos="9360"/>
      </w:tabs>
      <w:spacing w:before="0" w:line="240" w:lineRule="auto"/>
    </w:pPr>
  </w:style>
  <w:style w:type="character" w:customStyle="1" w:styleId="HeaderChar">
    <w:name w:val="Header Char"/>
    <w:basedOn w:val="DefaultParagraphFont"/>
    <w:link w:val="Header"/>
    <w:uiPriority w:val="99"/>
    <w:rsid w:val="00EC050C"/>
    <w:rPr>
      <w:rFonts w:ascii="Times New Roman" w:eastAsia="Calibri" w:hAnsi="Times New Roman" w:cs="SimSun"/>
      <w:color w:val="000000"/>
      <w:kern w:val="0"/>
      <w:sz w:val="24"/>
    </w:rPr>
  </w:style>
  <w:style w:type="paragraph" w:styleId="Revision">
    <w:name w:val="Revision"/>
    <w:hidden/>
    <w:uiPriority w:val="99"/>
    <w:semiHidden/>
    <w:rsid w:val="004F1815"/>
    <w:pPr>
      <w:spacing w:after="0" w:line="240" w:lineRule="auto"/>
    </w:pPr>
    <w:rPr>
      <w:rFonts w:ascii="Times New Roman" w:eastAsia="Calibri" w:hAnsi="Times New Roman" w:cs="SimSun"/>
      <w:color w:val="000000"/>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17910">
      <w:bodyDiv w:val="1"/>
      <w:marLeft w:val="0"/>
      <w:marRight w:val="0"/>
      <w:marTop w:val="0"/>
      <w:marBottom w:val="0"/>
      <w:divBdr>
        <w:top w:val="none" w:sz="0" w:space="0" w:color="auto"/>
        <w:left w:val="none" w:sz="0" w:space="0" w:color="auto"/>
        <w:bottom w:val="none" w:sz="0" w:space="0" w:color="auto"/>
        <w:right w:val="none" w:sz="0" w:space="0" w:color="auto"/>
      </w:divBdr>
    </w:div>
    <w:div w:id="220949357">
      <w:bodyDiv w:val="1"/>
      <w:marLeft w:val="0"/>
      <w:marRight w:val="0"/>
      <w:marTop w:val="0"/>
      <w:marBottom w:val="0"/>
      <w:divBdr>
        <w:top w:val="none" w:sz="0" w:space="0" w:color="auto"/>
        <w:left w:val="none" w:sz="0" w:space="0" w:color="auto"/>
        <w:bottom w:val="none" w:sz="0" w:space="0" w:color="auto"/>
        <w:right w:val="none" w:sz="0" w:space="0" w:color="auto"/>
      </w:divBdr>
    </w:div>
    <w:div w:id="340470004">
      <w:bodyDiv w:val="1"/>
      <w:marLeft w:val="0"/>
      <w:marRight w:val="0"/>
      <w:marTop w:val="0"/>
      <w:marBottom w:val="0"/>
      <w:divBdr>
        <w:top w:val="none" w:sz="0" w:space="0" w:color="auto"/>
        <w:left w:val="none" w:sz="0" w:space="0" w:color="auto"/>
        <w:bottom w:val="none" w:sz="0" w:space="0" w:color="auto"/>
        <w:right w:val="none" w:sz="0" w:space="0" w:color="auto"/>
      </w:divBdr>
    </w:div>
    <w:div w:id="385884447">
      <w:bodyDiv w:val="1"/>
      <w:marLeft w:val="0"/>
      <w:marRight w:val="0"/>
      <w:marTop w:val="0"/>
      <w:marBottom w:val="0"/>
      <w:divBdr>
        <w:top w:val="none" w:sz="0" w:space="0" w:color="auto"/>
        <w:left w:val="none" w:sz="0" w:space="0" w:color="auto"/>
        <w:bottom w:val="none" w:sz="0" w:space="0" w:color="auto"/>
        <w:right w:val="none" w:sz="0" w:space="0" w:color="auto"/>
      </w:divBdr>
    </w:div>
    <w:div w:id="566765604">
      <w:bodyDiv w:val="1"/>
      <w:marLeft w:val="0"/>
      <w:marRight w:val="0"/>
      <w:marTop w:val="0"/>
      <w:marBottom w:val="0"/>
      <w:divBdr>
        <w:top w:val="none" w:sz="0" w:space="0" w:color="auto"/>
        <w:left w:val="none" w:sz="0" w:space="0" w:color="auto"/>
        <w:bottom w:val="none" w:sz="0" w:space="0" w:color="auto"/>
        <w:right w:val="none" w:sz="0" w:space="0" w:color="auto"/>
      </w:divBdr>
    </w:div>
    <w:div w:id="583222418">
      <w:bodyDiv w:val="1"/>
      <w:marLeft w:val="0"/>
      <w:marRight w:val="0"/>
      <w:marTop w:val="0"/>
      <w:marBottom w:val="0"/>
      <w:divBdr>
        <w:top w:val="none" w:sz="0" w:space="0" w:color="auto"/>
        <w:left w:val="none" w:sz="0" w:space="0" w:color="auto"/>
        <w:bottom w:val="none" w:sz="0" w:space="0" w:color="auto"/>
        <w:right w:val="none" w:sz="0" w:space="0" w:color="auto"/>
      </w:divBdr>
    </w:div>
    <w:div w:id="618725703">
      <w:bodyDiv w:val="1"/>
      <w:marLeft w:val="0"/>
      <w:marRight w:val="0"/>
      <w:marTop w:val="0"/>
      <w:marBottom w:val="0"/>
      <w:divBdr>
        <w:top w:val="none" w:sz="0" w:space="0" w:color="auto"/>
        <w:left w:val="none" w:sz="0" w:space="0" w:color="auto"/>
        <w:bottom w:val="none" w:sz="0" w:space="0" w:color="auto"/>
        <w:right w:val="none" w:sz="0" w:space="0" w:color="auto"/>
      </w:divBdr>
    </w:div>
    <w:div w:id="947202476">
      <w:bodyDiv w:val="1"/>
      <w:marLeft w:val="0"/>
      <w:marRight w:val="0"/>
      <w:marTop w:val="0"/>
      <w:marBottom w:val="0"/>
      <w:divBdr>
        <w:top w:val="none" w:sz="0" w:space="0" w:color="auto"/>
        <w:left w:val="none" w:sz="0" w:space="0" w:color="auto"/>
        <w:bottom w:val="none" w:sz="0" w:space="0" w:color="auto"/>
        <w:right w:val="none" w:sz="0" w:space="0" w:color="auto"/>
      </w:divBdr>
    </w:div>
    <w:div w:id="1041175574">
      <w:bodyDiv w:val="1"/>
      <w:marLeft w:val="0"/>
      <w:marRight w:val="0"/>
      <w:marTop w:val="0"/>
      <w:marBottom w:val="0"/>
      <w:divBdr>
        <w:top w:val="none" w:sz="0" w:space="0" w:color="auto"/>
        <w:left w:val="none" w:sz="0" w:space="0" w:color="auto"/>
        <w:bottom w:val="none" w:sz="0" w:space="0" w:color="auto"/>
        <w:right w:val="none" w:sz="0" w:space="0" w:color="auto"/>
      </w:divBdr>
    </w:div>
    <w:div w:id="1208760504">
      <w:bodyDiv w:val="1"/>
      <w:marLeft w:val="0"/>
      <w:marRight w:val="0"/>
      <w:marTop w:val="0"/>
      <w:marBottom w:val="0"/>
      <w:divBdr>
        <w:top w:val="none" w:sz="0" w:space="0" w:color="auto"/>
        <w:left w:val="none" w:sz="0" w:space="0" w:color="auto"/>
        <w:bottom w:val="none" w:sz="0" w:space="0" w:color="auto"/>
        <w:right w:val="none" w:sz="0" w:space="0" w:color="auto"/>
      </w:divBdr>
    </w:div>
    <w:div w:id="1240483030">
      <w:bodyDiv w:val="1"/>
      <w:marLeft w:val="0"/>
      <w:marRight w:val="0"/>
      <w:marTop w:val="0"/>
      <w:marBottom w:val="0"/>
      <w:divBdr>
        <w:top w:val="none" w:sz="0" w:space="0" w:color="auto"/>
        <w:left w:val="none" w:sz="0" w:space="0" w:color="auto"/>
        <w:bottom w:val="none" w:sz="0" w:space="0" w:color="auto"/>
        <w:right w:val="none" w:sz="0" w:space="0" w:color="auto"/>
      </w:divBdr>
    </w:div>
    <w:div w:id="1380744296">
      <w:bodyDiv w:val="1"/>
      <w:marLeft w:val="0"/>
      <w:marRight w:val="0"/>
      <w:marTop w:val="0"/>
      <w:marBottom w:val="0"/>
      <w:divBdr>
        <w:top w:val="none" w:sz="0" w:space="0" w:color="auto"/>
        <w:left w:val="none" w:sz="0" w:space="0" w:color="auto"/>
        <w:bottom w:val="none" w:sz="0" w:space="0" w:color="auto"/>
        <w:right w:val="none" w:sz="0" w:space="0" w:color="auto"/>
      </w:divBdr>
    </w:div>
    <w:div w:id="1746954200">
      <w:bodyDiv w:val="1"/>
      <w:marLeft w:val="0"/>
      <w:marRight w:val="0"/>
      <w:marTop w:val="0"/>
      <w:marBottom w:val="0"/>
      <w:divBdr>
        <w:top w:val="none" w:sz="0" w:space="0" w:color="auto"/>
        <w:left w:val="none" w:sz="0" w:space="0" w:color="auto"/>
        <w:bottom w:val="none" w:sz="0" w:space="0" w:color="auto"/>
        <w:right w:val="none" w:sz="0" w:space="0" w:color="auto"/>
      </w:divBdr>
    </w:div>
    <w:div w:id="1806503340">
      <w:bodyDiv w:val="1"/>
      <w:marLeft w:val="0"/>
      <w:marRight w:val="0"/>
      <w:marTop w:val="0"/>
      <w:marBottom w:val="0"/>
      <w:divBdr>
        <w:top w:val="none" w:sz="0" w:space="0" w:color="auto"/>
        <w:left w:val="none" w:sz="0" w:space="0" w:color="auto"/>
        <w:bottom w:val="none" w:sz="0" w:space="0" w:color="auto"/>
        <w:right w:val="none" w:sz="0" w:space="0" w:color="auto"/>
      </w:divBdr>
    </w:div>
    <w:div w:id="183024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648/j.jbed.20220704.12"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jrfm15090393"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rsisinternational.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5281/zenodo.1031701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16</Pages>
  <Words>6805</Words>
  <Characters>38794</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WUCHERERIA BANCROFTI</dc:creator>
  <cp:keywords/>
  <dc:description/>
  <cp:lastModifiedBy>Editor Acc 101</cp:lastModifiedBy>
  <cp:revision>14</cp:revision>
  <dcterms:created xsi:type="dcterms:W3CDTF">2025-11-10T19:00:00Z</dcterms:created>
  <dcterms:modified xsi:type="dcterms:W3CDTF">2025-12-12T11:10:00Z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378c1e08-7385-4b31-bdf1-fe97e4b4fd76</vt:lpwstr>
  </property>
</Properties>
</file>