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1DC14" w14:textId="01792C7E" w:rsidR="001B2DC7" w:rsidRDefault="001B2DC7" w:rsidP="00055D83">
      <w:pPr>
        <w:spacing w:before="0" w:line="240" w:lineRule="auto"/>
        <w:jc w:val="center"/>
        <w:rPr>
          <w:rFonts w:cs="Times New Roman"/>
          <w:b/>
          <w:bCs/>
          <w:color w:val="000000" w:themeColor="text1"/>
          <w:sz w:val="36"/>
          <w:szCs w:val="36"/>
        </w:rPr>
      </w:pPr>
      <w:r w:rsidRPr="00C048E8">
        <w:rPr>
          <w:rFonts w:cs="Times New Roman"/>
          <w:b/>
          <w:bCs/>
          <w:color w:val="000000" w:themeColor="text1"/>
          <w:sz w:val="36"/>
          <w:szCs w:val="36"/>
          <w:highlight w:val="yellow"/>
        </w:rPr>
        <w:t>Firm Characteristics and Growth of General Insurance Companies in Kenya: The Moderating Role of GDP</w:t>
      </w:r>
    </w:p>
    <w:p w14:paraId="77A79152" w14:textId="77777777" w:rsidR="00E442D1" w:rsidRPr="007A56B8" w:rsidRDefault="00E442D1"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0" w:name="_Toc488404692"/>
      <w:bookmarkStart w:id="1" w:name="_Toc102409737"/>
      <w:r w:rsidRPr="007A56B8">
        <w:rPr>
          <w:b/>
          <w:sz w:val="28"/>
        </w:rPr>
        <w:t>ABSTRACT</w:t>
      </w:r>
      <w:bookmarkEnd w:id="0"/>
      <w:bookmarkEnd w:id="1"/>
    </w:p>
    <w:p w14:paraId="409EEBB4" w14:textId="1F1FE96C" w:rsidR="00E442D1" w:rsidRPr="00E442D1" w:rsidRDefault="00E442D1" w:rsidP="00E442D1">
      <w:pPr>
        <w:spacing w:line="240" w:lineRule="auto"/>
        <w:rPr>
          <w:rFonts w:cs="Times New Roman"/>
          <w:color w:val="000000" w:themeColor="text1"/>
          <w:szCs w:val="24"/>
        </w:rPr>
      </w:pPr>
      <w:r w:rsidRPr="00E442D1">
        <w:rPr>
          <w:rFonts w:cs="Times New Roman"/>
          <w:color w:val="000000" w:themeColor="text1"/>
          <w:szCs w:val="24"/>
        </w:rPr>
        <w:t xml:space="preserve">Insurance plays a central role in supporting business investment, infrastructure development, and financial sector stability, all of which contribute to economic growth. Despite this importance, Kenya’s general insurance industry continues to experience slow expansion, largely attributed to intense competition and weak firm-level characteristics. </w:t>
      </w:r>
      <w:r w:rsidRPr="00F42676">
        <w:rPr>
          <w:rFonts w:cs="Times New Roman"/>
          <w:color w:val="000000" w:themeColor="text1"/>
          <w:szCs w:val="24"/>
          <w:highlight w:val="yellow"/>
        </w:rPr>
        <w:t>This study examine</w:t>
      </w:r>
      <w:r w:rsidR="009071BB" w:rsidRPr="00F42676">
        <w:rPr>
          <w:rFonts w:cs="Times New Roman"/>
          <w:color w:val="000000" w:themeColor="text1"/>
          <w:szCs w:val="24"/>
          <w:highlight w:val="yellow"/>
        </w:rPr>
        <w:t>d</w:t>
      </w:r>
      <w:r w:rsidRPr="00F42676">
        <w:rPr>
          <w:rFonts w:cs="Times New Roman"/>
          <w:color w:val="000000" w:themeColor="text1"/>
          <w:szCs w:val="24"/>
          <w:highlight w:val="yellow"/>
        </w:rPr>
        <w:t xml:space="preserve"> how selected firm-specific factors</w:t>
      </w:r>
      <w:r w:rsidR="004E078C">
        <w:rPr>
          <w:rFonts w:cs="Times New Roman"/>
          <w:color w:val="000000" w:themeColor="text1"/>
          <w:szCs w:val="24"/>
          <w:highlight w:val="yellow"/>
        </w:rPr>
        <w:t>,</w:t>
      </w:r>
      <w:r w:rsidR="00B43D48" w:rsidRPr="00F42676">
        <w:rPr>
          <w:rFonts w:cs="Times New Roman"/>
          <w:color w:val="000000" w:themeColor="text1"/>
          <w:szCs w:val="24"/>
          <w:highlight w:val="yellow"/>
        </w:rPr>
        <w:t xml:space="preserve"> </w:t>
      </w:r>
      <w:r w:rsidRPr="00F42676">
        <w:rPr>
          <w:rFonts w:cs="Times New Roman"/>
          <w:color w:val="000000" w:themeColor="text1"/>
          <w:szCs w:val="24"/>
          <w:highlight w:val="yellow"/>
        </w:rPr>
        <w:t>equity, leverage, liquidity, and operational efficiency</w:t>
      </w:r>
      <w:r w:rsidR="004E078C">
        <w:rPr>
          <w:rFonts w:cs="Times New Roman"/>
          <w:color w:val="000000" w:themeColor="text1"/>
          <w:szCs w:val="24"/>
          <w:highlight w:val="yellow"/>
        </w:rPr>
        <w:t xml:space="preserve">, </w:t>
      </w:r>
      <w:r w:rsidRPr="00F42676">
        <w:rPr>
          <w:rFonts w:cs="Times New Roman"/>
          <w:color w:val="000000" w:themeColor="text1"/>
          <w:szCs w:val="24"/>
          <w:highlight w:val="yellow"/>
        </w:rPr>
        <w:t>influence the growth of general insurance companies in Kenya.</w:t>
      </w:r>
      <w:r w:rsidRPr="00E442D1">
        <w:rPr>
          <w:rFonts w:cs="Times New Roman"/>
          <w:color w:val="000000" w:themeColor="text1"/>
          <w:szCs w:val="24"/>
        </w:rPr>
        <w:t xml:space="preserve"> The study targeted all 36 insurance companies regulated by the Insurance Regulatory Authority and applied a quantitative longitudinal research design. Financial data from 2016 to 2024 were extracted from audited annual reports </w:t>
      </w:r>
      <w:r w:rsidRPr="007450B9">
        <w:rPr>
          <w:rFonts w:cs="Times New Roman"/>
          <w:color w:val="000000" w:themeColor="text1"/>
          <w:szCs w:val="24"/>
          <w:highlight w:val="yellow"/>
        </w:rPr>
        <w:t xml:space="preserve">and </w:t>
      </w:r>
      <w:r w:rsidR="004E078C" w:rsidRPr="007450B9">
        <w:rPr>
          <w:rFonts w:cs="Times New Roman"/>
          <w:color w:val="000000" w:themeColor="text1"/>
          <w:szCs w:val="24"/>
          <w:highlight w:val="yellow"/>
        </w:rPr>
        <w:t xml:space="preserve">analysed </w:t>
      </w:r>
      <w:r w:rsidRPr="007450B9">
        <w:rPr>
          <w:rFonts w:cs="Times New Roman"/>
          <w:color w:val="000000" w:themeColor="text1"/>
          <w:szCs w:val="24"/>
          <w:highlight w:val="yellow"/>
        </w:rPr>
        <w:t>using</w:t>
      </w:r>
      <w:r w:rsidRPr="00E442D1">
        <w:rPr>
          <w:rFonts w:cs="Times New Roman"/>
          <w:color w:val="000000" w:themeColor="text1"/>
          <w:szCs w:val="24"/>
        </w:rPr>
        <w:t xml:space="preserve"> panel regression, supported by diagnostic tests to validate model robustness. Results were presented through tables, charts, and graphs.</w:t>
      </w:r>
      <w:r>
        <w:rPr>
          <w:rFonts w:cs="Times New Roman"/>
          <w:color w:val="000000" w:themeColor="text1"/>
          <w:szCs w:val="24"/>
        </w:rPr>
        <w:t xml:space="preserve"> </w:t>
      </w:r>
      <w:r w:rsidRPr="00F42676">
        <w:rPr>
          <w:rFonts w:cs="Times New Roman"/>
          <w:color w:val="000000" w:themeColor="text1"/>
          <w:szCs w:val="24"/>
          <w:highlight w:val="yellow"/>
        </w:rPr>
        <w:t xml:space="preserve">Findings </w:t>
      </w:r>
      <w:r w:rsidR="00F42676" w:rsidRPr="00F42676">
        <w:rPr>
          <w:rFonts w:cs="Times New Roman"/>
          <w:color w:val="000000" w:themeColor="text1"/>
          <w:szCs w:val="24"/>
          <w:highlight w:val="yellow"/>
        </w:rPr>
        <w:t xml:space="preserve">indicated </w:t>
      </w:r>
      <w:r w:rsidRPr="00F42676">
        <w:rPr>
          <w:rFonts w:cs="Times New Roman"/>
          <w:color w:val="000000" w:themeColor="text1"/>
          <w:szCs w:val="24"/>
          <w:highlight w:val="yellow"/>
        </w:rPr>
        <w:t>that equity a</w:t>
      </w:r>
      <w:r w:rsidRPr="00E442D1">
        <w:rPr>
          <w:rFonts w:cs="Times New Roman"/>
          <w:color w:val="000000" w:themeColor="text1"/>
          <w:szCs w:val="24"/>
        </w:rPr>
        <w:t xml:space="preserve">nd operational efficiency </w:t>
      </w:r>
      <w:r w:rsidR="00814A4E" w:rsidRPr="00814A4E">
        <w:rPr>
          <w:rFonts w:cs="Times New Roman"/>
          <w:color w:val="000000" w:themeColor="text1"/>
          <w:szCs w:val="24"/>
        </w:rPr>
        <w:t>exerted</w:t>
      </w:r>
      <w:r w:rsidR="00814A4E">
        <w:rPr>
          <w:rFonts w:cs="Times New Roman"/>
          <w:color w:val="000000" w:themeColor="text1"/>
          <w:szCs w:val="24"/>
        </w:rPr>
        <w:t xml:space="preserve"> </w:t>
      </w:r>
      <w:r w:rsidRPr="00E442D1">
        <w:rPr>
          <w:rFonts w:cs="Times New Roman"/>
          <w:color w:val="000000" w:themeColor="text1"/>
          <w:szCs w:val="24"/>
        </w:rPr>
        <w:t xml:space="preserve">strong and positive effects on firm growth, highlighting the importance of </w:t>
      </w:r>
      <w:r w:rsidRPr="007450B9">
        <w:rPr>
          <w:rFonts w:cs="Times New Roman"/>
          <w:color w:val="000000" w:themeColor="text1"/>
          <w:szCs w:val="24"/>
          <w:highlight w:val="yellow"/>
        </w:rPr>
        <w:t xml:space="preserve">adequate </w:t>
      </w:r>
      <w:r w:rsidR="004E078C" w:rsidRPr="007450B9">
        <w:rPr>
          <w:rFonts w:cs="Times New Roman"/>
          <w:color w:val="000000" w:themeColor="text1"/>
          <w:szCs w:val="24"/>
          <w:highlight w:val="yellow"/>
        </w:rPr>
        <w:t xml:space="preserve">capitalisation </w:t>
      </w:r>
      <w:r w:rsidRPr="007450B9">
        <w:rPr>
          <w:rFonts w:cs="Times New Roman"/>
          <w:color w:val="000000" w:themeColor="text1"/>
          <w:szCs w:val="24"/>
          <w:highlight w:val="yellow"/>
        </w:rPr>
        <w:t>and streamlined operat</w:t>
      </w:r>
      <w:r w:rsidRPr="00E442D1">
        <w:rPr>
          <w:rFonts w:cs="Times New Roman"/>
          <w:color w:val="000000" w:themeColor="text1"/>
          <w:szCs w:val="24"/>
        </w:rPr>
        <w:t xml:space="preserve">ions. Leverage demonstrated a moderate influence, while liquidity emerged as an essential determinant of growth. The study further established that Gross Domestic Product (GDP) </w:t>
      </w:r>
      <w:r w:rsidRPr="00AE359E">
        <w:rPr>
          <w:rFonts w:cs="Times New Roman"/>
          <w:color w:val="000000" w:themeColor="text1"/>
          <w:szCs w:val="24"/>
          <w:highlight w:val="yellow"/>
        </w:rPr>
        <w:t xml:space="preserve">significantly </w:t>
      </w:r>
      <w:r w:rsidR="00AE359E" w:rsidRPr="00AE359E">
        <w:rPr>
          <w:rFonts w:cs="Times New Roman"/>
          <w:color w:val="000000" w:themeColor="text1"/>
          <w:szCs w:val="24"/>
          <w:highlight w:val="yellow"/>
        </w:rPr>
        <w:t xml:space="preserve">moderated </w:t>
      </w:r>
      <w:r w:rsidRPr="00AE359E">
        <w:rPr>
          <w:rFonts w:cs="Times New Roman"/>
          <w:color w:val="000000" w:themeColor="text1"/>
          <w:szCs w:val="24"/>
          <w:highlight w:val="yellow"/>
        </w:rPr>
        <w:t>the r</w:t>
      </w:r>
      <w:r w:rsidRPr="00E442D1">
        <w:rPr>
          <w:rFonts w:cs="Times New Roman"/>
          <w:color w:val="000000" w:themeColor="text1"/>
          <w:szCs w:val="24"/>
        </w:rPr>
        <w:t>elationship between firm characteristics and growth, amplifying positive effects during periods of economic expansion and constraining growth during economic downturns.</w:t>
      </w:r>
      <w:r>
        <w:rPr>
          <w:rFonts w:cs="Times New Roman"/>
          <w:color w:val="000000" w:themeColor="text1"/>
          <w:szCs w:val="24"/>
        </w:rPr>
        <w:t xml:space="preserve"> </w:t>
      </w:r>
      <w:r w:rsidR="00B43D48" w:rsidRPr="00B43D48">
        <w:rPr>
          <w:rFonts w:cs="Times New Roman"/>
          <w:color w:val="000000" w:themeColor="text1"/>
          <w:szCs w:val="24"/>
          <w:highlight w:val="green"/>
        </w:rPr>
        <w:t xml:space="preserve">Correlation analysis showed positive associations between firm growth and equity (r = 0.612), liquidity (r = 0.395), operational efficiency (r = 0.544), and GDP (r = 0.486), while leverage was negatively related (r = –0.428). All coefficients were below 0.80, confirming </w:t>
      </w:r>
      <w:r w:rsidR="004E078C">
        <w:rPr>
          <w:rFonts w:cs="Times New Roman"/>
          <w:color w:val="000000" w:themeColor="text1"/>
          <w:szCs w:val="24"/>
          <w:highlight w:val="green"/>
        </w:rPr>
        <w:t xml:space="preserve">the </w:t>
      </w:r>
      <w:r w:rsidR="00B43D48" w:rsidRPr="00B43D48">
        <w:rPr>
          <w:rFonts w:cs="Times New Roman"/>
          <w:color w:val="000000" w:themeColor="text1"/>
          <w:szCs w:val="24"/>
          <w:highlight w:val="green"/>
        </w:rPr>
        <w:t xml:space="preserve">absence of multicollinearity. </w:t>
      </w:r>
      <w:r w:rsidRPr="00B43D48">
        <w:rPr>
          <w:rFonts w:cs="Times New Roman"/>
          <w:color w:val="000000" w:themeColor="text1"/>
          <w:szCs w:val="24"/>
          <w:highlight w:val="green"/>
        </w:rPr>
        <w:t>The study recommends strengthening capital structures, prudent debt management, maintaining adequate liquidity levels, and enhancing operational efficiency</w:t>
      </w:r>
      <w:r w:rsidRPr="00E442D1">
        <w:rPr>
          <w:rFonts w:cs="Times New Roman"/>
          <w:color w:val="000000" w:themeColor="text1"/>
          <w:szCs w:val="24"/>
        </w:rPr>
        <w:t xml:space="preserve">. Aligning strategic growth initiatives with prevailing macroeconomic conditions is </w:t>
      </w:r>
      <w:r w:rsidRPr="007450B9">
        <w:rPr>
          <w:rFonts w:cs="Times New Roman"/>
          <w:color w:val="000000" w:themeColor="text1"/>
          <w:szCs w:val="24"/>
          <w:highlight w:val="yellow"/>
        </w:rPr>
        <w:t xml:space="preserve">also </w:t>
      </w:r>
      <w:r w:rsidR="004E078C" w:rsidRPr="007450B9">
        <w:rPr>
          <w:rFonts w:cs="Times New Roman"/>
          <w:color w:val="000000" w:themeColor="text1"/>
          <w:szCs w:val="24"/>
          <w:highlight w:val="yellow"/>
        </w:rPr>
        <w:t>emphasised</w:t>
      </w:r>
      <w:r w:rsidRPr="007450B9">
        <w:rPr>
          <w:rFonts w:cs="Times New Roman"/>
          <w:color w:val="000000" w:themeColor="text1"/>
          <w:szCs w:val="24"/>
          <w:highlight w:val="yellow"/>
        </w:rPr>
        <w:t>. Futur</w:t>
      </w:r>
      <w:r w:rsidRPr="00E442D1">
        <w:rPr>
          <w:rFonts w:cs="Times New Roman"/>
          <w:color w:val="000000" w:themeColor="text1"/>
          <w:szCs w:val="24"/>
        </w:rPr>
        <w:t xml:space="preserve">e studies should broaden the scope of firm-level determinants, incorporate economic cycle variations, and undertake sectoral or cross-country comparisons to enrich </w:t>
      </w:r>
      <w:r w:rsidR="004E078C">
        <w:rPr>
          <w:rFonts w:cs="Times New Roman"/>
          <w:color w:val="000000" w:themeColor="text1"/>
          <w:szCs w:val="24"/>
        </w:rPr>
        <w:t xml:space="preserve">the </w:t>
      </w:r>
      <w:r w:rsidRPr="00E442D1">
        <w:rPr>
          <w:rFonts w:cs="Times New Roman"/>
          <w:color w:val="000000" w:themeColor="text1"/>
          <w:szCs w:val="24"/>
        </w:rPr>
        <w:t>understanding of growth dynamics in the insurance industry.</w:t>
      </w:r>
    </w:p>
    <w:p w14:paraId="76AE3E7E" w14:textId="2F21F9EF" w:rsidR="00B43D48" w:rsidRDefault="00E442D1" w:rsidP="00E442D1">
      <w:pPr>
        <w:spacing w:line="240" w:lineRule="auto"/>
        <w:rPr>
          <w:rFonts w:cs="Times New Roman"/>
          <w:i/>
          <w:color w:val="000000" w:themeColor="text1"/>
          <w:szCs w:val="24"/>
        </w:rPr>
      </w:pPr>
      <w:r w:rsidRPr="00E442D1">
        <w:rPr>
          <w:rFonts w:cs="Times New Roman"/>
          <w:b/>
          <w:color w:val="000000" w:themeColor="text1"/>
          <w:szCs w:val="24"/>
        </w:rPr>
        <w:t>Keywords:</w:t>
      </w:r>
      <w:r>
        <w:rPr>
          <w:rFonts w:cs="Times New Roman"/>
          <w:color w:val="000000" w:themeColor="text1"/>
          <w:szCs w:val="24"/>
        </w:rPr>
        <w:t xml:space="preserve"> </w:t>
      </w:r>
      <w:r w:rsidR="00B43D48" w:rsidRPr="00B43D48">
        <w:rPr>
          <w:rFonts w:cs="Times New Roman"/>
          <w:i/>
          <w:color w:val="000000" w:themeColor="text1"/>
          <w:szCs w:val="24"/>
          <w:highlight w:val="green"/>
        </w:rPr>
        <w:t>Economic growth; Equity; Firm characteristics; DP moderation. General insurance; Leverage; Liquidity; Operational efficiency;</w:t>
      </w:r>
      <w:r w:rsidR="00B43D48" w:rsidRPr="00E442D1">
        <w:rPr>
          <w:rFonts w:cs="Times New Roman"/>
          <w:i/>
          <w:color w:val="000000" w:themeColor="text1"/>
          <w:szCs w:val="24"/>
        </w:rPr>
        <w:t xml:space="preserve"> </w:t>
      </w:r>
    </w:p>
    <w:p w14:paraId="0DF897D0" w14:textId="77777777" w:rsidR="00B43D48" w:rsidRPr="007A56B8" w:rsidRDefault="00B43D48" w:rsidP="00185BCB">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3ACA0463" w14:textId="264A86BD" w:rsidR="001F39EA" w:rsidRPr="001F39EA" w:rsidRDefault="001F39EA" w:rsidP="00BB0489">
      <w:pPr>
        <w:shd w:val="clear" w:color="auto" w:fill="FFFFFF"/>
        <w:spacing w:line="240" w:lineRule="auto"/>
        <w:rPr>
          <w:rFonts w:cs="Times New Roman"/>
          <w:color w:val="000000" w:themeColor="text1"/>
          <w:szCs w:val="24"/>
        </w:rPr>
      </w:pPr>
      <w:r w:rsidRPr="001F39EA">
        <w:rPr>
          <w:rFonts w:cs="Times New Roman"/>
          <w:color w:val="000000" w:themeColor="text1"/>
          <w:szCs w:val="24"/>
        </w:rPr>
        <w:t xml:space="preserve">The insurance industry plays a critical role in reducing social and economic vulnerability by providing risk management mechanisms and income security essential for sustainable national development (Shawar &amp; Danish, 2019). </w:t>
      </w:r>
      <w:r w:rsidR="00BB0489" w:rsidRPr="00662BF2">
        <w:rPr>
          <w:rFonts w:cs="Times New Roman"/>
          <w:color w:val="000000" w:themeColor="text1"/>
          <w:szCs w:val="24"/>
          <w:highlight w:val="yellow"/>
        </w:rPr>
        <w:t>The primary purpose</w:t>
      </w:r>
      <w:r w:rsidR="00662BF2" w:rsidRPr="00662BF2">
        <w:rPr>
          <w:rFonts w:cs="Times New Roman"/>
          <w:color w:val="000000" w:themeColor="text1"/>
          <w:szCs w:val="24"/>
          <w:highlight w:val="yellow"/>
        </w:rPr>
        <w:t xml:space="preserve"> </w:t>
      </w:r>
      <w:r w:rsidR="00BB0489" w:rsidRPr="00662BF2">
        <w:rPr>
          <w:rFonts w:cs="Times New Roman"/>
          <w:color w:val="000000" w:themeColor="text1"/>
          <w:szCs w:val="24"/>
          <w:highlight w:val="yellow"/>
        </w:rPr>
        <w:t>of an insurance firm is to manage risk. This is so</w:t>
      </w:r>
      <w:r w:rsidR="00662BF2" w:rsidRPr="00662BF2">
        <w:rPr>
          <w:rFonts w:cs="Times New Roman"/>
          <w:color w:val="000000" w:themeColor="text1"/>
          <w:szCs w:val="24"/>
          <w:highlight w:val="yellow"/>
        </w:rPr>
        <w:t xml:space="preserve"> </w:t>
      </w:r>
      <w:r w:rsidR="00BB0489" w:rsidRPr="00662BF2">
        <w:rPr>
          <w:rFonts w:cs="Times New Roman"/>
          <w:color w:val="000000" w:themeColor="text1"/>
          <w:szCs w:val="24"/>
          <w:highlight w:val="yellow"/>
        </w:rPr>
        <w:t>because risk is pervasive and not detachable</w:t>
      </w:r>
      <w:r w:rsidR="00662BF2" w:rsidRPr="00662BF2">
        <w:rPr>
          <w:rFonts w:cs="Times New Roman"/>
          <w:color w:val="000000" w:themeColor="text1"/>
          <w:szCs w:val="24"/>
          <w:highlight w:val="yellow"/>
        </w:rPr>
        <w:t xml:space="preserve"> </w:t>
      </w:r>
      <w:r w:rsidR="00BB0489" w:rsidRPr="00662BF2">
        <w:rPr>
          <w:rFonts w:cs="Times New Roman"/>
          <w:color w:val="000000" w:themeColor="text1"/>
          <w:szCs w:val="24"/>
          <w:highlight w:val="yellow"/>
        </w:rPr>
        <w:t>from the individual’s social and business</w:t>
      </w:r>
      <w:r w:rsidR="00662BF2" w:rsidRPr="00662BF2">
        <w:rPr>
          <w:rFonts w:cs="Times New Roman"/>
          <w:color w:val="000000" w:themeColor="text1"/>
          <w:szCs w:val="24"/>
          <w:highlight w:val="yellow"/>
        </w:rPr>
        <w:t xml:space="preserve"> </w:t>
      </w:r>
      <w:r w:rsidR="00BB0489" w:rsidRPr="00662BF2">
        <w:rPr>
          <w:rFonts w:cs="Times New Roman"/>
          <w:color w:val="000000" w:themeColor="text1"/>
          <w:szCs w:val="24"/>
          <w:highlight w:val="yellow"/>
        </w:rPr>
        <w:t>lifestyles. It is on this premise that insurance</w:t>
      </w:r>
      <w:r w:rsidR="00662BF2" w:rsidRPr="00662BF2">
        <w:rPr>
          <w:rFonts w:cs="Times New Roman"/>
          <w:color w:val="000000" w:themeColor="text1"/>
          <w:szCs w:val="24"/>
          <w:highlight w:val="yellow"/>
        </w:rPr>
        <w:t xml:space="preserve"> </w:t>
      </w:r>
      <w:r w:rsidR="00BB0489" w:rsidRPr="00662BF2">
        <w:rPr>
          <w:rFonts w:cs="Times New Roman"/>
          <w:color w:val="000000" w:themeColor="text1"/>
          <w:szCs w:val="24"/>
          <w:highlight w:val="yellow"/>
        </w:rPr>
        <w:t>firms were founded with the sole purpose of</w:t>
      </w:r>
      <w:r w:rsidR="00662BF2" w:rsidRPr="00662BF2">
        <w:rPr>
          <w:rFonts w:cs="Times New Roman"/>
          <w:color w:val="000000" w:themeColor="text1"/>
          <w:szCs w:val="24"/>
          <w:highlight w:val="yellow"/>
        </w:rPr>
        <w:t xml:space="preserve"> </w:t>
      </w:r>
      <w:r w:rsidR="00BB0489" w:rsidRPr="00662BF2">
        <w:rPr>
          <w:rFonts w:cs="Times New Roman"/>
          <w:color w:val="000000" w:themeColor="text1"/>
          <w:szCs w:val="24"/>
          <w:highlight w:val="yellow"/>
        </w:rPr>
        <w:t>restoring the insured to an original position prior</w:t>
      </w:r>
      <w:r w:rsidR="00662BF2" w:rsidRPr="00662BF2">
        <w:rPr>
          <w:rFonts w:cs="Times New Roman"/>
          <w:color w:val="000000" w:themeColor="text1"/>
          <w:szCs w:val="24"/>
          <w:highlight w:val="yellow"/>
        </w:rPr>
        <w:t xml:space="preserve"> </w:t>
      </w:r>
      <w:r w:rsidR="00BB0489" w:rsidRPr="00662BF2">
        <w:rPr>
          <w:rFonts w:cs="Times New Roman"/>
          <w:color w:val="000000" w:themeColor="text1"/>
          <w:szCs w:val="24"/>
          <w:highlight w:val="yellow"/>
        </w:rPr>
        <w:t xml:space="preserve">to the occurrence of the risk </w:t>
      </w:r>
      <w:r w:rsidR="00213475">
        <w:rPr>
          <w:rFonts w:cs="Times New Roman"/>
          <w:color w:val="000000" w:themeColor="text1"/>
          <w:szCs w:val="24"/>
          <w:highlight w:val="yellow"/>
        </w:rPr>
        <w:t>(</w:t>
      </w:r>
      <w:r w:rsidR="00213475" w:rsidRPr="00213475">
        <w:rPr>
          <w:rFonts w:cs="Times New Roman"/>
          <w:color w:val="000000" w:themeColor="text1"/>
          <w:szCs w:val="24"/>
        </w:rPr>
        <w:t>Sunday</w:t>
      </w:r>
      <w:r w:rsidR="00213475">
        <w:rPr>
          <w:rFonts w:cs="Times New Roman"/>
          <w:color w:val="000000" w:themeColor="text1"/>
          <w:szCs w:val="24"/>
        </w:rPr>
        <w:t xml:space="preserve"> et al., 2022)</w:t>
      </w:r>
      <w:r w:rsidR="00BB0489" w:rsidRPr="00662BF2">
        <w:rPr>
          <w:rFonts w:cs="Times New Roman"/>
          <w:color w:val="000000" w:themeColor="text1"/>
          <w:szCs w:val="24"/>
          <w:highlight w:val="yellow"/>
        </w:rPr>
        <w:t>.</w:t>
      </w:r>
      <w:r w:rsidR="00BB0489" w:rsidRPr="00BB0489">
        <w:rPr>
          <w:rFonts w:cs="Times New Roman"/>
          <w:color w:val="000000" w:themeColor="text1"/>
          <w:szCs w:val="24"/>
        </w:rPr>
        <w:t xml:space="preserve"> </w:t>
      </w:r>
      <w:r w:rsidRPr="001F39EA">
        <w:rPr>
          <w:rFonts w:cs="Times New Roman"/>
          <w:color w:val="000000" w:themeColor="text1"/>
          <w:szCs w:val="24"/>
        </w:rPr>
        <w:t xml:space="preserve">Across both developed and emerging economies, the industry is a central component of the financial sector, advancing economic development through efficient allocation of resources, </w:t>
      </w:r>
      <w:r w:rsidR="004E078C" w:rsidRPr="007450B9">
        <w:rPr>
          <w:rFonts w:cs="Times New Roman"/>
          <w:color w:val="000000" w:themeColor="text1"/>
          <w:szCs w:val="24"/>
          <w:highlight w:val="yellow"/>
        </w:rPr>
        <w:t xml:space="preserve">minimising </w:t>
      </w:r>
      <w:r w:rsidRPr="007450B9">
        <w:rPr>
          <w:rFonts w:cs="Times New Roman"/>
          <w:color w:val="000000" w:themeColor="text1"/>
          <w:szCs w:val="24"/>
          <w:highlight w:val="yellow"/>
        </w:rPr>
        <w:t>transaction costs, enhancing liquidity, and promoting capital formation (Sambasiviam &amp; Ayele, 2019). It is increasingly expected to implement business policies and initiatives that meet the needs of all population groups,</w:t>
      </w:r>
      <w:r w:rsidRPr="001F39EA">
        <w:rPr>
          <w:rFonts w:cs="Times New Roman"/>
          <w:color w:val="000000" w:themeColor="text1"/>
          <w:szCs w:val="24"/>
        </w:rPr>
        <w:t xml:space="preserve"> particularly low-income households and vulnerable communities (Kiptoo</w:t>
      </w:r>
      <w:r w:rsidR="00A5578A">
        <w:rPr>
          <w:rFonts w:cs="Times New Roman"/>
          <w:color w:val="000000" w:themeColor="text1"/>
          <w:szCs w:val="24"/>
        </w:rPr>
        <w:t xml:space="preserve"> </w:t>
      </w:r>
      <w:r w:rsidR="00A5578A" w:rsidRPr="00A5578A">
        <w:rPr>
          <w:rFonts w:cs="Times New Roman"/>
          <w:i/>
          <w:iCs/>
          <w:color w:val="000000" w:themeColor="text1"/>
          <w:szCs w:val="24"/>
        </w:rPr>
        <w:t>et al</w:t>
      </w:r>
      <w:r w:rsidRPr="001F39EA">
        <w:rPr>
          <w:rFonts w:cs="Times New Roman"/>
          <w:color w:val="000000" w:themeColor="text1"/>
          <w:szCs w:val="24"/>
        </w:rPr>
        <w:t>, 2021).</w:t>
      </w:r>
    </w:p>
    <w:p w14:paraId="595B0C4B" w14:textId="141FC479"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 xml:space="preserve">Insurance companies not only protect individuals and businesses against unpredictable events—such as theft, illness, disasters, accidents, and death—but also enhance economic productivity by enabling firms to operate with </w:t>
      </w:r>
      <w:r w:rsidRPr="001F39EA">
        <w:rPr>
          <w:rFonts w:cs="Times New Roman"/>
          <w:color w:val="000000" w:themeColor="text1"/>
          <w:szCs w:val="24"/>
        </w:rPr>
        <w:lastRenderedPageBreak/>
        <w:t xml:space="preserve">confidence (IRA, 2019). In Kenya, the sector is expected </w:t>
      </w:r>
      <w:r w:rsidRPr="007450B9">
        <w:rPr>
          <w:rFonts w:cs="Times New Roman"/>
          <w:color w:val="000000" w:themeColor="text1"/>
          <w:szCs w:val="24"/>
          <w:highlight w:val="yellow"/>
        </w:rPr>
        <w:t xml:space="preserve">to </w:t>
      </w:r>
      <w:r w:rsidR="004E078C" w:rsidRPr="007450B9">
        <w:rPr>
          <w:rFonts w:cs="Times New Roman"/>
          <w:color w:val="000000" w:themeColor="text1"/>
          <w:szCs w:val="24"/>
          <w:highlight w:val="yellow"/>
        </w:rPr>
        <w:t xml:space="preserve">mobilise </w:t>
      </w:r>
      <w:r w:rsidRPr="007450B9">
        <w:rPr>
          <w:rFonts w:cs="Times New Roman"/>
          <w:color w:val="000000" w:themeColor="text1"/>
          <w:szCs w:val="24"/>
          <w:highlight w:val="yellow"/>
        </w:rPr>
        <w:t>savings, safeguard assets, and channel investments into critical economic sectors, thereby increasing insurance penetration and contributing more substantially to the country’s GDP (Morara &amp; Sibindi, 2021). Despite this importance, the</w:t>
      </w:r>
      <w:r w:rsidRPr="001F39EA">
        <w:rPr>
          <w:rFonts w:cs="Times New Roman"/>
          <w:color w:val="000000" w:themeColor="text1"/>
          <w:szCs w:val="24"/>
        </w:rPr>
        <w:t xml:space="preserve"> global and Kenyan insurance sectors face numerous challenges that constrain growth (Kang’e, </w:t>
      </w:r>
      <w:r w:rsidR="00A5578A" w:rsidRPr="00A5578A">
        <w:rPr>
          <w:rFonts w:cs="Times New Roman"/>
          <w:i/>
          <w:iCs/>
          <w:color w:val="000000" w:themeColor="text1"/>
          <w:szCs w:val="24"/>
        </w:rPr>
        <w:t>et al</w:t>
      </w:r>
      <w:r w:rsidRPr="001F39EA">
        <w:rPr>
          <w:rFonts w:cs="Times New Roman"/>
          <w:color w:val="000000" w:themeColor="text1"/>
          <w:szCs w:val="24"/>
        </w:rPr>
        <w:t>, 2020).</w:t>
      </w:r>
    </w:p>
    <w:p w14:paraId="5A5F26FE" w14:textId="26E68CC9"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Globally, the performance of insurance companies has weakened. In the United States, despite rising revenues, industry growth has contracted by 2.9% annually over the past three years due to rising investment costs (Gaganis &amp; Pasiouras, 2019). Increasing competition and declining insurance premiums have negatively affected insurers’ profitability (Deloitte, 2019). In the United Kingdom, global economic crises have strained liquidity, adversely affecting insurers’ assets and liabilities (Mehari &amp; Aemiro, 2020). The Chinese insurance market has experienced persistent challenges</w:t>
      </w:r>
      <w:r w:rsidR="004E078C">
        <w:rPr>
          <w:rFonts w:cs="Times New Roman"/>
          <w:color w:val="000000" w:themeColor="text1"/>
          <w:szCs w:val="24"/>
        </w:rPr>
        <w:t>,</w:t>
      </w:r>
      <w:r w:rsidRPr="001F39EA">
        <w:rPr>
          <w:rFonts w:cs="Times New Roman"/>
          <w:color w:val="000000" w:themeColor="text1"/>
          <w:szCs w:val="24"/>
        </w:rPr>
        <w:t xml:space="preserve"> such as failing to achieve returns above capital costs (Choi, 2019).</w:t>
      </w:r>
    </w:p>
    <w:p w14:paraId="189C0762" w14:textId="77777777"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Similar trends are evident in Africa, where the sector’s growth has declined due to the imposition of trade tariffs, increased market entry by new insurers, and intensified competition (AKI, 2019). Performance has also been undermined by poor returns from real estate and stock markets since 2015, making it difficult for insurers to offset recurring financial losses (Morara &amp; Sibindi, 2021). This heightened competition has made it imperative for insurers to differentiate themselves through innovative products and value-adding services (Odhiambo, 2020).</w:t>
      </w:r>
    </w:p>
    <w:p w14:paraId="7C523F97" w14:textId="21C11832"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In Kenya, insurers operate in a highly volatile environment where products are easily replicated</w:t>
      </w:r>
      <w:r w:rsidR="004E078C">
        <w:rPr>
          <w:rFonts w:cs="Times New Roman"/>
          <w:color w:val="000000" w:themeColor="text1"/>
          <w:szCs w:val="24"/>
        </w:rPr>
        <w:t>,</w:t>
      </w:r>
      <w:r w:rsidRPr="001F39EA">
        <w:rPr>
          <w:rFonts w:cs="Times New Roman"/>
          <w:color w:val="000000" w:themeColor="text1"/>
          <w:szCs w:val="24"/>
        </w:rPr>
        <w:t xml:space="preserve"> and market dynamics change rapidly (Ouma </w:t>
      </w:r>
      <w:r w:rsidR="00A5578A">
        <w:rPr>
          <w:rFonts w:cs="Times New Roman"/>
          <w:color w:val="000000" w:themeColor="text1"/>
          <w:szCs w:val="24"/>
        </w:rPr>
        <w:t>et al</w:t>
      </w:r>
      <w:r w:rsidRPr="001F39EA">
        <w:rPr>
          <w:rFonts w:cs="Times New Roman"/>
          <w:color w:val="000000" w:themeColor="text1"/>
          <w:szCs w:val="24"/>
        </w:rPr>
        <w:t>, 2019). Increased competition, a high rate of staff turnover, and negative public perceptions continue to constrain performance (AKI, 2019). Insurance penetration has steadily fallen from a peak of 3.4% in 2013 to 2.3</w:t>
      </w:r>
      <w:r w:rsidRPr="00705B5C">
        <w:rPr>
          <w:rFonts w:cs="Times New Roman"/>
          <w:color w:val="000000" w:themeColor="text1"/>
          <w:szCs w:val="24"/>
          <w:highlight w:val="green"/>
        </w:rPr>
        <w:t>% (Kiptoo et al., 2021). Product</w:t>
      </w:r>
      <w:r w:rsidRPr="001F39EA">
        <w:rPr>
          <w:rFonts w:cs="Times New Roman"/>
          <w:color w:val="000000" w:themeColor="text1"/>
          <w:szCs w:val="24"/>
        </w:rPr>
        <w:t xml:space="preserve"> uptake is also low due to limited public awareness of the importance of insurance (Kang’e et al., 2020). Consumers mainly purchase mandatory or essential products such as medical and motor insurance, while perceiving other covers as luxury services rather than necessities.</w:t>
      </w:r>
      <w:r w:rsidR="005A7A36">
        <w:rPr>
          <w:rFonts w:cs="Times New Roman"/>
          <w:color w:val="000000" w:themeColor="text1"/>
          <w:szCs w:val="24"/>
        </w:rPr>
        <w:t xml:space="preserve"> </w:t>
      </w:r>
      <w:r w:rsidRPr="001F39EA">
        <w:rPr>
          <w:rFonts w:cs="Times New Roman"/>
          <w:color w:val="000000" w:themeColor="text1"/>
          <w:szCs w:val="24"/>
        </w:rPr>
        <w:t>Additionally, widespread fraud has significantly increased operational costs, driving major motor insurers to raise premium rates by up to 50% in 2022 (Deloitte, 2022). The COVID-19 pandemic further disrupted the industry through declining premiums, increased health and life insurance claims, and reduced investment returns (Kiptoo et al., 2021).</w:t>
      </w:r>
    </w:p>
    <w:p w14:paraId="1104C996" w14:textId="77777777"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Firm characteristics constitute managerial and demographic attributes that shape internal operations and strategic choices (Olugbenga et al., 2022). These features—such as size, resources, age, and ownership—distinguish firms and influence their competitive strategies, operational capabilities, and business models. Larger firms typically possess stronger resource bases than smaller ones (Handoyo et al., 2023).</w:t>
      </w:r>
    </w:p>
    <w:p w14:paraId="0A19396D" w14:textId="6B5C647C"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 xml:space="preserve">Insurance firms differ by both financial and non-financial attributes, including size, profitability, structure, leverage, liquidity, growth rates, age, and customer base. These characteristics directly influence industry activities and performance (Nyabaga &amp; Matanda, 2020). Technical characteristics specific to insurance—such as age, size, premium growth, loss ratios, solvency, underwriting capacity, and reserves—shape risk transfer, exposure levels, and pricing </w:t>
      </w:r>
      <w:r w:rsidRPr="00705B5C">
        <w:rPr>
          <w:rFonts w:cs="Times New Roman"/>
          <w:color w:val="000000" w:themeColor="text1"/>
          <w:szCs w:val="24"/>
          <w:highlight w:val="green"/>
        </w:rPr>
        <w:t xml:space="preserve">approaches (Abass </w:t>
      </w:r>
      <w:r w:rsidR="00A14C4D" w:rsidRPr="00705B5C">
        <w:rPr>
          <w:rFonts w:cs="Times New Roman"/>
          <w:color w:val="000000" w:themeColor="text1"/>
          <w:szCs w:val="24"/>
          <w:highlight w:val="green"/>
        </w:rPr>
        <w:t>et al</w:t>
      </w:r>
      <w:r w:rsidRPr="00705B5C">
        <w:rPr>
          <w:rFonts w:cs="Times New Roman"/>
          <w:color w:val="000000" w:themeColor="text1"/>
          <w:szCs w:val="24"/>
          <w:highlight w:val="green"/>
        </w:rPr>
        <w:t>, 2021).</w:t>
      </w:r>
      <w:r w:rsidRPr="001F39EA">
        <w:rPr>
          <w:rFonts w:cs="Times New Roman"/>
          <w:color w:val="000000" w:themeColor="text1"/>
          <w:szCs w:val="24"/>
        </w:rPr>
        <w:t xml:space="preserve"> Efficient management of equity capital, leverage, liquidity, and operational efficiency determines an insurer’s ability to settle claims, </w:t>
      </w:r>
      <w:r w:rsidR="004E078C" w:rsidRPr="007450B9">
        <w:rPr>
          <w:rFonts w:cs="Times New Roman"/>
          <w:color w:val="000000" w:themeColor="text1"/>
          <w:szCs w:val="24"/>
          <w:highlight w:val="yellow"/>
        </w:rPr>
        <w:t xml:space="preserve">stabilise </w:t>
      </w:r>
      <w:r w:rsidRPr="007450B9">
        <w:rPr>
          <w:rFonts w:cs="Times New Roman"/>
          <w:color w:val="000000" w:themeColor="text1"/>
          <w:szCs w:val="24"/>
          <w:highlight w:val="yellow"/>
        </w:rPr>
        <w:t>claim ratios,</w:t>
      </w:r>
      <w:r w:rsidRPr="001F39EA">
        <w:rPr>
          <w:rFonts w:cs="Times New Roman"/>
          <w:color w:val="000000" w:themeColor="text1"/>
          <w:szCs w:val="24"/>
        </w:rPr>
        <w:t xml:space="preserve"> and sustain growth (Kamau, 2022). These factors are widely applied in insurance sector studies (Collins, 2019; Kamau, Olweny &amp; Muturi, 2021; Shamsuddin et al., 2020; Ige-Gbadeyan, 2023).</w:t>
      </w:r>
    </w:p>
    <w:p w14:paraId="0CE82B3A" w14:textId="3ED3A62F"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Equity capital represents ownership capital not backed by debt. Investors provide equity in exchange for ownership, dividend prospects, and capital gains (Ackermann, 2023). For insurers, equity capital is essential for meeting policyholder claims, covering operating expenses, and safeguarding against unexpected losses (Kamau, 2022). This study applies the natural log of equity capital.</w:t>
      </w:r>
      <w:r w:rsidR="005A7A36">
        <w:rPr>
          <w:rFonts w:cs="Times New Roman"/>
          <w:color w:val="000000" w:themeColor="text1"/>
          <w:szCs w:val="24"/>
        </w:rPr>
        <w:t xml:space="preserve"> </w:t>
      </w:r>
      <w:r w:rsidRPr="001F39EA">
        <w:rPr>
          <w:rFonts w:cs="Times New Roman"/>
          <w:color w:val="000000" w:themeColor="text1"/>
          <w:szCs w:val="24"/>
        </w:rPr>
        <w:t>Firm leverage measures the degree to which a company finances its assets through debt (Corporate Finance Institute, 2023). High leverage may reduce profitability due to elevated interest expenses (Hayes, 2021). It is measured as the ratio of total debt to total assets.</w:t>
      </w:r>
    </w:p>
    <w:p w14:paraId="6E1F4A55" w14:textId="40DE6716" w:rsidR="00717F18"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lastRenderedPageBreak/>
        <w:t xml:space="preserve">Liquidity reflects an insurer’s ability to meet short-term obligations using liquid assets (Kamau, 2022). Although high liquidity reduces solvency risk, it may lower investment </w:t>
      </w:r>
      <w:r w:rsidRPr="00705B5C">
        <w:rPr>
          <w:rFonts w:cs="Times New Roman"/>
          <w:color w:val="000000" w:themeColor="text1"/>
          <w:szCs w:val="24"/>
          <w:highlight w:val="green"/>
        </w:rPr>
        <w:t xml:space="preserve">income (Nugraha </w:t>
      </w:r>
      <w:r w:rsidR="00A14C4D" w:rsidRPr="00705B5C">
        <w:rPr>
          <w:rFonts w:cs="Times New Roman"/>
          <w:color w:val="000000" w:themeColor="text1"/>
          <w:szCs w:val="24"/>
          <w:highlight w:val="green"/>
        </w:rPr>
        <w:t>et al</w:t>
      </w:r>
      <w:r w:rsidRPr="00705B5C">
        <w:rPr>
          <w:rFonts w:cs="Times New Roman"/>
          <w:color w:val="000000" w:themeColor="text1"/>
          <w:szCs w:val="24"/>
          <w:highlight w:val="green"/>
        </w:rPr>
        <w:t>, 2022). It is measured as the ratio of current assets to current liabilities.</w:t>
      </w:r>
      <w:r w:rsidR="005A7A36" w:rsidRPr="00705B5C">
        <w:rPr>
          <w:rFonts w:cs="Times New Roman"/>
          <w:color w:val="000000" w:themeColor="text1"/>
          <w:szCs w:val="24"/>
          <w:highlight w:val="green"/>
        </w:rPr>
        <w:t xml:space="preserve"> </w:t>
      </w:r>
      <w:r w:rsidRPr="00705B5C">
        <w:rPr>
          <w:rFonts w:cs="Times New Roman"/>
          <w:color w:val="000000" w:themeColor="text1"/>
          <w:szCs w:val="24"/>
          <w:highlight w:val="green"/>
        </w:rPr>
        <w:t>Operational efficiency refers to management’s ability</w:t>
      </w:r>
      <w:r w:rsidRPr="001F39EA">
        <w:rPr>
          <w:rFonts w:cs="Times New Roman"/>
          <w:color w:val="000000" w:themeColor="text1"/>
          <w:szCs w:val="24"/>
        </w:rPr>
        <w:t xml:space="preserve"> to generate profits while effectively controlling </w:t>
      </w:r>
      <w:r w:rsidRPr="007450B9">
        <w:rPr>
          <w:rFonts w:cs="Times New Roman"/>
          <w:color w:val="000000" w:themeColor="text1"/>
          <w:szCs w:val="24"/>
          <w:highlight w:val="yellow"/>
        </w:rPr>
        <w:t xml:space="preserve">costs (Alemu &amp; Negasa, 2019). It is assessed through operating profits relative to net income (Ongore &amp; Kusa, 2019), reflecting the firm’s capacity to </w:t>
      </w:r>
      <w:r w:rsidR="004E078C" w:rsidRPr="007450B9">
        <w:rPr>
          <w:rFonts w:cs="Times New Roman"/>
          <w:color w:val="000000" w:themeColor="text1"/>
          <w:szCs w:val="24"/>
          <w:highlight w:val="yellow"/>
        </w:rPr>
        <w:t xml:space="preserve">maximise </w:t>
      </w:r>
      <w:r w:rsidRPr="007450B9">
        <w:rPr>
          <w:rFonts w:cs="Times New Roman"/>
          <w:color w:val="000000" w:themeColor="text1"/>
          <w:szCs w:val="24"/>
          <w:highlight w:val="yellow"/>
        </w:rPr>
        <w:t>output with minimal resources (Dulah &amp; Helal, 2019)</w:t>
      </w:r>
      <w:r w:rsidR="00717F18" w:rsidRPr="007450B9">
        <w:rPr>
          <w:rFonts w:cs="Times New Roman"/>
          <w:color w:val="000000" w:themeColor="text1"/>
          <w:szCs w:val="24"/>
          <w:highlight w:val="yellow"/>
        </w:rPr>
        <w:t>.</w:t>
      </w:r>
    </w:p>
    <w:p w14:paraId="755B598C" w14:textId="758B9690" w:rsidR="00057744" w:rsidRPr="00057744" w:rsidRDefault="00057744" w:rsidP="00E30CD9">
      <w:pPr>
        <w:shd w:val="clear" w:color="auto" w:fill="FFFFFF"/>
        <w:spacing w:line="240" w:lineRule="auto"/>
        <w:rPr>
          <w:rFonts w:cs="Times New Roman"/>
          <w:color w:val="000000" w:themeColor="text1"/>
          <w:szCs w:val="24"/>
        </w:rPr>
      </w:pPr>
      <w:r w:rsidRPr="00057744">
        <w:rPr>
          <w:rFonts w:cs="Times New Roman"/>
          <w:color w:val="000000" w:themeColor="text1"/>
          <w:szCs w:val="24"/>
        </w:rPr>
        <w:t xml:space="preserve">Growth reflects a sustained increase in a firm's size, profitability, market share, and earnings, alongside the development of new characteristics and the elimination of old ones. It encompasses changes in </w:t>
      </w:r>
      <w:r w:rsidR="004E078C" w:rsidRPr="007450B9">
        <w:rPr>
          <w:rFonts w:cs="Times New Roman"/>
          <w:color w:val="000000" w:themeColor="text1"/>
          <w:szCs w:val="24"/>
          <w:highlight w:val="yellow"/>
        </w:rPr>
        <w:t xml:space="preserve">organisational </w:t>
      </w:r>
      <w:r w:rsidRPr="007450B9">
        <w:rPr>
          <w:rFonts w:cs="Times New Roman"/>
          <w:color w:val="000000" w:themeColor="text1"/>
          <w:szCs w:val="24"/>
          <w:highlight w:val="yellow"/>
        </w:rPr>
        <w:t>scale and structure and can be pursued through diversification, innovation, or revenue expansion</w:t>
      </w:r>
      <w:r w:rsidRPr="00057744">
        <w:rPr>
          <w:rFonts w:cs="Times New Roman"/>
          <w:color w:val="000000" w:themeColor="text1"/>
          <w:szCs w:val="24"/>
        </w:rPr>
        <w:t xml:space="preserve"> strategies</w:t>
      </w:r>
      <w:r w:rsidR="00883191">
        <w:rPr>
          <w:rFonts w:cs="Times New Roman"/>
          <w:color w:val="000000" w:themeColor="text1"/>
          <w:szCs w:val="24"/>
        </w:rPr>
        <w:t xml:space="preserve"> (</w:t>
      </w:r>
      <w:r w:rsidR="00883191" w:rsidRPr="00883191">
        <w:rPr>
          <w:rFonts w:cs="Times New Roman"/>
          <w:color w:val="000000" w:themeColor="text1"/>
          <w:szCs w:val="24"/>
        </w:rPr>
        <w:t>Abu-Musa</w:t>
      </w:r>
      <w:r w:rsidR="00883191">
        <w:rPr>
          <w:rFonts w:cs="Times New Roman"/>
          <w:color w:val="000000" w:themeColor="text1"/>
          <w:szCs w:val="24"/>
        </w:rPr>
        <w:t xml:space="preserve"> et al., 2023)</w:t>
      </w:r>
      <w:r w:rsidRPr="00057744">
        <w:rPr>
          <w:rFonts w:cs="Times New Roman"/>
          <w:color w:val="000000" w:themeColor="text1"/>
          <w:szCs w:val="24"/>
        </w:rPr>
        <w:t xml:space="preserve">. </w:t>
      </w:r>
      <w:r w:rsidR="00E30CD9" w:rsidRPr="00E30CD9">
        <w:rPr>
          <w:rFonts w:cs="Times New Roman"/>
          <w:color w:val="000000" w:themeColor="text1"/>
          <w:szCs w:val="24"/>
          <w:highlight w:val="yellow"/>
        </w:rPr>
        <w:t>Innovation is the application of new ideas to the products, processes, or other aspects of the activities of a firm that lead to increased value. Innovation is the essential act for the growth and efficiency of any economic activity. Investment activities and their results are directly reliant on the kind of innovation that has been used</w:t>
      </w:r>
      <w:r w:rsidR="00694696">
        <w:rPr>
          <w:rFonts w:cs="Times New Roman"/>
          <w:color w:val="000000" w:themeColor="text1"/>
          <w:szCs w:val="24"/>
          <w:highlight w:val="yellow"/>
        </w:rPr>
        <w:t xml:space="preserve"> (</w:t>
      </w:r>
      <w:r w:rsidR="00694696" w:rsidRPr="007450B9">
        <w:rPr>
          <w:rFonts w:cs="Times New Roman"/>
          <w:color w:val="000000" w:themeColor="text1"/>
          <w:szCs w:val="24"/>
          <w:highlight w:val="yellow"/>
        </w:rPr>
        <w:t>Wangai et al., 2025</w:t>
      </w:r>
      <w:r w:rsidR="00D824B5" w:rsidRPr="007450B9">
        <w:rPr>
          <w:rFonts w:cs="Times New Roman"/>
          <w:color w:val="000000" w:themeColor="text1"/>
          <w:szCs w:val="24"/>
          <w:highlight w:val="yellow"/>
        </w:rPr>
        <w:t>; Elkmash &amp; Mohamed, 2025</w:t>
      </w:r>
      <w:r w:rsidR="00694696" w:rsidRPr="007450B9">
        <w:rPr>
          <w:rFonts w:cs="Times New Roman"/>
          <w:color w:val="000000" w:themeColor="text1"/>
          <w:szCs w:val="24"/>
          <w:highlight w:val="yellow"/>
        </w:rPr>
        <w:t>)</w:t>
      </w:r>
      <w:r w:rsidR="00E30CD9" w:rsidRPr="007450B9">
        <w:rPr>
          <w:rFonts w:cs="Times New Roman"/>
          <w:color w:val="000000" w:themeColor="text1"/>
          <w:szCs w:val="24"/>
          <w:highlight w:val="yellow"/>
        </w:rPr>
        <w:t xml:space="preserve">.  </w:t>
      </w:r>
      <w:r w:rsidRPr="007450B9">
        <w:rPr>
          <w:rFonts w:cs="Times New Roman"/>
          <w:color w:val="000000" w:themeColor="text1"/>
          <w:szCs w:val="24"/>
          <w:highlight w:val="yellow"/>
        </w:rPr>
        <w:t xml:space="preserve">Firms grow to achieve objectives such as increasing market share, </w:t>
      </w:r>
      <w:r w:rsidR="004E078C" w:rsidRPr="007450B9">
        <w:rPr>
          <w:rFonts w:cs="Times New Roman"/>
          <w:color w:val="000000" w:themeColor="text1"/>
          <w:szCs w:val="24"/>
          <w:highlight w:val="yellow"/>
        </w:rPr>
        <w:t xml:space="preserve">optimising </w:t>
      </w:r>
      <w:r w:rsidRPr="007450B9">
        <w:rPr>
          <w:rFonts w:cs="Times New Roman"/>
          <w:color w:val="000000" w:themeColor="text1"/>
          <w:szCs w:val="24"/>
          <w:highlight w:val="yellow"/>
        </w:rPr>
        <w:t>profits, and boosting sales. Expansion may occur internally by reinvesting profits to acquire new assets or externall</w:t>
      </w:r>
      <w:r w:rsidRPr="00057744">
        <w:rPr>
          <w:rFonts w:cs="Times New Roman"/>
          <w:color w:val="000000" w:themeColor="text1"/>
          <w:szCs w:val="24"/>
        </w:rPr>
        <w:t>y through mergers and partnerships (Frederiksen, 2023). Growth can be evaluated through both quantitative indicators—such as value creation, income levels, and sales volumes—and qualitative attributes</w:t>
      </w:r>
      <w:r w:rsidR="004E078C">
        <w:rPr>
          <w:rFonts w:cs="Times New Roman"/>
          <w:color w:val="000000" w:themeColor="text1"/>
          <w:szCs w:val="24"/>
        </w:rPr>
        <w:t>,</w:t>
      </w:r>
      <w:r w:rsidRPr="00057744">
        <w:rPr>
          <w:rFonts w:cs="Times New Roman"/>
          <w:color w:val="000000" w:themeColor="text1"/>
          <w:szCs w:val="24"/>
        </w:rPr>
        <w:t xml:space="preserve"> including customer satisfaction, market positioning, and product quality. A firm’s growth trajectory depends on whether expansion remains domestic or extends internationally, and whether it occurs through internal mechanisms or collaborative arrangements (Fernando </w:t>
      </w:r>
      <w:r w:rsidR="00A14C4D">
        <w:rPr>
          <w:rFonts w:cs="Times New Roman"/>
          <w:color w:val="000000" w:themeColor="text1"/>
          <w:szCs w:val="24"/>
        </w:rPr>
        <w:t>et al</w:t>
      </w:r>
      <w:r w:rsidRPr="00057744">
        <w:rPr>
          <w:rFonts w:cs="Times New Roman"/>
          <w:color w:val="000000" w:themeColor="text1"/>
          <w:szCs w:val="24"/>
        </w:rPr>
        <w:t>, 2022).</w:t>
      </w:r>
    </w:p>
    <w:p w14:paraId="7F05DCE6" w14:textId="0947A49A" w:rsidR="00057744" w:rsidRPr="00057744"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According to Otola (2020</w:t>
      </w:r>
      <w:r w:rsidRPr="007450B9">
        <w:rPr>
          <w:rFonts w:cs="Times New Roman"/>
          <w:color w:val="000000" w:themeColor="text1"/>
          <w:szCs w:val="24"/>
          <w:highlight w:val="yellow"/>
        </w:rPr>
        <w:t xml:space="preserve">), an </w:t>
      </w:r>
      <w:r w:rsidR="004E078C" w:rsidRPr="007450B9">
        <w:rPr>
          <w:rFonts w:cs="Times New Roman"/>
          <w:color w:val="000000" w:themeColor="text1"/>
          <w:szCs w:val="24"/>
          <w:highlight w:val="yellow"/>
        </w:rPr>
        <w:t xml:space="preserve">organisation’s </w:t>
      </w:r>
      <w:r w:rsidRPr="007450B9">
        <w:rPr>
          <w:rFonts w:cs="Times New Roman"/>
          <w:color w:val="000000" w:themeColor="text1"/>
          <w:szCs w:val="24"/>
          <w:highlight w:val="yellow"/>
        </w:rPr>
        <w:t>ability to grow is limited by th</w:t>
      </w:r>
      <w:r w:rsidRPr="00057744">
        <w:rPr>
          <w:rFonts w:cs="Times New Roman"/>
          <w:color w:val="000000" w:themeColor="text1"/>
          <w:szCs w:val="24"/>
        </w:rPr>
        <w:t xml:space="preserve">e availability and efficiency of core resources—managers, employees, agents, financial capital, technology, and physical capacity. Deficiencies in any single resource may constrain growth. For insurance firms, resource adequacy is particularly critical because their expansion depends on surplus accumulation, the value of active business, and the productivity of distribution networks. Optimal growth is achieved when yearly additions to net worth </w:t>
      </w:r>
      <w:r w:rsidRPr="007450B9">
        <w:rPr>
          <w:rFonts w:cs="Times New Roman"/>
          <w:color w:val="000000" w:themeColor="text1"/>
          <w:szCs w:val="24"/>
          <w:highlight w:val="yellow"/>
        </w:rPr>
        <w:t xml:space="preserve">are </w:t>
      </w:r>
      <w:r w:rsidR="004E078C" w:rsidRPr="007450B9">
        <w:rPr>
          <w:rFonts w:cs="Times New Roman"/>
          <w:color w:val="000000" w:themeColor="text1"/>
          <w:szCs w:val="24"/>
          <w:highlight w:val="yellow"/>
        </w:rPr>
        <w:t>maximised</w:t>
      </w:r>
      <w:r w:rsidR="004E078C" w:rsidRPr="00057744">
        <w:rPr>
          <w:rFonts w:cs="Times New Roman"/>
          <w:color w:val="000000" w:themeColor="text1"/>
          <w:szCs w:val="24"/>
        </w:rPr>
        <w:t xml:space="preserve"> </w:t>
      </w:r>
      <w:r w:rsidRPr="00057744">
        <w:rPr>
          <w:rFonts w:cs="Times New Roman"/>
          <w:color w:val="000000" w:themeColor="text1"/>
          <w:szCs w:val="24"/>
        </w:rPr>
        <w:t xml:space="preserve">without surpassing surplus constraints. Many insurance companies pursue rapid expansion to reduce unit costs, using different indicators to measure progress. These include premium revenue, assets held, life insurance in force, and earnings per share for stock-based insurers (Tarsono </w:t>
      </w:r>
      <w:r w:rsidR="00A14C4D">
        <w:rPr>
          <w:rFonts w:cs="Times New Roman"/>
          <w:color w:val="000000" w:themeColor="text1"/>
          <w:szCs w:val="24"/>
        </w:rPr>
        <w:t>et al</w:t>
      </w:r>
      <w:r w:rsidRPr="00057744">
        <w:rPr>
          <w:rFonts w:cs="Times New Roman"/>
          <w:color w:val="000000" w:themeColor="text1"/>
          <w:szCs w:val="24"/>
        </w:rPr>
        <w:t>, 2020). In this study, premium growth is adopted as the measure of growth.</w:t>
      </w:r>
    </w:p>
    <w:p w14:paraId="36D920AD" w14:textId="77777777" w:rsidR="00057744" w:rsidRPr="00057744"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Premiums refer to payments made by policyholders in exchange for insurance coverage over a defined duration. Premium growth represents the annual change in total premiums and reflects the insurance sector’s penetration in an economy. Premiums consist of the rate applied to insured units of exposure. According to Abass Dansu and Oyetayo (2022), premium levels must cover claims, management expenses, sales costs, insurer profits, and reinsurance charges. Because premiums constitute a key revenue source, their growth indicates the sector’s overall health and its contribution to GDP. Insurance firms with high premium growth and low claims ratios typically perform better (Islam &amp; Layth, 2020).</w:t>
      </w:r>
    </w:p>
    <w:p w14:paraId="73430791" w14:textId="1C8267B6" w:rsidR="00057744" w:rsidRPr="00057744"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 xml:space="preserve">Kenya’s insurance industry has experienced inconsistent premium growth. Premium expansion slowed from 19.8% in 2014 to 9.9% in 2016, declined by -0.02% in 2018, and dropped further to -0.5% in 2020 (IRA, 2020). Some insurers have competitively reduced premium rates to gain market share, limiting their revenue and weakening their capacity to cover risk (Kang’e et al., 2020). This practice has contributed to poor industry performance. In 2020, the Insurance Regulatory Authority began revising premium tariffs </w:t>
      </w:r>
      <w:r w:rsidRPr="007450B9">
        <w:rPr>
          <w:rFonts w:cs="Times New Roman"/>
          <w:color w:val="000000" w:themeColor="text1"/>
          <w:szCs w:val="24"/>
          <w:highlight w:val="yellow"/>
        </w:rPr>
        <w:t xml:space="preserve">to </w:t>
      </w:r>
      <w:r w:rsidR="004E078C" w:rsidRPr="007450B9">
        <w:rPr>
          <w:rFonts w:cs="Times New Roman"/>
          <w:color w:val="000000" w:themeColor="text1"/>
          <w:szCs w:val="24"/>
          <w:highlight w:val="yellow"/>
        </w:rPr>
        <w:t xml:space="preserve">stabilise </w:t>
      </w:r>
      <w:r w:rsidRPr="007450B9">
        <w:rPr>
          <w:rFonts w:cs="Times New Roman"/>
          <w:color w:val="000000" w:themeColor="text1"/>
          <w:szCs w:val="24"/>
          <w:highlight w:val="yellow"/>
        </w:rPr>
        <w:t>un</w:t>
      </w:r>
      <w:r w:rsidRPr="00057744">
        <w:rPr>
          <w:rFonts w:cs="Times New Roman"/>
          <w:color w:val="000000" w:themeColor="text1"/>
          <w:szCs w:val="24"/>
        </w:rPr>
        <w:t>derwriting margins (IRA Report, 2020). Persistently low premium growth signals weak insurance penetration and reduces the sector’s overall contribution to GDP.</w:t>
      </w:r>
    </w:p>
    <w:p w14:paraId="793FC24E" w14:textId="77D6307F" w:rsidR="00FD6D61"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 xml:space="preserve">GDP represents the total monetary value of all final goods and services produced within a country over a given period, excluding resale of previously produced items (Egbunike &amp; Okerekeoti, 2019). It is a key macroeconomic indicator reflecting national economic health. Economic variables such as GDP, interest rates, and taxation influence business operations even though firms have limited control over them (Harris &amp; Adam, 2019). These external factors </w:t>
      </w:r>
      <w:r w:rsidRPr="00057744">
        <w:rPr>
          <w:rFonts w:cs="Times New Roman"/>
          <w:color w:val="000000" w:themeColor="text1"/>
          <w:szCs w:val="24"/>
        </w:rPr>
        <w:lastRenderedPageBreak/>
        <w:t>may generate opportunities or threats (Egbunike &amp; Okerekeoti, 2019). Business leaders</w:t>
      </w:r>
      <w:r w:rsidR="004E078C">
        <w:rPr>
          <w:rFonts w:cs="Times New Roman"/>
          <w:color w:val="000000" w:themeColor="text1"/>
          <w:szCs w:val="24"/>
        </w:rPr>
        <w:t>,</w:t>
      </w:r>
      <w:r w:rsidRPr="00057744">
        <w:rPr>
          <w:rFonts w:cs="Times New Roman"/>
          <w:color w:val="000000" w:themeColor="text1"/>
          <w:szCs w:val="24"/>
        </w:rPr>
        <w:t xml:space="preserve"> therefore</w:t>
      </w:r>
      <w:r w:rsidR="004E078C">
        <w:rPr>
          <w:rFonts w:cs="Times New Roman"/>
          <w:color w:val="000000" w:themeColor="text1"/>
          <w:szCs w:val="24"/>
        </w:rPr>
        <w:t>,</w:t>
      </w:r>
      <w:r w:rsidRPr="00057744">
        <w:rPr>
          <w:rFonts w:cs="Times New Roman"/>
          <w:color w:val="000000" w:themeColor="text1"/>
          <w:szCs w:val="24"/>
        </w:rPr>
        <w:t xml:space="preserve"> need to understand macroeconomic dynamics and anticipate their potential implications (Nyangor, 2020). GDP also reflects the aggregated profits of enterprises within an economy; higher GDP improves conditions for individual firms, though policy biases may favour some firms over others. Proactive planning enables firms to mitigate risks and exploit economic opportunities (Nyangor, 2020). In this study, </w:t>
      </w:r>
      <w:r w:rsidR="004E078C">
        <w:rPr>
          <w:rFonts w:cs="Times New Roman"/>
          <w:color w:val="000000" w:themeColor="text1"/>
          <w:szCs w:val="24"/>
        </w:rPr>
        <w:t xml:space="preserve">the </w:t>
      </w:r>
      <w:r w:rsidRPr="00057744">
        <w:rPr>
          <w:rFonts w:cs="Times New Roman"/>
          <w:color w:val="000000" w:themeColor="text1"/>
          <w:szCs w:val="24"/>
        </w:rPr>
        <w:t>GDP growth rate serves as the proxy for GDP.</w:t>
      </w:r>
    </w:p>
    <w:p w14:paraId="379363B9" w14:textId="51D17AB2" w:rsidR="00057744" w:rsidRPr="00057744"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 xml:space="preserve">Insurance companies in Kenya operate under regulations issued by the Insurance Regulatory Authority (IRA) in accordance with the Insurance Act (Ngugi, 2021). Section 184 of the Act </w:t>
      </w:r>
      <w:r w:rsidR="004E078C" w:rsidRPr="007450B9">
        <w:rPr>
          <w:rFonts w:cs="Times New Roman"/>
          <w:color w:val="000000" w:themeColor="text1"/>
          <w:szCs w:val="24"/>
          <w:highlight w:val="yellow"/>
        </w:rPr>
        <w:t xml:space="preserve">authorises </w:t>
      </w:r>
      <w:r w:rsidRPr="007450B9">
        <w:rPr>
          <w:rFonts w:cs="Times New Roman"/>
          <w:color w:val="000000" w:themeColor="text1"/>
          <w:szCs w:val="24"/>
          <w:highlight w:val="yellow"/>
        </w:rPr>
        <w:t>a wide range of insurance-related entities, including brokers, agents, insurers, assessors, reinsurers, and claims-settling agents (IRA</w:t>
      </w:r>
      <w:r w:rsidRPr="00057744">
        <w:rPr>
          <w:rFonts w:cs="Times New Roman"/>
          <w:color w:val="000000" w:themeColor="text1"/>
          <w:szCs w:val="24"/>
        </w:rPr>
        <w:t xml:space="preserve"> Report, 2020). The Association of Kenya Insurers (AKI), formed in 1987, provides consultative and self-regulatory functions for insurers (Kiptoo et al., 2021). Kenya has long-term insurers offering products such as life and pensions, composite insurers offering health and general insurance, and general insurers providing financial and motor coverage (Ngugi, 2021).</w:t>
      </w:r>
    </w:p>
    <w:p w14:paraId="01D483E5" w14:textId="6F0F8047" w:rsidR="00057744" w:rsidRPr="007A56B8"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Despite regulatory oversight, insurer performance in Nairobi County has declined, marked by low customer patronage, reduced productivity, and diminishing revenues (IRA, 2019). While motor insurance is compulsory in Kenya, the industry still faces persistent challenges. Several firms—including Invesco Assurance, Allianz, Trident, Cannon, Resolution General, and First Assurance—have reported continuous losses since 2015 (Morara &amp; Sibindi, 2021). Underwriting losses ranging from Ksh 1bn to Ksh 3.2bn were recorded between 2016 and 2020 (IRA Report, 2020). Losses have also been prevalent in classes such as fire</w:t>
      </w:r>
      <w:r w:rsidR="004E078C">
        <w:rPr>
          <w:rFonts w:cs="Times New Roman"/>
          <w:color w:val="000000" w:themeColor="text1"/>
          <w:szCs w:val="24"/>
        </w:rPr>
        <w:t>,</w:t>
      </w:r>
      <w:r w:rsidRPr="00057744">
        <w:rPr>
          <w:rFonts w:cs="Times New Roman"/>
          <w:color w:val="000000" w:themeColor="text1"/>
          <w:szCs w:val="24"/>
        </w:rPr>
        <w:t xml:space="preserve"> domestic, medical, and motor insurance (Ngunguni, Misango &amp; Osiro, 2020). As a result, the insurance sector’s GDP contribution has steadily declined from 3.4% in 2013 to 2.31% in 2020 (Kamau et al., 2021).</w:t>
      </w:r>
    </w:p>
    <w:p w14:paraId="48C38FDC" w14:textId="6CD37EFA" w:rsidR="00055D83" w:rsidRPr="00D352C1" w:rsidRDefault="00055D83" w:rsidP="00CE4C91">
      <w:pPr>
        <w:shd w:val="clear" w:color="auto" w:fill="FFFFFF"/>
        <w:spacing w:line="240" w:lineRule="auto"/>
        <w:rPr>
          <w:rFonts w:eastAsia="Times New Roman" w:cs="Times New Roman"/>
          <w:b/>
          <w:bCs/>
          <w:i/>
          <w:iCs/>
          <w:color w:val="000000" w:themeColor="text1"/>
          <w:sz w:val="28"/>
          <w:szCs w:val="28"/>
        </w:rPr>
      </w:pPr>
      <w:r w:rsidRPr="00D352C1">
        <w:rPr>
          <w:rFonts w:eastAsia="Times New Roman" w:cs="Times New Roman"/>
          <w:b/>
          <w:bCs/>
          <w:i/>
          <w:iCs/>
          <w:color w:val="000000" w:themeColor="text1"/>
          <w:sz w:val="28"/>
          <w:szCs w:val="28"/>
        </w:rPr>
        <w:t>Research Problem</w:t>
      </w:r>
    </w:p>
    <w:p w14:paraId="3DAFB0FD" w14:textId="5C135E62" w:rsidR="00057744" w:rsidRPr="00057744" w:rsidRDefault="00057744" w:rsidP="00057744">
      <w:pPr>
        <w:spacing w:after="240" w:line="240" w:lineRule="auto"/>
        <w:rPr>
          <w:rFonts w:cs="Times New Roman"/>
          <w:color w:val="000000" w:themeColor="text1"/>
          <w:szCs w:val="24"/>
        </w:rPr>
      </w:pPr>
      <w:r w:rsidRPr="00057744">
        <w:rPr>
          <w:rFonts w:cs="Times New Roman"/>
          <w:color w:val="000000" w:themeColor="text1"/>
          <w:szCs w:val="24"/>
        </w:rPr>
        <w:t xml:space="preserve">The insurance sector plays a vital role in stimulating economic activity by </w:t>
      </w:r>
      <w:r w:rsidRPr="007450B9">
        <w:rPr>
          <w:rFonts w:cs="Times New Roman"/>
          <w:color w:val="000000" w:themeColor="text1"/>
          <w:szCs w:val="24"/>
          <w:highlight w:val="yellow"/>
        </w:rPr>
        <w:t xml:space="preserve">reducing uncertainty, </w:t>
      </w:r>
      <w:r w:rsidR="004E078C" w:rsidRPr="007450B9">
        <w:rPr>
          <w:rFonts w:cs="Times New Roman"/>
          <w:color w:val="000000" w:themeColor="text1"/>
          <w:szCs w:val="24"/>
          <w:highlight w:val="yellow"/>
        </w:rPr>
        <w:t xml:space="preserve">optimising </w:t>
      </w:r>
      <w:r w:rsidRPr="007450B9">
        <w:rPr>
          <w:rFonts w:cs="Times New Roman"/>
          <w:color w:val="000000" w:themeColor="text1"/>
          <w:szCs w:val="24"/>
          <w:highlight w:val="yellow"/>
        </w:rPr>
        <w:t xml:space="preserve">capital use, and safeguarding financial stability for individuals and </w:t>
      </w:r>
      <w:r w:rsidR="004E078C" w:rsidRPr="007450B9">
        <w:rPr>
          <w:rFonts w:cs="Times New Roman"/>
          <w:color w:val="000000" w:themeColor="text1"/>
          <w:szCs w:val="24"/>
          <w:highlight w:val="yellow"/>
        </w:rPr>
        <w:t>organisations</w:t>
      </w:r>
      <w:r w:rsidRPr="007450B9">
        <w:rPr>
          <w:rFonts w:cs="Times New Roman"/>
          <w:color w:val="000000" w:themeColor="text1"/>
          <w:szCs w:val="24"/>
          <w:highlight w:val="yellow"/>
        </w:rPr>
        <w:t xml:space="preserve">. While these functions are well established in advanced economies, Kenya’s insurance industry has not </w:t>
      </w:r>
      <w:r w:rsidR="004E078C" w:rsidRPr="007450B9">
        <w:rPr>
          <w:rFonts w:cs="Times New Roman"/>
          <w:color w:val="000000" w:themeColor="text1"/>
          <w:szCs w:val="24"/>
          <w:highlight w:val="yellow"/>
        </w:rPr>
        <w:t xml:space="preserve">realised </w:t>
      </w:r>
      <w:r w:rsidRPr="007450B9">
        <w:rPr>
          <w:rFonts w:cs="Times New Roman"/>
          <w:color w:val="000000" w:themeColor="text1"/>
          <w:szCs w:val="24"/>
          <w:highlight w:val="yellow"/>
        </w:rPr>
        <w:t>similar outcomes (Morara &amp; Sibindi, 2021). Persistent underwriting losses reflect this challenge, with reported</w:t>
      </w:r>
      <w:r w:rsidRPr="00057744">
        <w:rPr>
          <w:rFonts w:cs="Times New Roman"/>
          <w:color w:val="000000" w:themeColor="text1"/>
          <w:szCs w:val="24"/>
        </w:rPr>
        <w:t xml:space="preserve"> deficits of Ksh 2.1bn, Ksh 1bn, Ksh 2.6bn, Ksh 3.2bn, and Ksh 1.2bn for 2016–2020</w:t>
      </w:r>
      <w:r w:rsidR="004E078C">
        <w:rPr>
          <w:rFonts w:cs="Times New Roman"/>
          <w:color w:val="000000" w:themeColor="text1"/>
          <w:szCs w:val="24"/>
        </w:rPr>
        <w:t>,</w:t>
      </w:r>
      <w:r w:rsidRPr="00057744">
        <w:rPr>
          <w:rFonts w:cs="Times New Roman"/>
          <w:color w:val="000000" w:themeColor="text1"/>
          <w:szCs w:val="24"/>
        </w:rPr>
        <w:t xml:space="preserve"> respectively (IRA, 2020). Such poor performance has been linked to inadequate attention to firm characteristics and weak operational indices. Odhiambo (2020) attributes the slow growth of Kenyan insurers to intense competition and unfavourable firm attributes, underscoring the need to examine how these features influence performance.</w:t>
      </w:r>
    </w:p>
    <w:p w14:paraId="1825B301" w14:textId="77777777" w:rsidR="00057744" w:rsidRPr="00057744" w:rsidRDefault="00057744" w:rsidP="00057744">
      <w:pPr>
        <w:spacing w:after="240" w:line="240" w:lineRule="auto"/>
        <w:rPr>
          <w:rFonts w:cs="Times New Roman"/>
          <w:color w:val="000000" w:themeColor="text1"/>
          <w:szCs w:val="24"/>
        </w:rPr>
      </w:pPr>
    </w:p>
    <w:p w14:paraId="27FDC211" w14:textId="6D741252" w:rsidR="00BD15A0" w:rsidRPr="007A56B8" w:rsidRDefault="00057744" w:rsidP="00057744">
      <w:pPr>
        <w:spacing w:after="240" w:line="240" w:lineRule="auto"/>
        <w:rPr>
          <w:rFonts w:cs="Times New Roman"/>
          <w:b/>
          <w:szCs w:val="24"/>
        </w:rPr>
      </w:pPr>
      <w:r w:rsidRPr="00057744">
        <w:rPr>
          <w:rFonts w:cs="Times New Roman"/>
          <w:color w:val="000000" w:themeColor="text1"/>
          <w:szCs w:val="24"/>
        </w:rPr>
        <w:t xml:space="preserve">Existing studies show mixed findings across different contexts. Arhinful and Radmehr (2023) found that financial leverage adversely affects the performance of Tokyo Stock Exchange-listed firms, whereas Msomi and Nyide (2021) </w:t>
      </w:r>
      <w:r w:rsidRPr="007450B9">
        <w:rPr>
          <w:rFonts w:cs="Times New Roman"/>
          <w:color w:val="000000" w:themeColor="text1"/>
          <w:szCs w:val="24"/>
          <w:highlight w:val="yellow"/>
        </w:rPr>
        <w:t xml:space="preserve">reported significant effects of firm attributes on non-life insurers in South Africa. In Nigeria, Maduabuchi and Ndubuisi (2021) revealed </w:t>
      </w:r>
      <w:r w:rsidR="004E078C" w:rsidRPr="007450B9">
        <w:rPr>
          <w:rFonts w:cs="Times New Roman"/>
          <w:color w:val="000000" w:themeColor="text1"/>
          <w:szCs w:val="24"/>
          <w:highlight w:val="yellow"/>
        </w:rPr>
        <w:t xml:space="preserve">the </w:t>
      </w:r>
      <w:r w:rsidRPr="007450B9">
        <w:rPr>
          <w:rFonts w:cs="Times New Roman"/>
          <w:color w:val="000000" w:themeColor="text1"/>
          <w:szCs w:val="24"/>
          <w:highlight w:val="yellow"/>
        </w:rPr>
        <w:t>negative effects of revenue growth and liquidity on capital structure. However, these studies reflect environments substantially different from Kenya. Local evidence remains limited, though studies by Kamau et al. (2021), Kamau (2022), and Mutua et</w:t>
      </w:r>
      <w:r w:rsidRPr="00057744">
        <w:rPr>
          <w:rFonts w:cs="Times New Roman"/>
          <w:color w:val="000000" w:themeColor="text1"/>
          <w:szCs w:val="24"/>
        </w:rPr>
        <w:t xml:space="preserve"> al. (2023) highlight the effects of leverage, liquidity, equity capital, underwriting risk, and insurance risks moderated by GDP</w:t>
      </w:r>
      <w:r w:rsidR="00717F18" w:rsidRPr="00717F18">
        <w:rPr>
          <w:rFonts w:cs="Times New Roman"/>
          <w:color w:val="000000" w:themeColor="text1"/>
          <w:szCs w:val="24"/>
        </w:rPr>
        <w:t>.</w:t>
      </w:r>
      <w:r w:rsidR="00BD15A0" w:rsidRPr="007A56B8">
        <w:rPr>
          <w:rFonts w:cs="Times New Roman"/>
          <w:b/>
          <w:szCs w:val="24"/>
        </w:rPr>
        <w:t xml:space="preserve"> </w:t>
      </w:r>
    </w:p>
    <w:p w14:paraId="7860FC20" w14:textId="14987297" w:rsidR="00055D83" w:rsidRPr="00D352C1" w:rsidRDefault="00055D83" w:rsidP="00E5141C">
      <w:pPr>
        <w:spacing w:line="240" w:lineRule="auto"/>
        <w:rPr>
          <w:rFonts w:cs="Times New Roman"/>
          <w:b/>
          <w:bCs/>
          <w:i/>
          <w:iCs/>
          <w:color w:val="000000" w:themeColor="text1"/>
          <w:sz w:val="28"/>
          <w:szCs w:val="28"/>
        </w:rPr>
      </w:pPr>
      <w:r w:rsidRPr="00D352C1">
        <w:rPr>
          <w:rFonts w:cs="Times New Roman"/>
          <w:b/>
          <w:bCs/>
          <w:i/>
          <w:iCs/>
          <w:color w:val="000000" w:themeColor="text1"/>
          <w:sz w:val="28"/>
          <w:szCs w:val="28"/>
        </w:rPr>
        <w:t>Research Objective</w:t>
      </w:r>
    </w:p>
    <w:p w14:paraId="3A006523" w14:textId="6E18C4A5"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w:t>
      </w:r>
      <w:r w:rsidR="004E078C">
        <w:rPr>
          <w:rFonts w:cs="Times New Roman"/>
          <w:color w:val="000000" w:themeColor="text1"/>
          <w:szCs w:val="24"/>
        </w:rPr>
        <w:t>:</w:t>
      </w:r>
      <w:r w:rsidRPr="007A56B8">
        <w:rPr>
          <w:rFonts w:cs="Times New Roman"/>
          <w:color w:val="000000" w:themeColor="text1"/>
          <w:szCs w:val="24"/>
        </w:rPr>
        <w:t xml:space="preserve"> to</w:t>
      </w:r>
      <w:r w:rsidR="00784B96" w:rsidRPr="007A56B8">
        <w:rPr>
          <w:rFonts w:cs="Times New Roman"/>
          <w:color w:val="000000" w:themeColor="text1"/>
          <w:szCs w:val="24"/>
        </w:rPr>
        <w:t xml:space="preserve"> </w:t>
      </w:r>
      <w:r w:rsidR="00057744" w:rsidRPr="007450B9">
        <w:rPr>
          <w:rFonts w:cs="Times New Roman"/>
          <w:color w:val="000000" w:themeColor="text1"/>
          <w:szCs w:val="24"/>
          <w:highlight w:val="yellow"/>
        </w:rPr>
        <w:t xml:space="preserve">determine </w:t>
      </w:r>
      <w:r w:rsidR="004E078C" w:rsidRPr="007450B9">
        <w:rPr>
          <w:rFonts w:cs="Times New Roman"/>
          <w:color w:val="000000" w:themeColor="text1"/>
          <w:szCs w:val="24"/>
          <w:highlight w:val="yellow"/>
        </w:rPr>
        <w:t xml:space="preserve">the </w:t>
      </w:r>
      <w:r w:rsidR="00057744" w:rsidRPr="007450B9">
        <w:rPr>
          <w:rFonts w:cs="Times New Roman"/>
          <w:color w:val="000000" w:themeColor="text1"/>
          <w:szCs w:val="24"/>
          <w:highlight w:val="yellow"/>
        </w:rPr>
        <w:t xml:space="preserve">effect of firm characteristics on </w:t>
      </w:r>
      <w:r w:rsidR="004E078C" w:rsidRPr="007450B9">
        <w:rPr>
          <w:rFonts w:cs="Times New Roman"/>
          <w:color w:val="000000" w:themeColor="text1"/>
          <w:szCs w:val="24"/>
          <w:highlight w:val="yellow"/>
        </w:rPr>
        <w:t xml:space="preserve">the </w:t>
      </w:r>
      <w:r w:rsidR="00057744" w:rsidRPr="007450B9">
        <w:rPr>
          <w:rFonts w:cs="Times New Roman"/>
          <w:color w:val="000000" w:themeColor="text1"/>
          <w:szCs w:val="24"/>
          <w:highlight w:val="yellow"/>
        </w:rPr>
        <w:t>growth of general insurance companies in Kenya</w:t>
      </w:r>
      <w:r w:rsidR="00D54CAA" w:rsidRPr="007450B9">
        <w:rPr>
          <w:rFonts w:cs="Times New Roman"/>
          <w:color w:val="000000" w:themeColor="text1"/>
          <w:szCs w:val="24"/>
          <w:highlight w:val="yellow"/>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496D3DFD" w14:textId="61DBDFE1" w:rsidR="00057744" w:rsidRPr="007450B9" w:rsidRDefault="00057744" w:rsidP="00057744">
      <w:pPr>
        <w:pStyle w:val="ListParagraph"/>
        <w:numPr>
          <w:ilvl w:val="0"/>
          <w:numId w:val="24"/>
        </w:numPr>
        <w:spacing w:before="0"/>
        <w:rPr>
          <w:rFonts w:ascii="Times New Roman" w:hAnsi="Times New Roman"/>
          <w:sz w:val="24"/>
          <w:szCs w:val="24"/>
          <w:highlight w:val="yellow"/>
        </w:rPr>
      </w:pPr>
      <w:r w:rsidRPr="00057744">
        <w:rPr>
          <w:rFonts w:ascii="Times New Roman" w:hAnsi="Times New Roman"/>
          <w:sz w:val="24"/>
          <w:szCs w:val="24"/>
        </w:rPr>
        <w:lastRenderedPageBreak/>
        <w:t xml:space="preserve">To determine the effect of equity </w:t>
      </w:r>
      <w:r w:rsidRPr="007450B9">
        <w:rPr>
          <w:rFonts w:ascii="Times New Roman" w:hAnsi="Times New Roman"/>
          <w:sz w:val="24"/>
          <w:szCs w:val="24"/>
          <w:highlight w:val="yellow"/>
        </w:rPr>
        <w:t xml:space="preserve">capital on </w:t>
      </w:r>
      <w:r w:rsidR="004E078C" w:rsidRPr="007450B9">
        <w:rPr>
          <w:rFonts w:ascii="Times New Roman" w:hAnsi="Times New Roman"/>
          <w:sz w:val="24"/>
          <w:szCs w:val="24"/>
          <w:highlight w:val="yellow"/>
        </w:rPr>
        <w:t xml:space="preserve">the </w:t>
      </w:r>
      <w:r w:rsidRPr="007450B9">
        <w:rPr>
          <w:rFonts w:ascii="Times New Roman" w:hAnsi="Times New Roman"/>
          <w:sz w:val="24"/>
          <w:szCs w:val="24"/>
          <w:highlight w:val="yellow"/>
        </w:rPr>
        <w:t>growth of general insurance companies in Kenya.</w:t>
      </w:r>
    </w:p>
    <w:p w14:paraId="7EEFEBEC" w14:textId="4B28B193" w:rsidR="00057744" w:rsidRPr="007450B9" w:rsidRDefault="00057744" w:rsidP="00057744">
      <w:pPr>
        <w:pStyle w:val="ListParagraph"/>
        <w:numPr>
          <w:ilvl w:val="0"/>
          <w:numId w:val="24"/>
        </w:numPr>
        <w:spacing w:before="0"/>
        <w:rPr>
          <w:rFonts w:ascii="Times New Roman" w:hAnsi="Times New Roman"/>
          <w:sz w:val="24"/>
          <w:szCs w:val="24"/>
          <w:highlight w:val="yellow"/>
        </w:rPr>
      </w:pPr>
      <w:r w:rsidRPr="007450B9">
        <w:rPr>
          <w:rFonts w:ascii="Times New Roman" w:hAnsi="Times New Roman"/>
          <w:sz w:val="24"/>
          <w:szCs w:val="24"/>
          <w:highlight w:val="yellow"/>
        </w:rPr>
        <w:t xml:space="preserve">To examine the effect of firm leverage on </w:t>
      </w:r>
      <w:r w:rsidR="004E078C" w:rsidRPr="007450B9">
        <w:rPr>
          <w:rFonts w:ascii="Times New Roman" w:hAnsi="Times New Roman"/>
          <w:sz w:val="24"/>
          <w:szCs w:val="24"/>
          <w:highlight w:val="yellow"/>
        </w:rPr>
        <w:t xml:space="preserve">the </w:t>
      </w:r>
      <w:r w:rsidRPr="007450B9">
        <w:rPr>
          <w:rFonts w:ascii="Times New Roman" w:hAnsi="Times New Roman"/>
          <w:sz w:val="24"/>
          <w:szCs w:val="24"/>
          <w:highlight w:val="yellow"/>
        </w:rPr>
        <w:t>growth of general insurance companies in Kenya.</w:t>
      </w:r>
    </w:p>
    <w:p w14:paraId="553AB4D8" w14:textId="73313163" w:rsidR="00057744" w:rsidRPr="007450B9" w:rsidRDefault="00057744" w:rsidP="00057744">
      <w:pPr>
        <w:pStyle w:val="ListParagraph"/>
        <w:numPr>
          <w:ilvl w:val="0"/>
          <w:numId w:val="24"/>
        </w:numPr>
        <w:spacing w:before="0"/>
        <w:rPr>
          <w:rFonts w:ascii="Times New Roman" w:hAnsi="Times New Roman"/>
          <w:sz w:val="24"/>
          <w:szCs w:val="24"/>
          <w:highlight w:val="yellow"/>
        </w:rPr>
      </w:pPr>
      <w:r w:rsidRPr="007450B9">
        <w:rPr>
          <w:rFonts w:ascii="Times New Roman" w:hAnsi="Times New Roman"/>
          <w:sz w:val="24"/>
          <w:szCs w:val="24"/>
          <w:highlight w:val="yellow"/>
        </w:rPr>
        <w:t xml:space="preserve">To examine the effect of liquidity on </w:t>
      </w:r>
      <w:r w:rsidR="004E078C" w:rsidRPr="007450B9">
        <w:rPr>
          <w:rFonts w:ascii="Times New Roman" w:hAnsi="Times New Roman"/>
          <w:sz w:val="24"/>
          <w:szCs w:val="24"/>
          <w:highlight w:val="yellow"/>
        </w:rPr>
        <w:t xml:space="preserve">the </w:t>
      </w:r>
      <w:r w:rsidRPr="007450B9">
        <w:rPr>
          <w:rFonts w:ascii="Times New Roman" w:hAnsi="Times New Roman"/>
          <w:sz w:val="24"/>
          <w:szCs w:val="24"/>
          <w:highlight w:val="yellow"/>
        </w:rPr>
        <w:t>growth of general insurance companies in Kenya.</w:t>
      </w:r>
    </w:p>
    <w:p w14:paraId="4838A2E7" w14:textId="41408CC4" w:rsidR="00057744" w:rsidRPr="007450B9" w:rsidRDefault="00057744" w:rsidP="00057744">
      <w:pPr>
        <w:pStyle w:val="ListParagraph"/>
        <w:numPr>
          <w:ilvl w:val="0"/>
          <w:numId w:val="24"/>
        </w:numPr>
        <w:spacing w:before="0"/>
        <w:rPr>
          <w:rFonts w:ascii="Times New Roman" w:hAnsi="Times New Roman"/>
          <w:sz w:val="24"/>
          <w:szCs w:val="24"/>
          <w:highlight w:val="yellow"/>
        </w:rPr>
      </w:pPr>
      <w:r w:rsidRPr="007450B9">
        <w:rPr>
          <w:rFonts w:ascii="Times New Roman" w:hAnsi="Times New Roman"/>
          <w:sz w:val="24"/>
          <w:szCs w:val="24"/>
          <w:highlight w:val="yellow"/>
        </w:rPr>
        <w:t xml:space="preserve">To evaluate the effect of operational efficiency on </w:t>
      </w:r>
      <w:r w:rsidR="004E078C" w:rsidRPr="007450B9">
        <w:rPr>
          <w:rFonts w:ascii="Times New Roman" w:hAnsi="Times New Roman"/>
          <w:sz w:val="24"/>
          <w:szCs w:val="24"/>
          <w:highlight w:val="yellow"/>
        </w:rPr>
        <w:t xml:space="preserve">the </w:t>
      </w:r>
      <w:r w:rsidRPr="007450B9">
        <w:rPr>
          <w:rFonts w:ascii="Times New Roman" w:hAnsi="Times New Roman"/>
          <w:sz w:val="24"/>
          <w:szCs w:val="24"/>
          <w:highlight w:val="yellow"/>
        </w:rPr>
        <w:t>growth of general insurance companies in Kenya.</w:t>
      </w:r>
    </w:p>
    <w:p w14:paraId="3FCE48FE" w14:textId="2A643898" w:rsidR="00057744" w:rsidRPr="007450B9" w:rsidRDefault="00057744" w:rsidP="00057744">
      <w:pPr>
        <w:pStyle w:val="ListParagraph"/>
        <w:numPr>
          <w:ilvl w:val="0"/>
          <w:numId w:val="24"/>
        </w:numPr>
        <w:spacing w:before="0"/>
        <w:rPr>
          <w:rFonts w:ascii="Times New Roman" w:hAnsi="Times New Roman"/>
          <w:sz w:val="24"/>
          <w:szCs w:val="24"/>
          <w:highlight w:val="yellow"/>
        </w:rPr>
      </w:pPr>
      <w:r w:rsidRPr="007450B9">
        <w:rPr>
          <w:rFonts w:ascii="Times New Roman" w:hAnsi="Times New Roman"/>
          <w:sz w:val="24"/>
          <w:szCs w:val="24"/>
          <w:highlight w:val="yellow"/>
        </w:rPr>
        <w:t xml:space="preserve">To determine the moderating effect of Growth Domestic Product on the relationship between firm characteristics and </w:t>
      </w:r>
      <w:r w:rsidR="004E078C" w:rsidRPr="007450B9">
        <w:rPr>
          <w:rFonts w:ascii="Times New Roman" w:hAnsi="Times New Roman"/>
          <w:sz w:val="24"/>
          <w:szCs w:val="24"/>
          <w:highlight w:val="yellow"/>
        </w:rPr>
        <w:t xml:space="preserve">the </w:t>
      </w:r>
      <w:r w:rsidRPr="007450B9">
        <w:rPr>
          <w:rFonts w:ascii="Times New Roman" w:hAnsi="Times New Roman"/>
          <w:sz w:val="24"/>
          <w:szCs w:val="24"/>
          <w:highlight w:val="yellow"/>
        </w:rPr>
        <w:t>growth of general insurance companies in Kenya.</w:t>
      </w:r>
    </w:p>
    <w:p w14:paraId="0F2B85EF" w14:textId="77777777" w:rsidR="00BF7D69" w:rsidRDefault="0052143B" w:rsidP="00BF7D69">
      <w:pPr>
        <w:spacing w:before="0"/>
        <w:rPr>
          <w:b/>
          <w:bCs/>
          <w:i/>
          <w:iCs/>
          <w:sz w:val="28"/>
          <w:szCs w:val="24"/>
        </w:rPr>
      </w:pPr>
      <w:r w:rsidRPr="00AD51A6">
        <w:rPr>
          <w:b/>
          <w:bCs/>
          <w:i/>
          <w:iCs/>
          <w:sz w:val="28"/>
          <w:szCs w:val="24"/>
        </w:rPr>
        <w:t>Significance of the Study</w:t>
      </w:r>
    </w:p>
    <w:p w14:paraId="56D2C776" w14:textId="3096403F" w:rsidR="0052143B" w:rsidRPr="0052143B" w:rsidRDefault="00057744" w:rsidP="00BF7D69">
      <w:pPr>
        <w:spacing w:before="0"/>
      </w:pPr>
      <w:r w:rsidRPr="00057744">
        <w:t>The study provided valuable insights to the Kenyan government, policymakers, AKI, and IRA by informing the development of regulations aimed at strengthening the insurance sector and supporting national development agendas. It enhanced public understanding of the importance of financial performance when selecting insurers. Managers benefited from evidence guiding improved financial management, strategic planning, and resource allocation to enhance growth and shareholder returns. Shareholders gained clarity on firm characteristics that drive value creation. The findings also contributed to academic literature by offering methodological and empirical references for future research on how business characteristics influence premium growth in insurance companies.</w:t>
      </w:r>
    </w:p>
    <w:p w14:paraId="371713CA" w14:textId="77777777" w:rsidR="0052143B" w:rsidRPr="007A56B8" w:rsidRDefault="0052143B" w:rsidP="00D352C1">
      <w:pPr>
        <w:autoSpaceDE w:val="0"/>
        <w:autoSpaceDN w:val="0"/>
        <w:adjustRightInd w:val="0"/>
        <w:spacing w:before="0" w:after="240" w:line="240" w:lineRule="auto"/>
        <w:rPr>
          <w:color w:val="000000" w:themeColor="text1"/>
          <w:szCs w:val="24"/>
        </w:rPr>
      </w:pP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0A72FB49" w14:textId="77777777" w:rsidR="00B21AF4" w:rsidRDefault="00B21AF4" w:rsidP="0018600E">
      <w:pPr>
        <w:spacing w:before="0" w:after="160" w:line="259" w:lineRule="auto"/>
        <w:rPr>
          <w:rFonts w:cs="Times New Roman"/>
          <w:b/>
          <w:i/>
          <w:iCs/>
          <w:color w:val="000000" w:themeColor="text1"/>
          <w:kern w:val="2"/>
          <w:szCs w:val="24"/>
          <w:lang w:val="en-GB"/>
        </w:rPr>
      </w:pPr>
      <w:r w:rsidRPr="00B21AF4">
        <w:rPr>
          <w:rFonts w:cs="Times New Roman"/>
          <w:b/>
          <w:i/>
          <w:iCs/>
          <w:color w:val="000000" w:themeColor="text1"/>
          <w:kern w:val="2"/>
          <w:szCs w:val="24"/>
          <w:lang w:val="en-GB"/>
        </w:rPr>
        <w:t xml:space="preserve">The theoretical review </w:t>
      </w:r>
    </w:p>
    <w:p w14:paraId="78C5727D" w14:textId="473CCF20"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The theoretical review provides a structured foundation for understanding the key concepts underpinning the study. It draws upon several major theories—Institutional Theory, Efficiency </w:t>
      </w:r>
      <w:r w:rsidRPr="007450B9">
        <w:rPr>
          <w:rFonts w:cs="Times New Roman"/>
          <w:bCs/>
          <w:color w:val="000000" w:themeColor="text1"/>
          <w:kern w:val="2"/>
          <w:szCs w:val="24"/>
          <w:highlight w:val="yellow"/>
          <w:lang w:val="en-GB"/>
        </w:rPr>
        <w:t xml:space="preserve">Structure Theory, Agency Theory, Liquidity Preference Theory, and Resource-Based View Theory—to explain how </w:t>
      </w:r>
      <w:r w:rsidR="004E078C" w:rsidRPr="007450B9">
        <w:rPr>
          <w:rFonts w:cs="Times New Roman"/>
          <w:bCs/>
          <w:color w:val="000000" w:themeColor="text1"/>
          <w:kern w:val="2"/>
          <w:szCs w:val="24"/>
          <w:highlight w:val="yellow"/>
          <w:lang w:val="en-GB"/>
        </w:rPr>
        <w:t xml:space="preserve">organisations </w:t>
      </w:r>
      <w:r w:rsidRPr="007450B9">
        <w:rPr>
          <w:rFonts w:cs="Times New Roman"/>
          <w:bCs/>
          <w:color w:val="000000" w:themeColor="text1"/>
          <w:kern w:val="2"/>
          <w:szCs w:val="24"/>
          <w:highlight w:val="yellow"/>
          <w:lang w:val="en-GB"/>
        </w:rPr>
        <w:t xml:space="preserve">behave, how performance is shaped, and how internal and external dynamics interact. These theories collectively guide the selection of variables, define expected relationships, and support </w:t>
      </w:r>
      <w:r w:rsidR="004E078C" w:rsidRPr="007450B9">
        <w:rPr>
          <w:rFonts w:cs="Times New Roman"/>
          <w:bCs/>
          <w:color w:val="000000" w:themeColor="text1"/>
          <w:kern w:val="2"/>
          <w:szCs w:val="24"/>
          <w:highlight w:val="yellow"/>
          <w:lang w:val="en-GB"/>
        </w:rPr>
        <w:t xml:space="preserve">the </w:t>
      </w:r>
      <w:r w:rsidRPr="007450B9">
        <w:rPr>
          <w:rFonts w:cs="Times New Roman"/>
          <w:bCs/>
          <w:color w:val="000000" w:themeColor="text1"/>
          <w:kern w:val="2"/>
          <w:szCs w:val="24"/>
          <w:highlight w:val="yellow"/>
          <w:lang w:val="en-GB"/>
        </w:rPr>
        <w:t>interpretation of empirical findings</w:t>
      </w:r>
      <w:r w:rsidRPr="00057744">
        <w:rPr>
          <w:rFonts w:cs="Times New Roman"/>
          <w:bCs/>
          <w:color w:val="000000" w:themeColor="text1"/>
          <w:kern w:val="2"/>
          <w:szCs w:val="24"/>
          <w:lang w:val="en-GB"/>
        </w:rPr>
        <w:t>.</w:t>
      </w:r>
    </w:p>
    <w:p w14:paraId="49C62F21" w14:textId="77777777" w:rsidR="00057744" w:rsidRPr="00057744" w:rsidRDefault="00057744" w:rsidP="00057744">
      <w:pPr>
        <w:spacing w:before="0" w:after="160" w:line="259" w:lineRule="auto"/>
        <w:rPr>
          <w:rFonts w:cs="Times New Roman"/>
          <w:bCs/>
          <w:color w:val="000000" w:themeColor="text1"/>
          <w:kern w:val="2"/>
          <w:szCs w:val="24"/>
          <w:lang w:val="en-GB"/>
        </w:rPr>
      </w:pPr>
    </w:p>
    <w:p w14:paraId="624445FF" w14:textId="4680B5BC" w:rsidR="00057744" w:rsidRPr="007450B9" w:rsidRDefault="00057744" w:rsidP="00057744">
      <w:pPr>
        <w:spacing w:before="0" w:after="160" w:line="259" w:lineRule="auto"/>
        <w:rPr>
          <w:rFonts w:cs="Times New Roman"/>
          <w:bCs/>
          <w:color w:val="000000" w:themeColor="text1"/>
          <w:kern w:val="2"/>
          <w:szCs w:val="24"/>
          <w:highlight w:val="yellow"/>
          <w:lang w:val="en-GB"/>
        </w:rPr>
      </w:pPr>
      <w:r w:rsidRPr="00057744">
        <w:rPr>
          <w:rFonts w:cs="Times New Roman"/>
          <w:bCs/>
          <w:color w:val="000000" w:themeColor="text1"/>
          <w:kern w:val="2"/>
          <w:szCs w:val="24"/>
          <w:lang w:val="en-GB"/>
        </w:rPr>
        <w:t xml:space="preserve">Institutional Theory, advanced by DiMaggio and Powell (1983) and Meyer and Rowan (1977), posits that </w:t>
      </w:r>
      <w:r w:rsidR="004E078C" w:rsidRPr="007450B9">
        <w:rPr>
          <w:rFonts w:cs="Times New Roman"/>
          <w:bCs/>
          <w:color w:val="000000" w:themeColor="text1"/>
          <w:kern w:val="2"/>
          <w:szCs w:val="24"/>
          <w:highlight w:val="yellow"/>
          <w:lang w:val="en-GB"/>
        </w:rPr>
        <w:t xml:space="preserve">organisations </w:t>
      </w:r>
      <w:r w:rsidRPr="007450B9">
        <w:rPr>
          <w:rFonts w:cs="Times New Roman"/>
          <w:bCs/>
          <w:color w:val="000000" w:themeColor="text1"/>
          <w:kern w:val="2"/>
          <w:szCs w:val="24"/>
          <w:highlight w:val="yellow"/>
          <w:lang w:val="en-GB"/>
        </w:rPr>
        <w:t xml:space="preserve">operate within broader institutional environments containing rules, norms, and expectations that they are compelled to follow. Institutions include regulatory bodies, legal systems, professional associations, societal norms, and other stakeholders that shape </w:t>
      </w:r>
      <w:r w:rsidR="004E078C" w:rsidRPr="007450B9">
        <w:rPr>
          <w:rFonts w:cs="Times New Roman"/>
          <w:bCs/>
          <w:color w:val="000000" w:themeColor="text1"/>
          <w:kern w:val="2"/>
          <w:szCs w:val="24"/>
          <w:highlight w:val="yellow"/>
          <w:lang w:val="en-GB"/>
        </w:rPr>
        <w:t xml:space="preserve">organisational </w:t>
      </w:r>
      <w:r w:rsidRPr="007450B9">
        <w:rPr>
          <w:rFonts w:cs="Times New Roman"/>
          <w:bCs/>
          <w:color w:val="000000" w:themeColor="text1"/>
          <w:kern w:val="2"/>
          <w:szCs w:val="24"/>
          <w:highlight w:val="yellow"/>
          <w:lang w:val="en-GB"/>
        </w:rPr>
        <w:t xml:space="preserve">legitimacy (Scott, 1987). The theory argues that </w:t>
      </w:r>
      <w:r w:rsidR="004E078C" w:rsidRPr="007450B9">
        <w:rPr>
          <w:rFonts w:cs="Times New Roman"/>
          <w:bCs/>
          <w:color w:val="000000" w:themeColor="text1"/>
          <w:kern w:val="2"/>
          <w:szCs w:val="24"/>
          <w:highlight w:val="yellow"/>
          <w:lang w:val="en-GB"/>
        </w:rPr>
        <w:t xml:space="preserve">organisational </w:t>
      </w:r>
      <w:r w:rsidRPr="007450B9">
        <w:rPr>
          <w:rFonts w:cs="Times New Roman"/>
          <w:bCs/>
          <w:color w:val="000000" w:themeColor="text1"/>
          <w:kern w:val="2"/>
          <w:szCs w:val="24"/>
          <w:highlight w:val="yellow"/>
          <w:lang w:val="en-GB"/>
        </w:rPr>
        <w:t xml:space="preserve">structures and routines often reflect socially accepted norms rather than purely efficiency-driven choices. Such </w:t>
      </w:r>
      <w:r w:rsidR="004E078C" w:rsidRPr="007450B9">
        <w:rPr>
          <w:rFonts w:cs="Times New Roman"/>
          <w:bCs/>
          <w:color w:val="000000" w:themeColor="text1"/>
          <w:kern w:val="2"/>
          <w:szCs w:val="24"/>
          <w:highlight w:val="yellow"/>
          <w:lang w:val="en-GB"/>
        </w:rPr>
        <w:t xml:space="preserve">institutionalised </w:t>
      </w:r>
      <w:r w:rsidRPr="007450B9">
        <w:rPr>
          <w:rFonts w:cs="Times New Roman"/>
          <w:bCs/>
          <w:color w:val="000000" w:themeColor="text1"/>
          <w:kern w:val="2"/>
          <w:szCs w:val="24"/>
          <w:highlight w:val="yellow"/>
          <w:lang w:val="en-GB"/>
        </w:rPr>
        <w:t xml:space="preserve">practices become accepted myths that </w:t>
      </w:r>
      <w:r w:rsidR="004E078C" w:rsidRPr="007450B9">
        <w:rPr>
          <w:rFonts w:cs="Times New Roman"/>
          <w:bCs/>
          <w:color w:val="000000" w:themeColor="text1"/>
          <w:kern w:val="2"/>
          <w:szCs w:val="24"/>
          <w:highlight w:val="yellow"/>
          <w:lang w:val="en-GB"/>
        </w:rPr>
        <w:t xml:space="preserve">organisations </w:t>
      </w:r>
      <w:r w:rsidRPr="007450B9">
        <w:rPr>
          <w:rFonts w:cs="Times New Roman"/>
          <w:bCs/>
          <w:color w:val="000000" w:themeColor="text1"/>
          <w:kern w:val="2"/>
          <w:szCs w:val="24"/>
          <w:highlight w:val="yellow"/>
          <w:lang w:val="en-GB"/>
        </w:rPr>
        <w:t>adopt to maintain legitimacy and survive.</w:t>
      </w:r>
    </w:p>
    <w:p w14:paraId="1EBEA725" w14:textId="7972D391" w:rsidR="00057744" w:rsidRPr="00057744" w:rsidRDefault="00057744" w:rsidP="00057744">
      <w:pPr>
        <w:spacing w:before="0" w:after="160" w:line="259" w:lineRule="auto"/>
        <w:rPr>
          <w:rFonts w:cs="Times New Roman"/>
          <w:bCs/>
          <w:color w:val="000000" w:themeColor="text1"/>
          <w:kern w:val="2"/>
          <w:szCs w:val="24"/>
          <w:lang w:val="en-GB"/>
        </w:rPr>
      </w:pPr>
      <w:r w:rsidRPr="007450B9">
        <w:rPr>
          <w:rFonts w:cs="Times New Roman"/>
          <w:bCs/>
          <w:color w:val="000000" w:themeColor="text1"/>
          <w:kern w:val="2"/>
          <w:szCs w:val="24"/>
          <w:highlight w:val="yellow"/>
          <w:lang w:val="en-GB"/>
        </w:rPr>
        <w:t xml:space="preserve">The theory highlights multiple dimensions of institutional pressure: regulative, normative, and mimetic. Regulative pressures arise from compliance requirements imposed by laws and regulatory agencies; normative pressures stem from professional standards and societal expectations; while mimetic pressures encourage </w:t>
      </w:r>
      <w:r w:rsidR="004E078C" w:rsidRPr="007450B9">
        <w:rPr>
          <w:rFonts w:cs="Times New Roman"/>
          <w:bCs/>
          <w:color w:val="000000" w:themeColor="text1"/>
          <w:kern w:val="2"/>
          <w:szCs w:val="24"/>
          <w:highlight w:val="yellow"/>
          <w:lang w:val="en-GB"/>
        </w:rPr>
        <w:t xml:space="preserve">organisations </w:t>
      </w:r>
      <w:r w:rsidRPr="007450B9">
        <w:rPr>
          <w:rFonts w:cs="Times New Roman"/>
          <w:bCs/>
          <w:color w:val="000000" w:themeColor="text1"/>
          <w:kern w:val="2"/>
          <w:szCs w:val="24"/>
          <w:highlight w:val="yellow"/>
          <w:lang w:val="en-GB"/>
        </w:rPr>
        <w:t>to imitate practices of successful competitors (Zucker, 1988). Conforming to these pressures offers</w:t>
      </w:r>
      <w:r w:rsidRPr="00057744">
        <w:rPr>
          <w:rFonts w:cs="Times New Roman"/>
          <w:bCs/>
          <w:color w:val="000000" w:themeColor="text1"/>
          <w:kern w:val="2"/>
          <w:szCs w:val="24"/>
          <w:lang w:val="en-GB"/>
        </w:rPr>
        <w:t xml:space="preserve"> benefits such as access to resources, reduced scrutiny, and enhanced public trust. However, </w:t>
      </w:r>
      <w:r w:rsidR="004E078C" w:rsidRPr="007450B9">
        <w:rPr>
          <w:rFonts w:cs="Times New Roman"/>
          <w:bCs/>
          <w:color w:val="000000" w:themeColor="text1"/>
          <w:kern w:val="2"/>
          <w:szCs w:val="24"/>
          <w:highlight w:val="yellow"/>
          <w:lang w:val="en-GB"/>
        </w:rPr>
        <w:t xml:space="preserve">organisations </w:t>
      </w:r>
      <w:r w:rsidRPr="007450B9">
        <w:rPr>
          <w:rFonts w:cs="Times New Roman"/>
          <w:bCs/>
          <w:color w:val="000000" w:themeColor="text1"/>
          <w:kern w:val="2"/>
          <w:szCs w:val="24"/>
          <w:highlight w:val="yellow"/>
          <w:lang w:val="en-GB"/>
        </w:rPr>
        <w:t>must also balance conformity with the need for strategic differentiation to remain competitive (Boon,</w:t>
      </w:r>
      <w:r w:rsidRPr="00057744">
        <w:rPr>
          <w:rFonts w:cs="Times New Roman"/>
          <w:bCs/>
          <w:color w:val="000000" w:themeColor="text1"/>
          <w:kern w:val="2"/>
          <w:szCs w:val="24"/>
          <w:lang w:val="en-GB"/>
        </w:rPr>
        <w:t xml:space="preserve"> Paauwe &amp; Hartog, 2009).</w:t>
      </w:r>
    </w:p>
    <w:p w14:paraId="25651E02" w14:textId="2CC6E185"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Institutional theory also </w:t>
      </w:r>
      <w:r w:rsidR="004E078C" w:rsidRPr="007450B9">
        <w:rPr>
          <w:rFonts w:cs="Times New Roman"/>
          <w:bCs/>
          <w:color w:val="000000" w:themeColor="text1"/>
          <w:kern w:val="2"/>
          <w:szCs w:val="24"/>
          <w:highlight w:val="yellow"/>
          <w:lang w:val="en-GB"/>
        </w:rPr>
        <w:t xml:space="preserve">recognises </w:t>
      </w:r>
      <w:r w:rsidRPr="007450B9">
        <w:rPr>
          <w:rFonts w:cs="Times New Roman"/>
          <w:bCs/>
          <w:color w:val="000000" w:themeColor="text1"/>
          <w:kern w:val="2"/>
          <w:szCs w:val="24"/>
          <w:highlight w:val="yellow"/>
          <w:lang w:val="en-GB"/>
        </w:rPr>
        <w:t xml:space="preserve">that </w:t>
      </w:r>
      <w:r w:rsidR="004E078C" w:rsidRPr="007450B9">
        <w:rPr>
          <w:rFonts w:cs="Times New Roman"/>
          <w:bCs/>
          <w:color w:val="000000" w:themeColor="text1"/>
          <w:kern w:val="2"/>
          <w:szCs w:val="24"/>
          <w:highlight w:val="yellow"/>
          <w:lang w:val="en-GB"/>
        </w:rPr>
        <w:t xml:space="preserve">organisations </w:t>
      </w:r>
      <w:r w:rsidRPr="007450B9">
        <w:rPr>
          <w:rFonts w:cs="Times New Roman"/>
          <w:bCs/>
          <w:color w:val="000000" w:themeColor="text1"/>
          <w:kern w:val="2"/>
          <w:szCs w:val="24"/>
          <w:highlight w:val="yellow"/>
          <w:lang w:val="en-GB"/>
        </w:rPr>
        <w:t>may not passively accept institutional demands. Instead, they may adopt strategic responses ranging from acquiescence and compromise to defiance and manipulation, depending on perceived costs and benefits (Oliver, 1991). This makes the theory</w:t>
      </w:r>
      <w:r w:rsidRPr="00057744">
        <w:rPr>
          <w:rFonts w:cs="Times New Roman"/>
          <w:bCs/>
          <w:color w:val="000000" w:themeColor="text1"/>
          <w:kern w:val="2"/>
          <w:szCs w:val="24"/>
          <w:lang w:val="en-GB"/>
        </w:rPr>
        <w:t xml:space="preserve"> relevant to the insurance sector, where companies must comply with strict regulation</w:t>
      </w:r>
      <w:r w:rsidR="004E078C">
        <w:rPr>
          <w:rFonts w:cs="Times New Roman"/>
          <w:bCs/>
          <w:color w:val="000000" w:themeColor="text1"/>
          <w:kern w:val="2"/>
          <w:szCs w:val="24"/>
          <w:lang w:val="en-GB"/>
        </w:rPr>
        <w:t>s</w:t>
      </w:r>
      <w:r w:rsidRPr="00057744">
        <w:rPr>
          <w:rFonts w:cs="Times New Roman"/>
          <w:bCs/>
          <w:color w:val="000000" w:themeColor="text1"/>
          <w:kern w:val="2"/>
          <w:szCs w:val="24"/>
          <w:lang w:val="en-GB"/>
        </w:rPr>
        <w:t xml:space="preserve"> while also navigating competitive market pressures. The theory suggests that insurance firms’ actions—whether in compliance, adaptation, or resistance—are shaped by the institutional forces surrounding them.</w:t>
      </w:r>
    </w:p>
    <w:p w14:paraId="1D772650"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Efficiency Structure (ES) Theory, developed primarily by Demsetz (1973), asserts that variations in firm performance and market structure stem from differences in efficiency. According to the theory, firms that achieve higher operational efficiency are able to reduce costs, raise profitability, and expand market share, thereby contributing to greater industry concentration. Efficient firms outperform others because lower marginal costs allow them to compete more effectively.</w:t>
      </w:r>
    </w:p>
    <w:p w14:paraId="110AE35A" w14:textId="5ADA2E2F"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The theory includes two major components: scale efficiency and X-</w:t>
      </w:r>
      <w:r w:rsidRPr="007450B9">
        <w:rPr>
          <w:rFonts w:cs="Times New Roman"/>
          <w:bCs/>
          <w:color w:val="000000" w:themeColor="text1"/>
          <w:kern w:val="2"/>
          <w:szCs w:val="24"/>
          <w:highlight w:val="yellow"/>
          <w:lang w:val="en-GB"/>
        </w:rPr>
        <w:t xml:space="preserve">efficiency. Scale efficiency focuses on economies of scale, arguing that larger firms can reduce per-unit costs and </w:t>
      </w:r>
      <w:r w:rsidR="004E078C" w:rsidRPr="007450B9">
        <w:rPr>
          <w:rFonts w:cs="Times New Roman"/>
          <w:bCs/>
          <w:color w:val="000000" w:themeColor="text1"/>
          <w:kern w:val="2"/>
          <w:szCs w:val="24"/>
          <w:highlight w:val="yellow"/>
          <w:lang w:val="en-GB"/>
        </w:rPr>
        <w:t xml:space="preserve">realise </w:t>
      </w:r>
      <w:r w:rsidRPr="007450B9">
        <w:rPr>
          <w:rFonts w:cs="Times New Roman"/>
          <w:bCs/>
          <w:color w:val="000000" w:themeColor="text1"/>
          <w:kern w:val="2"/>
          <w:szCs w:val="24"/>
          <w:highlight w:val="yellow"/>
          <w:lang w:val="en-GB"/>
        </w:rPr>
        <w:t xml:space="preserve">greater profits. Increased scale fosters competitive advantages as firms with sizeable operations can dominate markets (Athanasoglou et al., 2008). X-efficiency </w:t>
      </w:r>
      <w:r w:rsidR="004E078C" w:rsidRPr="007450B9">
        <w:rPr>
          <w:rFonts w:cs="Times New Roman"/>
          <w:bCs/>
          <w:color w:val="000000" w:themeColor="text1"/>
          <w:kern w:val="2"/>
          <w:szCs w:val="24"/>
          <w:highlight w:val="yellow"/>
          <w:lang w:val="en-GB"/>
        </w:rPr>
        <w:t xml:space="preserve">emphasises </w:t>
      </w:r>
      <w:r w:rsidRPr="007450B9">
        <w:rPr>
          <w:rFonts w:cs="Times New Roman"/>
          <w:bCs/>
          <w:color w:val="000000" w:themeColor="text1"/>
          <w:kern w:val="2"/>
          <w:szCs w:val="24"/>
          <w:highlight w:val="yellow"/>
          <w:lang w:val="en-GB"/>
        </w:rPr>
        <w:t xml:space="preserve">managerial efficiency and the ability to </w:t>
      </w:r>
      <w:r w:rsidR="004E078C" w:rsidRPr="007450B9">
        <w:rPr>
          <w:rFonts w:cs="Times New Roman"/>
          <w:bCs/>
          <w:color w:val="000000" w:themeColor="text1"/>
          <w:kern w:val="2"/>
          <w:szCs w:val="24"/>
          <w:highlight w:val="yellow"/>
          <w:lang w:val="en-GB"/>
        </w:rPr>
        <w:t xml:space="preserve">minimise </w:t>
      </w:r>
      <w:r w:rsidRPr="007450B9">
        <w:rPr>
          <w:rFonts w:cs="Times New Roman"/>
          <w:bCs/>
          <w:color w:val="000000" w:themeColor="text1"/>
          <w:kern w:val="2"/>
          <w:szCs w:val="24"/>
          <w:highlight w:val="yellow"/>
          <w:lang w:val="en-GB"/>
        </w:rPr>
        <w:t>structural and operational costs through superior administrative practices. Both forms of efficiency enhance profitability</w:t>
      </w:r>
      <w:r w:rsidRPr="00057744">
        <w:rPr>
          <w:rFonts w:cs="Times New Roman"/>
          <w:bCs/>
          <w:color w:val="000000" w:themeColor="text1"/>
          <w:kern w:val="2"/>
          <w:szCs w:val="24"/>
          <w:lang w:val="en-GB"/>
        </w:rPr>
        <w:t xml:space="preserve"> and strengthen competitive positions.</w:t>
      </w:r>
    </w:p>
    <w:p w14:paraId="1E8F5805" w14:textId="48C07C53"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Efficiency Structure Theory argues that firms operating in highly concentrated markets </w:t>
      </w:r>
      <w:r w:rsidRPr="007450B9">
        <w:rPr>
          <w:rFonts w:cs="Times New Roman"/>
          <w:bCs/>
          <w:color w:val="000000" w:themeColor="text1"/>
          <w:kern w:val="2"/>
          <w:szCs w:val="24"/>
          <w:highlight w:val="yellow"/>
          <w:lang w:val="en-GB"/>
        </w:rPr>
        <w:t xml:space="preserve">must </w:t>
      </w:r>
      <w:r w:rsidR="004E078C" w:rsidRPr="007450B9">
        <w:rPr>
          <w:rFonts w:cs="Times New Roman"/>
          <w:bCs/>
          <w:color w:val="000000" w:themeColor="text1"/>
          <w:kern w:val="2"/>
          <w:szCs w:val="24"/>
          <w:highlight w:val="yellow"/>
          <w:lang w:val="en-GB"/>
        </w:rPr>
        <w:t xml:space="preserve">optimise </w:t>
      </w:r>
      <w:r w:rsidRPr="007450B9">
        <w:rPr>
          <w:rFonts w:cs="Times New Roman"/>
          <w:bCs/>
          <w:color w:val="000000" w:themeColor="text1"/>
          <w:kern w:val="2"/>
          <w:szCs w:val="24"/>
          <w:highlight w:val="yellow"/>
          <w:lang w:val="en-GB"/>
        </w:rPr>
        <w:t>their internal operations to remain competitive. When firms allocate resources optimally—that is, when marginal profits</w:t>
      </w:r>
      <w:r w:rsidRPr="00057744">
        <w:rPr>
          <w:rFonts w:cs="Times New Roman"/>
          <w:bCs/>
          <w:color w:val="000000" w:themeColor="text1"/>
          <w:kern w:val="2"/>
          <w:szCs w:val="24"/>
          <w:lang w:val="en-GB"/>
        </w:rPr>
        <w:t xml:space="preserve"> equal marginal social costs—they </w:t>
      </w:r>
      <w:r w:rsidR="004E078C" w:rsidRPr="007450B9">
        <w:rPr>
          <w:rFonts w:cs="Times New Roman"/>
          <w:bCs/>
          <w:color w:val="000000" w:themeColor="text1"/>
          <w:kern w:val="2"/>
          <w:szCs w:val="24"/>
          <w:highlight w:val="yellow"/>
          <w:lang w:val="en-GB"/>
        </w:rPr>
        <w:t xml:space="preserve">minimise </w:t>
      </w:r>
      <w:r w:rsidRPr="007450B9">
        <w:rPr>
          <w:rFonts w:cs="Times New Roman"/>
          <w:bCs/>
          <w:color w:val="000000" w:themeColor="text1"/>
          <w:kern w:val="2"/>
          <w:szCs w:val="24"/>
          <w:highlight w:val="yellow"/>
          <w:lang w:val="en-GB"/>
        </w:rPr>
        <w:t xml:space="preserve">waste, avoid inefficiencies, and produce at the lowest cost possible. Managers </w:t>
      </w:r>
      <w:r w:rsidRPr="007450B9">
        <w:rPr>
          <w:rFonts w:cs="Times New Roman"/>
          <w:bCs/>
          <w:color w:val="000000" w:themeColor="text1"/>
          <w:kern w:val="2"/>
          <w:szCs w:val="24"/>
          <w:highlight w:val="yellow"/>
          <w:lang w:val="en-GB"/>
        </w:rPr>
        <w:lastRenderedPageBreak/>
        <w:t xml:space="preserve">may compare their firm’s performance against industry benchmarks to identify inefficiencies in need of improvement. This theory is particularly applicable in evaluating insurance companies’ performance because operational efficiency and effective resource </w:t>
      </w:r>
      <w:r w:rsidR="004E078C" w:rsidRPr="007450B9">
        <w:rPr>
          <w:rFonts w:cs="Times New Roman"/>
          <w:bCs/>
          <w:color w:val="000000" w:themeColor="text1"/>
          <w:kern w:val="2"/>
          <w:szCs w:val="24"/>
          <w:highlight w:val="yellow"/>
          <w:lang w:val="en-GB"/>
        </w:rPr>
        <w:t>utilisation</w:t>
      </w:r>
      <w:r w:rsidR="004E078C" w:rsidRPr="00057744">
        <w:rPr>
          <w:rFonts w:cs="Times New Roman"/>
          <w:bCs/>
          <w:color w:val="000000" w:themeColor="text1"/>
          <w:kern w:val="2"/>
          <w:szCs w:val="24"/>
          <w:lang w:val="en-GB"/>
        </w:rPr>
        <w:t xml:space="preserve"> </w:t>
      </w:r>
      <w:r w:rsidRPr="00057744">
        <w:rPr>
          <w:rFonts w:cs="Times New Roman"/>
          <w:bCs/>
          <w:color w:val="000000" w:themeColor="text1"/>
          <w:kern w:val="2"/>
          <w:szCs w:val="24"/>
          <w:lang w:val="en-GB"/>
        </w:rPr>
        <w:t>can significantly influence growth and financial sustainability.</w:t>
      </w:r>
    </w:p>
    <w:p w14:paraId="69099E2C" w14:textId="1B6E46A2"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Jensen and Meckling (1976) introduced Agency Theory to explain conflicts between principals (owners) and agents (managers). The theory is based on the assumption that both parties are self-interested and may pursue personal benefits that conflict </w:t>
      </w:r>
      <w:r w:rsidRPr="007450B9">
        <w:rPr>
          <w:rFonts w:cs="Times New Roman"/>
          <w:bCs/>
          <w:color w:val="000000" w:themeColor="text1"/>
          <w:kern w:val="2"/>
          <w:szCs w:val="24"/>
          <w:highlight w:val="yellow"/>
          <w:lang w:val="en-GB"/>
        </w:rPr>
        <w:t xml:space="preserve">with </w:t>
      </w:r>
      <w:r w:rsidR="004E078C" w:rsidRPr="007450B9">
        <w:rPr>
          <w:rFonts w:cs="Times New Roman"/>
          <w:bCs/>
          <w:color w:val="000000" w:themeColor="text1"/>
          <w:kern w:val="2"/>
          <w:szCs w:val="24"/>
          <w:highlight w:val="yellow"/>
          <w:lang w:val="en-GB"/>
        </w:rPr>
        <w:t xml:space="preserve">organisational </w:t>
      </w:r>
      <w:r w:rsidRPr="007450B9">
        <w:rPr>
          <w:rFonts w:cs="Times New Roman"/>
          <w:bCs/>
          <w:color w:val="000000" w:themeColor="text1"/>
          <w:kern w:val="2"/>
          <w:szCs w:val="24"/>
          <w:highlight w:val="yellow"/>
          <w:lang w:val="en-GB"/>
        </w:rPr>
        <w:t>goals. Informatio</w:t>
      </w:r>
      <w:r w:rsidRPr="00057744">
        <w:rPr>
          <w:rFonts w:cs="Times New Roman"/>
          <w:bCs/>
          <w:color w:val="000000" w:themeColor="text1"/>
          <w:kern w:val="2"/>
          <w:szCs w:val="24"/>
          <w:lang w:val="en-GB"/>
        </w:rPr>
        <w:t>n asymmetry arises when managers possess more information about firm operations than owners, creating opportunities for managerial opportunism.</w:t>
      </w:r>
    </w:p>
    <w:p w14:paraId="4DC74B2E" w14:textId="70987D74"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Agency conflicts may cause managers to make decisions </w:t>
      </w:r>
      <w:r w:rsidRPr="007450B9">
        <w:rPr>
          <w:rFonts w:cs="Times New Roman"/>
          <w:bCs/>
          <w:color w:val="000000" w:themeColor="text1"/>
          <w:kern w:val="2"/>
          <w:szCs w:val="24"/>
          <w:highlight w:val="yellow"/>
          <w:lang w:val="en-GB"/>
        </w:rPr>
        <w:t xml:space="preserve">that </w:t>
      </w:r>
      <w:r w:rsidR="004E078C" w:rsidRPr="007450B9">
        <w:rPr>
          <w:rFonts w:cs="Times New Roman"/>
          <w:bCs/>
          <w:color w:val="000000" w:themeColor="text1"/>
          <w:kern w:val="2"/>
          <w:szCs w:val="24"/>
          <w:highlight w:val="yellow"/>
          <w:lang w:val="en-GB"/>
        </w:rPr>
        <w:t xml:space="preserve">prioritise </w:t>
      </w:r>
      <w:r w:rsidRPr="007450B9">
        <w:rPr>
          <w:rFonts w:cs="Times New Roman"/>
          <w:bCs/>
          <w:color w:val="000000" w:themeColor="text1"/>
          <w:kern w:val="2"/>
          <w:szCs w:val="24"/>
          <w:highlight w:val="yellow"/>
          <w:lang w:val="en-GB"/>
        </w:rPr>
        <w:t>personal</w:t>
      </w:r>
      <w:r w:rsidRPr="00057744">
        <w:rPr>
          <w:rFonts w:cs="Times New Roman"/>
          <w:bCs/>
          <w:color w:val="000000" w:themeColor="text1"/>
          <w:kern w:val="2"/>
          <w:szCs w:val="24"/>
          <w:lang w:val="en-GB"/>
        </w:rPr>
        <w:t xml:space="preserve"> gain—such as excessive borrowing, misuse of funds, or focusing on actions that increase short-term rewards rather than long-term shareholder value. To mitigate such conflicts, owners introduce monitoring mechanisms and incentive systems, which incur agency costs. Larger firms may handle agency problems more effectively due to their capacity to implement sophisticated monitoring and governance systems (Vithessonthi &amp; Tongurai, 2015).</w:t>
      </w:r>
    </w:p>
    <w:p w14:paraId="06ABAF4C"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In the context of insurance firms, rapid expansion, aggressive premium collection, and increased risk-taking may occur when managers focus on growth metrics rather than financial stability. Managers may neglect efficiency or service quality while chasing premium growth, potentially undermining performance. Thus, the theory explains how growth and managerial decisions can contribute to performance outcomes and highlights the importance of aligning interests between managers and owners.</w:t>
      </w:r>
    </w:p>
    <w:p w14:paraId="7193D876"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Keynes’s (1936, 1964) Liquidity Preference Theory asserts that firms and individuals prefer holding liquid assets due to their ease of conversion into cash. The theory identifies three motives for holding liquidity: transactional, precautionary, and speculative. The transactional motive ensures funds are available to meet daily operational needs; precautionary liquidity provides a buffer against unforeseen events; and speculative liquidity offers flexibility to take advantage of future investment opportunities when market conditions shift.</w:t>
      </w:r>
    </w:p>
    <w:p w14:paraId="7A29C3D8"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Businesses with adequate liquidity are better positioned to meet short-term obligations such as claims, salaries, or taxes, thereby reducing financial distress (Saunders &amp; Cornett, 2011). However, maintaining excessive liquidity has an opportunity cost because funds held in liquid form earn lower returns compared to long-term investments (Bibow, 1995). In insurance companies, liquidity is crucial since firms must respond promptly to claims while also maintaining investment portfolios that generate income. Therefore, liquidity influences financial performance, as insufficient liquidity increases insolvency risk, while excessive liquidity reduces profitability.</w:t>
      </w:r>
    </w:p>
    <w:p w14:paraId="36DFCAF4" w14:textId="2511CBB8"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The Resource-Based View, introduced by Penrose (1959) and advanced by Barney (1991), </w:t>
      </w:r>
      <w:r w:rsidR="004E078C" w:rsidRPr="007450B9">
        <w:rPr>
          <w:rFonts w:cs="Times New Roman"/>
          <w:bCs/>
          <w:color w:val="000000" w:themeColor="text1"/>
          <w:kern w:val="2"/>
          <w:szCs w:val="24"/>
          <w:highlight w:val="yellow"/>
          <w:lang w:val="en-GB"/>
        </w:rPr>
        <w:t xml:space="preserve">emphasises </w:t>
      </w:r>
      <w:r w:rsidRPr="007450B9">
        <w:rPr>
          <w:rFonts w:cs="Times New Roman"/>
          <w:bCs/>
          <w:color w:val="000000" w:themeColor="text1"/>
          <w:kern w:val="2"/>
          <w:szCs w:val="24"/>
          <w:highlight w:val="yellow"/>
          <w:lang w:val="en-GB"/>
        </w:rPr>
        <w:t>that unique internal resources drive sustained competitive advantage. RBV argues that resources must be valuable,</w:t>
      </w:r>
      <w:r w:rsidRPr="00057744">
        <w:rPr>
          <w:rFonts w:cs="Times New Roman"/>
          <w:bCs/>
          <w:color w:val="000000" w:themeColor="text1"/>
          <w:kern w:val="2"/>
          <w:szCs w:val="24"/>
          <w:lang w:val="en-GB"/>
        </w:rPr>
        <w:t xml:space="preserve"> rare, difficult to imitate, and non-substitutable to confer long-term advantages. Resource heterogeneity explains why firms operating in the same environment may exhibit different performance outcomes (Barney &amp; Arikan, 2001).</w:t>
      </w:r>
    </w:p>
    <w:p w14:paraId="6C213BBC" w14:textId="04CFEE64" w:rsidR="00B449E1" w:rsidRPr="007A56B8" w:rsidRDefault="00057744" w:rsidP="00057744">
      <w:pPr>
        <w:spacing w:before="0" w:after="160" w:line="259" w:lineRule="auto"/>
        <w:rPr>
          <w:rFonts w:cs="Times New Roman"/>
          <w:bCs/>
          <w:color w:val="000000" w:themeColor="text1"/>
          <w:szCs w:val="24"/>
        </w:rPr>
      </w:pPr>
      <w:r w:rsidRPr="00057744">
        <w:rPr>
          <w:rFonts w:cs="Times New Roman"/>
          <w:bCs/>
          <w:color w:val="000000" w:themeColor="text1"/>
          <w:kern w:val="2"/>
          <w:szCs w:val="24"/>
          <w:lang w:val="en-GB"/>
        </w:rPr>
        <w:t xml:space="preserve">RBV identifies both tangible and intangible resources—such as human capital, systems, organization culture, proprietary technologies, and strategic capabilities—as foundations for performance and growth. Firms that effectively </w:t>
      </w:r>
      <w:r w:rsidR="004E078C" w:rsidRPr="00057744">
        <w:rPr>
          <w:rFonts w:cs="Times New Roman"/>
          <w:bCs/>
          <w:color w:val="000000" w:themeColor="text1"/>
          <w:kern w:val="2"/>
          <w:szCs w:val="24"/>
          <w:lang w:val="en-GB"/>
        </w:rPr>
        <w:t>utili</w:t>
      </w:r>
      <w:r w:rsidR="004E078C">
        <w:rPr>
          <w:rFonts w:cs="Times New Roman"/>
          <w:bCs/>
          <w:color w:val="000000" w:themeColor="text1"/>
          <w:kern w:val="2"/>
          <w:szCs w:val="24"/>
          <w:lang w:val="en-GB"/>
        </w:rPr>
        <w:t>s</w:t>
      </w:r>
      <w:r w:rsidR="004E078C" w:rsidRPr="00057744">
        <w:rPr>
          <w:rFonts w:cs="Times New Roman"/>
          <w:bCs/>
          <w:color w:val="000000" w:themeColor="text1"/>
          <w:kern w:val="2"/>
          <w:szCs w:val="24"/>
          <w:lang w:val="en-GB"/>
        </w:rPr>
        <w:t xml:space="preserve">e </w:t>
      </w:r>
      <w:r w:rsidRPr="00057744">
        <w:rPr>
          <w:rFonts w:cs="Times New Roman"/>
          <w:bCs/>
          <w:color w:val="000000" w:themeColor="text1"/>
          <w:kern w:val="2"/>
          <w:szCs w:val="24"/>
          <w:lang w:val="en-GB"/>
        </w:rPr>
        <w:t xml:space="preserve">and combine their resources create dynamic capabilities enabling them to adapt to changing markets (Mahoney &amp; Pandian, 1992). While the theory is </w:t>
      </w:r>
      <w:r w:rsidR="004E078C" w:rsidRPr="007450B9">
        <w:rPr>
          <w:rFonts w:cs="Times New Roman"/>
          <w:bCs/>
          <w:color w:val="000000" w:themeColor="text1"/>
          <w:kern w:val="2"/>
          <w:szCs w:val="24"/>
          <w:highlight w:val="yellow"/>
          <w:lang w:val="en-GB"/>
        </w:rPr>
        <w:t xml:space="preserve">criticised </w:t>
      </w:r>
      <w:r w:rsidRPr="007450B9">
        <w:rPr>
          <w:rFonts w:cs="Times New Roman"/>
          <w:bCs/>
          <w:color w:val="000000" w:themeColor="text1"/>
          <w:kern w:val="2"/>
          <w:szCs w:val="24"/>
          <w:highlight w:val="yellow"/>
          <w:lang w:val="en-GB"/>
        </w:rPr>
        <w:t xml:space="preserve">for assuming resource immobility and for underestimating external factors, RBV remains influential in </w:t>
      </w:r>
      <w:r w:rsidR="004E078C" w:rsidRPr="007450B9">
        <w:rPr>
          <w:rFonts w:cs="Times New Roman"/>
          <w:bCs/>
          <w:color w:val="000000" w:themeColor="text1"/>
          <w:kern w:val="2"/>
          <w:szCs w:val="24"/>
          <w:highlight w:val="yellow"/>
          <w:lang w:val="en-GB"/>
        </w:rPr>
        <w:t xml:space="preserve">analysing </w:t>
      </w:r>
      <w:r w:rsidRPr="007450B9">
        <w:rPr>
          <w:rFonts w:cs="Times New Roman"/>
          <w:bCs/>
          <w:color w:val="000000" w:themeColor="text1"/>
          <w:kern w:val="2"/>
          <w:szCs w:val="24"/>
          <w:highlight w:val="yellow"/>
          <w:lang w:val="en-GB"/>
        </w:rPr>
        <w:t>how firm-specific attributes influence performance.</w:t>
      </w:r>
      <w:r w:rsidR="005A7A36" w:rsidRPr="007450B9">
        <w:rPr>
          <w:rFonts w:cs="Times New Roman"/>
          <w:bCs/>
          <w:color w:val="000000" w:themeColor="text1"/>
          <w:kern w:val="2"/>
          <w:szCs w:val="24"/>
          <w:highlight w:val="yellow"/>
          <w:lang w:val="en-GB"/>
        </w:rPr>
        <w:t xml:space="preserve"> </w:t>
      </w:r>
      <w:r w:rsidRPr="007450B9">
        <w:rPr>
          <w:rFonts w:cs="Times New Roman"/>
          <w:bCs/>
          <w:color w:val="000000" w:themeColor="text1"/>
          <w:kern w:val="2"/>
          <w:szCs w:val="24"/>
          <w:highlight w:val="yellow"/>
          <w:lang w:val="en-GB"/>
        </w:rPr>
        <w:t>For insurance companies, the RBV explains how internal strengths—such a</w:t>
      </w:r>
      <w:r w:rsidRPr="00057744">
        <w:rPr>
          <w:rFonts w:cs="Times New Roman"/>
          <w:bCs/>
          <w:color w:val="000000" w:themeColor="text1"/>
          <w:kern w:val="2"/>
          <w:szCs w:val="24"/>
          <w:lang w:val="en-GB"/>
        </w:rPr>
        <w:t xml:space="preserve">s underwriting expertise, technological capacity, brand reputation, and financial assets—drive growth and competitiveness. The theory thus supports the study’s dependent variable by </w:t>
      </w:r>
      <w:r w:rsidRPr="007450B9">
        <w:rPr>
          <w:rFonts w:cs="Times New Roman"/>
          <w:bCs/>
          <w:color w:val="000000" w:themeColor="text1"/>
          <w:kern w:val="2"/>
          <w:szCs w:val="24"/>
          <w:highlight w:val="yellow"/>
          <w:lang w:val="en-GB"/>
        </w:rPr>
        <w:t xml:space="preserve">linking </w:t>
      </w:r>
      <w:r w:rsidR="004E078C" w:rsidRPr="007450B9">
        <w:rPr>
          <w:rFonts w:cs="Times New Roman"/>
          <w:bCs/>
          <w:color w:val="000000" w:themeColor="text1"/>
          <w:kern w:val="2"/>
          <w:szCs w:val="24"/>
          <w:highlight w:val="yellow"/>
          <w:lang w:val="en-GB"/>
        </w:rPr>
        <w:t xml:space="preserve">organisational </w:t>
      </w:r>
      <w:r w:rsidRPr="007450B9">
        <w:rPr>
          <w:rFonts w:cs="Times New Roman"/>
          <w:bCs/>
          <w:color w:val="000000" w:themeColor="text1"/>
          <w:kern w:val="2"/>
          <w:szCs w:val="24"/>
          <w:highlight w:val="yellow"/>
          <w:lang w:val="en-GB"/>
        </w:rPr>
        <w:t>resources to firm growth</w:t>
      </w:r>
      <w:r w:rsidR="00147E4C" w:rsidRPr="007450B9">
        <w:rPr>
          <w:rFonts w:cs="Times New Roman"/>
          <w:bCs/>
          <w:color w:val="000000" w:themeColor="text1"/>
          <w:kern w:val="2"/>
          <w:szCs w:val="24"/>
          <w:highlight w:val="yellow"/>
          <w:lang w:val="en-GB"/>
        </w:rPr>
        <w:t>.</w:t>
      </w:r>
    </w:p>
    <w:p w14:paraId="34F84DFB" w14:textId="6D9FA3FA" w:rsidR="00B21AF4" w:rsidRPr="00B21AF4" w:rsidRDefault="00B21AF4" w:rsidP="00B21AF4">
      <w:pPr>
        <w:spacing w:before="0" w:after="160" w:line="259" w:lineRule="auto"/>
        <w:rPr>
          <w:rFonts w:cs="Times New Roman"/>
          <w:color w:val="000000" w:themeColor="text1"/>
          <w:szCs w:val="24"/>
        </w:rPr>
      </w:pPr>
      <w:r w:rsidRPr="00B21AF4">
        <w:rPr>
          <w:rFonts w:cs="Times New Roman"/>
          <w:b/>
          <w:bCs/>
          <w:i/>
          <w:iCs/>
          <w:color w:val="000000" w:themeColor="text1"/>
          <w:sz w:val="28"/>
          <w:szCs w:val="28"/>
        </w:rPr>
        <w:t>Empir</w:t>
      </w:r>
      <w:r>
        <w:rPr>
          <w:rFonts w:cs="Times New Roman"/>
          <w:b/>
          <w:bCs/>
          <w:i/>
          <w:iCs/>
          <w:color w:val="000000" w:themeColor="text1"/>
          <w:sz w:val="28"/>
          <w:szCs w:val="28"/>
        </w:rPr>
        <w:t>ical Literature Review</w:t>
      </w:r>
    </w:p>
    <w:p w14:paraId="113249FB" w14:textId="37F92402"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lastRenderedPageBreak/>
        <w:t xml:space="preserve">Studies across various jurisdictions have consistently explored the influence of equity capital on the performance and development of insurance firms. Collins (2019) examined the impact of capital structure components—including indebtedness, equity, and preference shares—on the financial performance of insurance companies listed on the Nairobi Securities Exchange (NSE). Using a descriptive design and secondary data from five insurers, the findings indicated that equity capital had a significant positive effect on financial performance, with results showing that an increase in equity enhanced firm performance. However, this study was limited to financial performance rather than </w:t>
      </w:r>
      <w:r w:rsidR="004E078C" w:rsidRPr="00412A96">
        <w:rPr>
          <w:rFonts w:cs="Times New Roman"/>
          <w:color w:val="000000" w:themeColor="text1"/>
          <w:szCs w:val="24"/>
        </w:rPr>
        <w:t>organi</w:t>
      </w:r>
      <w:r w:rsidR="004E078C">
        <w:rPr>
          <w:rFonts w:cs="Times New Roman"/>
          <w:color w:val="000000" w:themeColor="text1"/>
          <w:szCs w:val="24"/>
        </w:rPr>
        <w:t>s</w:t>
      </w:r>
      <w:r w:rsidR="004E078C" w:rsidRPr="00412A96">
        <w:rPr>
          <w:rFonts w:cs="Times New Roman"/>
          <w:color w:val="000000" w:themeColor="text1"/>
          <w:szCs w:val="24"/>
        </w:rPr>
        <w:t xml:space="preserve">ational </w:t>
      </w:r>
      <w:r w:rsidRPr="00412A96">
        <w:rPr>
          <w:rFonts w:cs="Times New Roman"/>
          <w:color w:val="000000" w:themeColor="text1"/>
          <w:szCs w:val="24"/>
        </w:rPr>
        <w:t>growth, which forms the focal point of the present investigation into Kenyan general insurance firms.</w:t>
      </w:r>
    </w:p>
    <w:p w14:paraId="0DDE0CDA" w14:textId="6BE7249C"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 xml:space="preserve">Shamsuddin, Kamel, Daud, and Sallha (2020) </w:t>
      </w:r>
      <w:r w:rsidR="004E078C" w:rsidRPr="00412A96">
        <w:rPr>
          <w:rFonts w:cs="Times New Roman"/>
          <w:color w:val="000000" w:themeColor="text1"/>
          <w:szCs w:val="24"/>
        </w:rPr>
        <w:t>analy</w:t>
      </w:r>
      <w:r w:rsidR="004E078C">
        <w:rPr>
          <w:rFonts w:cs="Times New Roman"/>
          <w:color w:val="000000" w:themeColor="text1"/>
          <w:szCs w:val="24"/>
        </w:rPr>
        <w:t>s</w:t>
      </w:r>
      <w:r w:rsidR="004E078C" w:rsidRPr="00412A96">
        <w:rPr>
          <w:rFonts w:cs="Times New Roman"/>
          <w:color w:val="000000" w:themeColor="text1"/>
          <w:szCs w:val="24"/>
        </w:rPr>
        <w:t xml:space="preserve">ed </w:t>
      </w:r>
      <w:r w:rsidRPr="00412A96">
        <w:rPr>
          <w:rFonts w:cs="Times New Roman"/>
          <w:color w:val="000000" w:themeColor="text1"/>
          <w:szCs w:val="24"/>
        </w:rPr>
        <w:t>the relationship between capital structure and performance of Jordanian listed insurers from 2007 to 2017, using static panel data analysis based on Tobin’s Q, ROA, and ROE. Their findings demonstrated that equity financing played a substantial role in improving profitability. While the study focused on profitability within Jordan’s insurance sector, the current inquiry shifts attention to the growth of Kenyan general insurers.</w:t>
      </w:r>
    </w:p>
    <w:p w14:paraId="7D058770" w14:textId="1D74643E"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 xml:space="preserve">Contrasting these positive </w:t>
      </w:r>
      <w:r w:rsidRPr="007450B9">
        <w:rPr>
          <w:rFonts w:cs="Times New Roman"/>
          <w:color w:val="000000" w:themeColor="text1"/>
          <w:szCs w:val="24"/>
          <w:highlight w:val="yellow"/>
        </w:rPr>
        <w:t xml:space="preserve">relationships, Msomi (2023) conducted a study covering 1452 observations from non-life insurance companies in Africa between 2008 and 2019, </w:t>
      </w:r>
      <w:r w:rsidR="004E078C" w:rsidRPr="007450B9">
        <w:rPr>
          <w:rFonts w:cs="Times New Roman"/>
          <w:color w:val="000000" w:themeColor="text1"/>
          <w:szCs w:val="24"/>
          <w:highlight w:val="yellow"/>
        </w:rPr>
        <w:t xml:space="preserve">utilising </w:t>
      </w:r>
      <w:r w:rsidRPr="007450B9">
        <w:rPr>
          <w:rFonts w:cs="Times New Roman"/>
          <w:color w:val="000000" w:themeColor="text1"/>
          <w:szCs w:val="24"/>
          <w:highlight w:val="yellow"/>
        </w:rPr>
        <w:t>two-st</w:t>
      </w:r>
      <w:r w:rsidRPr="00412A96">
        <w:rPr>
          <w:rFonts w:cs="Times New Roman"/>
          <w:color w:val="000000" w:themeColor="text1"/>
          <w:szCs w:val="24"/>
        </w:rPr>
        <w:t>ep System GMM estimators and OLS. The results revealed that equity capital had a statistically significant but negative association with the financial performance of African non-life insurers. Although focused on financial performance across multiple African countries, this study highlights the differing effects of equity capital across markets, justifying further investigation into its influence on the growth of Kenyan insurance companies.</w:t>
      </w:r>
    </w:p>
    <w:p w14:paraId="2A2A670F" w14:textId="153663D6"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 xml:space="preserve">Research on firm leverage similarly presents mixed conclusions. Kamau, Olweny, and Muturi (2021) assessed the effects of firm-specific characteristics on the financial performance of 52 Kenyan insurers from 2010 to 2018 using panel regression. They established that leverage adversely influenced financial performance, recommending the adoption of prudent leverage strategies. While their focus remained on performance outcomes, the present study extends this concern to </w:t>
      </w:r>
      <w:r w:rsidR="004E078C" w:rsidRPr="007450B9">
        <w:rPr>
          <w:rFonts w:cs="Times New Roman"/>
          <w:color w:val="000000" w:themeColor="text1"/>
          <w:szCs w:val="24"/>
          <w:highlight w:val="yellow"/>
        </w:rPr>
        <w:t xml:space="preserve">organisational </w:t>
      </w:r>
      <w:r w:rsidRPr="007450B9">
        <w:rPr>
          <w:rFonts w:cs="Times New Roman"/>
          <w:color w:val="000000" w:themeColor="text1"/>
          <w:szCs w:val="24"/>
          <w:highlight w:val="yellow"/>
        </w:rPr>
        <w:t>growth.</w:t>
      </w:r>
    </w:p>
    <w:p w14:paraId="41D4313B" w14:textId="4B7B60DA"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In contrast, Kamanda and Sibindi (2021) evaluated leverage within models featuring fixed effects, random effects, and pooled OLS, finding a positive relationship between leverage and financial success among insurance firms. Their study, however, was restricted to performance rather than growth.</w:t>
      </w:r>
      <w:r w:rsidR="005A7A36">
        <w:rPr>
          <w:rFonts w:cs="Times New Roman"/>
          <w:color w:val="000000" w:themeColor="text1"/>
          <w:szCs w:val="24"/>
        </w:rPr>
        <w:t xml:space="preserve"> </w:t>
      </w:r>
      <w:r w:rsidRPr="00412A96">
        <w:rPr>
          <w:rFonts w:cs="Times New Roman"/>
          <w:color w:val="000000" w:themeColor="text1"/>
          <w:szCs w:val="24"/>
        </w:rPr>
        <w:t xml:space="preserve">Similarly, Lilian (2022) examined all 56 Kenyan insurers operating between 2015 and 2020 and found that leverage had a positive and statistically significant effect on financial performance. The study concluded that cost reduction strategies associated with </w:t>
      </w:r>
      <w:r w:rsidR="004E078C" w:rsidRPr="00412A96">
        <w:rPr>
          <w:rFonts w:cs="Times New Roman"/>
          <w:color w:val="000000" w:themeColor="text1"/>
          <w:szCs w:val="24"/>
        </w:rPr>
        <w:t>optimi</w:t>
      </w:r>
      <w:r w:rsidR="004E078C">
        <w:rPr>
          <w:rFonts w:cs="Times New Roman"/>
          <w:color w:val="000000" w:themeColor="text1"/>
          <w:szCs w:val="24"/>
        </w:rPr>
        <w:t>s</w:t>
      </w:r>
      <w:r w:rsidR="004E078C" w:rsidRPr="00412A96">
        <w:rPr>
          <w:rFonts w:cs="Times New Roman"/>
          <w:color w:val="000000" w:themeColor="text1"/>
          <w:szCs w:val="24"/>
        </w:rPr>
        <w:t xml:space="preserve">ed </w:t>
      </w:r>
      <w:r w:rsidRPr="00412A96">
        <w:rPr>
          <w:rFonts w:cs="Times New Roman"/>
          <w:color w:val="000000" w:themeColor="text1"/>
          <w:szCs w:val="24"/>
        </w:rPr>
        <w:t>leverage enhanced customer satisfaction and financial outcomes. Nonetheless, this work covered only a limited period and focused solely on performance, whereas the current research will evaluate leverage effects on growth from 2016 to 2024.</w:t>
      </w:r>
    </w:p>
    <w:p w14:paraId="550E9124" w14:textId="36337A85" w:rsidR="00412A96" w:rsidRPr="007450B9" w:rsidRDefault="00412A96" w:rsidP="00412A96">
      <w:pPr>
        <w:spacing w:before="0" w:after="160" w:line="259" w:lineRule="auto"/>
        <w:rPr>
          <w:rFonts w:cs="Times New Roman"/>
          <w:color w:val="000000" w:themeColor="text1"/>
          <w:szCs w:val="24"/>
          <w:highlight w:val="yellow"/>
        </w:rPr>
      </w:pPr>
      <w:r w:rsidRPr="00412A96">
        <w:rPr>
          <w:rFonts w:cs="Times New Roman"/>
          <w:color w:val="000000" w:themeColor="text1"/>
          <w:szCs w:val="24"/>
        </w:rPr>
        <w:t xml:space="preserve">Liquidity has also attracted considerable scholarly attention. Kamau et al. (2021), using correlation analysis, found that liquidity negatively affected the financial performance of Kenyan insurers between 2010 and 2018. They </w:t>
      </w:r>
      <w:r w:rsidR="004E078C" w:rsidRPr="00412A96">
        <w:rPr>
          <w:rFonts w:cs="Times New Roman"/>
          <w:color w:val="000000" w:themeColor="text1"/>
          <w:szCs w:val="24"/>
        </w:rPr>
        <w:t>emphasi</w:t>
      </w:r>
      <w:r w:rsidR="004E078C">
        <w:rPr>
          <w:rFonts w:cs="Times New Roman"/>
          <w:color w:val="000000" w:themeColor="text1"/>
          <w:szCs w:val="24"/>
        </w:rPr>
        <w:t>s</w:t>
      </w:r>
      <w:r w:rsidR="004E078C" w:rsidRPr="00412A96">
        <w:rPr>
          <w:rFonts w:cs="Times New Roman"/>
          <w:color w:val="000000" w:themeColor="text1"/>
          <w:szCs w:val="24"/>
        </w:rPr>
        <w:t xml:space="preserve">ed </w:t>
      </w:r>
      <w:r w:rsidRPr="00412A96">
        <w:rPr>
          <w:rFonts w:cs="Times New Roman"/>
          <w:color w:val="000000" w:themeColor="text1"/>
          <w:szCs w:val="24"/>
        </w:rPr>
        <w:t xml:space="preserve">the </w:t>
      </w:r>
      <w:r w:rsidRPr="007450B9">
        <w:rPr>
          <w:rFonts w:cs="Times New Roman"/>
          <w:color w:val="000000" w:themeColor="text1"/>
          <w:szCs w:val="24"/>
          <w:highlight w:val="yellow"/>
        </w:rPr>
        <w:t xml:space="preserve">importance of proper liquidity management for </w:t>
      </w:r>
      <w:r w:rsidR="004E078C" w:rsidRPr="007450B9">
        <w:rPr>
          <w:rFonts w:cs="Times New Roman"/>
          <w:color w:val="000000" w:themeColor="text1"/>
          <w:szCs w:val="24"/>
          <w:highlight w:val="yellow"/>
        </w:rPr>
        <w:t xml:space="preserve">maximising </w:t>
      </w:r>
      <w:r w:rsidRPr="007450B9">
        <w:rPr>
          <w:rFonts w:cs="Times New Roman"/>
          <w:color w:val="000000" w:themeColor="text1"/>
          <w:szCs w:val="24"/>
          <w:highlight w:val="yellow"/>
        </w:rPr>
        <w:t>firm value. Notably, their study did not incorporate GDP as a moderating variable, a gap the present study aims to address.</w:t>
      </w:r>
    </w:p>
    <w:p w14:paraId="6124E9A6" w14:textId="6FF012BC" w:rsidR="00412A96" w:rsidRPr="00412A96" w:rsidRDefault="00412A96" w:rsidP="00412A96">
      <w:pPr>
        <w:spacing w:before="0" w:after="160" w:line="259" w:lineRule="auto"/>
        <w:rPr>
          <w:rFonts w:cs="Times New Roman"/>
          <w:color w:val="000000" w:themeColor="text1"/>
          <w:szCs w:val="24"/>
        </w:rPr>
      </w:pPr>
      <w:r w:rsidRPr="007450B9">
        <w:rPr>
          <w:rFonts w:cs="Times New Roman"/>
          <w:color w:val="000000" w:themeColor="text1"/>
          <w:szCs w:val="24"/>
          <w:highlight w:val="yellow"/>
        </w:rPr>
        <w:t xml:space="preserve">Maduabuchi and Ndubuisi (2021) </w:t>
      </w:r>
      <w:r w:rsidR="004E078C" w:rsidRPr="007450B9">
        <w:rPr>
          <w:rFonts w:cs="Times New Roman"/>
          <w:color w:val="000000" w:themeColor="text1"/>
          <w:szCs w:val="24"/>
          <w:highlight w:val="yellow"/>
        </w:rPr>
        <w:t xml:space="preserve">analysed </w:t>
      </w:r>
      <w:r w:rsidRPr="007450B9">
        <w:rPr>
          <w:rFonts w:cs="Times New Roman"/>
          <w:color w:val="000000" w:themeColor="text1"/>
          <w:szCs w:val="24"/>
          <w:highlight w:val="yellow"/>
        </w:rPr>
        <w:t>liquidity effects on the capital structures of 14 listed Nigerian insurers from 2011 to 2020. Using panel least squares and Pearson correlation, they</w:t>
      </w:r>
      <w:r w:rsidRPr="00412A96">
        <w:rPr>
          <w:rFonts w:cs="Times New Roman"/>
          <w:color w:val="000000" w:themeColor="text1"/>
          <w:szCs w:val="24"/>
        </w:rPr>
        <w:t xml:space="preserve"> established that liquidity negatively affected capital structure decisions. Their focus on Nigerian firms limits generalizability, highlighting the need for evidence from Kenya.</w:t>
      </w:r>
    </w:p>
    <w:p w14:paraId="60247BB1" w14:textId="77777777" w:rsidR="00412A96" w:rsidRPr="00412A96" w:rsidRDefault="00412A96" w:rsidP="00412A96">
      <w:pPr>
        <w:spacing w:before="0" w:after="160" w:line="259" w:lineRule="auto"/>
        <w:rPr>
          <w:rFonts w:cs="Times New Roman"/>
          <w:color w:val="000000" w:themeColor="text1"/>
          <w:szCs w:val="24"/>
        </w:rPr>
      </w:pPr>
    </w:p>
    <w:p w14:paraId="72AA0ED6" w14:textId="77777777"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lastRenderedPageBreak/>
        <w:t>Conversely, Msomi and Nzama (2023) found a strong and positive association between liquidity ratios and the financial performance of South African insurers, based on ROA analysis of 36 listed firms between 2008 and 2019. This contrasting evidence supports the need for further inquiry into liquidity within the Kenyan insurance landscape.</w:t>
      </w:r>
    </w:p>
    <w:p w14:paraId="41CBA8E5" w14:textId="611FEA7F"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Operational efficiency has been widely acknowledged as a driver of performance. Using panel data of 121 non-life insurers across 48 African countries, Msomi (2023) found operational efficiency to be a significant predictor of financial performance. Similarly, Ige-Gbadeyan (2023), focusing on 32 South African non-life insurers, reported a strong positive relationship between operational efficiency and financial stability. Both studies underscore the importance of operational effectiveness</w:t>
      </w:r>
      <w:r w:rsidR="004E078C">
        <w:rPr>
          <w:rFonts w:cs="Times New Roman"/>
          <w:color w:val="000000" w:themeColor="text1"/>
          <w:szCs w:val="24"/>
        </w:rPr>
        <w:t>,</w:t>
      </w:r>
      <w:r w:rsidRPr="00412A96">
        <w:rPr>
          <w:rFonts w:cs="Times New Roman"/>
          <w:color w:val="000000" w:themeColor="text1"/>
          <w:szCs w:val="24"/>
        </w:rPr>
        <w:t xml:space="preserve"> but were conducted outside Kenya and focused on performance rather than growth.</w:t>
      </w:r>
    </w:p>
    <w:p w14:paraId="5896EF0F" w14:textId="77777777"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Furthermore, Akims et al. (2023) examined operational efficiency in relation to liquidity transformation in 15 Nigerian banks and concluded that managerial efficiency significantly influenced liquidity transformation. Although outside the insurance context, the findings reinforce operational efficiency as a critical institutional capability relevant to the growth of Kenyan insurers.</w:t>
      </w:r>
    </w:p>
    <w:p w14:paraId="67AFE045" w14:textId="680BAF01" w:rsidR="00412A96" w:rsidRPr="00412A96" w:rsidRDefault="00412A96" w:rsidP="00412A96">
      <w:pPr>
        <w:spacing w:before="0" w:after="160" w:line="259" w:lineRule="auto"/>
        <w:rPr>
          <w:rFonts w:cs="Times New Roman"/>
          <w:color w:val="000000" w:themeColor="text1"/>
          <w:szCs w:val="24"/>
        </w:rPr>
      </w:pPr>
      <w:r w:rsidRPr="007450B9">
        <w:rPr>
          <w:rFonts w:cs="Times New Roman"/>
          <w:color w:val="000000" w:themeColor="text1"/>
          <w:szCs w:val="24"/>
          <w:highlight w:val="yellow"/>
        </w:rPr>
        <w:t xml:space="preserve">Macroeconomic conditions, especially GDP, also shape industry growth. Gonji et al. (2020) </w:t>
      </w:r>
      <w:r w:rsidR="004E078C" w:rsidRPr="007450B9">
        <w:rPr>
          <w:rFonts w:cs="Times New Roman"/>
          <w:color w:val="000000" w:themeColor="text1"/>
          <w:szCs w:val="24"/>
          <w:highlight w:val="yellow"/>
        </w:rPr>
        <w:t xml:space="preserve">analysed </w:t>
      </w:r>
      <w:r w:rsidRPr="007450B9">
        <w:rPr>
          <w:rFonts w:cs="Times New Roman"/>
          <w:color w:val="000000" w:themeColor="text1"/>
          <w:szCs w:val="24"/>
          <w:highlight w:val="yellow"/>
        </w:rPr>
        <w:t>macroeconomic determinants of insurance firm expansion in Nigeria from 1990 to 2019, revealing that GDP had a significant and positive influence on growth. While the study did not treat GDP as a moderating variable, the current</w:t>
      </w:r>
      <w:r w:rsidRPr="00412A96">
        <w:rPr>
          <w:rFonts w:cs="Times New Roman"/>
          <w:color w:val="000000" w:themeColor="text1"/>
          <w:szCs w:val="24"/>
        </w:rPr>
        <w:t xml:space="preserve"> study will address this limitation.</w:t>
      </w:r>
    </w:p>
    <w:p w14:paraId="1211445F" w14:textId="53B1F179" w:rsidR="00CB6E82"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Msomi (2023) also found GDP to be a significant predictor of financial performance for 121 non-life insurers across Africa, though GDP was not examined as a moderating factor. Meanwhile, Mutua, Wamugo, and Theuri (2023), studying Kenyan insurers from 2015 to 2020, found that GDP growth substantially moderated the relationship between insurance risks and financial performance. Their findings underscore the importance of GDP in shaping firm outcomes, supporting the current study’s inclusion of GDP as a moderating variable from 2016 to 2024.</w:t>
      </w:r>
    </w:p>
    <w:p w14:paraId="0930CC08" w14:textId="77777777" w:rsidR="008D472A" w:rsidRPr="007A56B8" w:rsidRDefault="008D472A" w:rsidP="00B21AF4">
      <w:pPr>
        <w:spacing w:before="0" w:after="160" w:line="259" w:lineRule="auto"/>
        <w:rPr>
          <w:rFonts w:cs="Times New Roman"/>
          <w:color w:val="000000" w:themeColor="text1"/>
          <w:szCs w:val="24"/>
        </w:rPr>
      </w:pPr>
    </w:p>
    <w:p w14:paraId="35BCEF5F" w14:textId="45B594DB"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METHODOLOGY</w:t>
      </w:r>
    </w:p>
    <w:p w14:paraId="5E198E4F" w14:textId="2345AB2E"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 xml:space="preserve">The study adopted a systematic research design that aligned the foundational research questions with the methodological procedures required to generate reliable empirical evidence. Guided by the principles outlined by Blanche et al. (2006), the design ensured coherence between data collection, analysis, and interpretation. A quantitative longitudinal approach was employed, enabling the researcher to track the same variables across 36 insurance companies from 2016 to 2024. This design was appropriate because it facilitates examination of changes and trends in substantive variables over time, consistent with the purpose of longitudinal studies, which is to </w:t>
      </w:r>
      <w:r w:rsidR="004E078C" w:rsidRPr="00412A96">
        <w:rPr>
          <w:rFonts w:cs="Times New Roman"/>
          <w:color w:val="000000" w:themeColor="text1"/>
          <w:szCs w:val="24"/>
        </w:rPr>
        <w:t>conceptuali</w:t>
      </w:r>
      <w:r w:rsidR="004E078C">
        <w:rPr>
          <w:rFonts w:cs="Times New Roman"/>
          <w:color w:val="000000" w:themeColor="text1"/>
          <w:szCs w:val="24"/>
        </w:rPr>
        <w:t>s</w:t>
      </w:r>
      <w:r w:rsidR="004E078C" w:rsidRPr="00412A96">
        <w:rPr>
          <w:rFonts w:cs="Times New Roman"/>
          <w:color w:val="000000" w:themeColor="text1"/>
          <w:szCs w:val="24"/>
        </w:rPr>
        <w:t xml:space="preserve">e </w:t>
      </w:r>
      <w:r w:rsidRPr="00412A96">
        <w:rPr>
          <w:rFonts w:cs="Times New Roman"/>
          <w:color w:val="000000" w:themeColor="text1"/>
          <w:szCs w:val="24"/>
        </w:rPr>
        <w:t>and assess variable alterations over extended periods (Wang et al., 2017). Quantitative techniques, which rely on numerical representation of company characteristics and performance indicators, formed the methodological foundation.</w:t>
      </w:r>
    </w:p>
    <w:p w14:paraId="15756064" w14:textId="77777777" w:rsidR="00412A96" w:rsidRPr="00412A96" w:rsidRDefault="00412A96" w:rsidP="00412A96">
      <w:pPr>
        <w:spacing w:after="160" w:line="259" w:lineRule="auto"/>
        <w:rPr>
          <w:rFonts w:cs="Times New Roman"/>
          <w:color w:val="000000" w:themeColor="text1"/>
          <w:szCs w:val="24"/>
        </w:rPr>
      </w:pPr>
    </w:p>
    <w:p w14:paraId="52FFA130" w14:textId="77777777"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 xml:space="preserve">To examine the relationships between the variables, the study applied an empirical model rooted in regression-based methodologies commonly used in panel data analysis (Frees, 2003). The direct effects model assessed how equity capital, firm leverage, firm liquidity, and operational efficiency influenced insurance premium growth. A second model tested the moderating role of GDP on these relationships, applying procedures recommended by Whisman and McChelland (2005). The moderation analysis followed a two-step approach: first, incorporating GDP as an </w:t>
      </w:r>
      <w:r w:rsidRPr="00412A96">
        <w:rPr>
          <w:rFonts w:cs="Times New Roman"/>
          <w:color w:val="000000" w:themeColor="text1"/>
          <w:szCs w:val="24"/>
        </w:rPr>
        <w:lastRenderedPageBreak/>
        <w:t>independent predictor, and second, introducing interaction terms between GDP and each predictor. Decision criteria for confirming moderation were based on significance comparisons between Model One and Model Two.</w:t>
      </w:r>
    </w:p>
    <w:p w14:paraId="6E29823F" w14:textId="14F2E1B8" w:rsidR="00412A96" w:rsidRPr="00412A96" w:rsidRDefault="004E078C" w:rsidP="00412A96">
      <w:pPr>
        <w:spacing w:after="160" w:line="259" w:lineRule="auto"/>
        <w:rPr>
          <w:rFonts w:cs="Times New Roman"/>
          <w:color w:val="000000" w:themeColor="text1"/>
          <w:szCs w:val="24"/>
        </w:rPr>
      </w:pPr>
      <w:r w:rsidRPr="007450B9">
        <w:rPr>
          <w:rFonts w:cs="Times New Roman"/>
          <w:color w:val="000000" w:themeColor="text1"/>
          <w:szCs w:val="24"/>
          <w:highlight w:val="yellow"/>
        </w:rPr>
        <w:t xml:space="preserve">Operationalisation </w:t>
      </w:r>
      <w:r w:rsidR="00412A96" w:rsidRPr="007450B9">
        <w:rPr>
          <w:rFonts w:cs="Times New Roman"/>
          <w:color w:val="000000" w:themeColor="text1"/>
          <w:szCs w:val="24"/>
          <w:highlight w:val="yellow"/>
        </w:rPr>
        <w:t xml:space="preserve">and measurement of variables were rigorously defined. Premium growth served as the dependent variable, while equity capital, operational efficiency, leverage, and liquidity formed the independent variables, all measured using ratio scales. GDP, </w:t>
      </w:r>
      <w:r w:rsidRPr="007450B9">
        <w:rPr>
          <w:rFonts w:cs="Times New Roman"/>
          <w:color w:val="000000" w:themeColor="text1"/>
          <w:szCs w:val="24"/>
          <w:highlight w:val="yellow"/>
        </w:rPr>
        <w:t xml:space="preserve">operationalised </w:t>
      </w:r>
      <w:r w:rsidR="00412A96" w:rsidRPr="007450B9">
        <w:rPr>
          <w:rFonts w:cs="Times New Roman"/>
          <w:color w:val="000000" w:themeColor="text1"/>
          <w:szCs w:val="24"/>
          <w:highlight w:val="yellow"/>
        </w:rPr>
        <w:t xml:space="preserve">as </w:t>
      </w:r>
      <w:r w:rsidRPr="007450B9">
        <w:rPr>
          <w:rFonts w:cs="Times New Roman"/>
          <w:color w:val="000000" w:themeColor="text1"/>
          <w:szCs w:val="24"/>
          <w:highlight w:val="yellow"/>
        </w:rPr>
        <w:t xml:space="preserve">the </w:t>
      </w:r>
      <w:r w:rsidR="00412A96" w:rsidRPr="007450B9">
        <w:rPr>
          <w:rFonts w:cs="Times New Roman"/>
          <w:color w:val="000000" w:themeColor="text1"/>
          <w:szCs w:val="24"/>
          <w:highlight w:val="yellow"/>
        </w:rPr>
        <w:t>annual economic growth rate, functioned as the moderating variable. These measures ensured consiste</w:t>
      </w:r>
      <w:r w:rsidR="00412A96" w:rsidRPr="00412A96">
        <w:rPr>
          <w:rFonts w:cs="Times New Roman"/>
          <w:color w:val="000000" w:themeColor="text1"/>
          <w:szCs w:val="24"/>
        </w:rPr>
        <w:t>ncy, comparability, and statistical suitability for panel regression analysis.</w:t>
      </w:r>
    </w:p>
    <w:p w14:paraId="6857C57B" w14:textId="44C9FC80"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 xml:space="preserve">The target population consisted of all 36 general insurance companies regulated by the Insurance Regulatory Authority (IRA). Given the manageable population size, the study </w:t>
      </w:r>
      <w:r w:rsidRPr="007450B9">
        <w:rPr>
          <w:rFonts w:cs="Times New Roman"/>
          <w:color w:val="000000" w:themeColor="text1"/>
          <w:szCs w:val="24"/>
          <w:highlight w:val="yellow"/>
        </w:rPr>
        <w:t xml:space="preserve">adopted a census sampling technique, aligning with Mugenda and Mugenda’s (2013) recommendation that census methods </w:t>
      </w:r>
      <w:r w:rsidR="004E078C" w:rsidRPr="007450B9">
        <w:rPr>
          <w:rFonts w:cs="Times New Roman"/>
          <w:color w:val="000000" w:themeColor="text1"/>
          <w:szCs w:val="24"/>
          <w:highlight w:val="yellow"/>
        </w:rPr>
        <w:t xml:space="preserve">minimise </w:t>
      </w:r>
      <w:r w:rsidRPr="007450B9">
        <w:rPr>
          <w:rFonts w:cs="Times New Roman"/>
          <w:color w:val="000000" w:themeColor="text1"/>
          <w:szCs w:val="24"/>
          <w:highlight w:val="yellow"/>
        </w:rPr>
        <w:t>sampling bias when dealing with small populations. Including every firm enabled complete sector representation and enhanc</w:t>
      </w:r>
      <w:r w:rsidRPr="00412A96">
        <w:rPr>
          <w:rFonts w:cs="Times New Roman"/>
          <w:color w:val="000000" w:themeColor="text1"/>
          <w:szCs w:val="24"/>
        </w:rPr>
        <w:t>ed the study’s validity.</w:t>
      </w:r>
    </w:p>
    <w:p w14:paraId="54739732" w14:textId="13E89E3C"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 xml:space="preserve">Data collection relied exclusively on secondary data drawn from audited annual reports available </w:t>
      </w:r>
      <w:r w:rsidRPr="007450B9">
        <w:rPr>
          <w:rFonts w:cs="Times New Roman"/>
          <w:color w:val="000000" w:themeColor="text1"/>
          <w:szCs w:val="24"/>
          <w:highlight w:val="yellow"/>
        </w:rPr>
        <w:t xml:space="preserve">through the IRA, KRA, and individual insurance firms. The data covered nine financial years, from 2016 to 2024. </w:t>
      </w:r>
      <w:r w:rsidR="004E078C" w:rsidRPr="007450B9">
        <w:rPr>
          <w:rFonts w:cs="Times New Roman"/>
          <w:color w:val="000000" w:themeColor="text1"/>
          <w:szCs w:val="24"/>
          <w:highlight w:val="yellow"/>
        </w:rPr>
        <w:t xml:space="preserve">The collection </w:t>
      </w:r>
      <w:r w:rsidRPr="007450B9">
        <w:rPr>
          <w:rFonts w:cs="Times New Roman"/>
          <w:color w:val="000000" w:themeColor="text1"/>
          <w:szCs w:val="24"/>
          <w:highlight w:val="yellow"/>
        </w:rPr>
        <w:t>was completed over two weeks and followed systematic procedures to ensure accuracy and completeness.</w:t>
      </w:r>
    </w:p>
    <w:p w14:paraId="46E84613" w14:textId="77777777"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Prior to data analysis, several diagnostic tests were conducted to validate the assumptions of the classical linear regression model. Multicollinearity was assessed using the Variance Inflation Factor (VIF) to ensure independence among predictors. Normality of residuals was tested using significance-based procedures; a p-value above 0.05 confirmed normal distribution, following Razali and Wah (2011). Stationarity of panel data was examined using the Harris-Tzavalis unit root test, as non-stationary series risk misleading regression results (Wooldridge, 2013). Autocorrelation was checked using the Durbin-Watson statistic, while heteroscedasticity was evaluated using the Breusch-Pagan test. The Hausman test determined the appropriate model specification between fixed and random effects, ensuring robust estimation.</w:t>
      </w:r>
    </w:p>
    <w:p w14:paraId="68ECED9B" w14:textId="78AA7410" w:rsidR="009B3203" w:rsidRPr="007A56B8"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 xml:space="preserve">Data analysis was conducted in STATA, using descriptive </w:t>
      </w:r>
      <w:r w:rsidRPr="007450B9">
        <w:rPr>
          <w:rFonts w:cs="Times New Roman"/>
          <w:color w:val="000000" w:themeColor="text1"/>
          <w:szCs w:val="24"/>
          <w:highlight w:val="yellow"/>
        </w:rPr>
        <w:t xml:space="preserve">statistics to </w:t>
      </w:r>
      <w:r w:rsidR="004E078C" w:rsidRPr="007450B9">
        <w:rPr>
          <w:rFonts w:cs="Times New Roman"/>
          <w:color w:val="000000" w:themeColor="text1"/>
          <w:szCs w:val="24"/>
          <w:highlight w:val="yellow"/>
        </w:rPr>
        <w:t xml:space="preserve">summarise </w:t>
      </w:r>
      <w:r w:rsidRPr="007450B9">
        <w:rPr>
          <w:rFonts w:cs="Times New Roman"/>
          <w:color w:val="000000" w:themeColor="text1"/>
          <w:szCs w:val="24"/>
          <w:highlight w:val="yellow"/>
        </w:rPr>
        <w:t>the dataset and panel regression techniques to test hypotheses and interpret variable effects. These procedures transformed the collected data into meaningful insights in line with the study’s objectives.</w:t>
      </w:r>
      <w:r w:rsidR="005A7A36" w:rsidRPr="007450B9">
        <w:rPr>
          <w:rFonts w:cs="Times New Roman"/>
          <w:color w:val="000000" w:themeColor="text1"/>
          <w:szCs w:val="24"/>
          <w:highlight w:val="yellow"/>
        </w:rPr>
        <w:t xml:space="preserve"> </w:t>
      </w:r>
      <w:r w:rsidRPr="007450B9">
        <w:rPr>
          <w:rFonts w:cs="Times New Roman"/>
          <w:color w:val="000000" w:themeColor="text1"/>
          <w:szCs w:val="24"/>
          <w:highlight w:val="yellow"/>
        </w:rPr>
        <w:t xml:space="preserve">Ethical considerations guided the entire research process. The study adhered to Kenyatta University requirements and complied with guidelines from the Commission for University Education (CUE). All necessary clearances were obtained, including research </w:t>
      </w:r>
      <w:r w:rsidR="004E078C" w:rsidRPr="00412A96">
        <w:rPr>
          <w:rFonts w:cs="Times New Roman"/>
          <w:color w:val="000000" w:themeColor="text1"/>
          <w:szCs w:val="24"/>
        </w:rPr>
        <w:t>authori</w:t>
      </w:r>
      <w:r w:rsidR="004E078C">
        <w:rPr>
          <w:rFonts w:cs="Times New Roman"/>
          <w:color w:val="000000" w:themeColor="text1"/>
          <w:szCs w:val="24"/>
        </w:rPr>
        <w:t>s</w:t>
      </w:r>
      <w:r w:rsidR="004E078C" w:rsidRPr="00412A96">
        <w:rPr>
          <w:rFonts w:cs="Times New Roman"/>
          <w:color w:val="000000" w:themeColor="text1"/>
          <w:szCs w:val="24"/>
        </w:rPr>
        <w:t xml:space="preserve">ation </w:t>
      </w:r>
      <w:r w:rsidRPr="00412A96">
        <w:rPr>
          <w:rFonts w:cs="Times New Roman"/>
          <w:color w:val="000000" w:themeColor="text1"/>
          <w:szCs w:val="24"/>
        </w:rPr>
        <w:t>from NACOSTI. These provisions ensured integrity, transparency, and accountability in handling institutional data.</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64765E31" w:rsidR="00055D83" w:rsidRDefault="002B2D3C" w:rsidP="00711AB4">
      <w:pPr>
        <w:spacing w:before="0"/>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 xml:space="preserve">RESULTS </w:t>
      </w:r>
      <w:r w:rsidR="00C371B8">
        <w:rPr>
          <w:b/>
          <w:bCs/>
          <w:color w:val="000000" w:themeColor="text1"/>
          <w:sz w:val="28"/>
          <w:szCs w:val="24"/>
        </w:rPr>
        <w:t xml:space="preserve"> AND DISCUSSION</w:t>
      </w:r>
    </w:p>
    <w:p w14:paraId="59EEC046" w14:textId="77777777" w:rsidR="0073222F" w:rsidRDefault="0073222F" w:rsidP="00711AB4">
      <w:pPr>
        <w:spacing w:before="0" w:line="240" w:lineRule="auto"/>
        <w:rPr>
          <w:b/>
          <w:bCs/>
          <w:i/>
          <w:iCs/>
          <w:color w:val="000000" w:themeColor="text1"/>
          <w:sz w:val="28"/>
          <w:szCs w:val="24"/>
        </w:rPr>
      </w:pPr>
      <w:r w:rsidRPr="0073222F">
        <w:rPr>
          <w:b/>
          <w:bCs/>
          <w:i/>
          <w:iCs/>
          <w:color w:val="000000" w:themeColor="text1"/>
          <w:sz w:val="28"/>
          <w:szCs w:val="24"/>
        </w:rPr>
        <w:t xml:space="preserve">Descriptive Statistics </w:t>
      </w:r>
    </w:p>
    <w:p w14:paraId="45A18F3F" w14:textId="77777777" w:rsidR="0073222F" w:rsidRDefault="0073222F" w:rsidP="00711AB4">
      <w:pPr>
        <w:spacing w:before="0" w:line="240" w:lineRule="auto"/>
        <w:rPr>
          <w:b/>
          <w:bCs/>
          <w:i/>
          <w:iCs/>
          <w:color w:val="000000" w:themeColor="text1"/>
          <w:sz w:val="28"/>
          <w:szCs w:val="24"/>
        </w:rPr>
      </w:pPr>
    </w:p>
    <w:p w14:paraId="4B3537B4" w14:textId="77777777" w:rsidR="0073222F" w:rsidRDefault="0073222F" w:rsidP="0073222F">
      <w:pPr>
        <w:spacing w:before="0" w:line="240" w:lineRule="auto"/>
      </w:pPr>
      <w:r>
        <w:t>The study examined key firm characteristics and their influence on the growth of general insurance companies in Kenya. Descriptive results for equity capital, leverage, liquidity, operational efficiency, and the moderating role of GDP provide insights into the financial and operational dynamics shaping industry performance.</w:t>
      </w:r>
    </w:p>
    <w:p w14:paraId="53A6C0E4" w14:textId="77777777" w:rsidR="0073222F" w:rsidRDefault="0073222F" w:rsidP="0073222F">
      <w:pPr>
        <w:spacing w:before="0" w:line="240" w:lineRule="auto"/>
      </w:pPr>
    </w:p>
    <w:p w14:paraId="3F42D620" w14:textId="3E33776F" w:rsidR="0073222F" w:rsidRDefault="0073222F" w:rsidP="0073222F">
      <w:pPr>
        <w:spacing w:before="0" w:line="240" w:lineRule="auto"/>
      </w:pPr>
      <w:r>
        <w:t xml:space="preserve">Equity </w:t>
      </w:r>
      <w:r w:rsidRPr="007450B9">
        <w:rPr>
          <w:highlight w:val="yellow"/>
        </w:rPr>
        <w:t xml:space="preserve">capital exhibited an average value of 4.7762, with moderate variation across firms, highlighting differences in </w:t>
      </w:r>
      <w:r w:rsidR="004E078C" w:rsidRPr="007450B9">
        <w:rPr>
          <w:highlight w:val="yellow"/>
        </w:rPr>
        <w:t xml:space="preserve">capitalisation </w:t>
      </w:r>
      <w:r w:rsidRPr="007450B9">
        <w:rPr>
          <w:highlight w:val="yellow"/>
        </w:rPr>
        <w:t>levels within the sector. Companies with stronger equity positions were better positioned to support expans</w:t>
      </w:r>
      <w:r>
        <w:t>ion, absorb shocks, and underwrite more business. Growth presented a mean of 0.7595 but also displayed substantial dispersion, reflected by a wide range between the minimum and maximum values. This indicated significant inconsistencies in performance across firms, with some recording rapid growth while others experienced stagnation or decline.</w:t>
      </w:r>
    </w:p>
    <w:p w14:paraId="021D67AA" w14:textId="77777777" w:rsidR="0073222F" w:rsidRDefault="0073222F" w:rsidP="0073222F">
      <w:pPr>
        <w:spacing w:before="0" w:line="240" w:lineRule="auto"/>
      </w:pPr>
    </w:p>
    <w:p w14:paraId="3D1E96A9" w14:textId="77777777" w:rsidR="0073222F" w:rsidRDefault="0073222F" w:rsidP="0073222F">
      <w:pPr>
        <w:spacing w:before="0" w:line="240" w:lineRule="auto"/>
      </w:pPr>
      <w:r>
        <w:t>Firm leverage averaged 3.6947 but showed notably high variability, suggesting diverse approaches to debt financing. Some insurers demonstrated minimal or negative leverage, signalling conservative debt usage, while others exhibited extremely high leverage, which may pose financial risks. These variations illustrate the different capital structure strategies adopted by firms, which in turn influence their growth capacity. Moderate leverage may enhance growth through efficient financing, but excessive debt can constrain expansion due to financial distress.</w:t>
      </w:r>
    </w:p>
    <w:p w14:paraId="5986AA30" w14:textId="77777777" w:rsidR="0073222F" w:rsidRDefault="0073222F" w:rsidP="0073222F">
      <w:pPr>
        <w:spacing w:before="0" w:line="240" w:lineRule="auto"/>
      </w:pPr>
    </w:p>
    <w:p w14:paraId="1E3BC749" w14:textId="77777777" w:rsidR="0073222F" w:rsidRDefault="0073222F" w:rsidP="0073222F">
      <w:pPr>
        <w:spacing w:before="0" w:line="240" w:lineRule="auto"/>
      </w:pPr>
      <w:r>
        <w:t>Liquidity averaged 0.1875, considerably lower than optimal benchmarks, indicating that many insurers operated with limited short-term assets. The low end of the liquidity range signalled acute liquidity constraints for some firms, posing risks such as delayed claim settlements and reputational damage. Conversely, firms with higher liquidity demonstrated stronger financial flexibility. The substantial disparity in liquidity across firms highlighted systemic imbalances in short-term financial management and its implications for growth.</w:t>
      </w:r>
    </w:p>
    <w:p w14:paraId="7658F8CF" w14:textId="77777777" w:rsidR="0073222F" w:rsidRDefault="0073222F" w:rsidP="0073222F">
      <w:pPr>
        <w:spacing w:before="0" w:line="240" w:lineRule="auto"/>
      </w:pPr>
    </w:p>
    <w:p w14:paraId="4E4E0D5E" w14:textId="77777777" w:rsidR="0073222F" w:rsidRDefault="0073222F" w:rsidP="0073222F">
      <w:pPr>
        <w:spacing w:before="0" w:line="240" w:lineRule="auto"/>
      </w:pPr>
      <w:r>
        <w:t>Operational efficiency recorded a mean of 0.6520, suggesting that firms effectively converted a substantial portion of their resources into productive activities. However, differences in efficiency levels indicated that while some companies had streamlined operations, others struggled with operational inefficiencies that limited growth potential.</w:t>
      </w:r>
    </w:p>
    <w:p w14:paraId="2363A5D8" w14:textId="77777777" w:rsidR="0073222F" w:rsidRDefault="0073222F" w:rsidP="0073222F">
      <w:pPr>
        <w:spacing w:before="0" w:line="240" w:lineRule="auto"/>
      </w:pPr>
    </w:p>
    <w:p w14:paraId="4BC4E25A" w14:textId="18B32F7A" w:rsidR="00D530BF" w:rsidRPr="00711AB4" w:rsidRDefault="0073222F" w:rsidP="0073222F">
      <w:pPr>
        <w:spacing w:before="0" w:line="240" w:lineRule="auto"/>
        <w:rPr>
          <w:b/>
          <w:bCs/>
          <w:i/>
          <w:iCs/>
        </w:rPr>
      </w:pPr>
      <w:r>
        <w:t>A hierarchical regression analysis assessed the moderating role of GDP. In the first step, firm characteristics explained 50.7% of the variation in growth. Incorporating GDP interactions in the second step increased the explanatory power to 55.4%, reflecting an additional 4.7% variance attributed to macroeconomic conditions. This demonstrated that GDP significantly moderates the relationship between firm characteristics and growth. During periods of strong economic performance, firm-level factors such as equity capital, liquidity, and operational efficiency enhance growth more effectively, while during economic downturns, their influence weakens. This underscores the importance of both internal capacity and external economic conditions in shaping the growth of general insurance companies in Kenya</w:t>
      </w:r>
      <w:r w:rsidR="004E078C">
        <w:t>.</w:t>
      </w:r>
    </w:p>
    <w:p w14:paraId="50F0A4DB" w14:textId="77777777" w:rsidR="0005136B" w:rsidRPr="0005136B" w:rsidRDefault="0005136B" w:rsidP="0005136B">
      <w:pPr>
        <w:rPr>
          <w:b/>
          <w:i/>
        </w:rPr>
      </w:pPr>
      <w:r w:rsidRPr="0005136B">
        <w:rPr>
          <w:b/>
          <w:i/>
        </w:rPr>
        <w:t>Diagnostic Tests</w:t>
      </w:r>
    </w:p>
    <w:p w14:paraId="57FA4A8F" w14:textId="77777777" w:rsidR="0073222F" w:rsidRDefault="0073222F" w:rsidP="0073222F">
      <w:pPr>
        <w:spacing w:before="0" w:line="240" w:lineRule="auto"/>
        <w:rPr>
          <w:color w:val="auto"/>
          <w:szCs w:val="24"/>
        </w:rPr>
      </w:pPr>
      <w:r w:rsidRPr="0073222F">
        <w:rPr>
          <w:color w:val="auto"/>
          <w:szCs w:val="24"/>
        </w:rPr>
        <w:t xml:space="preserve">Several diagnostic tests were conducted to determine the most appropriate panel data estimation approach and assess the reliability of the regression results. </w:t>
      </w:r>
    </w:p>
    <w:p w14:paraId="796940A5" w14:textId="77777777" w:rsidR="0073222F" w:rsidRDefault="0073222F" w:rsidP="0073222F">
      <w:pPr>
        <w:spacing w:before="0" w:line="240" w:lineRule="auto"/>
        <w:rPr>
          <w:color w:val="auto"/>
          <w:szCs w:val="24"/>
        </w:rPr>
      </w:pPr>
    </w:p>
    <w:p w14:paraId="64DF31D1" w14:textId="77777777" w:rsidR="0073222F" w:rsidRDefault="0073222F" w:rsidP="0073222F">
      <w:pPr>
        <w:spacing w:before="0" w:line="240" w:lineRule="auto"/>
        <w:rPr>
          <w:color w:val="auto"/>
          <w:szCs w:val="24"/>
        </w:rPr>
      </w:pPr>
      <w:r w:rsidRPr="0073222F">
        <w:rPr>
          <w:color w:val="auto"/>
          <w:szCs w:val="24"/>
        </w:rPr>
        <w:t xml:space="preserve">The Hausman test compared fixed and random effects models to evaluate the presence of correlation between the explanatory variables and the error term. The test produced a significant statistic (χ² = 18.472, p &lt; 0.05), leading to rejection of the null hypothesis and confirming that the random effects estimator was inconsistent. </w:t>
      </w:r>
    </w:p>
    <w:p w14:paraId="7E29FF25" w14:textId="508750F1" w:rsidR="0073222F" w:rsidRPr="0073222F" w:rsidRDefault="005A7A36" w:rsidP="0073222F">
      <w:pPr>
        <w:rPr>
          <w:b/>
          <w:i/>
        </w:rPr>
      </w:pPr>
      <w:r>
        <w:rPr>
          <w:b/>
          <w:i/>
        </w:rPr>
        <w:lastRenderedPageBreak/>
        <w:t xml:space="preserve">Table 1 </w:t>
      </w:r>
      <w:r w:rsidR="0073222F" w:rsidRPr="0073222F">
        <w:rPr>
          <w:b/>
          <w:i/>
        </w:rPr>
        <w:t>Hausman Test Results</w:t>
      </w:r>
    </w:p>
    <w:tbl>
      <w:tblPr>
        <w:tblW w:w="8576" w:type="dxa"/>
        <w:tblBorders>
          <w:top w:val="single" w:sz="4" w:space="0" w:color="auto"/>
          <w:bottom w:val="single" w:sz="4" w:space="0" w:color="auto"/>
        </w:tblBorders>
        <w:tblLook w:val="04A0" w:firstRow="1" w:lastRow="0" w:firstColumn="1" w:lastColumn="0" w:noHBand="0" w:noVBand="1"/>
      </w:tblPr>
      <w:tblGrid>
        <w:gridCol w:w="1915"/>
        <w:gridCol w:w="1915"/>
        <w:gridCol w:w="1228"/>
        <w:gridCol w:w="1440"/>
        <w:gridCol w:w="2078"/>
      </w:tblGrid>
      <w:tr w:rsidR="0073222F" w:rsidRPr="00476346" w14:paraId="37F05C71" w14:textId="77777777" w:rsidTr="00B623C0">
        <w:tc>
          <w:tcPr>
            <w:tcW w:w="1915" w:type="dxa"/>
            <w:tcBorders>
              <w:top w:val="single" w:sz="4" w:space="0" w:color="auto"/>
              <w:bottom w:val="single" w:sz="4" w:space="0" w:color="auto"/>
            </w:tcBorders>
            <w:vAlign w:val="bottom"/>
            <w:hideMark/>
          </w:tcPr>
          <w:p w14:paraId="2C2E2428" w14:textId="77777777" w:rsidR="0073222F" w:rsidRPr="00476346" w:rsidRDefault="0073222F" w:rsidP="00B623C0">
            <w:pPr>
              <w:spacing w:line="240" w:lineRule="auto"/>
              <w:rPr>
                <w:b/>
                <w:bCs/>
                <w:color w:val="0D0D0D"/>
                <w:szCs w:val="24"/>
              </w:rPr>
            </w:pPr>
            <w:r w:rsidRPr="00476346">
              <w:rPr>
                <w:b/>
                <w:bCs/>
                <w:color w:val="0D0D0D"/>
                <w:szCs w:val="24"/>
              </w:rPr>
              <w:t>Test Statistic</w:t>
            </w:r>
          </w:p>
        </w:tc>
        <w:tc>
          <w:tcPr>
            <w:tcW w:w="1915" w:type="dxa"/>
            <w:tcBorders>
              <w:top w:val="single" w:sz="4" w:space="0" w:color="auto"/>
              <w:bottom w:val="single" w:sz="4" w:space="0" w:color="auto"/>
            </w:tcBorders>
            <w:vAlign w:val="bottom"/>
            <w:hideMark/>
          </w:tcPr>
          <w:p w14:paraId="012DD3CC" w14:textId="77777777" w:rsidR="0073222F" w:rsidRPr="00476346" w:rsidRDefault="0073222F" w:rsidP="00B623C0">
            <w:pPr>
              <w:spacing w:line="240" w:lineRule="auto"/>
              <w:rPr>
                <w:b/>
                <w:bCs/>
                <w:color w:val="0D0D0D"/>
                <w:szCs w:val="24"/>
              </w:rPr>
            </w:pPr>
            <w:r w:rsidRPr="00476346">
              <w:rPr>
                <w:b/>
                <w:bCs/>
                <w:color w:val="0D0D0D"/>
                <w:szCs w:val="24"/>
              </w:rPr>
              <w:t>Chi-Square (χ²)</w:t>
            </w:r>
          </w:p>
        </w:tc>
        <w:tc>
          <w:tcPr>
            <w:tcW w:w="1228" w:type="dxa"/>
            <w:tcBorders>
              <w:top w:val="single" w:sz="4" w:space="0" w:color="auto"/>
              <w:bottom w:val="single" w:sz="4" w:space="0" w:color="auto"/>
            </w:tcBorders>
            <w:vAlign w:val="bottom"/>
            <w:hideMark/>
          </w:tcPr>
          <w:p w14:paraId="5622F49A" w14:textId="77777777" w:rsidR="0073222F" w:rsidRPr="00476346" w:rsidRDefault="0073222F" w:rsidP="00B623C0">
            <w:pPr>
              <w:spacing w:line="240" w:lineRule="auto"/>
              <w:rPr>
                <w:b/>
                <w:bCs/>
                <w:color w:val="0D0D0D"/>
                <w:szCs w:val="24"/>
              </w:rPr>
            </w:pPr>
            <w:r w:rsidRPr="00476346">
              <w:rPr>
                <w:b/>
                <w:bCs/>
                <w:color w:val="0D0D0D"/>
                <w:szCs w:val="24"/>
              </w:rPr>
              <w:t>p-value</w:t>
            </w:r>
          </w:p>
        </w:tc>
        <w:tc>
          <w:tcPr>
            <w:tcW w:w="1440" w:type="dxa"/>
            <w:tcBorders>
              <w:top w:val="single" w:sz="4" w:space="0" w:color="auto"/>
              <w:bottom w:val="single" w:sz="4" w:space="0" w:color="auto"/>
            </w:tcBorders>
            <w:vAlign w:val="bottom"/>
            <w:hideMark/>
          </w:tcPr>
          <w:p w14:paraId="160E9A55" w14:textId="77777777" w:rsidR="0073222F" w:rsidRPr="00476346" w:rsidRDefault="0073222F" w:rsidP="00B623C0">
            <w:pPr>
              <w:spacing w:line="240" w:lineRule="auto"/>
              <w:rPr>
                <w:b/>
                <w:bCs/>
                <w:color w:val="0D0D0D"/>
                <w:szCs w:val="24"/>
              </w:rPr>
            </w:pPr>
            <w:r w:rsidRPr="00476346">
              <w:rPr>
                <w:b/>
                <w:bCs/>
                <w:color w:val="0D0D0D"/>
                <w:szCs w:val="24"/>
              </w:rPr>
              <w:t>Decision</w:t>
            </w:r>
          </w:p>
        </w:tc>
        <w:tc>
          <w:tcPr>
            <w:tcW w:w="2078" w:type="dxa"/>
            <w:tcBorders>
              <w:top w:val="single" w:sz="4" w:space="0" w:color="auto"/>
              <w:bottom w:val="single" w:sz="4" w:space="0" w:color="auto"/>
            </w:tcBorders>
            <w:vAlign w:val="bottom"/>
            <w:hideMark/>
          </w:tcPr>
          <w:p w14:paraId="49435A69" w14:textId="77777777" w:rsidR="0073222F" w:rsidRPr="00476346" w:rsidRDefault="0073222F" w:rsidP="00B623C0">
            <w:pPr>
              <w:spacing w:line="240" w:lineRule="auto"/>
              <w:rPr>
                <w:b/>
                <w:bCs/>
                <w:color w:val="0D0D0D"/>
                <w:szCs w:val="24"/>
              </w:rPr>
            </w:pPr>
            <w:r w:rsidRPr="00476346">
              <w:rPr>
                <w:b/>
                <w:bCs/>
                <w:color w:val="0D0D0D"/>
                <w:szCs w:val="24"/>
              </w:rPr>
              <w:t>Preferred Model</w:t>
            </w:r>
          </w:p>
        </w:tc>
      </w:tr>
      <w:tr w:rsidR="0073222F" w:rsidRPr="00476346" w14:paraId="53D3BA05" w14:textId="77777777" w:rsidTr="00B623C0">
        <w:tc>
          <w:tcPr>
            <w:tcW w:w="1915" w:type="dxa"/>
            <w:tcBorders>
              <w:top w:val="single" w:sz="4" w:space="0" w:color="auto"/>
            </w:tcBorders>
            <w:vAlign w:val="bottom"/>
            <w:hideMark/>
          </w:tcPr>
          <w:p w14:paraId="1B171CEA" w14:textId="77777777" w:rsidR="0073222F" w:rsidRPr="00476346" w:rsidRDefault="0073222F" w:rsidP="00B623C0">
            <w:pPr>
              <w:spacing w:line="240" w:lineRule="auto"/>
              <w:rPr>
                <w:szCs w:val="24"/>
              </w:rPr>
            </w:pPr>
            <w:r w:rsidRPr="00476346">
              <w:rPr>
                <w:szCs w:val="24"/>
              </w:rPr>
              <w:t>Hausman Test</w:t>
            </w:r>
          </w:p>
        </w:tc>
        <w:tc>
          <w:tcPr>
            <w:tcW w:w="1915" w:type="dxa"/>
            <w:tcBorders>
              <w:top w:val="single" w:sz="4" w:space="0" w:color="auto"/>
            </w:tcBorders>
            <w:vAlign w:val="bottom"/>
            <w:hideMark/>
          </w:tcPr>
          <w:p w14:paraId="60BD09E2" w14:textId="77777777" w:rsidR="0073222F" w:rsidRPr="00476346" w:rsidRDefault="0073222F" w:rsidP="00B623C0">
            <w:pPr>
              <w:spacing w:line="240" w:lineRule="auto"/>
              <w:rPr>
                <w:szCs w:val="24"/>
              </w:rPr>
            </w:pPr>
            <w:r w:rsidRPr="00476346">
              <w:rPr>
                <w:szCs w:val="24"/>
              </w:rPr>
              <w:t>18.472</w:t>
            </w:r>
          </w:p>
        </w:tc>
        <w:tc>
          <w:tcPr>
            <w:tcW w:w="1228" w:type="dxa"/>
            <w:tcBorders>
              <w:top w:val="single" w:sz="4" w:space="0" w:color="auto"/>
            </w:tcBorders>
            <w:vAlign w:val="bottom"/>
            <w:hideMark/>
          </w:tcPr>
          <w:p w14:paraId="4F310AE0" w14:textId="77777777" w:rsidR="0073222F" w:rsidRPr="00476346" w:rsidRDefault="0073222F" w:rsidP="00B623C0">
            <w:pPr>
              <w:spacing w:line="240" w:lineRule="auto"/>
              <w:rPr>
                <w:szCs w:val="24"/>
              </w:rPr>
            </w:pPr>
            <w:r w:rsidRPr="00476346">
              <w:rPr>
                <w:szCs w:val="24"/>
              </w:rPr>
              <w:t>0.000</w:t>
            </w:r>
          </w:p>
        </w:tc>
        <w:tc>
          <w:tcPr>
            <w:tcW w:w="1440" w:type="dxa"/>
            <w:tcBorders>
              <w:top w:val="single" w:sz="4" w:space="0" w:color="auto"/>
            </w:tcBorders>
            <w:vAlign w:val="bottom"/>
            <w:hideMark/>
          </w:tcPr>
          <w:p w14:paraId="277B232B" w14:textId="77777777" w:rsidR="0073222F" w:rsidRPr="00476346" w:rsidRDefault="0073222F" w:rsidP="00B623C0">
            <w:pPr>
              <w:spacing w:line="240" w:lineRule="auto"/>
              <w:rPr>
                <w:szCs w:val="24"/>
              </w:rPr>
            </w:pPr>
            <w:r w:rsidRPr="00476346">
              <w:rPr>
                <w:szCs w:val="24"/>
              </w:rPr>
              <w:t>Reject H₀</w:t>
            </w:r>
          </w:p>
        </w:tc>
        <w:tc>
          <w:tcPr>
            <w:tcW w:w="2078" w:type="dxa"/>
            <w:tcBorders>
              <w:top w:val="single" w:sz="4" w:space="0" w:color="auto"/>
            </w:tcBorders>
            <w:vAlign w:val="bottom"/>
            <w:hideMark/>
          </w:tcPr>
          <w:p w14:paraId="3A0102C3" w14:textId="77777777" w:rsidR="0073222F" w:rsidRPr="00476346" w:rsidRDefault="0073222F" w:rsidP="00B623C0">
            <w:pPr>
              <w:spacing w:line="240" w:lineRule="auto"/>
              <w:rPr>
                <w:szCs w:val="24"/>
              </w:rPr>
            </w:pPr>
            <w:r w:rsidRPr="00476346">
              <w:rPr>
                <w:szCs w:val="24"/>
              </w:rPr>
              <w:t>Fixed Effects</w:t>
            </w:r>
          </w:p>
        </w:tc>
      </w:tr>
    </w:tbl>
    <w:p w14:paraId="7C944115" w14:textId="77777777" w:rsidR="0073222F" w:rsidRPr="00476346" w:rsidRDefault="0073222F" w:rsidP="0073222F">
      <w:pPr>
        <w:rPr>
          <w:b/>
          <w:szCs w:val="24"/>
        </w:rPr>
      </w:pPr>
      <w:bookmarkStart w:id="2" w:name="_Hlk207638893"/>
      <w:r w:rsidRPr="00476346">
        <w:rPr>
          <w:b/>
          <w:szCs w:val="24"/>
        </w:rPr>
        <w:t>Source: Study Data (2025)</w:t>
      </w:r>
    </w:p>
    <w:bookmarkEnd w:id="2"/>
    <w:p w14:paraId="0BBAA5E0" w14:textId="77777777" w:rsidR="0073222F" w:rsidRDefault="0073222F" w:rsidP="0073222F">
      <w:pPr>
        <w:spacing w:before="0" w:line="240" w:lineRule="auto"/>
        <w:rPr>
          <w:color w:val="auto"/>
          <w:szCs w:val="24"/>
        </w:rPr>
      </w:pPr>
    </w:p>
    <w:p w14:paraId="6291BB4F" w14:textId="2D310ECC" w:rsidR="0073222F" w:rsidRPr="0073222F" w:rsidRDefault="0073222F" w:rsidP="0073222F">
      <w:pPr>
        <w:spacing w:before="0" w:line="240" w:lineRule="auto"/>
        <w:rPr>
          <w:color w:val="auto"/>
          <w:szCs w:val="24"/>
        </w:rPr>
      </w:pPr>
      <w:r w:rsidRPr="0073222F">
        <w:rPr>
          <w:color w:val="auto"/>
          <w:szCs w:val="24"/>
        </w:rPr>
        <w:t xml:space="preserve">Consequently, the fixed effects model was selected, as it effectively controlled for unobserved firm-specific characteristics and focused on within-firm variations over time. This choice ensured </w:t>
      </w:r>
      <w:r w:rsidR="004E078C">
        <w:rPr>
          <w:color w:val="auto"/>
          <w:szCs w:val="24"/>
        </w:rPr>
        <w:t xml:space="preserve">a </w:t>
      </w:r>
      <w:r w:rsidRPr="0073222F">
        <w:rPr>
          <w:color w:val="auto"/>
          <w:szCs w:val="24"/>
        </w:rPr>
        <w:t>more accurate estimation of the relationship between firm attributes, GDP, and the growth of general insurance businesses in Kenya.</w:t>
      </w:r>
    </w:p>
    <w:p w14:paraId="0BCBB63F" w14:textId="77777777" w:rsidR="0073222F" w:rsidRPr="0073222F" w:rsidRDefault="0073222F" w:rsidP="0073222F">
      <w:pPr>
        <w:spacing w:before="0" w:line="240" w:lineRule="auto"/>
        <w:rPr>
          <w:color w:val="auto"/>
          <w:szCs w:val="24"/>
        </w:rPr>
      </w:pPr>
    </w:p>
    <w:p w14:paraId="211B3B9F" w14:textId="4E4557AB" w:rsidR="0073222F" w:rsidRDefault="0073222F" w:rsidP="0073222F">
      <w:pPr>
        <w:spacing w:before="0" w:line="240" w:lineRule="auto"/>
        <w:rPr>
          <w:color w:val="auto"/>
          <w:szCs w:val="24"/>
        </w:rPr>
      </w:pPr>
      <w:r w:rsidRPr="0073222F">
        <w:rPr>
          <w:color w:val="auto"/>
          <w:szCs w:val="24"/>
        </w:rPr>
        <w:t>The Wooldridge test was then applied to detect serial correlation in the panel dataset. The results (p &gt; 0.05) indicated no evidence of autocorrelation, affirming the reliability of the model’s error structure.</w:t>
      </w:r>
    </w:p>
    <w:p w14:paraId="48B653EC" w14:textId="4D13354A" w:rsidR="0073222F" w:rsidRPr="0073222F" w:rsidRDefault="005A7A36" w:rsidP="0073222F">
      <w:pPr>
        <w:rPr>
          <w:b/>
          <w:i/>
        </w:rPr>
      </w:pPr>
      <w:r>
        <w:rPr>
          <w:b/>
          <w:i/>
        </w:rPr>
        <w:t xml:space="preserve">Table 2 </w:t>
      </w:r>
      <w:r w:rsidR="0073222F" w:rsidRPr="0073222F">
        <w:rPr>
          <w:b/>
          <w:i/>
        </w:rPr>
        <w:t>Wooldridge Test for Serial Correlation</w:t>
      </w:r>
    </w:p>
    <w:tbl>
      <w:tblPr>
        <w:tblW w:w="8658" w:type="dxa"/>
        <w:tblBorders>
          <w:top w:val="single" w:sz="4" w:space="0" w:color="auto"/>
          <w:bottom w:val="single" w:sz="4" w:space="0" w:color="auto"/>
        </w:tblBorders>
        <w:tblLook w:val="04A0" w:firstRow="1" w:lastRow="0" w:firstColumn="1" w:lastColumn="0" w:noHBand="0" w:noVBand="1"/>
      </w:tblPr>
      <w:tblGrid>
        <w:gridCol w:w="2838"/>
        <w:gridCol w:w="1680"/>
        <w:gridCol w:w="4140"/>
      </w:tblGrid>
      <w:tr w:rsidR="0073222F" w:rsidRPr="00476346" w14:paraId="268FFA35" w14:textId="77777777" w:rsidTr="00B623C0">
        <w:tc>
          <w:tcPr>
            <w:tcW w:w="2838" w:type="dxa"/>
            <w:tcBorders>
              <w:top w:val="single" w:sz="4" w:space="0" w:color="auto"/>
              <w:bottom w:val="single" w:sz="4" w:space="0" w:color="auto"/>
            </w:tcBorders>
            <w:vAlign w:val="bottom"/>
            <w:hideMark/>
          </w:tcPr>
          <w:p w14:paraId="15BE51EA" w14:textId="77777777" w:rsidR="0073222F" w:rsidRPr="00476346" w:rsidRDefault="0073222F" w:rsidP="00B623C0">
            <w:pPr>
              <w:spacing w:line="240" w:lineRule="auto"/>
              <w:rPr>
                <w:b/>
                <w:bCs/>
                <w:color w:val="0D0D0D"/>
                <w:szCs w:val="24"/>
              </w:rPr>
            </w:pPr>
            <w:r w:rsidRPr="00476346">
              <w:rPr>
                <w:b/>
                <w:bCs/>
                <w:color w:val="0D0D0D"/>
                <w:szCs w:val="24"/>
              </w:rPr>
              <w:t>Test Statistic</w:t>
            </w:r>
          </w:p>
        </w:tc>
        <w:tc>
          <w:tcPr>
            <w:tcW w:w="1680" w:type="dxa"/>
            <w:tcBorders>
              <w:top w:val="single" w:sz="4" w:space="0" w:color="auto"/>
              <w:bottom w:val="single" w:sz="4" w:space="0" w:color="auto"/>
            </w:tcBorders>
            <w:vAlign w:val="bottom"/>
            <w:hideMark/>
          </w:tcPr>
          <w:p w14:paraId="415934EE" w14:textId="77777777" w:rsidR="0073222F" w:rsidRPr="00476346" w:rsidRDefault="0073222F" w:rsidP="00B623C0">
            <w:pPr>
              <w:spacing w:line="240" w:lineRule="auto"/>
              <w:rPr>
                <w:b/>
                <w:bCs/>
                <w:color w:val="0D0D0D"/>
                <w:szCs w:val="24"/>
              </w:rPr>
            </w:pPr>
            <w:r w:rsidRPr="00476346">
              <w:rPr>
                <w:b/>
                <w:bCs/>
                <w:color w:val="0D0D0D"/>
                <w:szCs w:val="24"/>
              </w:rPr>
              <w:t>Prob &gt; F</w:t>
            </w:r>
          </w:p>
        </w:tc>
        <w:tc>
          <w:tcPr>
            <w:tcW w:w="4140" w:type="dxa"/>
            <w:tcBorders>
              <w:top w:val="single" w:sz="4" w:space="0" w:color="auto"/>
              <w:bottom w:val="single" w:sz="4" w:space="0" w:color="auto"/>
            </w:tcBorders>
            <w:vAlign w:val="bottom"/>
            <w:hideMark/>
          </w:tcPr>
          <w:p w14:paraId="16506DC6" w14:textId="77777777" w:rsidR="0073222F" w:rsidRPr="00476346" w:rsidRDefault="0073222F" w:rsidP="00B623C0">
            <w:pPr>
              <w:spacing w:line="240" w:lineRule="auto"/>
              <w:rPr>
                <w:b/>
                <w:bCs/>
                <w:color w:val="0D0D0D"/>
                <w:szCs w:val="24"/>
              </w:rPr>
            </w:pPr>
            <w:r w:rsidRPr="00476346">
              <w:rPr>
                <w:b/>
                <w:bCs/>
                <w:color w:val="0D0D0D"/>
                <w:szCs w:val="24"/>
              </w:rPr>
              <w:t>Decision</w:t>
            </w:r>
          </w:p>
        </w:tc>
      </w:tr>
      <w:tr w:rsidR="0073222F" w:rsidRPr="00476346" w14:paraId="28E70455" w14:textId="77777777" w:rsidTr="00B623C0">
        <w:tc>
          <w:tcPr>
            <w:tcW w:w="2838" w:type="dxa"/>
            <w:tcBorders>
              <w:top w:val="single" w:sz="4" w:space="0" w:color="auto"/>
            </w:tcBorders>
            <w:vAlign w:val="bottom"/>
            <w:hideMark/>
          </w:tcPr>
          <w:p w14:paraId="7C7E7C59" w14:textId="77777777" w:rsidR="0073222F" w:rsidRPr="00476346" w:rsidRDefault="0073222F" w:rsidP="00B623C0">
            <w:pPr>
              <w:spacing w:line="240" w:lineRule="auto"/>
              <w:rPr>
                <w:szCs w:val="24"/>
              </w:rPr>
            </w:pPr>
            <w:r w:rsidRPr="00476346">
              <w:rPr>
                <w:szCs w:val="24"/>
              </w:rPr>
              <w:t>1.382</w:t>
            </w:r>
          </w:p>
        </w:tc>
        <w:tc>
          <w:tcPr>
            <w:tcW w:w="1680" w:type="dxa"/>
            <w:tcBorders>
              <w:top w:val="single" w:sz="4" w:space="0" w:color="auto"/>
            </w:tcBorders>
            <w:vAlign w:val="bottom"/>
            <w:hideMark/>
          </w:tcPr>
          <w:p w14:paraId="1B754BE9" w14:textId="77777777" w:rsidR="0073222F" w:rsidRPr="00476346" w:rsidRDefault="0073222F" w:rsidP="00B623C0">
            <w:pPr>
              <w:spacing w:line="240" w:lineRule="auto"/>
              <w:rPr>
                <w:szCs w:val="24"/>
              </w:rPr>
            </w:pPr>
            <w:r w:rsidRPr="00476346">
              <w:rPr>
                <w:szCs w:val="24"/>
              </w:rPr>
              <w:t>0.2400</w:t>
            </w:r>
          </w:p>
        </w:tc>
        <w:tc>
          <w:tcPr>
            <w:tcW w:w="4140" w:type="dxa"/>
            <w:tcBorders>
              <w:top w:val="single" w:sz="4" w:space="0" w:color="auto"/>
            </w:tcBorders>
            <w:vAlign w:val="bottom"/>
            <w:hideMark/>
          </w:tcPr>
          <w:p w14:paraId="7DEDDA92" w14:textId="77777777" w:rsidR="0073222F" w:rsidRPr="00476346" w:rsidRDefault="0073222F" w:rsidP="00B623C0">
            <w:pPr>
              <w:spacing w:line="240" w:lineRule="auto"/>
              <w:rPr>
                <w:szCs w:val="24"/>
              </w:rPr>
            </w:pPr>
            <w:r w:rsidRPr="00476346">
              <w:rPr>
                <w:szCs w:val="24"/>
              </w:rPr>
              <w:t>No serial correlation (Fail to reject H₀)</w:t>
            </w:r>
          </w:p>
        </w:tc>
      </w:tr>
    </w:tbl>
    <w:p w14:paraId="419DFCEE" w14:textId="77777777" w:rsidR="0073222F" w:rsidRPr="00476346" w:rsidRDefault="0073222F" w:rsidP="0073222F">
      <w:pPr>
        <w:shd w:val="clear" w:color="auto" w:fill="FFFFFF"/>
        <w:spacing w:after="100" w:afterAutospacing="1"/>
        <w:rPr>
          <w:b/>
          <w:color w:val="0D0D0D"/>
          <w:szCs w:val="24"/>
        </w:rPr>
      </w:pPr>
      <w:r w:rsidRPr="00476346">
        <w:rPr>
          <w:b/>
          <w:iCs/>
          <w:color w:val="0D0D0D"/>
          <w:szCs w:val="24"/>
        </w:rPr>
        <w:t>Source: Study Data (2025)</w:t>
      </w:r>
    </w:p>
    <w:p w14:paraId="57DFAC67" w14:textId="03DC16BD" w:rsidR="0005136B" w:rsidRDefault="0073222F" w:rsidP="0073222F">
      <w:pPr>
        <w:spacing w:before="0" w:line="240" w:lineRule="auto"/>
      </w:pPr>
      <w:r w:rsidRPr="0073222F">
        <w:rPr>
          <w:color w:val="auto"/>
          <w:szCs w:val="24"/>
        </w:rPr>
        <w:t>Finally, the Breusch–Pagan test revealed significant heteroscedasticity (p &lt; 0.05), suggesting non-constant error variance across observations. To address this issue, robust standard errors were employed, enhancing the accuracy of hypothesis testing and ensuring the robustness of the study’s final regression estimates</w:t>
      </w:r>
      <w:r w:rsidR="0005136B">
        <w:rPr>
          <w:szCs w:val="24"/>
        </w:rPr>
        <w:t>.</w:t>
      </w:r>
    </w:p>
    <w:p w14:paraId="507698FF" w14:textId="6DC61605" w:rsidR="0005136B" w:rsidRDefault="0005136B" w:rsidP="00711AB4">
      <w:pPr>
        <w:spacing w:before="0" w:line="240" w:lineRule="auto"/>
      </w:pPr>
    </w:p>
    <w:p w14:paraId="4F7DEBE8" w14:textId="7D362F8B" w:rsidR="00547CE2" w:rsidRPr="00547CE2" w:rsidRDefault="005A7A36" w:rsidP="00547CE2">
      <w:pPr>
        <w:rPr>
          <w:b/>
          <w:i/>
        </w:rPr>
      </w:pPr>
      <w:r>
        <w:rPr>
          <w:b/>
          <w:i/>
        </w:rPr>
        <w:t xml:space="preserve">Table 3 </w:t>
      </w:r>
      <w:r w:rsidR="00547CE2" w:rsidRPr="00547CE2">
        <w:rPr>
          <w:b/>
          <w:i/>
        </w:rPr>
        <w:t>Breusch–Pagan Heteroscedasticity Test Results</w:t>
      </w:r>
    </w:p>
    <w:tbl>
      <w:tblPr>
        <w:tblW w:w="0" w:type="auto"/>
        <w:tblBorders>
          <w:top w:val="single" w:sz="4" w:space="0" w:color="auto"/>
          <w:bottom w:val="single" w:sz="4" w:space="0" w:color="auto"/>
        </w:tblBorders>
        <w:tblLook w:val="04A0" w:firstRow="1" w:lastRow="0" w:firstColumn="1" w:lastColumn="0" w:noHBand="0" w:noVBand="1"/>
      </w:tblPr>
      <w:tblGrid>
        <w:gridCol w:w="2111"/>
        <w:gridCol w:w="2079"/>
        <w:gridCol w:w="1138"/>
        <w:gridCol w:w="3060"/>
      </w:tblGrid>
      <w:tr w:rsidR="00547CE2" w:rsidRPr="00293883" w14:paraId="06FA4574" w14:textId="77777777" w:rsidTr="00B623C0">
        <w:tc>
          <w:tcPr>
            <w:tcW w:w="2111" w:type="dxa"/>
            <w:tcBorders>
              <w:top w:val="single" w:sz="4" w:space="0" w:color="auto"/>
              <w:bottom w:val="single" w:sz="4" w:space="0" w:color="auto"/>
            </w:tcBorders>
            <w:vAlign w:val="bottom"/>
            <w:hideMark/>
          </w:tcPr>
          <w:p w14:paraId="2CCFFD32" w14:textId="77777777" w:rsidR="00547CE2" w:rsidRPr="00293883" w:rsidRDefault="00547CE2" w:rsidP="00B623C0">
            <w:pPr>
              <w:spacing w:line="240" w:lineRule="auto"/>
              <w:jc w:val="center"/>
              <w:rPr>
                <w:b/>
                <w:bCs/>
                <w:color w:val="0D0D0D"/>
                <w:szCs w:val="24"/>
              </w:rPr>
            </w:pPr>
            <w:r w:rsidRPr="00293883">
              <w:rPr>
                <w:b/>
                <w:bCs/>
                <w:color w:val="0D0D0D"/>
                <w:szCs w:val="24"/>
              </w:rPr>
              <w:t>Test Statistic</w:t>
            </w:r>
          </w:p>
        </w:tc>
        <w:tc>
          <w:tcPr>
            <w:tcW w:w="2079" w:type="dxa"/>
            <w:tcBorders>
              <w:top w:val="single" w:sz="4" w:space="0" w:color="auto"/>
              <w:bottom w:val="single" w:sz="4" w:space="0" w:color="auto"/>
            </w:tcBorders>
            <w:vAlign w:val="bottom"/>
            <w:hideMark/>
          </w:tcPr>
          <w:p w14:paraId="42313FCE" w14:textId="77777777" w:rsidR="00547CE2" w:rsidRPr="00293883" w:rsidRDefault="00547CE2" w:rsidP="00B623C0">
            <w:pPr>
              <w:spacing w:line="240" w:lineRule="auto"/>
              <w:jc w:val="center"/>
              <w:rPr>
                <w:b/>
                <w:bCs/>
                <w:color w:val="0D0D0D"/>
                <w:szCs w:val="24"/>
              </w:rPr>
            </w:pPr>
            <w:r w:rsidRPr="00293883">
              <w:rPr>
                <w:b/>
                <w:bCs/>
                <w:color w:val="0D0D0D"/>
                <w:szCs w:val="24"/>
              </w:rPr>
              <w:t>Chi-Square (χ²)</w:t>
            </w:r>
          </w:p>
        </w:tc>
        <w:tc>
          <w:tcPr>
            <w:tcW w:w="1138" w:type="dxa"/>
            <w:tcBorders>
              <w:top w:val="single" w:sz="4" w:space="0" w:color="auto"/>
              <w:bottom w:val="single" w:sz="4" w:space="0" w:color="auto"/>
            </w:tcBorders>
            <w:vAlign w:val="bottom"/>
            <w:hideMark/>
          </w:tcPr>
          <w:p w14:paraId="7669971A" w14:textId="77777777" w:rsidR="00547CE2" w:rsidRPr="00293883" w:rsidRDefault="00547CE2" w:rsidP="00B623C0">
            <w:pPr>
              <w:spacing w:line="240" w:lineRule="auto"/>
              <w:jc w:val="center"/>
              <w:rPr>
                <w:b/>
                <w:bCs/>
                <w:color w:val="0D0D0D"/>
                <w:szCs w:val="24"/>
              </w:rPr>
            </w:pPr>
            <w:r w:rsidRPr="00293883">
              <w:rPr>
                <w:b/>
                <w:bCs/>
                <w:color w:val="0D0D0D"/>
                <w:szCs w:val="24"/>
              </w:rPr>
              <w:t>p-value</w:t>
            </w:r>
          </w:p>
        </w:tc>
        <w:tc>
          <w:tcPr>
            <w:tcW w:w="3060" w:type="dxa"/>
            <w:tcBorders>
              <w:top w:val="single" w:sz="4" w:space="0" w:color="auto"/>
              <w:bottom w:val="single" w:sz="4" w:space="0" w:color="auto"/>
            </w:tcBorders>
            <w:vAlign w:val="bottom"/>
            <w:hideMark/>
          </w:tcPr>
          <w:p w14:paraId="4BD6B568" w14:textId="77777777" w:rsidR="00547CE2" w:rsidRPr="00293883" w:rsidRDefault="00547CE2" w:rsidP="00B623C0">
            <w:pPr>
              <w:spacing w:line="240" w:lineRule="auto"/>
              <w:jc w:val="center"/>
              <w:rPr>
                <w:b/>
                <w:bCs/>
                <w:color w:val="0D0D0D"/>
                <w:szCs w:val="24"/>
              </w:rPr>
            </w:pPr>
            <w:r w:rsidRPr="00293883">
              <w:rPr>
                <w:b/>
                <w:bCs/>
                <w:color w:val="0D0D0D"/>
                <w:szCs w:val="24"/>
              </w:rPr>
              <w:t>Decision</w:t>
            </w:r>
          </w:p>
        </w:tc>
      </w:tr>
      <w:tr w:rsidR="00547CE2" w:rsidRPr="00293883" w14:paraId="18CE6432" w14:textId="77777777" w:rsidTr="00B623C0">
        <w:tc>
          <w:tcPr>
            <w:tcW w:w="2111" w:type="dxa"/>
            <w:tcBorders>
              <w:top w:val="single" w:sz="4" w:space="0" w:color="auto"/>
            </w:tcBorders>
            <w:vAlign w:val="bottom"/>
            <w:hideMark/>
          </w:tcPr>
          <w:p w14:paraId="4A47317B" w14:textId="77777777" w:rsidR="00547CE2" w:rsidRPr="00293883" w:rsidRDefault="00547CE2" w:rsidP="00B623C0">
            <w:pPr>
              <w:spacing w:line="240" w:lineRule="auto"/>
              <w:jc w:val="left"/>
              <w:rPr>
                <w:szCs w:val="24"/>
              </w:rPr>
            </w:pPr>
            <w:r w:rsidRPr="00293883">
              <w:rPr>
                <w:szCs w:val="24"/>
              </w:rPr>
              <w:t>Breusch–Pagan</w:t>
            </w:r>
          </w:p>
        </w:tc>
        <w:tc>
          <w:tcPr>
            <w:tcW w:w="2079" w:type="dxa"/>
            <w:tcBorders>
              <w:top w:val="single" w:sz="4" w:space="0" w:color="auto"/>
            </w:tcBorders>
            <w:vAlign w:val="bottom"/>
            <w:hideMark/>
          </w:tcPr>
          <w:p w14:paraId="28421A52" w14:textId="77777777" w:rsidR="00547CE2" w:rsidRPr="00293883" w:rsidRDefault="00547CE2" w:rsidP="00B623C0">
            <w:pPr>
              <w:spacing w:line="240" w:lineRule="auto"/>
              <w:jc w:val="left"/>
              <w:rPr>
                <w:szCs w:val="24"/>
              </w:rPr>
            </w:pPr>
            <w:r w:rsidRPr="00293883">
              <w:rPr>
                <w:szCs w:val="24"/>
              </w:rPr>
              <w:t>12.37</w:t>
            </w:r>
          </w:p>
        </w:tc>
        <w:tc>
          <w:tcPr>
            <w:tcW w:w="1138" w:type="dxa"/>
            <w:tcBorders>
              <w:top w:val="single" w:sz="4" w:space="0" w:color="auto"/>
            </w:tcBorders>
            <w:vAlign w:val="bottom"/>
            <w:hideMark/>
          </w:tcPr>
          <w:p w14:paraId="0AF87F14" w14:textId="77777777" w:rsidR="00547CE2" w:rsidRPr="00293883" w:rsidRDefault="00547CE2" w:rsidP="00B623C0">
            <w:pPr>
              <w:spacing w:line="240" w:lineRule="auto"/>
              <w:jc w:val="left"/>
              <w:rPr>
                <w:szCs w:val="24"/>
              </w:rPr>
            </w:pPr>
            <w:r w:rsidRPr="00293883">
              <w:rPr>
                <w:szCs w:val="24"/>
              </w:rPr>
              <w:t>0.0004</w:t>
            </w:r>
          </w:p>
        </w:tc>
        <w:tc>
          <w:tcPr>
            <w:tcW w:w="3060" w:type="dxa"/>
            <w:tcBorders>
              <w:top w:val="single" w:sz="4" w:space="0" w:color="auto"/>
            </w:tcBorders>
            <w:vAlign w:val="bottom"/>
            <w:hideMark/>
          </w:tcPr>
          <w:p w14:paraId="7A2FDA15" w14:textId="77777777" w:rsidR="00547CE2" w:rsidRPr="00293883" w:rsidRDefault="00547CE2" w:rsidP="00B623C0">
            <w:pPr>
              <w:spacing w:line="240" w:lineRule="auto"/>
              <w:jc w:val="left"/>
              <w:rPr>
                <w:szCs w:val="24"/>
              </w:rPr>
            </w:pPr>
            <w:r w:rsidRPr="00293883">
              <w:rPr>
                <w:szCs w:val="24"/>
              </w:rPr>
              <w:t>Heteroscedasticity detected</w:t>
            </w:r>
          </w:p>
        </w:tc>
      </w:tr>
    </w:tbl>
    <w:p w14:paraId="40E6A2B6" w14:textId="77777777" w:rsidR="00547CE2" w:rsidRDefault="00547CE2" w:rsidP="00547CE2">
      <w:pPr>
        <w:shd w:val="clear" w:color="auto" w:fill="FFFFFF"/>
        <w:spacing w:before="100" w:beforeAutospacing="1" w:after="100" w:afterAutospacing="1" w:line="240" w:lineRule="auto"/>
        <w:jc w:val="left"/>
        <w:rPr>
          <w:b/>
          <w:iCs/>
          <w:color w:val="0D0D0D"/>
          <w:szCs w:val="24"/>
        </w:rPr>
      </w:pPr>
      <w:r w:rsidRPr="00476346">
        <w:rPr>
          <w:b/>
          <w:iCs/>
          <w:color w:val="0D0D0D"/>
          <w:szCs w:val="24"/>
        </w:rPr>
        <w:t>Source: Study Data (2025)</w:t>
      </w:r>
    </w:p>
    <w:p w14:paraId="32DE6746" w14:textId="4962D2CE" w:rsidR="00547CE2" w:rsidRDefault="00547CE2" w:rsidP="00D530BF">
      <w:pPr>
        <w:rPr>
          <w:b/>
          <w:i/>
        </w:rPr>
      </w:pPr>
      <w:r w:rsidRPr="00547CE2">
        <w:rPr>
          <w:b/>
          <w:i/>
        </w:rPr>
        <w:t>Correlation Analysis</w:t>
      </w:r>
    </w:p>
    <w:p w14:paraId="6F3E0E49" w14:textId="1F251E07" w:rsidR="00547CE2" w:rsidRPr="00547CE2" w:rsidRDefault="00547CE2" w:rsidP="00547CE2">
      <w:pPr>
        <w:spacing w:line="240" w:lineRule="auto"/>
      </w:pPr>
      <w:r w:rsidRPr="00547CE2">
        <w:t>The correlation analysis showed that most variables were significantly associated with firm growth. Equity capital (r = 0.612), liquidity (r = 0.395), and operational efficiency (r = 0.544) exhibited positive and significant relationships, indicating that stronger financial capacity and efficient operations enhance growth. Firm leverage correlated negatively (r = –0.428), suggesting that heavy borrowing constrains expansion. GDP had a positive effect (r = 0.486), implying economic performance supports growth. No coefficient exceeded 0.80, indicating absence of multicollinearity and suitability for regression analysis.</w:t>
      </w:r>
    </w:p>
    <w:p w14:paraId="3503B898" w14:textId="3EFB0B4C" w:rsidR="00547CE2" w:rsidRPr="005A7A36" w:rsidRDefault="005A7A36" w:rsidP="005A7A36">
      <w:pPr>
        <w:shd w:val="clear" w:color="auto" w:fill="FFFFFF"/>
        <w:spacing w:before="100" w:beforeAutospacing="1" w:after="100" w:afterAutospacing="1" w:line="240" w:lineRule="auto"/>
        <w:rPr>
          <w:i/>
          <w:color w:val="0D0D0D"/>
          <w:szCs w:val="24"/>
        </w:rPr>
      </w:pPr>
      <w:r w:rsidRPr="005A7A36">
        <w:rPr>
          <w:b/>
          <w:i/>
          <w:color w:val="0D0D0D"/>
          <w:szCs w:val="24"/>
        </w:rPr>
        <w:lastRenderedPageBreak/>
        <w:t xml:space="preserve">Table 4 </w:t>
      </w:r>
      <w:r w:rsidR="00547CE2" w:rsidRPr="005A7A36">
        <w:rPr>
          <w:b/>
          <w:i/>
          <w:color w:val="0D0D0D"/>
          <w:szCs w:val="24"/>
        </w:rPr>
        <w:t>Correlation Matrix sociation among the 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069"/>
        <w:gridCol w:w="1644"/>
        <w:gridCol w:w="1674"/>
        <w:gridCol w:w="1177"/>
        <w:gridCol w:w="2415"/>
        <w:gridCol w:w="756"/>
      </w:tblGrid>
      <w:tr w:rsidR="00547CE2" w:rsidRPr="00362C1A" w14:paraId="0A7A7EAA" w14:textId="77777777" w:rsidTr="00B623C0">
        <w:tc>
          <w:tcPr>
            <w:tcW w:w="0" w:type="auto"/>
            <w:hideMark/>
          </w:tcPr>
          <w:p w14:paraId="6ACD5D68" w14:textId="77777777" w:rsidR="00547CE2" w:rsidRPr="00D515EC" w:rsidRDefault="00547CE2" w:rsidP="005A7A36">
            <w:pPr>
              <w:spacing w:before="0" w:line="240" w:lineRule="auto"/>
              <w:jc w:val="center"/>
              <w:rPr>
                <w:b/>
                <w:bCs/>
                <w:color w:val="0D0D0D"/>
                <w:szCs w:val="24"/>
              </w:rPr>
            </w:pPr>
            <w:r w:rsidRPr="00D515EC">
              <w:rPr>
                <w:b/>
                <w:bCs/>
                <w:color w:val="0D0D0D"/>
                <w:szCs w:val="24"/>
              </w:rPr>
              <w:t>Variables</w:t>
            </w:r>
          </w:p>
        </w:tc>
        <w:tc>
          <w:tcPr>
            <w:tcW w:w="0" w:type="auto"/>
            <w:hideMark/>
          </w:tcPr>
          <w:p w14:paraId="638555D7" w14:textId="77777777" w:rsidR="00547CE2" w:rsidRPr="00D515EC" w:rsidRDefault="00547CE2" w:rsidP="005A7A36">
            <w:pPr>
              <w:spacing w:before="0" w:line="240" w:lineRule="auto"/>
              <w:jc w:val="center"/>
              <w:rPr>
                <w:b/>
                <w:bCs/>
                <w:color w:val="0D0D0D"/>
                <w:szCs w:val="24"/>
              </w:rPr>
            </w:pPr>
            <w:r w:rsidRPr="00D515EC">
              <w:rPr>
                <w:b/>
                <w:bCs/>
                <w:color w:val="0D0D0D"/>
                <w:szCs w:val="24"/>
              </w:rPr>
              <w:t>Growth</w:t>
            </w:r>
          </w:p>
        </w:tc>
        <w:tc>
          <w:tcPr>
            <w:tcW w:w="0" w:type="auto"/>
            <w:hideMark/>
          </w:tcPr>
          <w:p w14:paraId="0D3B0B13" w14:textId="77777777" w:rsidR="00547CE2" w:rsidRPr="00D515EC" w:rsidRDefault="00547CE2" w:rsidP="005A7A36">
            <w:pPr>
              <w:spacing w:before="0" w:line="240" w:lineRule="auto"/>
              <w:jc w:val="center"/>
              <w:rPr>
                <w:b/>
                <w:bCs/>
                <w:color w:val="0D0D0D"/>
                <w:szCs w:val="24"/>
              </w:rPr>
            </w:pPr>
            <w:r w:rsidRPr="00D515EC">
              <w:rPr>
                <w:b/>
                <w:bCs/>
                <w:color w:val="0D0D0D"/>
                <w:szCs w:val="24"/>
              </w:rPr>
              <w:t>Equity Capital</w:t>
            </w:r>
          </w:p>
        </w:tc>
        <w:tc>
          <w:tcPr>
            <w:tcW w:w="0" w:type="auto"/>
            <w:hideMark/>
          </w:tcPr>
          <w:p w14:paraId="2D2495F2" w14:textId="77777777" w:rsidR="00547CE2" w:rsidRPr="00D515EC" w:rsidRDefault="00547CE2" w:rsidP="005A7A36">
            <w:pPr>
              <w:spacing w:before="0" w:line="240" w:lineRule="auto"/>
              <w:jc w:val="center"/>
              <w:rPr>
                <w:b/>
                <w:bCs/>
                <w:color w:val="0D0D0D"/>
                <w:szCs w:val="24"/>
              </w:rPr>
            </w:pPr>
            <w:r w:rsidRPr="00D515EC">
              <w:rPr>
                <w:b/>
                <w:bCs/>
                <w:color w:val="0D0D0D"/>
                <w:szCs w:val="24"/>
              </w:rPr>
              <w:t>Firm Leverage</w:t>
            </w:r>
          </w:p>
        </w:tc>
        <w:tc>
          <w:tcPr>
            <w:tcW w:w="0" w:type="auto"/>
            <w:hideMark/>
          </w:tcPr>
          <w:p w14:paraId="6F9927AC" w14:textId="77777777" w:rsidR="00547CE2" w:rsidRPr="00D515EC" w:rsidRDefault="00547CE2" w:rsidP="005A7A36">
            <w:pPr>
              <w:spacing w:before="0" w:line="240" w:lineRule="auto"/>
              <w:jc w:val="center"/>
              <w:rPr>
                <w:b/>
                <w:bCs/>
                <w:color w:val="0D0D0D"/>
                <w:szCs w:val="24"/>
              </w:rPr>
            </w:pPr>
            <w:r w:rsidRPr="00D515EC">
              <w:rPr>
                <w:b/>
                <w:bCs/>
                <w:color w:val="0D0D0D"/>
                <w:szCs w:val="24"/>
              </w:rPr>
              <w:t>Liquidity</w:t>
            </w:r>
          </w:p>
        </w:tc>
        <w:tc>
          <w:tcPr>
            <w:tcW w:w="0" w:type="auto"/>
            <w:hideMark/>
          </w:tcPr>
          <w:p w14:paraId="6193EB9E" w14:textId="77777777" w:rsidR="00547CE2" w:rsidRPr="00D515EC" w:rsidRDefault="00547CE2" w:rsidP="005A7A36">
            <w:pPr>
              <w:spacing w:before="0" w:line="240" w:lineRule="auto"/>
              <w:jc w:val="center"/>
              <w:rPr>
                <w:b/>
                <w:bCs/>
                <w:color w:val="0D0D0D"/>
                <w:szCs w:val="24"/>
              </w:rPr>
            </w:pPr>
            <w:r w:rsidRPr="00D515EC">
              <w:rPr>
                <w:b/>
                <w:bCs/>
                <w:color w:val="0D0D0D"/>
                <w:szCs w:val="24"/>
              </w:rPr>
              <w:t>Operational Efficiency</w:t>
            </w:r>
          </w:p>
        </w:tc>
        <w:tc>
          <w:tcPr>
            <w:tcW w:w="0" w:type="auto"/>
            <w:hideMark/>
          </w:tcPr>
          <w:p w14:paraId="02C2E93D" w14:textId="77777777" w:rsidR="00547CE2" w:rsidRPr="00D515EC" w:rsidRDefault="00547CE2" w:rsidP="005A7A36">
            <w:pPr>
              <w:spacing w:before="0" w:line="240" w:lineRule="auto"/>
              <w:jc w:val="center"/>
              <w:rPr>
                <w:b/>
                <w:bCs/>
                <w:color w:val="0D0D0D"/>
                <w:szCs w:val="24"/>
              </w:rPr>
            </w:pPr>
            <w:r w:rsidRPr="00D515EC">
              <w:rPr>
                <w:b/>
                <w:bCs/>
                <w:color w:val="0D0D0D"/>
                <w:szCs w:val="24"/>
              </w:rPr>
              <w:t>GDP</w:t>
            </w:r>
          </w:p>
        </w:tc>
      </w:tr>
      <w:tr w:rsidR="00547CE2" w:rsidRPr="00362C1A" w14:paraId="7896B6BD" w14:textId="77777777" w:rsidTr="00B623C0">
        <w:tc>
          <w:tcPr>
            <w:tcW w:w="0" w:type="auto"/>
            <w:hideMark/>
          </w:tcPr>
          <w:p w14:paraId="1859E766" w14:textId="77777777" w:rsidR="00547CE2" w:rsidRPr="00D515EC" w:rsidRDefault="00547CE2" w:rsidP="005A7A36">
            <w:pPr>
              <w:spacing w:before="0" w:line="240" w:lineRule="auto"/>
              <w:jc w:val="left"/>
              <w:rPr>
                <w:color w:val="0D0D0D"/>
                <w:szCs w:val="24"/>
              </w:rPr>
            </w:pPr>
            <w:r w:rsidRPr="00D515EC">
              <w:rPr>
                <w:color w:val="0D0D0D"/>
                <w:szCs w:val="24"/>
              </w:rPr>
              <w:t>Growth</w:t>
            </w:r>
          </w:p>
        </w:tc>
        <w:tc>
          <w:tcPr>
            <w:tcW w:w="0" w:type="auto"/>
            <w:hideMark/>
          </w:tcPr>
          <w:p w14:paraId="4C0F01E5" w14:textId="77777777" w:rsidR="00547CE2" w:rsidRPr="00D515EC" w:rsidRDefault="00547CE2" w:rsidP="005A7A36">
            <w:pPr>
              <w:spacing w:before="0" w:line="240" w:lineRule="auto"/>
              <w:jc w:val="left"/>
              <w:rPr>
                <w:color w:val="0D0D0D"/>
                <w:szCs w:val="24"/>
              </w:rPr>
            </w:pPr>
            <w:r w:rsidRPr="00D515EC">
              <w:rPr>
                <w:color w:val="0D0D0D"/>
                <w:szCs w:val="24"/>
              </w:rPr>
              <w:t>1.000</w:t>
            </w:r>
          </w:p>
        </w:tc>
        <w:tc>
          <w:tcPr>
            <w:tcW w:w="0" w:type="auto"/>
            <w:hideMark/>
          </w:tcPr>
          <w:p w14:paraId="76C89494" w14:textId="77777777" w:rsidR="00547CE2" w:rsidRPr="00D515EC" w:rsidRDefault="00547CE2" w:rsidP="005A7A36">
            <w:pPr>
              <w:spacing w:before="0" w:line="240" w:lineRule="auto"/>
              <w:jc w:val="left"/>
              <w:rPr>
                <w:color w:val="0D0D0D"/>
                <w:szCs w:val="24"/>
              </w:rPr>
            </w:pPr>
          </w:p>
        </w:tc>
        <w:tc>
          <w:tcPr>
            <w:tcW w:w="0" w:type="auto"/>
            <w:hideMark/>
          </w:tcPr>
          <w:p w14:paraId="07F8E6F5" w14:textId="77777777" w:rsidR="00547CE2" w:rsidRPr="00D515EC" w:rsidRDefault="00547CE2" w:rsidP="005A7A36">
            <w:pPr>
              <w:spacing w:before="0" w:line="240" w:lineRule="auto"/>
              <w:jc w:val="left"/>
              <w:rPr>
                <w:szCs w:val="24"/>
              </w:rPr>
            </w:pPr>
          </w:p>
        </w:tc>
        <w:tc>
          <w:tcPr>
            <w:tcW w:w="0" w:type="auto"/>
            <w:hideMark/>
          </w:tcPr>
          <w:p w14:paraId="72C0FBC6" w14:textId="77777777" w:rsidR="00547CE2" w:rsidRPr="00D515EC" w:rsidRDefault="00547CE2" w:rsidP="005A7A36">
            <w:pPr>
              <w:spacing w:before="0" w:line="240" w:lineRule="auto"/>
              <w:jc w:val="left"/>
              <w:rPr>
                <w:szCs w:val="24"/>
              </w:rPr>
            </w:pPr>
          </w:p>
        </w:tc>
        <w:tc>
          <w:tcPr>
            <w:tcW w:w="0" w:type="auto"/>
            <w:hideMark/>
          </w:tcPr>
          <w:p w14:paraId="7087D2AA" w14:textId="77777777" w:rsidR="00547CE2" w:rsidRPr="00D515EC" w:rsidRDefault="00547CE2" w:rsidP="005A7A36">
            <w:pPr>
              <w:spacing w:before="0" w:line="240" w:lineRule="auto"/>
              <w:jc w:val="left"/>
              <w:rPr>
                <w:szCs w:val="24"/>
              </w:rPr>
            </w:pPr>
          </w:p>
        </w:tc>
        <w:tc>
          <w:tcPr>
            <w:tcW w:w="0" w:type="auto"/>
            <w:hideMark/>
          </w:tcPr>
          <w:p w14:paraId="25A9A7CA" w14:textId="77777777" w:rsidR="00547CE2" w:rsidRPr="00D515EC" w:rsidRDefault="00547CE2" w:rsidP="005A7A36">
            <w:pPr>
              <w:spacing w:before="0" w:line="240" w:lineRule="auto"/>
              <w:jc w:val="left"/>
              <w:rPr>
                <w:szCs w:val="24"/>
              </w:rPr>
            </w:pPr>
          </w:p>
        </w:tc>
      </w:tr>
      <w:tr w:rsidR="00547CE2" w:rsidRPr="00362C1A" w14:paraId="6F6D776C" w14:textId="77777777" w:rsidTr="00B623C0">
        <w:tc>
          <w:tcPr>
            <w:tcW w:w="0" w:type="auto"/>
            <w:hideMark/>
          </w:tcPr>
          <w:p w14:paraId="48ED6001" w14:textId="77777777" w:rsidR="00547CE2" w:rsidRPr="00D515EC" w:rsidRDefault="00547CE2" w:rsidP="005A7A36">
            <w:pPr>
              <w:spacing w:before="0" w:line="240" w:lineRule="auto"/>
              <w:jc w:val="left"/>
              <w:rPr>
                <w:color w:val="0D0D0D"/>
                <w:szCs w:val="24"/>
              </w:rPr>
            </w:pPr>
            <w:r w:rsidRPr="00D515EC">
              <w:rPr>
                <w:color w:val="0D0D0D"/>
                <w:szCs w:val="24"/>
              </w:rPr>
              <w:t>Equity Capital</w:t>
            </w:r>
          </w:p>
        </w:tc>
        <w:tc>
          <w:tcPr>
            <w:tcW w:w="0" w:type="auto"/>
            <w:hideMark/>
          </w:tcPr>
          <w:p w14:paraId="5588DD34" w14:textId="77777777" w:rsidR="00547CE2" w:rsidRPr="00D515EC" w:rsidRDefault="00547CE2" w:rsidP="005A7A36">
            <w:pPr>
              <w:spacing w:before="0" w:line="240" w:lineRule="auto"/>
              <w:jc w:val="left"/>
              <w:rPr>
                <w:color w:val="0D0D0D"/>
                <w:szCs w:val="24"/>
              </w:rPr>
            </w:pPr>
            <w:r w:rsidRPr="00D515EC">
              <w:rPr>
                <w:color w:val="0D0D0D"/>
                <w:szCs w:val="24"/>
              </w:rPr>
              <w:t>0.612**</w:t>
            </w:r>
          </w:p>
        </w:tc>
        <w:tc>
          <w:tcPr>
            <w:tcW w:w="0" w:type="auto"/>
            <w:hideMark/>
          </w:tcPr>
          <w:p w14:paraId="7E9B01BB" w14:textId="77777777" w:rsidR="00547CE2" w:rsidRPr="00D515EC" w:rsidRDefault="00547CE2" w:rsidP="005A7A36">
            <w:pPr>
              <w:spacing w:before="0" w:line="240" w:lineRule="auto"/>
              <w:jc w:val="left"/>
              <w:rPr>
                <w:color w:val="0D0D0D"/>
                <w:szCs w:val="24"/>
              </w:rPr>
            </w:pPr>
            <w:r w:rsidRPr="00D515EC">
              <w:rPr>
                <w:color w:val="0D0D0D"/>
                <w:szCs w:val="24"/>
              </w:rPr>
              <w:t>1.000</w:t>
            </w:r>
          </w:p>
        </w:tc>
        <w:tc>
          <w:tcPr>
            <w:tcW w:w="0" w:type="auto"/>
            <w:hideMark/>
          </w:tcPr>
          <w:p w14:paraId="1B9E6E14" w14:textId="77777777" w:rsidR="00547CE2" w:rsidRPr="00D515EC" w:rsidRDefault="00547CE2" w:rsidP="005A7A36">
            <w:pPr>
              <w:spacing w:before="0" w:line="240" w:lineRule="auto"/>
              <w:jc w:val="left"/>
              <w:rPr>
                <w:color w:val="0D0D0D"/>
                <w:szCs w:val="24"/>
              </w:rPr>
            </w:pPr>
          </w:p>
        </w:tc>
        <w:tc>
          <w:tcPr>
            <w:tcW w:w="0" w:type="auto"/>
            <w:hideMark/>
          </w:tcPr>
          <w:p w14:paraId="27F1B495" w14:textId="77777777" w:rsidR="00547CE2" w:rsidRPr="00D515EC" w:rsidRDefault="00547CE2" w:rsidP="005A7A36">
            <w:pPr>
              <w:spacing w:before="0" w:line="240" w:lineRule="auto"/>
              <w:jc w:val="left"/>
              <w:rPr>
                <w:szCs w:val="24"/>
              </w:rPr>
            </w:pPr>
          </w:p>
        </w:tc>
        <w:tc>
          <w:tcPr>
            <w:tcW w:w="0" w:type="auto"/>
            <w:hideMark/>
          </w:tcPr>
          <w:p w14:paraId="7EA97E42" w14:textId="77777777" w:rsidR="00547CE2" w:rsidRPr="00D515EC" w:rsidRDefault="00547CE2" w:rsidP="005A7A36">
            <w:pPr>
              <w:spacing w:before="0" w:line="240" w:lineRule="auto"/>
              <w:jc w:val="left"/>
              <w:rPr>
                <w:szCs w:val="24"/>
              </w:rPr>
            </w:pPr>
          </w:p>
        </w:tc>
        <w:tc>
          <w:tcPr>
            <w:tcW w:w="0" w:type="auto"/>
            <w:hideMark/>
          </w:tcPr>
          <w:p w14:paraId="475DAAC7" w14:textId="77777777" w:rsidR="00547CE2" w:rsidRPr="00D515EC" w:rsidRDefault="00547CE2" w:rsidP="005A7A36">
            <w:pPr>
              <w:spacing w:before="0" w:line="240" w:lineRule="auto"/>
              <w:jc w:val="left"/>
              <w:rPr>
                <w:szCs w:val="24"/>
              </w:rPr>
            </w:pPr>
          </w:p>
        </w:tc>
      </w:tr>
      <w:tr w:rsidR="00547CE2" w:rsidRPr="00362C1A" w14:paraId="0510D754" w14:textId="77777777" w:rsidTr="00B623C0">
        <w:tc>
          <w:tcPr>
            <w:tcW w:w="0" w:type="auto"/>
            <w:hideMark/>
          </w:tcPr>
          <w:p w14:paraId="558B4FFC" w14:textId="77777777" w:rsidR="00547CE2" w:rsidRPr="00D515EC" w:rsidRDefault="00547CE2" w:rsidP="005A7A36">
            <w:pPr>
              <w:spacing w:before="0" w:line="240" w:lineRule="auto"/>
              <w:jc w:val="left"/>
              <w:rPr>
                <w:color w:val="0D0D0D"/>
                <w:szCs w:val="24"/>
              </w:rPr>
            </w:pPr>
            <w:r w:rsidRPr="00D515EC">
              <w:rPr>
                <w:color w:val="0D0D0D"/>
                <w:szCs w:val="24"/>
              </w:rPr>
              <w:t>Firm Leverage</w:t>
            </w:r>
          </w:p>
        </w:tc>
        <w:tc>
          <w:tcPr>
            <w:tcW w:w="0" w:type="auto"/>
            <w:hideMark/>
          </w:tcPr>
          <w:p w14:paraId="5C886A29" w14:textId="77777777" w:rsidR="00547CE2" w:rsidRPr="00D515EC" w:rsidRDefault="00547CE2" w:rsidP="005A7A36">
            <w:pPr>
              <w:spacing w:before="0" w:line="240" w:lineRule="auto"/>
              <w:jc w:val="left"/>
              <w:rPr>
                <w:color w:val="0D0D0D"/>
                <w:szCs w:val="24"/>
              </w:rPr>
            </w:pPr>
            <w:r w:rsidRPr="00D515EC">
              <w:rPr>
                <w:color w:val="0D0D0D"/>
                <w:szCs w:val="24"/>
              </w:rPr>
              <w:t>-0.428**</w:t>
            </w:r>
          </w:p>
        </w:tc>
        <w:tc>
          <w:tcPr>
            <w:tcW w:w="0" w:type="auto"/>
            <w:hideMark/>
          </w:tcPr>
          <w:p w14:paraId="785D8B25" w14:textId="77777777" w:rsidR="00547CE2" w:rsidRPr="00D515EC" w:rsidRDefault="00547CE2" w:rsidP="005A7A36">
            <w:pPr>
              <w:spacing w:before="0" w:line="240" w:lineRule="auto"/>
              <w:jc w:val="left"/>
              <w:rPr>
                <w:color w:val="0D0D0D"/>
                <w:szCs w:val="24"/>
              </w:rPr>
            </w:pPr>
            <w:r w:rsidRPr="00D515EC">
              <w:rPr>
                <w:color w:val="0D0D0D"/>
                <w:szCs w:val="24"/>
              </w:rPr>
              <w:t>-0.372**</w:t>
            </w:r>
          </w:p>
        </w:tc>
        <w:tc>
          <w:tcPr>
            <w:tcW w:w="0" w:type="auto"/>
            <w:hideMark/>
          </w:tcPr>
          <w:p w14:paraId="37B00BFE" w14:textId="77777777" w:rsidR="00547CE2" w:rsidRPr="00D515EC" w:rsidRDefault="00547CE2" w:rsidP="005A7A36">
            <w:pPr>
              <w:spacing w:before="0" w:line="240" w:lineRule="auto"/>
              <w:jc w:val="left"/>
              <w:rPr>
                <w:color w:val="0D0D0D"/>
                <w:szCs w:val="24"/>
              </w:rPr>
            </w:pPr>
            <w:r w:rsidRPr="00D515EC">
              <w:rPr>
                <w:color w:val="0D0D0D"/>
                <w:szCs w:val="24"/>
              </w:rPr>
              <w:t>1.000</w:t>
            </w:r>
          </w:p>
        </w:tc>
        <w:tc>
          <w:tcPr>
            <w:tcW w:w="0" w:type="auto"/>
            <w:hideMark/>
          </w:tcPr>
          <w:p w14:paraId="77C8EB5B" w14:textId="77777777" w:rsidR="00547CE2" w:rsidRPr="00D515EC" w:rsidRDefault="00547CE2" w:rsidP="005A7A36">
            <w:pPr>
              <w:spacing w:before="0" w:line="240" w:lineRule="auto"/>
              <w:jc w:val="left"/>
              <w:rPr>
                <w:color w:val="0D0D0D"/>
                <w:szCs w:val="24"/>
              </w:rPr>
            </w:pPr>
          </w:p>
        </w:tc>
        <w:tc>
          <w:tcPr>
            <w:tcW w:w="0" w:type="auto"/>
            <w:hideMark/>
          </w:tcPr>
          <w:p w14:paraId="71FA0B53" w14:textId="77777777" w:rsidR="00547CE2" w:rsidRPr="00D515EC" w:rsidRDefault="00547CE2" w:rsidP="005A7A36">
            <w:pPr>
              <w:spacing w:before="0" w:line="240" w:lineRule="auto"/>
              <w:jc w:val="left"/>
              <w:rPr>
                <w:szCs w:val="24"/>
              </w:rPr>
            </w:pPr>
          </w:p>
        </w:tc>
        <w:tc>
          <w:tcPr>
            <w:tcW w:w="0" w:type="auto"/>
            <w:hideMark/>
          </w:tcPr>
          <w:p w14:paraId="2091665E" w14:textId="77777777" w:rsidR="00547CE2" w:rsidRPr="00D515EC" w:rsidRDefault="00547CE2" w:rsidP="005A7A36">
            <w:pPr>
              <w:spacing w:before="0" w:line="240" w:lineRule="auto"/>
              <w:jc w:val="left"/>
              <w:rPr>
                <w:szCs w:val="24"/>
              </w:rPr>
            </w:pPr>
          </w:p>
        </w:tc>
      </w:tr>
      <w:tr w:rsidR="00547CE2" w:rsidRPr="00362C1A" w14:paraId="11240BD8" w14:textId="77777777" w:rsidTr="00B623C0">
        <w:tc>
          <w:tcPr>
            <w:tcW w:w="0" w:type="auto"/>
            <w:hideMark/>
          </w:tcPr>
          <w:p w14:paraId="72216750" w14:textId="77777777" w:rsidR="00547CE2" w:rsidRPr="00D515EC" w:rsidRDefault="00547CE2" w:rsidP="005A7A36">
            <w:pPr>
              <w:spacing w:before="0" w:line="240" w:lineRule="auto"/>
              <w:jc w:val="left"/>
              <w:rPr>
                <w:color w:val="0D0D0D"/>
                <w:szCs w:val="24"/>
              </w:rPr>
            </w:pPr>
            <w:r w:rsidRPr="00D515EC">
              <w:rPr>
                <w:color w:val="0D0D0D"/>
                <w:szCs w:val="24"/>
              </w:rPr>
              <w:t>Liquidity</w:t>
            </w:r>
          </w:p>
        </w:tc>
        <w:tc>
          <w:tcPr>
            <w:tcW w:w="0" w:type="auto"/>
            <w:hideMark/>
          </w:tcPr>
          <w:p w14:paraId="068551F1" w14:textId="77777777" w:rsidR="00547CE2" w:rsidRPr="00D515EC" w:rsidRDefault="00547CE2" w:rsidP="005A7A36">
            <w:pPr>
              <w:spacing w:before="0" w:line="240" w:lineRule="auto"/>
              <w:jc w:val="left"/>
              <w:rPr>
                <w:color w:val="0D0D0D"/>
                <w:szCs w:val="24"/>
              </w:rPr>
            </w:pPr>
            <w:r w:rsidRPr="00D515EC">
              <w:rPr>
                <w:color w:val="0D0D0D"/>
                <w:szCs w:val="24"/>
              </w:rPr>
              <w:t>0.395**</w:t>
            </w:r>
          </w:p>
        </w:tc>
        <w:tc>
          <w:tcPr>
            <w:tcW w:w="0" w:type="auto"/>
            <w:hideMark/>
          </w:tcPr>
          <w:p w14:paraId="43A530FD" w14:textId="77777777" w:rsidR="00547CE2" w:rsidRPr="00D515EC" w:rsidRDefault="00547CE2" w:rsidP="005A7A36">
            <w:pPr>
              <w:spacing w:before="0" w:line="240" w:lineRule="auto"/>
              <w:jc w:val="left"/>
              <w:rPr>
                <w:color w:val="0D0D0D"/>
                <w:szCs w:val="24"/>
              </w:rPr>
            </w:pPr>
            <w:r w:rsidRPr="00D515EC">
              <w:rPr>
                <w:color w:val="0D0D0D"/>
                <w:szCs w:val="24"/>
              </w:rPr>
              <w:t>0.278**</w:t>
            </w:r>
          </w:p>
        </w:tc>
        <w:tc>
          <w:tcPr>
            <w:tcW w:w="0" w:type="auto"/>
            <w:hideMark/>
          </w:tcPr>
          <w:p w14:paraId="33553AB8" w14:textId="77777777" w:rsidR="00547CE2" w:rsidRPr="00D515EC" w:rsidRDefault="00547CE2" w:rsidP="005A7A36">
            <w:pPr>
              <w:spacing w:before="0" w:line="240" w:lineRule="auto"/>
              <w:jc w:val="left"/>
              <w:rPr>
                <w:color w:val="0D0D0D"/>
                <w:szCs w:val="24"/>
              </w:rPr>
            </w:pPr>
            <w:r w:rsidRPr="00D515EC">
              <w:rPr>
                <w:color w:val="0D0D0D"/>
                <w:szCs w:val="24"/>
              </w:rPr>
              <w:t>-0.296**</w:t>
            </w:r>
          </w:p>
        </w:tc>
        <w:tc>
          <w:tcPr>
            <w:tcW w:w="0" w:type="auto"/>
            <w:hideMark/>
          </w:tcPr>
          <w:p w14:paraId="67BA7264" w14:textId="77777777" w:rsidR="00547CE2" w:rsidRPr="00D515EC" w:rsidRDefault="00547CE2" w:rsidP="005A7A36">
            <w:pPr>
              <w:spacing w:before="0" w:line="240" w:lineRule="auto"/>
              <w:jc w:val="left"/>
              <w:rPr>
                <w:color w:val="0D0D0D"/>
                <w:szCs w:val="24"/>
              </w:rPr>
            </w:pPr>
            <w:r w:rsidRPr="00D515EC">
              <w:rPr>
                <w:color w:val="0D0D0D"/>
                <w:szCs w:val="24"/>
              </w:rPr>
              <w:t>1.000</w:t>
            </w:r>
          </w:p>
        </w:tc>
        <w:tc>
          <w:tcPr>
            <w:tcW w:w="0" w:type="auto"/>
            <w:hideMark/>
          </w:tcPr>
          <w:p w14:paraId="76C36674" w14:textId="77777777" w:rsidR="00547CE2" w:rsidRPr="00D515EC" w:rsidRDefault="00547CE2" w:rsidP="005A7A36">
            <w:pPr>
              <w:spacing w:before="0" w:line="240" w:lineRule="auto"/>
              <w:jc w:val="left"/>
              <w:rPr>
                <w:color w:val="0D0D0D"/>
                <w:szCs w:val="24"/>
              </w:rPr>
            </w:pPr>
          </w:p>
        </w:tc>
        <w:tc>
          <w:tcPr>
            <w:tcW w:w="0" w:type="auto"/>
            <w:hideMark/>
          </w:tcPr>
          <w:p w14:paraId="413E6135" w14:textId="77777777" w:rsidR="00547CE2" w:rsidRPr="00D515EC" w:rsidRDefault="00547CE2" w:rsidP="005A7A36">
            <w:pPr>
              <w:spacing w:before="0" w:line="240" w:lineRule="auto"/>
              <w:jc w:val="left"/>
              <w:rPr>
                <w:szCs w:val="24"/>
              </w:rPr>
            </w:pPr>
          </w:p>
        </w:tc>
      </w:tr>
      <w:tr w:rsidR="00547CE2" w:rsidRPr="00362C1A" w14:paraId="24498C05" w14:textId="77777777" w:rsidTr="00B623C0">
        <w:tc>
          <w:tcPr>
            <w:tcW w:w="0" w:type="auto"/>
            <w:hideMark/>
          </w:tcPr>
          <w:p w14:paraId="2EE70BED" w14:textId="77777777" w:rsidR="00547CE2" w:rsidRPr="00D515EC" w:rsidRDefault="00547CE2" w:rsidP="005A7A36">
            <w:pPr>
              <w:spacing w:before="0" w:line="240" w:lineRule="auto"/>
              <w:jc w:val="left"/>
              <w:rPr>
                <w:color w:val="0D0D0D"/>
                <w:szCs w:val="24"/>
              </w:rPr>
            </w:pPr>
            <w:r w:rsidRPr="00D515EC">
              <w:rPr>
                <w:color w:val="0D0D0D"/>
                <w:szCs w:val="24"/>
              </w:rPr>
              <w:t>Operational Efficiency</w:t>
            </w:r>
          </w:p>
        </w:tc>
        <w:tc>
          <w:tcPr>
            <w:tcW w:w="0" w:type="auto"/>
            <w:hideMark/>
          </w:tcPr>
          <w:p w14:paraId="70C14E40" w14:textId="77777777" w:rsidR="00547CE2" w:rsidRPr="00D515EC" w:rsidRDefault="00547CE2" w:rsidP="005A7A36">
            <w:pPr>
              <w:spacing w:before="0" w:line="240" w:lineRule="auto"/>
              <w:jc w:val="left"/>
              <w:rPr>
                <w:color w:val="0D0D0D"/>
                <w:szCs w:val="24"/>
              </w:rPr>
            </w:pPr>
            <w:r w:rsidRPr="00D515EC">
              <w:rPr>
                <w:color w:val="0D0D0D"/>
                <w:szCs w:val="24"/>
              </w:rPr>
              <w:t>0.544**</w:t>
            </w:r>
          </w:p>
        </w:tc>
        <w:tc>
          <w:tcPr>
            <w:tcW w:w="0" w:type="auto"/>
            <w:hideMark/>
          </w:tcPr>
          <w:p w14:paraId="42E3CE35" w14:textId="77777777" w:rsidR="00547CE2" w:rsidRPr="00D515EC" w:rsidRDefault="00547CE2" w:rsidP="005A7A36">
            <w:pPr>
              <w:spacing w:before="0" w:line="240" w:lineRule="auto"/>
              <w:jc w:val="left"/>
              <w:rPr>
                <w:color w:val="0D0D0D"/>
                <w:szCs w:val="24"/>
              </w:rPr>
            </w:pPr>
            <w:r w:rsidRPr="00D515EC">
              <w:rPr>
                <w:color w:val="0D0D0D"/>
                <w:szCs w:val="24"/>
              </w:rPr>
              <w:t>0.437**</w:t>
            </w:r>
          </w:p>
        </w:tc>
        <w:tc>
          <w:tcPr>
            <w:tcW w:w="0" w:type="auto"/>
            <w:hideMark/>
          </w:tcPr>
          <w:p w14:paraId="386AA2E4" w14:textId="77777777" w:rsidR="00547CE2" w:rsidRPr="00D515EC" w:rsidRDefault="00547CE2" w:rsidP="005A7A36">
            <w:pPr>
              <w:spacing w:before="0" w:line="240" w:lineRule="auto"/>
              <w:jc w:val="left"/>
              <w:rPr>
                <w:color w:val="0D0D0D"/>
                <w:szCs w:val="24"/>
              </w:rPr>
            </w:pPr>
            <w:r w:rsidRPr="00D515EC">
              <w:rPr>
                <w:color w:val="0D0D0D"/>
                <w:szCs w:val="24"/>
              </w:rPr>
              <w:t>-0.331**</w:t>
            </w:r>
          </w:p>
        </w:tc>
        <w:tc>
          <w:tcPr>
            <w:tcW w:w="0" w:type="auto"/>
            <w:hideMark/>
          </w:tcPr>
          <w:p w14:paraId="6DF7E449" w14:textId="77777777" w:rsidR="00547CE2" w:rsidRPr="00D515EC" w:rsidRDefault="00547CE2" w:rsidP="005A7A36">
            <w:pPr>
              <w:spacing w:before="0" w:line="240" w:lineRule="auto"/>
              <w:jc w:val="left"/>
              <w:rPr>
                <w:color w:val="0D0D0D"/>
                <w:szCs w:val="24"/>
              </w:rPr>
            </w:pPr>
            <w:r w:rsidRPr="00D515EC">
              <w:rPr>
                <w:color w:val="0D0D0D"/>
                <w:szCs w:val="24"/>
              </w:rPr>
              <w:t>0.416**</w:t>
            </w:r>
          </w:p>
        </w:tc>
        <w:tc>
          <w:tcPr>
            <w:tcW w:w="0" w:type="auto"/>
            <w:hideMark/>
          </w:tcPr>
          <w:p w14:paraId="59FDAE18" w14:textId="77777777" w:rsidR="00547CE2" w:rsidRPr="00D515EC" w:rsidRDefault="00547CE2" w:rsidP="005A7A36">
            <w:pPr>
              <w:spacing w:before="0" w:line="240" w:lineRule="auto"/>
              <w:jc w:val="left"/>
              <w:rPr>
                <w:color w:val="0D0D0D"/>
                <w:szCs w:val="24"/>
              </w:rPr>
            </w:pPr>
            <w:r w:rsidRPr="00D515EC">
              <w:rPr>
                <w:color w:val="0D0D0D"/>
                <w:szCs w:val="24"/>
              </w:rPr>
              <w:t>1.000</w:t>
            </w:r>
          </w:p>
        </w:tc>
        <w:tc>
          <w:tcPr>
            <w:tcW w:w="0" w:type="auto"/>
            <w:hideMark/>
          </w:tcPr>
          <w:p w14:paraId="740CA602" w14:textId="77777777" w:rsidR="00547CE2" w:rsidRPr="00D515EC" w:rsidRDefault="00547CE2" w:rsidP="005A7A36">
            <w:pPr>
              <w:spacing w:before="0" w:line="240" w:lineRule="auto"/>
              <w:jc w:val="left"/>
              <w:rPr>
                <w:color w:val="0D0D0D"/>
                <w:szCs w:val="24"/>
              </w:rPr>
            </w:pPr>
          </w:p>
        </w:tc>
      </w:tr>
      <w:tr w:rsidR="00547CE2" w:rsidRPr="00362C1A" w14:paraId="199B2228" w14:textId="77777777" w:rsidTr="00B623C0">
        <w:trPr>
          <w:trHeight w:val="58"/>
        </w:trPr>
        <w:tc>
          <w:tcPr>
            <w:tcW w:w="0" w:type="auto"/>
            <w:hideMark/>
          </w:tcPr>
          <w:p w14:paraId="348D67DF" w14:textId="77777777" w:rsidR="00547CE2" w:rsidRPr="00D515EC" w:rsidRDefault="00547CE2" w:rsidP="005A7A36">
            <w:pPr>
              <w:spacing w:before="0" w:line="240" w:lineRule="auto"/>
              <w:jc w:val="left"/>
              <w:rPr>
                <w:color w:val="0D0D0D"/>
                <w:szCs w:val="24"/>
              </w:rPr>
            </w:pPr>
            <w:r w:rsidRPr="00D515EC">
              <w:rPr>
                <w:color w:val="0D0D0D"/>
                <w:szCs w:val="24"/>
              </w:rPr>
              <w:t>GDP</w:t>
            </w:r>
          </w:p>
        </w:tc>
        <w:tc>
          <w:tcPr>
            <w:tcW w:w="0" w:type="auto"/>
            <w:hideMark/>
          </w:tcPr>
          <w:p w14:paraId="2FD69780" w14:textId="77777777" w:rsidR="00547CE2" w:rsidRPr="00D515EC" w:rsidRDefault="00547CE2" w:rsidP="005A7A36">
            <w:pPr>
              <w:spacing w:before="0" w:line="240" w:lineRule="auto"/>
              <w:jc w:val="left"/>
              <w:rPr>
                <w:color w:val="0D0D0D"/>
                <w:szCs w:val="24"/>
              </w:rPr>
            </w:pPr>
            <w:r w:rsidRPr="00D515EC">
              <w:rPr>
                <w:color w:val="0D0D0D"/>
                <w:szCs w:val="24"/>
              </w:rPr>
              <w:t>0.486**</w:t>
            </w:r>
          </w:p>
        </w:tc>
        <w:tc>
          <w:tcPr>
            <w:tcW w:w="0" w:type="auto"/>
            <w:hideMark/>
          </w:tcPr>
          <w:p w14:paraId="567ED9E6" w14:textId="77777777" w:rsidR="00547CE2" w:rsidRPr="00D515EC" w:rsidRDefault="00547CE2" w:rsidP="005A7A36">
            <w:pPr>
              <w:spacing w:before="0" w:line="240" w:lineRule="auto"/>
              <w:jc w:val="left"/>
              <w:rPr>
                <w:color w:val="0D0D0D"/>
                <w:szCs w:val="24"/>
              </w:rPr>
            </w:pPr>
            <w:r w:rsidRPr="00D515EC">
              <w:rPr>
                <w:color w:val="0D0D0D"/>
                <w:szCs w:val="24"/>
              </w:rPr>
              <w:t>0.398**</w:t>
            </w:r>
          </w:p>
        </w:tc>
        <w:tc>
          <w:tcPr>
            <w:tcW w:w="0" w:type="auto"/>
            <w:hideMark/>
          </w:tcPr>
          <w:p w14:paraId="5B7A2292" w14:textId="77777777" w:rsidR="00547CE2" w:rsidRPr="00D515EC" w:rsidRDefault="00547CE2" w:rsidP="005A7A36">
            <w:pPr>
              <w:spacing w:before="0" w:line="240" w:lineRule="auto"/>
              <w:jc w:val="left"/>
              <w:rPr>
                <w:color w:val="0D0D0D"/>
                <w:szCs w:val="24"/>
              </w:rPr>
            </w:pPr>
            <w:r w:rsidRPr="00D515EC">
              <w:rPr>
                <w:color w:val="0D0D0D"/>
                <w:szCs w:val="24"/>
              </w:rPr>
              <w:t>-0.285**</w:t>
            </w:r>
          </w:p>
        </w:tc>
        <w:tc>
          <w:tcPr>
            <w:tcW w:w="0" w:type="auto"/>
            <w:hideMark/>
          </w:tcPr>
          <w:p w14:paraId="778D28F5" w14:textId="77777777" w:rsidR="00547CE2" w:rsidRPr="00D515EC" w:rsidRDefault="00547CE2" w:rsidP="005A7A36">
            <w:pPr>
              <w:spacing w:before="0" w:line="240" w:lineRule="auto"/>
              <w:jc w:val="left"/>
              <w:rPr>
                <w:color w:val="0D0D0D"/>
                <w:szCs w:val="24"/>
              </w:rPr>
            </w:pPr>
            <w:r w:rsidRPr="00D515EC">
              <w:rPr>
                <w:color w:val="0D0D0D"/>
                <w:szCs w:val="24"/>
              </w:rPr>
              <w:t>0.371**</w:t>
            </w:r>
          </w:p>
        </w:tc>
        <w:tc>
          <w:tcPr>
            <w:tcW w:w="0" w:type="auto"/>
            <w:hideMark/>
          </w:tcPr>
          <w:p w14:paraId="7D692ABF" w14:textId="77777777" w:rsidR="00547CE2" w:rsidRPr="00D515EC" w:rsidRDefault="00547CE2" w:rsidP="005A7A36">
            <w:pPr>
              <w:spacing w:before="0" w:line="240" w:lineRule="auto"/>
              <w:jc w:val="left"/>
              <w:rPr>
                <w:color w:val="0D0D0D"/>
                <w:szCs w:val="24"/>
              </w:rPr>
            </w:pPr>
            <w:r w:rsidRPr="00D515EC">
              <w:rPr>
                <w:color w:val="0D0D0D"/>
                <w:szCs w:val="24"/>
              </w:rPr>
              <w:t>0.452**</w:t>
            </w:r>
          </w:p>
        </w:tc>
        <w:tc>
          <w:tcPr>
            <w:tcW w:w="0" w:type="auto"/>
            <w:hideMark/>
          </w:tcPr>
          <w:p w14:paraId="4699E962" w14:textId="77777777" w:rsidR="00547CE2" w:rsidRPr="00D515EC" w:rsidRDefault="00547CE2" w:rsidP="005A7A36">
            <w:pPr>
              <w:spacing w:before="0" w:line="240" w:lineRule="auto"/>
              <w:jc w:val="left"/>
              <w:rPr>
                <w:color w:val="0D0D0D"/>
                <w:szCs w:val="24"/>
              </w:rPr>
            </w:pPr>
            <w:r w:rsidRPr="00D515EC">
              <w:rPr>
                <w:color w:val="0D0D0D"/>
                <w:szCs w:val="24"/>
              </w:rPr>
              <w:t>1.000</w:t>
            </w:r>
          </w:p>
        </w:tc>
      </w:tr>
    </w:tbl>
    <w:p w14:paraId="38289A87" w14:textId="77777777" w:rsidR="00547CE2" w:rsidRPr="00D515EC" w:rsidRDefault="00547CE2" w:rsidP="00547CE2">
      <w:pPr>
        <w:shd w:val="clear" w:color="auto" w:fill="FFFFFF"/>
        <w:spacing w:before="100" w:beforeAutospacing="1" w:after="100" w:afterAutospacing="1"/>
        <w:rPr>
          <w:color w:val="0D0D0D"/>
          <w:szCs w:val="24"/>
        </w:rPr>
      </w:pPr>
      <w:r w:rsidRPr="00D515EC">
        <w:rPr>
          <w:b/>
          <w:bCs/>
          <w:color w:val="0D0D0D"/>
          <w:szCs w:val="24"/>
        </w:rPr>
        <w:t>Note:</w:t>
      </w:r>
      <w:r w:rsidRPr="00D515EC">
        <w:rPr>
          <w:color w:val="0D0D0D"/>
          <w:szCs w:val="24"/>
        </w:rPr>
        <w:t xml:space="preserve"> </w:t>
      </w:r>
      <w:r w:rsidRPr="00D515EC">
        <w:rPr>
          <w:b/>
          <w:bCs/>
          <w:color w:val="0D0D0D"/>
          <w:szCs w:val="24"/>
        </w:rPr>
        <w:t>Correlation is significant at the 0.01 level (2-tailed)</w:t>
      </w:r>
      <w:r w:rsidRPr="00D515EC">
        <w:rPr>
          <w:color w:val="0D0D0D"/>
          <w:szCs w:val="24"/>
        </w:rPr>
        <w:br/>
      </w:r>
      <w:r w:rsidRPr="00D515EC">
        <w:rPr>
          <w:i/>
          <w:iCs/>
          <w:color w:val="0D0D0D"/>
          <w:szCs w:val="24"/>
        </w:rPr>
        <w:t>Source: Study Data (2025)</w:t>
      </w:r>
    </w:p>
    <w:p w14:paraId="73DFB463" w14:textId="7A182D99" w:rsidR="0005136B" w:rsidRPr="005A7A36" w:rsidRDefault="00B71D77" w:rsidP="0005136B">
      <w:pPr>
        <w:spacing w:before="0" w:line="240" w:lineRule="auto"/>
        <w:rPr>
          <w:b/>
          <w:i/>
          <w:szCs w:val="24"/>
        </w:rPr>
      </w:pPr>
      <w:r w:rsidRPr="005A7A36">
        <w:rPr>
          <w:b/>
          <w:i/>
          <w:szCs w:val="24"/>
        </w:rPr>
        <w:t>Hypotheses Testing</w:t>
      </w:r>
    </w:p>
    <w:p w14:paraId="0C9A3209" w14:textId="1DB03D44" w:rsidR="00B71D77" w:rsidRDefault="00B71D77" w:rsidP="0005136B">
      <w:pPr>
        <w:spacing w:before="0" w:line="240" w:lineRule="auto"/>
        <w:rPr>
          <w:szCs w:val="24"/>
        </w:rPr>
      </w:pPr>
    </w:p>
    <w:p w14:paraId="0D2B0949" w14:textId="5779AD46" w:rsidR="00B71D77" w:rsidRDefault="001937CB" w:rsidP="0005136B">
      <w:pPr>
        <w:spacing w:before="0" w:line="240" w:lineRule="auto"/>
        <w:rPr>
          <w:szCs w:val="24"/>
        </w:rPr>
      </w:pPr>
      <w:r w:rsidRPr="001937CB">
        <w:rPr>
          <w:szCs w:val="24"/>
        </w:rPr>
        <w:t xml:space="preserve">The study tested hypotheses on whether equity capital, firm leverage, liquidity, operational efficiency, and Gross Domestic Product (GDP) significantly influence the growth of general insurance companies in Kenya. The results showed that equity capital positively and significantly </w:t>
      </w:r>
      <w:r w:rsidRPr="007450B9">
        <w:rPr>
          <w:szCs w:val="24"/>
          <w:highlight w:val="yellow"/>
        </w:rPr>
        <w:t>drives growth, leading to the rejection of the related null hypothesis. This supports existing evidence that well-</w:t>
      </w:r>
      <w:r w:rsidR="004E078C" w:rsidRPr="007450B9">
        <w:rPr>
          <w:szCs w:val="24"/>
          <w:highlight w:val="yellow"/>
        </w:rPr>
        <w:t xml:space="preserve">capitalised </w:t>
      </w:r>
      <w:r w:rsidRPr="007450B9">
        <w:rPr>
          <w:szCs w:val="24"/>
          <w:highlight w:val="yellow"/>
        </w:rPr>
        <w:t>insurers ar</w:t>
      </w:r>
      <w:r w:rsidRPr="001937CB">
        <w:rPr>
          <w:szCs w:val="24"/>
        </w:rPr>
        <w:t xml:space="preserve">e better positioned to underwrite risks and expand operations. Firm leverage demonstrated a significant negative effect on growth, indicating that heavy reliance on debt constrains expansion, although moderate leverage may offer financial flexibility in some contexts. Liquidity was also found to significantly enhance growth, as liquid insurers more effectively meet policyholder obligations and invest in profitable opportunities. Operational efficiency exhibited a significant negative relationship with growth, suggesting that inefficiencies in underwriting, claims handling, and cost management suppress performance. Finally, GDP was shown to positively moderate the relationship between firm characteristics and growth, implying that </w:t>
      </w:r>
      <w:r w:rsidRPr="007450B9">
        <w:rPr>
          <w:szCs w:val="24"/>
          <w:highlight w:val="yellow"/>
        </w:rPr>
        <w:t>favo</w:t>
      </w:r>
      <w:r w:rsidR="004E078C" w:rsidRPr="007450B9">
        <w:rPr>
          <w:szCs w:val="24"/>
          <w:highlight w:val="yellow"/>
        </w:rPr>
        <w:t>u</w:t>
      </w:r>
      <w:r w:rsidRPr="007450B9">
        <w:rPr>
          <w:szCs w:val="24"/>
          <w:highlight w:val="yellow"/>
        </w:rPr>
        <w:t>rable macroeconomic conditions strengthen the effects of capital structure, liquidity, and efficiency on performance. Overall, a</w:t>
      </w:r>
      <w:r w:rsidRPr="001937CB">
        <w:rPr>
          <w:szCs w:val="24"/>
        </w:rPr>
        <w:t>ll null hypotheses were rejected, confirming that both firm-level and macroeconomic factors strongly shape growth outcomes in Kenya’s general insurance industry</w:t>
      </w:r>
      <w:r>
        <w:rPr>
          <w:szCs w:val="24"/>
        </w:rPr>
        <w:t>.</w:t>
      </w:r>
    </w:p>
    <w:p w14:paraId="7A30728F" w14:textId="77777777" w:rsidR="0005136B" w:rsidRDefault="0005136B" w:rsidP="0005136B">
      <w:pPr>
        <w:spacing w:before="0" w:line="240" w:lineRule="auto"/>
        <w:rPr>
          <w:b/>
          <w:bCs/>
          <w:color w:val="000000" w:themeColor="text1"/>
          <w:sz w:val="28"/>
          <w:szCs w:val="24"/>
        </w:rPr>
      </w:pPr>
    </w:p>
    <w:p w14:paraId="359E84B3" w14:textId="69EAA060"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5.0 CONCLUSIONS </w:t>
      </w:r>
    </w:p>
    <w:p w14:paraId="50F0BC2F" w14:textId="2C965AD6" w:rsidR="00A27439" w:rsidRPr="007A56B8" w:rsidRDefault="00B943F4" w:rsidP="002E784F">
      <w:pPr>
        <w:spacing w:line="240" w:lineRule="auto"/>
        <w:rPr>
          <w:rFonts w:cs="Times New Roman"/>
          <w:color w:val="000000" w:themeColor="text1"/>
          <w:szCs w:val="24"/>
        </w:rPr>
      </w:pPr>
      <w:r w:rsidRPr="00B943F4">
        <w:rPr>
          <w:rFonts w:cs="Times New Roman"/>
          <w:color w:val="000000" w:themeColor="text1"/>
          <w:szCs w:val="24"/>
        </w:rPr>
        <w:t xml:space="preserve">The study concludes that equity capital is the leading driver of growth among general insurance companies in Kenya. Firms with strong equity bases are better positioned to finance operations, invest in new products, and strengthen risk management without incurring the costs and risks associated with external borrowing. Leverage showed a mixed influence: while moderate debt can support expansion, excessive reliance on borrowing heightens financial vulnerability and limits strategic flexibility. Maintaining an optimal balance between debt and equity is therefore essential for sustainable growth. Liquidity also emerged as a critical determinant, as firms with adequate liquid resources can meet short-term obligations, sustain operations, and pursue investment opportunities, whereas weak liquidity constrains growth. Additionally, operational efficiency and macroeconomic conditions, particularly GDP performance, significantly shape growth outcomes. Efficient operations enhance profitability and competitiveness, while </w:t>
      </w:r>
      <w:r w:rsidRPr="007450B9">
        <w:rPr>
          <w:rFonts w:cs="Times New Roman"/>
          <w:color w:val="000000" w:themeColor="text1"/>
          <w:szCs w:val="24"/>
          <w:highlight w:val="yellow"/>
        </w:rPr>
        <w:t>favo</w:t>
      </w:r>
      <w:r w:rsidR="004E078C" w:rsidRPr="007450B9">
        <w:rPr>
          <w:rFonts w:cs="Times New Roman"/>
          <w:color w:val="000000" w:themeColor="text1"/>
          <w:szCs w:val="24"/>
          <w:highlight w:val="yellow"/>
        </w:rPr>
        <w:t>u</w:t>
      </w:r>
      <w:r w:rsidRPr="007450B9">
        <w:rPr>
          <w:rFonts w:cs="Times New Roman"/>
          <w:color w:val="000000" w:themeColor="text1"/>
          <w:szCs w:val="24"/>
          <w:highlight w:val="yellow"/>
        </w:rPr>
        <w:t>rable economic conditions strengthen firm-level advantages, underscoring the importance of integrating internal capabilities with external economic</w:t>
      </w:r>
      <w:r w:rsidRPr="00B943F4">
        <w:rPr>
          <w:rFonts w:cs="Times New Roman"/>
          <w:color w:val="000000" w:themeColor="text1"/>
          <w:szCs w:val="24"/>
        </w:rPr>
        <w:t xml:space="preserve"> realities.</w:t>
      </w:r>
      <w:r w:rsidR="00E05059" w:rsidRPr="00E05059">
        <w:rPr>
          <w:rFonts w:cs="Times New Roman"/>
          <w:color w:val="000000" w:themeColor="text1"/>
          <w:szCs w:val="24"/>
        </w:rPr>
        <w:t xml:space="preserve"> </w:t>
      </w: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lastRenderedPageBreak/>
        <w:t>6.0 RECOMMENDATIONS</w:t>
      </w:r>
    </w:p>
    <w:p w14:paraId="2BDBF502" w14:textId="7EA6C548" w:rsidR="001D4CB5" w:rsidRDefault="001D4CB5" w:rsidP="001D4CB5">
      <w:pPr>
        <w:spacing w:before="0" w:line="240" w:lineRule="auto"/>
      </w:pPr>
      <w:r w:rsidRPr="007450B9">
        <w:rPr>
          <w:highlight w:val="yellow"/>
        </w:rPr>
        <w:t xml:space="preserve">The recommendations </w:t>
      </w:r>
      <w:r w:rsidR="004E078C" w:rsidRPr="007450B9">
        <w:rPr>
          <w:highlight w:val="yellow"/>
        </w:rPr>
        <w:t xml:space="preserve">emphasise </w:t>
      </w:r>
      <w:r w:rsidRPr="007450B9">
        <w:rPr>
          <w:highlight w:val="yellow"/>
        </w:rPr>
        <w:t xml:space="preserve">the need for Kenyan insurance companies to strengthen their financial foundations by attracting investors and </w:t>
      </w:r>
      <w:r w:rsidR="004E078C" w:rsidRPr="007450B9">
        <w:rPr>
          <w:highlight w:val="yellow"/>
        </w:rPr>
        <w:t xml:space="preserve">prioritising </w:t>
      </w:r>
      <w:r w:rsidRPr="007450B9">
        <w:rPr>
          <w:highlight w:val="yellow"/>
        </w:rPr>
        <w:t>retained earnings. Enhancing equity positions would enable firms to expand sales, develop innovative products, and adopt advanced risk-management practices while reducing reliance on external borrowing. Maintaining an optimal balance between debt and equity is essential; moderate leverage can support growth, but excessive debt increases financial vulnerability. Firms should therefore monitor debt ratios carefully and adopt prudent borrowing strategies that foster growth without undermining stability.</w:t>
      </w:r>
    </w:p>
    <w:p w14:paraId="30532445" w14:textId="77777777" w:rsidR="001D4CB5" w:rsidRDefault="001D4CB5" w:rsidP="001D4CB5">
      <w:pPr>
        <w:spacing w:before="0" w:line="240" w:lineRule="auto"/>
      </w:pPr>
    </w:p>
    <w:p w14:paraId="00A33D0B" w14:textId="5EEB44BB" w:rsidR="001D4CB5" w:rsidRPr="007450B9" w:rsidRDefault="001D4CB5" w:rsidP="001D4CB5">
      <w:pPr>
        <w:spacing w:before="0" w:line="240" w:lineRule="auto"/>
        <w:rPr>
          <w:highlight w:val="yellow"/>
        </w:rPr>
      </w:pPr>
      <w:r>
        <w:t xml:space="preserve">Effective liquidity management is also vital for uninterrupted operations and strategic investment. Companies should closely track cash flows, receivables, and payables to ensure sufficient liquidity for short-term obligations, unexpected needs, and emerging opportunities, thereby </w:t>
      </w:r>
      <w:r w:rsidRPr="007450B9">
        <w:rPr>
          <w:highlight w:val="yellow"/>
        </w:rPr>
        <w:t xml:space="preserve">enhancing competitiveness. Additionally, insurers must improve operational efficiency by investing in technology, process </w:t>
      </w:r>
      <w:r w:rsidR="004E078C" w:rsidRPr="007450B9">
        <w:rPr>
          <w:highlight w:val="yellow"/>
        </w:rPr>
        <w:t>optimisation</w:t>
      </w:r>
      <w:r w:rsidRPr="007450B9">
        <w:rPr>
          <w:highlight w:val="yellow"/>
        </w:rPr>
        <w:t>, and cost management. Aligning business expansion and investment decisions with macroeconomic trends can further support sustainable growth.</w:t>
      </w:r>
    </w:p>
    <w:p w14:paraId="11697789" w14:textId="77777777" w:rsidR="001D4CB5" w:rsidRPr="007450B9" w:rsidRDefault="001D4CB5" w:rsidP="001D4CB5">
      <w:pPr>
        <w:spacing w:before="0" w:line="240" w:lineRule="auto"/>
        <w:rPr>
          <w:highlight w:val="yellow"/>
        </w:rPr>
      </w:pPr>
    </w:p>
    <w:p w14:paraId="648B633B" w14:textId="02B8913B" w:rsidR="00D16476" w:rsidRPr="007A56B8" w:rsidRDefault="001D4CB5" w:rsidP="001D4CB5">
      <w:pPr>
        <w:spacing w:before="0" w:line="240" w:lineRule="auto"/>
      </w:pPr>
      <w:r w:rsidRPr="007450B9">
        <w:rPr>
          <w:highlight w:val="yellow"/>
        </w:rPr>
        <w:t xml:space="preserve">Future research should examine internal drivers of performance, including governance practices, </w:t>
      </w:r>
      <w:r w:rsidR="004E078C" w:rsidRPr="007450B9">
        <w:rPr>
          <w:highlight w:val="yellow"/>
        </w:rPr>
        <w:t xml:space="preserve">organisational </w:t>
      </w:r>
      <w:r w:rsidRPr="007450B9">
        <w:rPr>
          <w:highlight w:val="yellow"/>
        </w:rPr>
        <w:t>culture, innovation capacity, and human capital. Longitudinal studies are recommended to assess</w:t>
      </w:r>
      <w:r>
        <w:t xml:space="preserve"> growth dynamics across economic cycles. Comparative analyses between life and general insurance, as well as cross-national studies, could yield insights to guide policies tailored to specific market segments and broader global competitiveness.</w:t>
      </w:r>
    </w:p>
    <w:p w14:paraId="38ACF2C4" w14:textId="4036D00D" w:rsidR="007A56B8" w:rsidRDefault="007A56B8">
      <w:pPr>
        <w:spacing w:before="0" w:after="160" w:line="259" w:lineRule="auto"/>
        <w:jc w:val="left"/>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br w:type="page"/>
      </w:r>
    </w:p>
    <w:p w14:paraId="11D85599" w14:textId="33587E03" w:rsidR="00F0763E" w:rsidRDefault="00F0763E">
      <w:pPr>
        <w:spacing w:before="0" w:after="160" w:line="259" w:lineRule="auto"/>
        <w:jc w:val="left"/>
        <w:rPr>
          <w:rFonts w:eastAsia="Times New Roman" w:cs="Times New Roman"/>
          <w:b/>
          <w:bCs/>
          <w:color w:val="000000" w:themeColor="text1"/>
          <w:sz w:val="28"/>
          <w:szCs w:val="28"/>
        </w:rPr>
      </w:pPr>
    </w:p>
    <w:p w14:paraId="0FAE678F"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Disclaimer (Artificial intelligence)</w:t>
      </w:r>
    </w:p>
    <w:p w14:paraId="30C792F2"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 xml:space="preserve">Option 1: </w:t>
      </w:r>
    </w:p>
    <w:p w14:paraId="735D1804"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56F43F1"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 xml:space="preserve">Option 2: </w:t>
      </w:r>
    </w:p>
    <w:p w14:paraId="288E635F"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86FFC9"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Details of the AI usage are given below:</w:t>
      </w:r>
    </w:p>
    <w:p w14:paraId="4B0FBEC6"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1.</w:t>
      </w:r>
    </w:p>
    <w:p w14:paraId="36169C67"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2.</w:t>
      </w:r>
    </w:p>
    <w:p w14:paraId="1C7AF988" w14:textId="77777777" w:rsidR="00F0763E" w:rsidRPr="0002489D" w:rsidRDefault="00F0763E" w:rsidP="00F0763E">
      <w:pPr>
        <w:rPr>
          <w:rFonts w:ascii="Calibri" w:hAnsi="Calibri" w:cs="Times New Roman"/>
          <w:kern w:val="2"/>
        </w:rPr>
      </w:pPr>
      <w:r w:rsidRPr="0002489D">
        <w:rPr>
          <w:rFonts w:ascii="Calibri" w:hAnsi="Calibri" w:cs="Times New Roman"/>
          <w:kern w:val="2"/>
          <w:highlight w:val="yellow"/>
        </w:rPr>
        <w:t>3.</w:t>
      </w:r>
    </w:p>
    <w:p w14:paraId="64E7121A" w14:textId="77777777" w:rsidR="00F0763E" w:rsidRPr="007A56B8" w:rsidRDefault="00F0763E">
      <w:pPr>
        <w:spacing w:before="0" w:after="160" w:line="259" w:lineRule="auto"/>
        <w:jc w:val="left"/>
        <w:rPr>
          <w:rFonts w:eastAsia="Times New Roman" w:cs="Times New Roman"/>
          <w:b/>
          <w:bCs/>
          <w:color w:val="000000" w:themeColor="text1"/>
          <w:sz w:val="28"/>
          <w:szCs w:val="28"/>
        </w:rPr>
      </w:pPr>
    </w:p>
    <w:p w14:paraId="5A202687" w14:textId="2912289E" w:rsidR="00B55CEF" w:rsidRPr="007A56B8"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REFERENCES</w:t>
      </w:r>
    </w:p>
    <w:p w14:paraId="5FAB334F"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Abass, O. A., Dansu, S. F. and Oyetayo, Y. A. (2021). On the Technical Characteristics of Insurance Operations and Financial Performance of Non-life Insurance Companies in Nigeria. AUDOE, 17(6), 189-205</w:t>
      </w:r>
    </w:p>
    <w:p w14:paraId="45DC343E"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Abass, O. A., Dansu, S. F., &amp; Oyetayo, Y. A. (2022). On the Technical Characteristics of Insurance Operations and Financial Performance of Non-life Insurance Companies in Nigeria. Retrieved 21st April 2025 from https://dj.univ-danubius.ro/index.php/JAM/article/view/1444/1818</w:t>
      </w:r>
    </w:p>
    <w:p w14:paraId="2BCD007F"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Ackermann, N. (2023). what is equity capital? Retrieved https://study.com/academy/lesson/debt-capital-vs-equity-capital.html</w:t>
      </w:r>
    </w:p>
    <w:p w14:paraId="7298D709"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Alemu, K. S., &amp; Negasa, B. D. (2019). Determinants of financial performance of commercial banks in Ethiopia. Journal of Business Management and Economics, 3(11), 33-40. doi:10.15520/jbme.2019</w:t>
      </w:r>
    </w:p>
    <w:p w14:paraId="6C7E585F"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lastRenderedPageBreak/>
        <w:t>Amit, R. &amp; Schoemaker, P. (1993). Strategic assets and organizational rent. Strategic Management Journal, 14(1), 33-46.</w:t>
      </w:r>
    </w:p>
    <w:p w14:paraId="46112820"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Arhinful, R., &amp; Radmehr, M. (2023). The Impact of Financial Leverage on the Financial Performance of the Firms Listed on the Tokyo Stock Exchange. SAGE Open, 13(4), 4-9</w:t>
      </w:r>
    </w:p>
    <w:p w14:paraId="1B3D37F5"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Association of Kenyan Insurers (2019). Insurance Industry Annual Report 2019. Nairobi: Kenya: Author</w:t>
      </w:r>
    </w:p>
    <w:p w14:paraId="16986DCD"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Balasundaram and Avulakunta, I. D. (2023). Human Growth and Development. Retrieved 9th February from https://pubmed.ncbi.nlm.nih.gov/33620844/</w:t>
      </w:r>
    </w:p>
    <w:p w14:paraId="70B902FF"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Barney, J. B. &amp; Arikan A. M. (2001). The resource-based view: origins and implications. In The Blackwell Handbook of Strategic Management, Hitt MA, Freeman RE, Harrison JS (eds). Blackwell: Oxford, UK; 124–188.</w:t>
      </w:r>
    </w:p>
    <w:p w14:paraId="04B4F351"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Barney, J. B. (1991). Firm resources and sustainable competitive advantage. Journal of Management, 35(11), 930-939.</w:t>
      </w:r>
    </w:p>
    <w:p w14:paraId="2CE71583"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Bealing, W., Riordan, D., and Riordan, M. (2011). Institutional theory in college restructuring: Myth or reality? Journal of Case Studies in Education, 1(1), 1–13.</w:t>
      </w:r>
    </w:p>
    <w:p w14:paraId="38310713"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Boon, C., Paauwe, J., Boselie, P., &amp; Hartog, D.D. (2009). Institutional pressures and HRM: Developing institutional fit. Personnel Review, 38(5), 492-508.</w:t>
      </w:r>
    </w:p>
    <w:p w14:paraId="4BE93E7E"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Buhrman, G. (2011). International pressures and strategic responses: The case of the BP Oil Spill. Master thesis. Vrije University, Amsterdam, Netherlands</w:t>
      </w:r>
    </w:p>
    <w:p w14:paraId="4E0F3267"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Chinedu, F. E. &amp; Chinedu, U. O. (2018) Macroeconomic factors, firm characteristics and financial performance. A study of selected quoted manufacturing firms in Nigeria. Asian Journal of Accounting Research, 3(2); 142- 168.</w:t>
      </w:r>
    </w:p>
    <w:p w14:paraId="380D6FF6"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Choi, R. (2019). Kenya insurance industry outlook. Insurance Regulatory Authority (Kenya), Nairobi.</w:t>
      </w:r>
    </w:p>
    <w:p w14:paraId="768D0256"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Corperate Finance Institute, (2023). Leverage. Retrieved 9th February from https://corporatefinanceinstitute.com/resources/accounting/leverage/</w:t>
      </w:r>
    </w:p>
    <w:p w14:paraId="1A9F9282"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Deloitte. (2019). East Africa Insurance Outlook Report 2019/2020. Retrieved from: https://www2.deloitte.com/content/dam/Deloitte/ke/Documents/audit/Final%20Insurance %20Outlook%20Report%20EA%202019.pdf</w:t>
      </w:r>
    </w:p>
    <w:p w14:paraId="76C4430A"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Denizel, M. &amp; Özdemir, Ö. (2006). A resource based and context dependent model of firm competitiveness”, Retrieved 21st April 2025 from www.pomsmeetings.org/confpapers/004/004- 0557.pdf</w:t>
      </w:r>
    </w:p>
    <w:p w14:paraId="624CD137"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DiMaggio, P. (1988). Interest and Agency in Institutional Theory. MA: Ballinger.</w:t>
      </w:r>
    </w:p>
    <w:p w14:paraId="38030B1D"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DiMaggio, P. J., &amp; Powell, W.W. (1983). The iron cage revisited: institutional isomorphism and collective rationality in organizational fields. American Sociological Review, 48(2), 147-160.</w:t>
      </w:r>
    </w:p>
    <w:p w14:paraId="67CE3318"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Dulah, K., &amp; Helal, J. (2019). Determinants of banks profitability in transition countries. Research in International Business and Finance, 3(8), 69-82.</w:t>
      </w:r>
    </w:p>
    <w:p w14:paraId="6C8B1E92"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Dynan, C., &amp; Sheirner, B. (2019). Board of Directors: Composition and Effects on the Performance of the Firm. Journal of Economic Research, 31(1), 1015-1041.</w:t>
      </w:r>
    </w:p>
    <w:p w14:paraId="3020B4BC"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 xml:space="preserve">Egbunike, C.F. and Okerekeoti, C.U. (2019). Macroeconomic factors, firm characteristics and </w:t>
      </w:r>
      <w:r w:rsidRPr="001D4CB5">
        <w:rPr>
          <w:rFonts w:eastAsia="Calibri"/>
          <w:color w:val="000000"/>
          <w14:ligatures w14:val="standardContextual"/>
        </w:rPr>
        <w:tab/>
        <w:t xml:space="preserve">financial performance: A study of selected quoted manufacturing firms in Nigeria. Asian </w:t>
      </w:r>
      <w:r w:rsidRPr="001D4CB5">
        <w:rPr>
          <w:rFonts w:eastAsia="Calibri"/>
          <w:color w:val="000000"/>
          <w14:ligatures w14:val="standardContextual"/>
        </w:rPr>
        <w:tab/>
        <w:t>Journal of Accounting Research, 3 (2), 142-168</w:t>
      </w:r>
    </w:p>
    <w:p w14:paraId="71C26723"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EY. (2019). Global insurance trends analysis. Retrieved from: https://assets.ey.com</w:t>
      </w:r>
    </w:p>
    <w:p w14:paraId="49FB978F"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Fernando, J., Brown, J. R. and Reeves, M. (2022). Growth Firm: What It is, How It Works, Example. Retrieved 9th February from https://www.investopedia.com/terms/g/growth-firm.asp</w:t>
      </w:r>
    </w:p>
    <w:p w14:paraId="53F22DE0"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Frederiksen, l. (2023). How to Drive Organic Growth: 5 Proven Strategies for Professional Services Firms. Retrieved 9th February from https://hingemarketing.com/blog/story/how-to-drive-organic-growth-5-proven-strategies-for-professional-services-firms</w:t>
      </w:r>
    </w:p>
    <w:p w14:paraId="0CD6DDEB"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Gagauis, T., &amp; Pasiouras, J. (2019). Determinants of insurance companies’ profitability: Analysis of insurance sector in Ethiopia. International Journal of Research in Finance and Marketing, 7(4), 124-137.</w:t>
      </w:r>
    </w:p>
    <w:p w14:paraId="2A0C374C"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Handgraaf, A. (2012). Institutional pressures and strategic responses: The case of Shell and Ogoni Struggle. Master thesis. Vrije University, Amsterdam, Netherlands</w:t>
      </w:r>
    </w:p>
    <w:p w14:paraId="31B2178E"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lastRenderedPageBreak/>
        <w:t xml:space="preserve">Handoyo S, Mulyani S, Ghani EK, Soedarsono S. (2023). Firm Characteristics, Business Environment, Strategic Orientation, and Performance. Administrative Sciences. 13(3):74. </w:t>
      </w:r>
    </w:p>
    <w:p w14:paraId="183E7E3A"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Harris, C., &amp; Adam, K. (2019). The Humanizing Effect of Market Interaction. Journal of Economic Behavior and Organization, 6(1).</w:t>
      </w:r>
    </w:p>
    <w:p w14:paraId="307D302B"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Hayes, A.(2021). Leverage. Retrieved 9th February from https://www.investopedia.com/terms/ l/leverage.asp</w:t>
      </w:r>
    </w:p>
    <w:p w14:paraId="4DADA4D5"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Insurance Regulatory (2019). Insurance Industry Annual Report. Nairobi. Retrieved from: https://www.ira.go.ke/images/docs/annual/2019/Insurance-Industry-Annual-Report2019.pdf</w:t>
      </w:r>
    </w:p>
    <w:p w14:paraId="19995699"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Insurance Regulatory (2020). Insurance Industry Annual Report. Nairobi. Retrieved from: https://www.ira.go.ke/images/docs/annual/2020/Insurance-Industry-Annual-Report2020.pdf 81</w:t>
      </w:r>
    </w:p>
    <w:p w14:paraId="2A9BEF8B"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 xml:space="preserve">Insurance Regulatory Authority (2019). Insurance Industry Annual Report. Insurance Regulatory Authority: Nairobi, Kenya. </w:t>
      </w:r>
    </w:p>
    <w:p w14:paraId="3B4177AC"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Insurance Regulatory. (2020). Insurance Industry Annual Report. Nairobi. Retrieved 21st April 2025 from: https://www.ira.go.ke/images/docs/annual/2020/Insurance-Industry-Annual-Report- 2020.pdf</w:t>
      </w:r>
    </w:p>
    <w:p w14:paraId="5998C299"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Islam, A., &amp; Layth, M. (2020). The determinants of profitability of insurance companies in Palestine. SSRN Electronic Journal, 36(2), 1-30.</w:t>
      </w:r>
    </w:p>
    <w:p w14:paraId="546E3B80"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Jensen M, &amp; Meckling W. (1976). Theory of the firm: managerial behavior, agency cost, and ownership structure. Journal of Financial Economics, 3(2), 305-360.</w:t>
      </w:r>
    </w:p>
    <w:p w14:paraId="23ED8820"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Jensen, M. C., &amp; Meckling, W. H. (2019). Theory of the firm: Managerial behavior, agency costs and ownership structure. In Corporate Governance (pp. 77-132). Gower.</w:t>
      </w:r>
    </w:p>
    <w:p w14:paraId="6A8BF94E"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Kamau, A. M. (2022). Firm Characteristics and Financial Performance of Insurance Firms in Kenya. Doctor of Philosophy. Jomo Kenyatta University of Agriculture and Technology.</w:t>
      </w:r>
    </w:p>
    <w:p w14:paraId="16E822B2"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Kamau, A. M. and Olweny, T. and Muturi, W. M. (2021). Effect of Firm Characteristics on Financial Performance of Insurance Firms in Kenya. The international journal of business &amp; management, 9(6), 292-300</w:t>
      </w:r>
    </w:p>
    <w:p w14:paraId="6287B5B8"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Kamau, A. M., Olweny, T. and Muturi, W. M. (2021). Financial Performance of Insurance Firms. Does Leverage and Liquidity Matter? Evidence from Kenya. Eastern Journal of Economics and Finance, 6(1), 1-14</w:t>
      </w:r>
    </w:p>
    <w:p w14:paraId="0B533062"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Kamau, A. M., Olweny, T., &amp; Muturi, W. M. (2021). Effects of firm characteristics on financial performance of insurance firms in Kenya. The International Journal of Business &amp; Management, 9(6), 292-300.</w:t>
      </w:r>
    </w:p>
    <w:p w14:paraId="1173DF98"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Kang’e, M., Senaji, T., &amp; Orero, R. (2020). Firm characteristics and performance of private health insurance sector in Kenya. Journal of Business and Strategic Management, 5(1), 15-27.</w:t>
      </w:r>
    </w:p>
    <w:p w14:paraId="25558258"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Kang’e, M., Senaji, T., &amp; Orero, R. (2020). Firm characteristics and performance of private health insurance sector in Kenya. Journal of Business and Strategic Management, 5(1), 15-27.</w:t>
      </w:r>
    </w:p>
    <w:p w14:paraId="5C761F51"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Keynes, J. M. (1964). Liquidity preference.</w:t>
      </w:r>
    </w:p>
    <w:p w14:paraId="3A9C4CDA"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Kiptoo, I., Kariuki, S., &amp; Ocharo, K. (2021). Risk management and financial performance of insurance firms in Kenya. Cogent Business &amp; Management, 8(1), 1-7.</w:t>
      </w:r>
    </w:p>
    <w:p w14:paraId="193D2CA7"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Maduabuchi, M. C. and Ndubuisi, A. N. (2021). Effect of firm characteristics on capital structure of insurance companies listed on nigeria stock exchange. International Journal of Management Studies and Social Science Research, 5(3), 217-228</w:t>
      </w:r>
    </w:p>
    <w:p w14:paraId="5AE6B3E5"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Mahoney, J. T. &amp; Pandian, J. R. (1992), “The resource-based view within the conversation of strategic management”, Strategic Management Journal, 13(5); 363-380.</w:t>
      </w:r>
    </w:p>
    <w:p w14:paraId="5F903EFE"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Mehari, T., &amp; Aemiro, K. (2020). The Influence of Positioning Strategies on Competitive Advantage of the Insurance Firms in Kenya. Unpublished MBA Thesis, University of Nairobi.</w:t>
      </w:r>
    </w:p>
    <w:p w14:paraId="3BCD7835"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Meyer, J. W., &amp; Rowan, B. (1977). Institutionalized organizations: Formal structure as myth and ceremony. American Journal of Sociology, 83(2), 340-363</w:t>
      </w:r>
    </w:p>
    <w:p w14:paraId="54894C3D"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Morara, K., &amp; Sibindi, B. (2021). Determinants of financial performance of insurance companies: Empirical evidence using Kenyan data. Journal of Risk and financial management, 14(1), 2-13.</w:t>
      </w:r>
    </w:p>
    <w:p w14:paraId="323EA8D6"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lastRenderedPageBreak/>
        <w:t>Msomi, T., &amp; Nyide, C. (2021). Nexus of firm characteristics and financial performance of nonlife insurance companies in southern African development community. Investment Management and Financial Innovations, 18(4), 95-110.</w:t>
      </w:r>
    </w:p>
    <w:p w14:paraId="28DFEA11"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Mwenda, B., Ngollo, M., &amp; Mwasota, A. (2023). An Empirical Study on the Effects of managerial Competence on Firm Profitability. Ilomata International Journal of Tax and Accounting, 4(3), 491-507.</w:t>
      </w:r>
    </w:p>
    <w:p w14:paraId="31235D3A"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Ngugi, N. S. (2021). Competitive Strategies and Organizational Performance: A Case of Insurance Companies in Nyeri County, Kenya. Unpublished MBA Thesis, Kenyatta University</w:t>
      </w:r>
    </w:p>
    <w:p w14:paraId="34BC45C0"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Ngunguni, J., Misango, S., &amp; Osiro, M. (2020). Examining the effects of financial factors on profitability of general insurance companies in Kenya. International Journal of Finance and Accounting, 5(1), 1-18.</w:t>
      </w:r>
    </w:p>
    <w:p w14:paraId="35CC9BC3"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Nugraha, R. S., Banani, A., &amp; Shaferi, I. (2022). The Influence of Firm Size, Leverage, Liquidity, and Sales Growth on Financial Performance (Study on Agriculture Companies in Indonesia Stock Exchange Over the Period 2014- 2018). Sustainable Competitive Advantage (SCA), 11(1).</w:t>
      </w:r>
    </w:p>
    <w:p w14:paraId="0580467C"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Nyabaga, R. M. &amp; Matanda, J. W. (2020). Effect of firm characteristics on financial performance of listed commercial banks in Kenya. International Journal of Economics and Financial Issues, 10(3), 255-262.</w:t>
      </w:r>
    </w:p>
    <w:p w14:paraId="251CB0D4"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 xml:space="preserve">Nyangor, B. M. (2020). Effect of Gross Domestic Product on Financial Performance of Collective Investment Schemes in Kenya. Research Project, University of Nairobi, Kenya. </w:t>
      </w:r>
    </w:p>
    <w:p w14:paraId="58B88E2E"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Odhimabo, O. A. (2020). Competitive Strategies and Performance of Insurance Companies in Kenya. Unpublished MBA Thesis, Kenyatta University</w:t>
      </w:r>
    </w:p>
    <w:p w14:paraId="3B335A65"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OECD. (2019). Global insurance market trends. Retrieved from: https://www.oecd.org/finance/</w:t>
      </w:r>
    </w:p>
    <w:p w14:paraId="3C1FACCF"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Oliver, C. (1991). Strategic responses to institutional processes. Academy of Management Review. 16(1), 145-179</w:t>
      </w:r>
    </w:p>
    <w:p w14:paraId="26354C0E"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Olugbenga, A. F.,  Olamide, A. A., Olajide, O. P., Ayodele, A. Y. And  Iyabo, S. S. (2022). An Evaluation of Firm Characteristics and Financial Performance of Listed Oil and Gas Companies in Nigeria. AUDOE, 18(5), 198- 208.</w:t>
      </w:r>
    </w:p>
    <w:p w14:paraId="65B37A2B"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Ongore, V. O., &amp; Kusa, G. B. (2019). Determinants of financial performance of commercial banks in Kenya. International Journal of Economics and Financial Issues, 3(1), 237-252.</w:t>
      </w:r>
    </w:p>
    <w:p w14:paraId="3162AF98"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Otola, I. (2020). An Insight into the Key Resources in Business Models. What We Can Learn from High-Growth Enterprises. Retrieved 9th February from https://www.researchgate.net/publication/346497927_An_Insight_into_the_Key_Resources_in_Business_Models_What_We_Can_Learn_from_High-Growth_Enterprises</w:t>
      </w:r>
    </w:p>
    <w:p w14:paraId="31F72A3E"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Ouma, S. O., Obonyo, P. &amp; Yabs, J. (2019). The Role of Competitive Strategies in the Relationship between Organizational Learning and Performance of Insurance Firms in Kenya. International Journal of Scientific Research &amp; Management Studies, 5 (7), 5775-5799</w:t>
      </w:r>
    </w:p>
    <w:p w14:paraId="721C660F"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Penrose, E. T. (1959). The Theory of the Growth of the Firm. England, Oxford University Press, Oxford.</w:t>
      </w:r>
    </w:p>
    <w:p w14:paraId="46844FF9"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Peteraf, M. A., &amp; Bergen, M. E. (2003). Scanning dynamic competitive landscapes: a market-based and resource based framework. Strategic Management Journal, 24(10): 1027–1041.</w:t>
      </w:r>
    </w:p>
    <w:p w14:paraId="5CFCED7B"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Poudel, B. (2019). Impact of ownership structure on the profitability of Nepalese insurance companies. Nepalese Journal of Business, 6(3), 52-65.</w:t>
      </w:r>
    </w:p>
    <w:p w14:paraId="6E2F6258"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Sadiq, M., Alajlani, S., Hussain, M. S., Ahmad, R., Bashir, F., &amp; Chupradit, S. (2022). Impact of credit, liquidity, and systematic risk on financial structure: comparative investigation from sustainable production. Environmental Science and Pollution Research, 29(14), 20963-20975.</w:t>
      </w:r>
    </w:p>
    <w:p w14:paraId="2ADCC1EE"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Sanvasibam, C., &amp; Ayele. A. (2019). Strategic Positioning and Performance of Insurance Firms in Kenya. Unpublished MBA Thesis, University of Nairobi</w:t>
      </w:r>
    </w:p>
    <w:p w14:paraId="720899F4"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Scott, W. R. (1987). The adolescence of institutional theory. Administrative Science Quarterly, 32(1), 493- 511.</w:t>
      </w:r>
    </w:p>
    <w:p w14:paraId="4F072551"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Shawar, K., &amp; Danish, A. (2019). Factors affecting financial performance of insurance industry in Pakistan. Research Journal of Finance and Accounting, 10(5), 29-41.</w:t>
      </w:r>
    </w:p>
    <w:p w14:paraId="602F820B"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Singh, S. K., Basuki, B. &amp; Setiawan, R. (2021). The Effect of Non-Performing Loan on Profitability: Empirical Evidence from Nepalese Commercial banks. Journal of Asian Finance, Economics and Business, 8 (4), 2021</w:t>
      </w:r>
    </w:p>
    <w:p w14:paraId="199CD63C"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lastRenderedPageBreak/>
        <w:t>Study.Com (2024). Growth &amp; Development | Overview, Difference &amp; Examples. Retrieved 9th February from https://study.com/learn/lesson/growth-development-overview-examples.html</w:t>
      </w:r>
    </w:p>
    <w:p w14:paraId="30D38767"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Tarsono, O., Ardheta, P. A. and Amriyan, R. (2020). The Influence of Net Premium Growth, Claim Ratio and Risk-Based Capital on the Financial Performance of Life Insurance Companies. Advances in Economics, Business and Management Research, 127(1), 65-68</w:t>
      </w:r>
    </w:p>
    <w:p w14:paraId="3DFE3876"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Vithessonthi, C., &amp; Tongurai, J. (2015). The effect of firm size on the leverage- performance relationship during the financial crisis of 2007-2009. Journal of Multinational Financial Management, 29(1), 1–29.</w:t>
      </w:r>
    </w:p>
    <w:p w14:paraId="5CC8C9A0"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Wafula, N. W. (2020). Firm Characteristics and Financial Stability of Commercial Banks in Kenya. Doctoral Dissertation. University of Kenyatta.</w:t>
      </w:r>
    </w:p>
    <w:p w14:paraId="1DEBF943" w14:textId="77777777" w:rsidR="001D4CB5" w:rsidRPr="001D4CB5" w:rsidRDefault="001D4CB5" w:rsidP="002515E6">
      <w:pPr>
        <w:pStyle w:val="NormalWeb"/>
        <w:numPr>
          <w:ilvl w:val="0"/>
          <w:numId w:val="25"/>
        </w:numPr>
        <w:spacing w:before="0"/>
        <w:rPr>
          <w:rFonts w:eastAsia="Calibri"/>
          <w:color w:val="000000"/>
          <w14:ligatures w14:val="standardContextual"/>
        </w:rPr>
      </w:pPr>
      <w:r w:rsidRPr="001D4CB5">
        <w:rPr>
          <w:rFonts w:eastAsia="Calibri"/>
          <w:color w:val="000000"/>
          <w14:ligatures w14:val="standardContextual"/>
        </w:rPr>
        <w:t>Zogning, F. (2017). Agency theory: A critical review. European journal of business and management, 9(2), 1-8.</w:t>
      </w:r>
    </w:p>
    <w:p w14:paraId="22A005A7" w14:textId="145AD756" w:rsidR="00B55CEF" w:rsidRDefault="001D4CB5" w:rsidP="002515E6">
      <w:pPr>
        <w:pStyle w:val="NormalWeb"/>
        <w:numPr>
          <w:ilvl w:val="0"/>
          <w:numId w:val="25"/>
        </w:numPr>
        <w:spacing w:before="0" w:beforeAutospacing="0"/>
        <w:rPr>
          <w:rFonts w:eastAsia="Calibri"/>
          <w:color w:val="000000"/>
          <w14:ligatures w14:val="standardContextual"/>
        </w:rPr>
      </w:pPr>
      <w:r w:rsidRPr="001D4CB5">
        <w:rPr>
          <w:rFonts w:eastAsia="Calibri"/>
          <w:color w:val="000000"/>
          <w14:ligatures w14:val="standardContextual"/>
        </w:rPr>
        <w:t>Zucker, L. G. (1988). Where do institutional patterns come from? Organizations as actors in social systems. Cambridge, MA Ballinger</w:t>
      </w:r>
    </w:p>
    <w:p w14:paraId="7C03C0B4" w14:textId="751F0681" w:rsidR="00C7763D" w:rsidRDefault="00C7763D" w:rsidP="002515E6">
      <w:pPr>
        <w:pStyle w:val="NormalWeb"/>
        <w:numPr>
          <w:ilvl w:val="0"/>
          <w:numId w:val="25"/>
        </w:numPr>
        <w:spacing w:before="0" w:beforeAutospacing="0"/>
        <w:rPr>
          <w:color w:val="000000" w:themeColor="text1"/>
          <w:highlight w:val="yellow"/>
        </w:rPr>
      </w:pPr>
      <w:r w:rsidRPr="00C1015E">
        <w:rPr>
          <w:color w:val="000000" w:themeColor="text1"/>
          <w:highlight w:val="yellow"/>
        </w:rPr>
        <w:t>Wangai, T., Kariuki, D. P., Kori, D. B., &amp; Ngatia, D. P. (2025). Effect of Innovation Strategy on Performance of Insurance Industry in Kenya. International Journal of Research and Innovation in Social Science, 9(5), 1241-1254.</w:t>
      </w:r>
    </w:p>
    <w:p w14:paraId="2973B51B" w14:textId="77777777" w:rsidR="001744FD" w:rsidRPr="00631A3F" w:rsidRDefault="001744FD" w:rsidP="002515E6">
      <w:pPr>
        <w:pStyle w:val="NormalWeb"/>
        <w:numPr>
          <w:ilvl w:val="0"/>
          <w:numId w:val="25"/>
        </w:numPr>
        <w:spacing w:before="0"/>
        <w:rPr>
          <w:color w:val="000000" w:themeColor="text1"/>
          <w:highlight w:val="yellow"/>
        </w:rPr>
      </w:pPr>
      <w:r w:rsidRPr="00631A3F">
        <w:rPr>
          <w:color w:val="000000" w:themeColor="text1"/>
          <w:highlight w:val="yellow"/>
        </w:rPr>
        <w:t>Elkmash, M. R. M. A., &amp; Mohamed, S. N. (2025). The Impact of Accounting Measurement and Disclosure of Innovation on Firm Value: International Evidence. Alexandria Journal of Accounting Research, 9(2), 161-190.</w:t>
      </w:r>
    </w:p>
    <w:p w14:paraId="34A8BA31" w14:textId="4C31DCFE" w:rsidR="00C7763D" w:rsidRDefault="001744FD" w:rsidP="002515E6">
      <w:pPr>
        <w:pStyle w:val="NormalWeb"/>
        <w:numPr>
          <w:ilvl w:val="0"/>
          <w:numId w:val="25"/>
        </w:numPr>
        <w:spacing w:before="0" w:beforeAutospacing="0"/>
        <w:rPr>
          <w:color w:val="000000" w:themeColor="text1"/>
          <w:highlight w:val="yellow"/>
        </w:rPr>
      </w:pPr>
      <w:r w:rsidRPr="00631A3F">
        <w:rPr>
          <w:color w:val="000000" w:themeColor="text1"/>
          <w:highlight w:val="yellow"/>
        </w:rPr>
        <w:t>Abu-Musa, A. A. E. S., Helal, S. R., &amp; El-Ghaish, A. M. (2023). An Accounting Digital Platform for Measuring Creating Shared Value: An Applied Study. Journal of Accounting Research, 10(4), 1-38.</w:t>
      </w:r>
    </w:p>
    <w:p w14:paraId="2FF7E194" w14:textId="77E34CE1" w:rsidR="00A4262E" w:rsidRDefault="00A4262E" w:rsidP="002515E6">
      <w:pPr>
        <w:pStyle w:val="NormalWeb"/>
        <w:numPr>
          <w:ilvl w:val="0"/>
          <w:numId w:val="25"/>
        </w:numPr>
        <w:spacing w:before="0" w:beforeAutospacing="0"/>
        <w:rPr>
          <w:color w:val="000000" w:themeColor="text1"/>
        </w:rPr>
      </w:pPr>
      <w:r w:rsidRPr="003C2A19">
        <w:rPr>
          <w:color w:val="000000" w:themeColor="text1"/>
          <w:highlight w:val="yellow"/>
        </w:rPr>
        <w:t xml:space="preserve">Sunday Oseiweh Ogbeide, Timothy Olufemi Adu, Florence Modupe Fapohunda &amp; James Obadeyi. (2022). Insurance Sector Development and Economic Growth: Empirical Analysis from Nigeria. Asian Journal of Economics, Business and Accounting, 22(17), 55–72. </w:t>
      </w:r>
      <w:hyperlink r:id="rId7" w:history="1">
        <w:r w:rsidR="00B91E36" w:rsidRPr="003C2A19">
          <w:rPr>
            <w:rStyle w:val="Hyperlink"/>
            <w:highlight w:val="yellow"/>
          </w:rPr>
          <w:t>https://doi.org/10.9734/ajeba/2022/v22i1730640</w:t>
        </w:r>
      </w:hyperlink>
    </w:p>
    <w:p w14:paraId="30057918" w14:textId="77777777" w:rsidR="001744FD" w:rsidRPr="00B55CEF" w:rsidRDefault="001744FD" w:rsidP="001744FD">
      <w:pPr>
        <w:pStyle w:val="NormalWeb"/>
        <w:spacing w:before="0" w:beforeAutospacing="0"/>
        <w:ind w:left="720" w:hanging="720"/>
        <w:rPr>
          <w:color w:val="000000" w:themeColor="text1"/>
        </w:rPr>
      </w:pPr>
      <w:bookmarkStart w:id="3" w:name="_GoBack"/>
      <w:bookmarkEnd w:id="3"/>
    </w:p>
    <w:sectPr w:rsidR="001744FD" w:rsidRPr="00B55CEF" w:rsidSect="00055D83">
      <w:headerReference w:type="even" r:id="rId8"/>
      <w:headerReference w:type="default" r:id="rId9"/>
      <w:footerReference w:type="even" r:id="rId10"/>
      <w:footerReference w:type="default" r:id="rId11"/>
      <w:headerReference w:type="first" r:id="rId12"/>
      <w:footerReference w:type="first" r:id="rId13"/>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4A1C8" w14:textId="77777777" w:rsidR="00030BE6" w:rsidRDefault="00030BE6">
      <w:pPr>
        <w:spacing w:before="0" w:line="240" w:lineRule="auto"/>
      </w:pPr>
      <w:r>
        <w:separator/>
      </w:r>
    </w:p>
  </w:endnote>
  <w:endnote w:type="continuationSeparator" w:id="0">
    <w:p w14:paraId="60F86263" w14:textId="77777777" w:rsidR="00030BE6" w:rsidRDefault="00030BE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7968D" w14:textId="77777777" w:rsidR="00FD6FD6" w:rsidRDefault="00FD6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236679"/>
      <w:docPartObj>
        <w:docPartGallery w:val="Page Numbers (Bottom of Page)"/>
        <w:docPartUnique/>
      </w:docPartObj>
    </w:sdtPr>
    <w:sdtEndPr>
      <w:rPr>
        <w:noProof/>
        <w:sz w:val="20"/>
        <w:szCs w:val="18"/>
      </w:rPr>
    </w:sdtEndPr>
    <w:sdtContent>
      <w:p w14:paraId="78E128D3" w14:textId="580B6F53" w:rsidR="004A12F4" w:rsidRPr="008A0558" w:rsidRDefault="00556C7C">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2515E6">
          <w:rPr>
            <w:noProof/>
            <w:sz w:val="20"/>
            <w:szCs w:val="18"/>
          </w:rPr>
          <w:t>19</w:t>
        </w:r>
        <w:r w:rsidRPr="008A0558">
          <w:rPr>
            <w:noProof/>
            <w:sz w:val="20"/>
            <w:szCs w:val="18"/>
          </w:rPr>
          <w:fldChar w:fldCharType="end"/>
        </w:r>
      </w:p>
    </w:sdtContent>
  </w:sdt>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2D808" w14:textId="77777777" w:rsidR="00FD6FD6" w:rsidRDefault="00FD6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BDD36" w14:textId="77777777" w:rsidR="00030BE6" w:rsidRDefault="00030BE6">
      <w:pPr>
        <w:spacing w:before="0" w:line="240" w:lineRule="auto"/>
      </w:pPr>
      <w:r>
        <w:separator/>
      </w:r>
    </w:p>
  </w:footnote>
  <w:footnote w:type="continuationSeparator" w:id="0">
    <w:p w14:paraId="1EF01A46" w14:textId="77777777" w:rsidR="00030BE6" w:rsidRDefault="00030BE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5D929" w14:textId="07B56D64" w:rsidR="00FD6FD6" w:rsidRDefault="00030BE6">
    <w:pPr>
      <w:pStyle w:val="Header"/>
    </w:pPr>
    <w:r>
      <w:rPr>
        <w:noProof/>
      </w:rPr>
      <w:pict w14:anchorId="02F4E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7657" o:spid="_x0000_s2050"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F541A" w14:textId="78A562CA" w:rsidR="00FD6FD6" w:rsidRDefault="00030BE6">
    <w:pPr>
      <w:pStyle w:val="Header"/>
    </w:pPr>
    <w:r>
      <w:rPr>
        <w:noProof/>
      </w:rPr>
      <w:pict w14:anchorId="07AFA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7658" o:spid="_x0000_s2051"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455DF" w14:textId="4037CCD7" w:rsidR="00FD6FD6" w:rsidRDefault="00030BE6">
    <w:pPr>
      <w:pStyle w:val="Header"/>
    </w:pPr>
    <w:r>
      <w:rPr>
        <w:noProof/>
      </w:rPr>
      <w:pict w14:anchorId="30336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7656" o:spid="_x0000_s2049"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90C"/>
    <w:multiLevelType w:val="hybridMultilevel"/>
    <w:tmpl w:val="30E2D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06450C"/>
    <w:multiLevelType w:val="hybridMultilevel"/>
    <w:tmpl w:val="30825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F6B14"/>
    <w:multiLevelType w:val="hybridMultilevel"/>
    <w:tmpl w:val="3752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120DB1"/>
    <w:multiLevelType w:val="hybridMultilevel"/>
    <w:tmpl w:val="029445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3"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4"/>
  </w:num>
  <w:num w:numId="4">
    <w:abstractNumId w:val="23"/>
  </w:num>
  <w:num w:numId="5">
    <w:abstractNumId w:val="17"/>
  </w:num>
  <w:num w:numId="6">
    <w:abstractNumId w:val="22"/>
  </w:num>
  <w:num w:numId="7">
    <w:abstractNumId w:val="3"/>
  </w:num>
  <w:num w:numId="8">
    <w:abstractNumId w:val="0"/>
  </w:num>
  <w:num w:numId="9">
    <w:abstractNumId w:val="12"/>
  </w:num>
  <w:num w:numId="10">
    <w:abstractNumId w:val="5"/>
  </w:num>
  <w:num w:numId="11">
    <w:abstractNumId w:val="1"/>
  </w:num>
  <w:num w:numId="12">
    <w:abstractNumId w:val="10"/>
  </w:num>
  <w:num w:numId="13">
    <w:abstractNumId w:val="14"/>
  </w:num>
  <w:num w:numId="14">
    <w:abstractNumId w:val="20"/>
  </w:num>
  <w:num w:numId="15">
    <w:abstractNumId w:val="2"/>
  </w:num>
  <w:num w:numId="16">
    <w:abstractNumId w:val="9"/>
  </w:num>
  <w:num w:numId="17">
    <w:abstractNumId w:val="7"/>
  </w:num>
  <w:num w:numId="18">
    <w:abstractNumId w:val="15"/>
  </w:num>
  <w:num w:numId="19">
    <w:abstractNumId w:val="13"/>
  </w:num>
  <w:num w:numId="20">
    <w:abstractNumId w:val="6"/>
  </w:num>
  <w:num w:numId="21">
    <w:abstractNumId w:val="8"/>
  </w:num>
  <w:num w:numId="22">
    <w:abstractNumId w:val="11"/>
  </w:num>
  <w:num w:numId="23">
    <w:abstractNumId w:val="19"/>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LQ0MrUwNjMwMzAxM7BQ0lEKTi0uzszPAykwqgUA2Cpj+ywAAAA="/>
  </w:docVars>
  <w:rsids>
    <w:rsidRoot w:val="00055D83"/>
    <w:rsid w:val="00005286"/>
    <w:rsid w:val="00014726"/>
    <w:rsid w:val="0001490C"/>
    <w:rsid w:val="00016899"/>
    <w:rsid w:val="00030BE6"/>
    <w:rsid w:val="00036654"/>
    <w:rsid w:val="000410EC"/>
    <w:rsid w:val="000443AB"/>
    <w:rsid w:val="000446E8"/>
    <w:rsid w:val="00045732"/>
    <w:rsid w:val="00047D61"/>
    <w:rsid w:val="0005136B"/>
    <w:rsid w:val="00055D83"/>
    <w:rsid w:val="00057744"/>
    <w:rsid w:val="000577EB"/>
    <w:rsid w:val="0006448B"/>
    <w:rsid w:val="00064933"/>
    <w:rsid w:val="000661F9"/>
    <w:rsid w:val="00073097"/>
    <w:rsid w:val="000747C2"/>
    <w:rsid w:val="000750F8"/>
    <w:rsid w:val="00076BA5"/>
    <w:rsid w:val="00082DAA"/>
    <w:rsid w:val="00087A1D"/>
    <w:rsid w:val="0009733F"/>
    <w:rsid w:val="000A3BD7"/>
    <w:rsid w:val="000A57EC"/>
    <w:rsid w:val="000A6884"/>
    <w:rsid w:val="000B496D"/>
    <w:rsid w:val="000C037E"/>
    <w:rsid w:val="000D075E"/>
    <w:rsid w:val="000D0F56"/>
    <w:rsid w:val="000D1B44"/>
    <w:rsid w:val="000D7152"/>
    <w:rsid w:val="000D7DAA"/>
    <w:rsid w:val="000E11E7"/>
    <w:rsid w:val="000E2349"/>
    <w:rsid w:val="00111B62"/>
    <w:rsid w:val="0011234B"/>
    <w:rsid w:val="001163C7"/>
    <w:rsid w:val="00130874"/>
    <w:rsid w:val="00131EAA"/>
    <w:rsid w:val="001403AD"/>
    <w:rsid w:val="00142F60"/>
    <w:rsid w:val="001450C8"/>
    <w:rsid w:val="001452A3"/>
    <w:rsid w:val="00147E4C"/>
    <w:rsid w:val="00151266"/>
    <w:rsid w:val="00154669"/>
    <w:rsid w:val="00162029"/>
    <w:rsid w:val="00167079"/>
    <w:rsid w:val="00167C75"/>
    <w:rsid w:val="001744FD"/>
    <w:rsid w:val="0017796D"/>
    <w:rsid w:val="0018163F"/>
    <w:rsid w:val="00185BCB"/>
    <w:rsid w:val="00185FFD"/>
    <w:rsid w:val="0018600E"/>
    <w:rsid w:val="00192C98"/>
    <w:rsid w:val="001937CB"/>
    <w:rsid w:val="001938DE"/>
    <w:rsid w:val="001A1E1C"/>
    <w:rsid w:val="001A5880"/>
    <w:rsid w:val="001B2DC7"/>
    <w:rsid w:val="001C0412"/>
    <w:rsid w:val="001C35CA"/>
    <w:rsid w:val="001C4B7D"/>
    <w:rsid w:val="001D23A9"/>
    <w:rsid w:val="001D4A55"/>
    <w:rsid w:val="001D4CB5"/>
    <w:rsid w:val="001D6A60"/>
    <w:rsid w:val="001E0043"/>
    <w:rsid w:val="001E21F0"/>
    <w:rsid w:val="001E5289"/>
    <w:rsid w:val="001E649F"/>
    <w:rsid w:val="001F024F"/>
    <w:rsid w:val="001F27A6"/>
    <w:rsid w:val="001F2B0E"/>
    <w:rsid w:val="001F39EA"/>
    <w:rsid w:val="001F51C1"/>
    <w:rsid w:val="001F7468"/>
    <w:rsid w:val="00204AAD"/>
    <w:rsid w:val="0021142D"/>
    <w:rsid w:val="00213475"/>
    <w:rsid w:val="002151BA"/>
    <w:rsid w:val="0022048F"/>
    <w:rsid w:val="0022156B"/>
    <w:rsid w:val="00223099"/>
    <w:rsid w:val="00223A1A"/>
    <w:rsid w:val="0022500A"/>
    <w:rsid w:val="00243C69"/>
    <w:rsid w:val="0024737A"/>
    <w:rsid w:val="0025131C"/>
    <w:rsid w:val="002515E6"/>
    <w:rsid w:val="0025160E"/>
    <w:rsid w:val="0025635B"/>
    <w:rsid w:val="00260B2D"/>
    <w:rsid w:val="002645C1"/>
    <w:rsid w:val="00270AED"/>
    <w:rsid w:val="00271CF6"/>
    <w:rsid w:val="00274AC6"/>
    <w:rsid w:val="00276CE5"/>
    <w:rsid w:val="002779A5"/>
    <w:rsid w:val="00280B3D"/>
    <w:rsid w:val="00281B4F"/>
    <w:rsid w:val="002856C7"/>
    <w:rsid w:val="002859D4"/>
    <w:rsid w:val="002860AE"/>
    <w:rsid w:val="002B2D3C"/>
    <w:rsid w:val="002B5578"/>
    <w:rsid w:val="002C2F8F"/>
    <w:rsid w:val="002C5E15"/>
    <w:rsid w:val="002C6F25"/>
    <w:rsid w:val="002C72A3"/>
    <w:rsid w:val="002D1CB2"/>
    <w:rsid w:val="002D32ED"/>
    <w:rsid w:val="002D4259"/>
    <w:rsid w:val="002D7340"/>
    <w:rsid w:val="002E3874"/>
    <w:rsid w:val="002E784F"/>
    <w:rsid w:val="002F03DA"/>
    <w:rsid w:val="002F3573"/>
    <w:rsid w:val="002F4817"/>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18C1"/>
    <w:rsid w:val="00354DA9"/>
    <w:rsid w:val="003607E2"/>
    <w:rsid w:val="0036344E"/>
    <w:rsid w:val="00370F8B"/>
    <w:rsid w:val="00372DCB"/>
    <w:rsid w:val="00374FD9"/>
    <w:rsid w:val="00376BF4"/>
    <w:rsid w:val="0038103F"/>
    <w:rsid w:val="003851AE"/>
    <w:rsid w:val="003A2387"/>
    <w:rsid w:val="003C2A19"/>
    <w:rsid w:val="003C4227"/>
    <w:rsid w:val="003C54DA"/>
    <w:rsid w:val="003C581F"/>
    <w:rsid w:val="003C59BB"/>
    <w:rsid w:val="003C67DD"/>
    <w:rsid w:val="003C7107"/>
    <w:rsid w:val="003D2541"/>
    <w:rsid w:val="003D39AB"/>
    <w:rsid w:val="003D4D6F"/>
    <w:rsid w:val="003D7198"/>
    <w:rsid w:val="003E0D69"/>
    <w:rsid w:val="003E0FAD"/>
    <w:rsid w:val="003F01AE"/>
    <w:rsid w:val="003F72A0"/>
    <w:rsid w:val="00406845"/>
    <w:rsid w:val="004071F4"/>
    <w:rsid w:val="00407977"/>
    <w:rsid w:val="00412A96"/>
    <w:rsid w:val="0041566F"/>
    <w:rsid w:val="00415ABE"/>
    <w:rsid w:val="004165B3"/>
    <w:rsid w:val="00416E73"/>
    <w:rsid w:val="00421CF2"/>
    <w:rsid w:val="0042251A"/>
    <w:rsid w:val="00426617"/>
    <w:rsid w:val="00426CDB"/>
    <w:rsid w:val="00437393"/>
    <w:rsid w:val="00440EF7"/>
    <w:rsid w:val="00462B59"/>
    <w:rsid w:val="00466181"/>
    <w:rsid w:val="004737A8"/>
    <w:rsid w:val="004802D9"/>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D6AC0"/>
    <w:rsid w:val="004E078C"/>
    <w:rsid w:val="004E3D2D"/>
    <w:rsid w:val="004E4A2C"/>
    <w:rsid w:val="004F4010"/>
    <w:rsid w:val="004F5A5D"/>
    <w:rsid w:val="00500683"/>
    <w:rsid w:val="00505972"/>
    <w:rsid w:val="0051495F"/>
    <w:rsid w:val="0052143B"/>
    <w:rsid w:val="0052533B"/>
    <w:rsid w:val="00525F21"/>
    <w:rsid w:val="00526412"/>
    <w:rsid w:val="0052667E"/>
    <w:rsid w:val="00531B5F"/>
    <w:rsid w:val="005417F4"/>
    <w:rsid w:val="0054398C"/>
    <w:rsid w:val="00546369"/>
    <w:rsid w:val="00547CE2"/>
    <w:rsid w:val="00556C7C"/>
    <w:rsid w:val="00561737"/>
    <w:rsid w:val="00562A2C"/>
    <w:rsid w:val="00563CE7"/>
    <w:rsid w:val="005666F9"/>
    <w:rsid w:val="00571717"/>
    <w:rsid w:val="00571F99"/>
    <w:rsid w:val="005740B5"/>
    <w:rsid w:val="00575F00"/>
    <w:rsid w:val="00577C41"/>
    <w:rsid w:val="00591DBD"/>
    <w:rsid w:val="005926C9"/>
    <w:rsid w:val="00594F68"/>
    <w:rsid w:val="005A1956"/>
    <w:rsid w:val="005A7A36"/>
    <w:rsid w:val="005B04D7"/>
    <w:rsid w:val="005B0558"/>
    <w:rsid w:val="005D3FE1"/>
    <w:rsid w:val="005D72F4"/>
    <w:rsid w:val="005E3D2C"/>
    <w:rsid w:val="005E7EAB"/>
    <w:rsid w:val="005F1DA5"/>
    <w:rsid w:val="005F2F50"/>
    <w:rsid w:val="0060683F"/>
    <w:rsid w:val="00610BEF"/>
    <w:rsid w:val="0061111A"/>
    <w:rsid w:val="00615B2D"/>
    <w:rsid w:val="00616E93"/>
    <w:rsid w:val="006177C4"/>
    <w:rsid w:val="006211E5"/>
    <w:rsid w:val="00622E5D"/>
    <w:rsid w:val="00623C02"/>
    <w:rsid w:val="00631A3F"/>
    <w:rsid w:val="00632E53"/>
    <w:rsid w:val="00652189"/>
    <w:rsid w:val="0065654C"/>
    <w:rsid w:val="00661AAF"/>
    <w:rsid w:val="00662BF2"/>
    <w:rsid w:val="00675C16"/>
    <w:rsid w:val="006826A1"/>
    <w:rsid w:val="00683F32"/>
    <w:rsid w:val="00685621"/>
    <w:rsid w:val="00685965"/>
    <w:rsid w:val="0068692A"/>
    <w:rsid w:val="00694696"/>
    <w:rsid w:val="006A0520"/>
    <w:rsid w:val="006B1220"/>
    <w:rsid w:val="006B3C88"/>
    <w:rsid w:val="006B5A8E"/>
    <w:rsid w:val="006B5CA2"/>
    <w:rsid w:val="006C3DFD"/>
    <w:rsid w:val="006C41A9"/>
    <w:rsid w:val="006C4D79"/>
    <w:rsid w:val="006D085D"/>
    <w:rsid w:val="006D16E8"/>
    <w:rsid w:val="006E1D74"/>
    <w:rsid w:val="006E3F3F"/>
    <w:rsid w:val="006E526B"/>
    <w:rsid w:val="0070085D"/>
    <w:rsid w:val="00705B5C"/>
    <w:rsid w:val="00711AB4"/>
    <w:rsid w:val="00714562"/>
    <w:rsid w:val="0071731F"/>
    <w:rsid w:val="007173FC"/>
    <w:rsid w:val="00717F18"/>
    <w:rsid w:val="007205CE"/>
    <w:rsid w:val="00722A32"/>
    <w:rsid w:val="00723B81"/>
    <w:rsid w:val="007313ED"/>
    <w:rsid w:val="0073222F"/>
    <w:rsid w:val="007450B9"/>
    <w:rsid w:val="00750F50"/>
    <w:rsid w:val="007614D9"/>
    <w:rsid w:val="0076188C"/>
    <w:rsid w:val="00762807"/>
    <w:rsid w:val="007656A9"/>
    <w:rsid w:val="0077042C"/>
    <w:rsid w:val="00772A04"/>
    <w:rsid w:val="00774F84"/>
    <w:rsid w:val="007769D0"/>
    <w:rsid w:val="00777615"/>
    <w:rsid w:val="007846B3"/>
    <w:rsid w:val="00784B96"/>
    <w:rsid w:val="00785F6F"/>
    <w:rsid w:val="007902E4"/>
    <w:rsid w:val="00790BF9"/>
    <w:rsid w:val="00795B86"/>
    <w:rsid w:val="00797B58"/>
    <w:rsid w:val="007A0442"/>
    <w:rsid w:val="007A2567"/>
    <w:rsid w:val="007A48D9"/>
    <w:rsid w:val="007A56B8"/>
    <w:rsid w:val="007A602B"/>
    <w:rsid w:val="007A6B64"/>
    <w:rsid w:val="007A7328"/>
    <w:rsid w:val="007A784F"/>
    <w:rsid w:val="007A7BFC"/>
    <w:rsid w:val="007B3AE1"/>
    <w:rsid w:val="007B75C6"/>
    <w:rsid w:val="007C3182"/>
    <w:rsid w:val="007C6929"/>
    <w:rsid w:val="007D08AC"/>
    <w:rsid w:val="007D4F35"/>
    <w:rsid w:val="007E3458"/>
    <w:rsid w:val="007E4FC1"/>
    <w:rsid w:val="007E5A6C"/>
    <w:rsid w:val="007F1318"/>
    <w:rsid w:val="007F4F3C"/>
    <w:rsid w:val="007F674C"/>
    <w:rsid w:val="008003E7"/>
    <w:rsid w:val="00814A4E"/>
    <w:rsid w:val="0081762C"/>
    <w:rsid w:val="008209F0"/>
    <w:rsid w:val="00822A7E"/>
    <w:rsid w:val="008263C5"/>
    <w:rsid w:val="008456FF"/>
    <w:rsid w:val="00854FF7"/>
    <w:rsid w:val="00857BF9"/>
    <w:rsid w:val="00860F17"/>
    <w:rsid w:val="00870B4E"/>
    <w:rsid w:val="008718EE"/>
    <w:rsid w:val="00872612"/>
    <w:rsid w:val="00876501"/>
    <w:rsid w:val="00880213"/>
    <w:rsid w:val="00883191"/>
    <w:rsid w:val="00895281"/>
    <w:rsid w:val="008A5E87"/>
    <w:rsid w:val="008B0097"/>
    <w:rsid w:val="008B156B"/>
    <w:rsid w:val="008B4F87"/>
    <w:rsid w:val="008B511B"/>
    <w:rsid w:val="008B630B"/>
    <w:rsid w:val="008B7836"/>
    <w:rsid w:val="008B7D65"/>
    <w:rsid w:val="008C2098"/>
    <w:rsid w:val="008D43EA"/>
    <w:rsid w:val="008D472A"/>
    <w:rsid w:val="008E1B83"/>
    <w:rsid w:val="008E2312"/>
    <w:rsid w:val="008F4E62"/>
    <w:rsid w:val="00906288"/>
    <w:rsid w:val="009071BB"/>
    <w:rsid w:val="00912F66"/>
    <w:rsid w:val="0092006B"/>
    <w:rsid w:val="00925466"/>
    <w:rsid w:val="0092720B"/>
    <w:rsid w:val="00935ABF"/>
    <w:rsid w:val="00945F70"/>
    <w:rsid w:val="00961903"/>
    <w:rsid w:val="00962643"/>
    <w:rsid w:val="00963A57"/>
    <w:rsid w:val="00973355"/>
    <w:rsid w:val="009841F2"/>
    <w:rsid w:val="00984917"/>
    <w:rsid w:val="00993BED"/>
    <w:rsid w:val="009963FB"/>
    <w:rsid w:val="009A067C"/>
    <w:rsid w:val="009A1D5D"/>
    <w:rsid w:val="009A2D28"/>
    <w:rsid w:val="009B17C5"/>
    <w:rsid w:val="009B2CE5"/>
    <w:rsid w:val="009B3203"/>
    <w:rsid w:val="009B38E7"/>
    <w:rsid w:val="009B7DE4"/>
    <w:rsid w:val="009C0C7F"/>
    <w:rsid w:val="009C11BB"/>
    <w:rsid w:val="009D15B5"/>
    <w:rsid w:val="009D5CE2"/>
    <w:rsid w:val="009E0B92"/>
    <w:rsid w:val="009E0CC6"/>
    <w:rsid w:val="009E0CF9"/>
    <w:rsid w:val="009E42B6"/>
    <w:rsid w:val="009E457F"/>
    <w:rsid w:val="009E783A"/>
    <w:rsid w:val="009F3871"/>
    <w:rsid w:val="009F5632"/>
    <w:rsid w:val="009F6D2D"/>
    <w:rsid w:val="00A00A05"/>
    <w:rsid w:val="00A0120F"/>
    <w:rsid w:val="00A01B25"/>
    <w:rsid w:val="00A01E19"/>
    <w:rsid w:val="00A14C4D"/>
    <w:rsid w:val="00A213AE"/>
    <w:rsid w:val="00A22EB7"/>
    <w:rsid w:val="00A27439"/>
    <w:rsid w:val="00A31119"/>
    <w:rsid w:val="00A40F08"/>
    <w:rsid w:val="00A4262E"/>
    <w:rsid w:val="00A52C12"/>
    <w:rsid w:val="00A53CB4"/>
    <w:rsid w:val="00A5578A"/>
    <w:rsid w:val="00A57832"/>
    <w:rsid w:val="00A616A9"/>
    <w:rsid w:val="00A6679B"/>
    <w:rsid w:val="00A67F40"/>
    <w:rsid w:val="00A73EDF"/>
    <w:rsid w:val="00A75341"/>
    <w:rsid w:val="00A81F27"/>
    <w:rsid w:val="00A82DFB"/>
    <w:rsid w:val="00A85593"/>
    <w:rsid w:val="00A85B82"/>
    <w:rsid w:val="00A91ACF"/>
    <w:rsid w:val="00A91C98"/>
    <w:rsid w:val="00A94D23"/>
    <w:rsid w:val="00A9586C"/>
    <w:rsid w:val="00A9631D"/>
    <w:rsid w:val="00A96A1E"/>
    <w:rsid w:val="00AC0D69"/>
    <w:rsid w:val="00AD0959"/>
    <w:rsid w:val="00AD4106"/>
    <w:rsid w:val="00AD51A6"/>
    <w:rsid w:val="00AD6429"/>
    <w:rsid w:val="00AD67CF"/>
    <w:rsid w:val="00AE359E"/>
    <w:rsid w:val="00AE3911"/>
    <w:rsid w:val="00AE4526"/>
    <w:rsid w:val="00AE4AA5"/>
    <w:rsid w:val="00AE69E8"/>
    <w:rsid w:val="00AF253B"/>
    <w:rsid w:val="00AF38F9"/>
    <w:rsid w:val="00AF46F3"/>
    <w:rsid w:val="00B00FCB"/>
    <w:rsid w:val="00B03327"/>
    <w:rsid w:val="00B04E6C"/>
    <w:rsid w:val="00B108BB"/>
    <w:rsid w:val="00B14EAC"/>
    <w:rsid w:val="00B2188D"/>
    <w:rsid w:val="00B21AF4"/>
    <w:rsid w:val="00B22173"/>
    <w:rsid w:val="00B40B7A"/>
    <w:rsid w:val="00B40DD3"/>
    <w:rsid w:val="00B43D48"/>
    <w:rsid w:val="00B449E1"/>
    <w:rsid w:val="00B44B78"/>
    <w:rsid w:val="00B55CEF"/>
    <w:rsid w:val="00B55DC9"/>
    <w:rsid w:val="00B67158"/>
    <w:rsid w:val="00B717D1"/>
    <w:rsid w:val="00B71D77"/>
    <w:rsid w:val="00B836B4"/>
    <w:rsid w:val="00B85E42"/>
    <w:rsid w:val="00B87A83"/>
    <w:rsid w:val="00B91E36"/>
    <w:rsid w:val="00B93488"/>
    <w:rsid w:val="00B943F4"/>
    <w:rsid w:val="00B9497F"/>
    <w:rsid w:val="00BA58DB"/>
    <w:rsid w:val="00BA790C"/>
    <w:rsid w:val="00BB0489"/>
    <w:rsid w:val="00BB1899"/>
    <w:rsid w:val="00BB3A83"/>
    <w:rsid w:val="00BC2524"/>
    <w:rsid w:val="00BC6A0A"/>
    <w:rsid w:val="00BC7830"/>
    <w:rsid w:val="00BD0E33"/>
    <w:rsid w:val="00BD15A0"/>
    <w:rsid w:val="00BD64EB"/>
    <w:rsid w:val="00BD7BE1"/>
    <w:rsid w:val="00BE1869"/>
    <w:rsid w:val="00BE24E1"/>
    <w:rsid w:val="00BE5008"/>
    <w:rsid w:val="00BF3C23"/>
    <w:rsid w:val="00BF6F97"/>
    <w:rsid w:val="00BF7D69"/>
    <w:rsid w:val="00C01423"/>
    <w:rsid w:val="00C0320B"/>
    <w:rsid w:val="00C03297"/>
    <w:rsid w:val="00C048E8"/>
    <w:rsid w:val="00C053F5"/>
    <w:rsid w:val="00C06731"/>
    <w:rsid w:val="00C1015E"/>
    <w:rsid w:val="00C10FCA"/>
    <w:rsid w:val="00C1335A"/>
    <w:rsid w:val="00C237CE"/>
    <w:rsid w:val="00C25488"/>
    <w:rsid w:val="00C32AB8"/>
    <w:rsid w:val="00C35625"/>
    <w:rsid w:val="00C371B8"/>
    <w:rsid w:val="00C4118B"/>
    <w:rsid w:val="00C54577"/>
    <w:rsid w:val="00C67694"/>
    <w:rsid w:val="00C7763D"/>
    <w:rsid w:val="00C809BE"/>
    <w:rsid w:val="00C864EE"/>
    <w:rsid w:val="00C9348C"/>
    <w:rsid w:val="00C95979"/>
    <w:rsid w:val="00CA2418"/>
    <w:rsid w:val="00CA37C0"/>
    <w:rsid w:val="00CA6BD4"/>
    <w:rsid w:val="00CB6E82"/>
    <w:rsid w:val="00CE4C91"/>
    <w:rsid w:val="00CE7EED"/>
    <w:rsid w:val="00CF7125"/>
    <w:rsid w:val="00CF7422"/>
    <w:rsid w:val="00D15E77"/>
    <w:rsid w:val="00D16476"/>
    <w:rsid w:val="00D20B1E"/>
    <w:rsid w:val="00D21679"/>
    <w:rsid w:val="00D242AA"/>
    <w:rsid w:val="00D257C4"/>
    <w:rsid w:val="00D257F6"/>
    <w:rsid w:val="00D26C8B"/>
    <w:rsid w:val="00D309F6"/>
    <w:rsid w:val="00D352C1"/>
    <w:rsid w:val="00D35C0E"/>
    <w:rsid w:val="00D36322"/>
    <w:rsid w:val="00D4525C"/>
    <w:rsid w:val="00D530BF"/>
    <w:rsid w:val="00D54CAA"/>
    <w:rsid w:val="00D56393"/>
    <w:rsid w:val="00D56DAA"/>
    <w:rsid w:val="00D656A4"/>
    <w:rsid w:val="00D665A0"/>
    <w:rsid w:val="00D73F27"/>
    <w:rsid w:val="00D74259"/>
    <w:rsid w:val="00D7477F"/>
    <w:rsid w:val="00D7785F"/>
    <w:rsid w:val="00D824B5"/>
    <w:rsid w:val="00D916BC"/>
    <w:rsid w:val="00D94638"/>
    <w:rsid w:val="00DA0813"/>
    <w:rsid w:val="00DB266B"/>
    <w:rsid w:val="00DB408B"/>
    <w:rsid w:val="00DC406B"/>
    <w:rsid w:val="00DC4076"/>
    <w:rsid w:val="00DC411F"/>
    <w:rsid w:val="00DC6ECC"/>
    <w:rsid w:val="00DD21C0"/>
    <w:rsid w:val="00DD507F"/>
    <w:rsid w:val="00DE2430"/>
    <w:rsid w:val="00DE5974"/>
    <w:rsid w:val="00DF126E"/>
    <w:rsid w:val="00E05059"/>
    <w:rsid w:val="00E0554F"/>
    <w:rsid w:val="00E07021"/>
    <w:rsid w:val="00E1065F"/>
    <w:rsid w:val="00E1453F"/>
    <w:rsid w:val="00E160F3"/>
    <w:rsid w:val="00E17890"/>
    <w:rsid w:val="00E22B03"/>
    <w:rsid w:val="00E22FC8"/>
    <w:rsid w:val="00E236F2"/>
    <w:rsid w:val="00E24AB2"/>
    <w:rsid w:val="00E30CD9"/>
    <w:rsid w:val="00E31A3E"/>
    <w:rsid w:val="00E3230A"/>
    <w:rsid w:val="00E3709F"/>
    <w:rsid w:val="00E41E2F"/>
    <w:rsid w:val="00E442D1"/>
    <w:rsid w:val="00E448DE"/>
    <w:rsid w:val="00E468EC"/>
    <w:rsid w:val="00E5141C"/>
    <w:rsid w:val="00E518FD"/>
    <w:rsid w:val="00E54B24"/>
    <w:rsid w:val="00E550A5"/>
    <w:rsid w:val="00E57ADC"/>
    <w:rsid w:val="00E60AE6"/>
    <w:rsid w:val="00E63B72"/>
    <w:rsid w:val="00E63DD0"/>
    <w:rsid w:val="00E70601"/>
    <w:rsid w:val="00E728DB"/>
    <w:rsid w:val="00E730D7"/>
    <w:rsid w:val="00E737F5"/>
    <w:rsid w:val="00E73E17"/>
    <w:rsid w:val="00E7572C"/>
    <w:rsid w:val="00E75DCB"/>
    <w:rsid w:val="00E77E87"/>
    <w:rsid w:val="00E819C7"/>
    <w:rsid w:val="00E85394"/>
    <w:rsid w:val="00E85589"/>
    <w:rsid w:val="00E85EDC"/>
    <w:rsid w:val="00E87A78"/>
    <w:rsid w:val="00EA355D"/>
    <w:rsid w:val="00EA6B12"/>
    <w:rsid w:val="00EA7AE3"/>
    <w:rsid w:val="00EC5319"/>
    <w:rsid w:val="00EC58C5"/>
    <w:rsid w:val="00ED008A"/>
    <w:rsid w:val="00EE0214"/>
    <w:rsid w:val="00EE4602"/>
    <w:rsid w:val="00F00D01"/>
    <w:rsid w:val="00F01BA4"/>
    <w:rsid w:val="00F02225"/>
    <w:rsid w:val="00F05D67"/>
    <w:rsid w:val="00F0763E"/>
    <w:rsid w:val="00F111A2"/>
    <w:rsid w:val="00F14915"/>
    <w:rsid w:val="00F16858"/>
    <w:rsid w:val="00F23691"/>
    <w:rsid w:val="00F341B9"/>
    <w:rsid w:val="00F42676"/>
    <w:rsid w:val="00F42712"/>
    <w:rsid w:val="00F42A52"/>
    <w:rsid w:val="00F42B0A"/>
    <w:rsid w:val="00F43FA8"/>
    <w:rsid w:val="00F46BA3"/>
    <w:rsid w:val="00F61F6F"/>
    <w:rsid w:val="00F6655B"/>
    <w:rsid w:val="00F74A68"/>
    <w:rsid w:val="00F74BD5"/>
    <w:rsid w:val="00F857CA"/>
    <w:rsid w:val="00F926C6"/>
    <w:rsid w:val="00F933EE"/>
    <w:rsid w:val="00F93EB9"/>
    <w:rsid w:val="00FA3A0A"/>
    <w:rsid w:val="00FA74EF"/>
    <w:rsid w:val="00FB2E0F"/>
    <w:rsid w:val="00FB3030"/>
    <w:rsid w:val="00FB4E25"/>
    <w:rsid w:val="00FC34D0"/>
    <w:rsid w:val="00FC4A1C"/>
    <w:rsid w:val="00FC72F1"/>
    <w:rsid w:val="00FD3DAC"/>
    <w:rsid w:val="00FD4A02"/>
    <w:rsid w:val="00FD6D61"/>
    <w:rsid w:val="00FD6FD6"/>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erange">
    <w:name w:val="page_range"/>
    <w:basedOn w:val="DefaultParagraphFont"/>
    <w:rsid w:val="009E42B6"/>
  </w:style>
  <w:style w:type="table" w:customStyle="1" w:styleId="TableGrid0">
    <w:name w:val="TableGrid"/>
    <w:rsid w:val="00D530BF"/>
    <w:pPr>
      <w:spacing w:after="0" w:line="240" w:lineRule="auto"/>
    </w:pPr>
    <w:rPr>
      <w:rFonts w:eastAsiaTheme="minorEastAsia"/>
      <w:kern w:val="0"/>
      <w14:ligatures w14:val="none"/>
    </w:rPr>
    <w:tblPr>
      <w:tblCellMar>
        <w:top w:w="0" w:type="dxa"/>
        <w:left w:w="0" w:type="dxa"/>
        <w:bottom w:w="0" w:type="dxa"/>
        <w:right w:w="0" w:type="dxa"/>
      </w:tblCellMar>
    </w:tblPr>
  </w:style>
  <w:style w:type="character" w:customStyle="1" w:styleId="UnresolvedMention3">
    <w:name w:val="Unresolved Mention3"/>
    <w:basedOn w:val="DefaultParagraphFont"/>
    <w:uiPriority w:val="99"/>
    <w:semiHidden/>
    <w:unhideWhenUsed/>
    <w:rsid w:val="00AD67CF"/>
    <w:rPr>
      <w:color w:val="605E5C"/>
      <w:shd w:val="clear" w:color="auto" w:fill="E1DFDD"/>
    </w:rPr>
  </w:style>
  <w:style w:type="paragraph" w:styleId="Header">
    <w:name w:val="header"/>
    <w:basedOn w:val="Normal"/>
    <w:link w:val="HeaderChar"/>
    <w:uiPriority w:val="99"/>
    <w:unhideWhenUsed/>
    <w:rsid w:val="00FD6FD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D6FD6"/>
    <w:rPr>
      <w:rFonts w:ascii="Times New Roman" w:eastAsia="Calibri" w:hAnsi="Times New Roman" w:cs="SimSun"/>
      <w:color w:val="000000"/>
      <w:kern w:val="0"/>
      <w:sz w:val="24"/>
    </w:rPr>
  </w:style>
  <w:style w:type="character" w:customStyle="1" w:styleId="UnresolvedMention">
    <w:name w:val="Unresolved Mention"/>
    <w:basedOn w:val="DefaultParagraphFont"/>
    <w:uiPriority w:val="99"/>
    <w:semiHidden/>
    <w:unhideWhenUsed/>
    <w:rsid w:val="00B91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17910">
      <w:bodyDiv w:val="1"/>
      <w:marLeft w:val="0"/>
      <w:marRight w:val="0"/>
      <w:marTop w:val="0"/>
      <w:marBottom w:val="0"/>
      <w:divBdr>
        <w:top w:val="none" w:sz="0" w:space="0" w:color="auto"/>
        <w:left w:val="none" w:sz="0" w:space="0" w:color="auto"/>
        <w:bottom w:val="none" w:sz="0" w:space="0" w:color="auto"/>
        <w:right w:val="none" w:sz="0" w:space="0" w:color="auto"/>
      </w:divBdr>
    </w:div>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239292123">
      <w:bodyDiv w:val="1"/>
      <w:marLeft w:val="0"/>
      <w:marRight w:val="0"/>
      <w:marTop w:val="0"/>
      <w:marBottom w:val="0"/>
      <w:divBdr>
        <w:top w:val="none" w:sz="0" w:space="0" w:color="auto"/>
        <w:left w:val="none" w:sz="0" w:space="0" w:color="auto"/>
        <w:bottom w:val="none" w:sz="0" w:space="0" w:color="auto"/>
        <w:right w:val="none" w:sz="0" w:space="0" w:color="auto"/>
      </w:divBdr>
      <w:divsChild>
        <w:div w:id="2113620894">
          <w:marLeft w:val="0"/>
          <w:marRight w:val="0"/>
          <w:marTop w:val="0"/>
          <w:marBottom w:val="0"/>
          <w:divBdr>
            <w:top w:val="none" w:sz="0" w:space="0" w:color="auto"/>
            <w:left w:val="none" w:sz="0" w:space="0" w:color="auto"/>
            <w:bottom w:val="none" w:sz="0" w:space="0" w:color="auto"/>
            <w:right w:val="none" w:sz="0" w:space="0" w:color="auto"/>
          </w:divBdr>
          <w:divsChild>
            <w:div w:id="824856802">
              <w:marLeft w:val="0"/>
              <w:marRight w:val="0"/>
              <w:marTop w:val="0"/>
              <w:marBottom w:val="0"/>
              <w:divBdr>
                <w:top w:val="none" w:sz="0" w:space="0" w:color="auto"/>
                <w:left w:val="none" w:sz="0" w:space="0" w:color="auto"/>
                <w:bottom w:val="none" w:sz="0" w:space="0" w:color="auto"/>
                <w:right w:val="none" w:sz="0" w:space="0" w:color="auto"/>
              </w:divBdr>
              <w:divsChild>
                <w:div w:id="1521823105">
                  <w:marLeft w:val="0"/>
                  <w:marRight w:val="0"/>
                  <w:marTop w:val="0"/>
                  <w:marBottom w:val="0"/>
                  <w:divBdr>
                    <w:top w:val="none" w:sz="0" w:space="0" w:color="auto"/>
                    <w:left w:val="none" w:sz="0" w:space="0" w:color="auto"/>
                    <w:bottom w:val="none" w:sz="0" w:space="0" w:color="auto"/>
                    <w:right w:val="none" w:sz="0" w:space="0" w:color="auto"/>
                  </w:divBdr>
                  <w:divsChild>
                    <w:div w:id="17631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196117437">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ajeba/2022/v22i173064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9423</Words>
  <Characters>53715</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CPU 1117</cp:lastModifiedBy>
  <cp:revision>46</cp:revision>
  <dcterms:created xsi:type="dcterms:W3CDTF">2025-11-24T12:06:00Z</dcterms:created>
  <dcterms:modified xsi:type="dcterms:W3CDTF">2025-12-15T12:59:00Z</dcterms:modified>
</cp:coreProperties>
</file>