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FC605" w14:textId="48F171E7" w:rsidR="00754C9A" w:rsidRDefault="006D5B66" w:rsidP="00441B6F">
      <w:pPr>
        <w:pStyle w:val="Title"/>
        <w:spacing w:after="0"/>
        <w:jc w:val="both"/>
        <w:rPr>
          <w:rFonts w:ascii="Arial" w:hAnsi="Arial" w:cs="Arial"/>
        </w:rPr>
      </w:pPr>
      <w:r w:rsidRPr="006D5B66">
        <w:rPr>
          <w:rFonts w:ascii="Arial" w:hAnsi="Arial" w:cs="Arial"/>
        </w:rPr>
        <w:t>Original Research Article</w:t>
      </w:r>
    </w:p>
    <w:p w14:paraId="4A0D5E0B" w14:textId="77777777" w:rsidR="006D5B66" w:rsidRDefault="006D5B66" w:rsidP="00441B6F">
      <w:pPr>
        <w:pStyle w:val="Title"/>
        <w:spacing w:after="0"/>
        <w:jc w:val="both"/>
        <w:rPr>
          <w:rFonts w:ascii="Arial" w:hAnsi="Arial" w:cs="Arial"/>
        </w:rPr>
      </w:pPr>
    </w:p>
    <w:p w14:paraId="387FF928" w14:textId="77777777" w:rsidR="006D5B66" w:rsidRDefault="006D5B66" w:rsidP="00441B6F">
      <w:pPr>
        <w:pStyle w:val="Title"/>
        <w:spacing w:after="0"/>
        <w:jc w:val="both"/>
        <w:rPr>
          <w:rFonts w:ascii="Arial" w:hAnsi="Arial" w:cs="Arial"/>
        </w:rPr>
      </w:pPr>
    </w:p>
    <w:p w14:paraId="3589A934" w14:textId="57739F87" w:rsidR="00A258C3" w:rsidRDefault="008C5047" w:rsidP="008C5047">
      <w:pPr>
        <w:pStyle w:val="Author"/>
        <w:spacing w:line="240" w:lineRule="auto"/>
        <w:rPr>
          <w:rFonts w:ascii="Arial" w:hAnsi="Arial" w:cs="Arial"/>
          <w:bCs/>
          <w:iCs/>
          <w:kern w:val="28"/>
          <w:sz w:val="36"/>
        </w:rPr>
      </w:pPr>
      <w:r w:rsidRPr="008C5047">
        <w:rPr>
          <w:rFonts w:ascii="Arial" w:hAnsi="Arial" w:cs="Arial"/>
          <w:bCs/>
          <w:iCs/>
          <w:kern w:val="28"/>
          <w:sz w:val="36"/>
        </w:rPr>
        <w:t>Inheritance of Certain Morphological Characters and Capsule Borer Resistance in Castor (</w:t>
      </w:r>
      <w:r w:rsidRPr="008C5047">
        <w:rPr>
          <w:rFonts w:ascii="Arial" w:hAnsi="Arial" w:cs="Arial"/>
          <w:bCs/>
          <w:i/>
          <w:kern w:val="28"/>
          <w:sz w:val="36"/>
        </w:rPr>
        <w:t>Ricinus communis</w:t>
      </w:r>
      <w:r w:rsidRPr="008C5047">
        <w:rPr>
          <w:rFonts w:ascii="Arial" w:hAnsi="Arial" w:cs="Arial"/>
          <w:bCs/>
          <w:iCs/>
          <w:kern w:val="28"/>
          <w:sz w:val="36"/>
        </w:rPr>
        <w:t xml:space="preserve"> L.)</w:t>
      </w:r>
    </w:p>
    <w:p w14:paraId="49A7BBD2" w14:textId="77777777" w:rsidR="006D5B66" w:rsidRPr="00790ADA" w:rsidRDefault="006D5B66" w:rsidP="008C5047">
      <w:pPr>
        <w:pStyle w:val="Author"/>
        <w:spacing w:line="240" w:lineRule="auto"/>
        <w:rPr>
          <w:rFonts w:ascii="Arial" w:hAnsi="Arial" w:cs="Arial"/>
          <w:sz w:val="36"/>
        </w:rPr>
      </w:pPr>
    </w:p>
    <w:p w14:paraId="27B4140F" w14:textId="77777777" w:rsidR="00D04F73" w:rsidRDefault="00D04F73" w:rsidP="00F5333A">
      <w:pPr>
        <w:pStyle w:val="Affiliation"/>
        <w:spacing w:after="0" w:line="240" w:lineRule="auto"/>
        <w:rPr>
          <w:rFonts w:ascii="Arial" w:hAnsi="Arial" w:cs="Arial"/>
          <w:i/>
        </w:rPr>
      </w:pPr>
    </w:p>
    <w:p w14:paraId="4B680C01" w14:textId="77777777" w:rsidR="003D6EE7" w:rsidRDefault="003D6EE7" w:rsidP="00F5333A">
      <w:pPr>
        <w:pStyle w:val="Affiliation"/>
        <w:spacing w:after="0" w:line="240" w:lineRule="auto"/>
        <w:rPr>
          <w:rFonts w:ascii="Arial" w:hAnsi="Arial" w:cs="Arial"/>
          <w:i/>
        </w:rPr>
      </w:pPr>
    </w:p>
    <w:p w14:paraId="38B75EC7" w14:textId="77777777" w:rsidR="000E0EE7" w:rsidRPr="003C6656" w:rsidRDefault="000E0EE7" w:rsidP="003C6656">
      <w:pPr>
        <w:pStyle w:val="Affiliation"/>
        <w:spacing w:after="0" w:line="240" w:lineRule="auto"/>
        <w:rPr>
          <w:rFonts w:ascii="Arial" w:hAnsi="Arial" w:cs="Arial"/>
        </w:rPr>
      </w:pPr>
    </w:p>
    <w:p w14:paraId="12F268A9" w14:textId="77777777" w:rsidR="00B01FCD" w:rsidRPr="00FB3A86" w:rsidRDefault="00287391" w:rsidP="00441B6F">
      <w:pPr>
        <w:pStyle w:val="Copyright"/>
        <w:spacing w:after="0" w:line="240" w:lineRule="auto"/>
        <w:jc w:val="both"/>
        <w:rPr>
          <w:rFonts w:ascii="Arial" w:hAnsi="Arial" w:cs="Arial"/>
        </w:rPr>
        <w:sectPr w:rsidR="00B01FCD" w:rsidRPr="00FB3A86" w:rsidSect="00F04803">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8A5D52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5E58EBB" w14:textId="062F790A"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2A16A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4240B00" w14:textId="77777777" w:rsidTr="001E44FE">
        <w:tc>
          <w:tcPr>
            <w:tcW w:w="9576" w:type="dxa"/>
            <w:shd w:val="clear" w:color="auto" w:fill="F2F2F2"/>
          </w:tcPr>
          <w:p w14:paraId="3FC04905" w14:textId="77777777" w:rsidR="00C126E4" w:rsidRPr="00C126E4" w:rsidRDefault="00BA1B01" w:rsidP="007F2A89">
            <w:pPr>
              <w:pStyle w:val="Body"/>
              <w:spacing w:after="0"/>
              <w:rPr>
                <w:rFonts w:ascii="Arial" w:eastAsia="Calibri" w:hAnsi="Arial" w:cs="Arial"/>
                <w:szCs w:val="22"/>
              </w:rPr>
            </w:pPr>
            <w:r w:rsidRPr="00BA1B01">
              <w:rPr>
                <w:rFonts w:ascii="Arial" w:eastAsia="Calibri" w:hAnsi="Arial" w:cs="Arial"/>
                <w:b/>
                <w:szCs w:val="22"/>
              </w:rPr>
              <w:t xml:space="preserve">Aim: </w:t>
            </w:r>
            <w:r w:rsidR="00531B6E" w:rsidRPr="00347976">
              <w:rPr>
                <w:rFonts w:ascii="Arial" w:eastAsia="Calibri" w:hAnsi="Arial" w:cs="Arial"/>
                <w:szCs w:val="22"/>
              </w:rPr>
              <w:t xml:space="preserve">The Shoot and Capsule Borer (SCB), also known as the yellow peach moth </w:t>
            </w:r>
            <w:r w:rsidR="00C126E4" w:rsidRPr="00C126E4">
              <w:rPr>
                <w:rFonts w:ascii="Arial" w:eastAsia="Calibri" w:hAnsi="Arial" w:cs="Arial"/>
                <w:szCs w:val="22"/>
              </w:rPr>
              <w:t>Aim: The Shoot and Capsule Borer (SCB), also known as the yellow peach moth (</w:t>
            </w:r>
            <w:proofErr w:type="spellStart"/>
            <w:r w:rsidR="00C126E4" w:rsidRPr="00C126E4">
              <w:rPr>
                <w:rFonts w:ascii="Arial" w:eastAsia="Calibri" w:hAnsi="Arial" w:cs="Arial"/>
                <w:szCs w:val="22"/>
              </w:rPr>
              <w:t>Conogethes</w:t>
            </w:r>
            <w:proofErr w:type="spellEnd"/>
            <w:r w:rsidR="00C126E4" w:rsidRPr="00C126E4">
              <w:rPr>
                <w:rFonts w:ascii="Arial" w:eastAsia="Calibri" w:hAnsi="Arial" w:cs="Arial"/>
                <w:szCs w:val="22"/>
              </w:rPr>
              <w:t xml:space="preserve"> </w:t>
            </w:r>
            <w:proofErr w:type="spellStart"/>
            <w:r w:rsidR="00C126E4" w:rsidRPr="00C126E4">
              <w:rPr>
                <w:rFonts w:ascii="Arial" w:eastAsia="Calibri" w:hAnsi="Arial" w:cs="Arial"/>
                <w:szCs w:val="22"/>
              </w:rPr>
              <w:t>punctiferalis</w:t>
            </w:r>
            <w:proofErr w:type="spellEnd"/>
            <w:r w:rsidR="00C126E4" w:rsidRPr="00C126E4">
              <w:rPr>
                <w:rFonts w:ascii="Arial" w:eastAsia="Calibri" w:hAnsi="Arial" w:cs="Arial"/>
                <w:szCs w:val="22"/>
              </w:rPr>
              <w:t xml:space="preserve">), is a major pest of castor, causing significant yield losses by damaging the plant's inflorescence (spike). This study was conducted to precisely determine the relationship between morphological features (inflorescence morphology) and the incidence of Shoot and Capsule Borer (SCB) and to study the inheritance pattern. </w:t>
            </w:r>
          </w:p>
          <w:p w14:paraId="4EBE2759" w14:textId="77777777"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Study design:</w:t>
            </w:r>
            <w:r w:rsidRPr="00C126E4">
              <w:rPr>
                <w:rFonts w:ascii="Arial" w:eastAsia="Calibri" w:hAnsi="Arial" w:cs="Arial"/>
                <w:szCs w:val="22"/>
              </w:rPr>
              <w:t xml:space="preserve">  Randomized complete block design with two replications were followed.  </w:t>
            </w:r>
          </w:p>
          <w:p w14:paraId="6FF855B3" w14:textId="77777777"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Place and Duration of Study:</w:t>
            </w:r>
            <w:r w:rsidRPr="00C126E4">
              <w:rPr>
                <w:rFonts w:ascii="Arial" w:eastAsia="Calibri" w:hAnsi="Arial" w:cs="Arial"/>
                <w:szCs w:val="22"/>
              </w:rPr>
              <w:t xml:space="preserve"> The experiment was conducted in ICAR- Indian Institute of Oilseeds Research (IIOR), the experiment was conducted between 2022-2023. </w:t>
            </w:r>
          </w:p>
          <w:p w14:paraId="24FCA219" w14:textId="77777777"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Methodology:</w:t>
            </w:r>
            <w:r w:rsidRPr="00C126E4">
              <w:rPr>
                <w:rFonts w:ascii="Arial" w:eastAsia="Calibri" w:hAnsi="Arial" w:cs="Arial"/>
                <w:szCs w:val="22"/>
              </w:rPr>
              <w:t xml:space="preserve"> In August 2023, the P</w:t>
            </w:r>
            <w:r w:rsidRPr="008A0366">
              <w:rPr>
                <w:rFonts w:ascii="Arial" w:eastAsia="Calibri" w:hAnsi="Arial" w:cs="Arial"/>
                <w:szCs w:val="22"/>
                <w:vertAlign w:val="subscript"/>
              </w:rPr>
              <w:t>1</w:t>
            </w:r>
            <w:r w:rsidRPr="00C126E4">
              <w:rPr>
                <w:rFonts w:ascii="Arial" w:eastAsia="Calibri" w:hAnsi="Arial" w:cs="Arial"/>
                <w:szCs w:val="22"/>
              </w:rPr>
              <w:t>, P</w:t>
            </w:r>
            <w:r w:rsidRPr="008A0366">
              <w:rPr>
                <w:rFonts w:ascii="Arial" w:eastAsia="Calibri" w:hAnsi="Arial" w:cs="Arial"/>
                <w:szCs w:val="22"/>
                <w:vertAlign w:val="subscript"/>
              </w:rPr>
              <w:t>2</w:t>
            </w:r>
            <w:r w:rsidRPr="00C126E4">
              <w:rPr>
                <w:rFonts w:ascii="Arial" w:eastAsia="Calibri" w:hAnsi="Arial" w:cs="Arial"/>
                <w:szCs w:val="22"/>
              </w:rPr>
              <w:t>, F</w:t>
            </w:r>
            <w:r w:rsidRPr="008A0366">
              <w:rPr>
                <w:rFonts w:ascii="Arial" w:eastAsia="Calibri" w:hAnsi="Arial" w:cs="Arial"/>
                <w:szCs w:val="22"/>
                <w:vertAlign w:val="subscript"/>
              </w:rPr>
              <w:t>1</w:t>
            </w:r>
            <w:r w:rsidRPr="00C126E4">
              <w:rPr>
                <w:rFonts w:ascii="Arial" w:eastAsia="Calibri" w:hAnsi="Arial" w:cs="Arial"/>
                <w:szCs w:val="22"/>
              </w:rPr>
              <w:t>, F</w:t>
            </w:r>
            <w:r w:rsidRPr="008A0366">
              <w:rPr>
                <w:rFonts w:ascii="Arial" w:eastAsia="Calibri" w:hAnsi="Arial" w:cs="Arial"/>
                <w:szCs w:val="22"/>
                <w:vertAlign w:val="subscript"/>
              </w:rPr>
              <w:t>2</w:t>
            </w:r>
            <w:r w:rsidRPr="00C126E4">
              <w:rPr>
                <w:rFonts w:ascii="Arial" w:eastAsia="Calibri" w:hAnsi="Arial" w:cs="Arial"/>
                <w:szCs w:val="22"/>
              </w:rPr>
              <w:t>, BC</w:t>
            </w:r>
            <w:r w:rsidRPr="008A0366">
              <w:rPr>
                <w:rFonts w:ascii="Arial" w:eastAsia="Calibri" w:hAnsi="Arial" w:cs="Arial"/>
                <w:szCs w:val="22"/>
                <w:vertAlign w:val="subscript"/>
              </w:rPr>
              <w:t>1</w:t>
            </w:r>
            <w:r w:rsidRPr="00C126E4">
              <w:rPr>
                <w:rFonts w:ascii="Arial" w:eastAsia="Calibri" w:hAnsi="Arial" w:cs="Arial"/>
                <w:szCs w:val="22"/>
              </w:rPr>
              <w:t>P</w:t>
            </w:r>
            <w:r w:rsidRPr="008A0366">
              <w:rPr>
                <w:rFonts w:ascii="Arial" w:eastAsia="Calibri" w:hAnsi="Arial" w:cs="Arial"/>
                <w:szCs w:val="22"/>
                <w:vertAlign w:val="subscript"/>
              </w:rPr>
              <w:t>1</w:t>
            </w:r>
            <w:r w:rsidRPr="00C126E4">
              <w:rPr>
                <w:rFonts w:ascii="Arial" w:eastAsia="Calibri" w:hAnsi="Arial" w:cs="Arial"/>
                <w:szCs w:val="22"/>
              </w:rPr>
              <w:t>, and BC</w:t>
            </w:r>
            <w:r w:rsidRPr="008A0366">
              <w:rPr>
                <w:rFonts w:ascii="Arial" w:eastAsia="Calibri" w:hAnsi="Arial" w:cs="Arial"/>
                <w:szCs w:val="22"/>
                <w:vertAlign w:val="subscript"/>
              </w:rPr>
              <w:t>1</w:t>
            </w:r>
            <w:r w:rsidRPr="00C126E4">
              <w:rPr>
                <w:rFonts w:ascii="Arial" w:eastAsia="Calibri" w:hAnsi="Arial" w:cs="Arial"/>
                <w:szCs w:val="22"/>
              </w:rPr>
              <w:t>P</w:t>
            </w:r>
            <w:r w:rsidRPr="008A0366">
              <w:rPr>
                <w:rFonts w:ascii="Arial" w:eastAsia="Calibri" w:hAnsi="Arial" w:cs="Arial"/>
                <w:szCs w:val="22"/>
                <w:vertAlign w:val="subscript"/>
              </w:rPr>
              <w:t>2</w:t>
            </w:r>
            <w:r w:rsidRPr="00C126E4">
              <w:rPr>
                <w:rFonts w:ascii="Arial" w:eastAsia="Calibri" w:hAnsi="Arial" w:cs="Arial"/>
                <w:szCs w:val="22"/>
              </w:rPr>
              <w:t xml:space="preserve"> generations of the DCS-9 × RG-2774 cross was planted at ICAR-IIOR. These generations were replicated twice. The number of plants observed varied across generations, with 60 plants from the parental generations, 280 from the F</w:t>
            </w:r>
            <w:r w:rsidRPr="008A0366">
              <w:rPr>
                <w:rFonts w:ascii="Arial" w:eastAsia="Calibri" w:hAnsi="Arial" w:cs="Arial"/>
                <w:szCs w:val="22"/>
                <w:vertAlign w:val="subscript"/>
              </w:rPr>
              <w:t>2</w:t>
            </w:r>
            <w:r w:rsidRPr="00C126E4">
              <w:rPr>
                <w:rFonts w:ascii="Arial" w:eastAsia="Calibri" w:hAnsi="Arial" w:cs="Arial"/>
                <w:szCs w:val="22"/>
              </w:rPr>
              <w:t xml:space="preserve"> generation, and 60 each from the F</w:t>
            </w:r>
            <w:r w:rsidRPr="008A0366">
              <w:rPr>
                <w:rFonts w:ascii="Arial" w:eastAsia="Calibri" w:hAnsi="Arial" w:cs="Arial"/>
                <w:szCs w:val="22"/>
                <w:vertAlign w:val="subscript"/>
              </w:rPr>
              <w:t>1</w:t>
            </w:r>
            <w:r w:rsidRPr="00C126E4">
              <w:rPr>
                <w:rFonts w:ascii="Arial" w:eastAsia="Calibri" w:hAnsi="Arial" w:cs="Arial"/>
                <w:szCs w:val="22"/>
              </w:rPr>
              <w:t>, BC</w:t>
            </w:r>
            <w:r w:rsidRPr="008A0366">
              <w:rPr>
                <w:rFonts w:ascii="Arial" w:eastAsia="Calibri" w:hAnsi="Arial" w:cs="Arial"/>
                <w:szCs w:val="22"/>
                <w:vertAlign w:val="subscript"/>
              </w:rPr>
              <w:t>1</w:t>
            </w:r>
            <w:r w:rsidRPr="00C126E4">
              <w:rPr>
                <w:rFonts w:ascii="Arial" w:eastAsia="Calibri" w:hAnsi="Arial" w:cs="Arial"/>
                <w:szCs w:val="22"/>
              </w:rPr>
              <w:t>P</w:t>
            </w:r>
            <w:r w:rsidRPr="008A0366">
              <w:rPr>
                <w:rFonts w:ascii="Arial" w:eastAsia="Calibri" w:hAnsi="Arial" w:cs="Arial"/>
                <w:szCs w:val="22"/>
                <w:vertAlign w:val="subscript"/>
              </w:rPr>
              <w:t>1</w:t>
            </w:r>
            <w:r w:rsidRPr="00C126E4">
              <w:rPr>
                <w:rFonts w:ascii="Arial" w:eastAsia="Calibri" w:hAnsi="Arial" w:cs="Arial"/>
                <w:szCs w:val="22"/>
              </w:rPr>
              <w:t xml:space="preserve">, and BC1P2 generations. Data were recorded on per cent capsule borer damage and on the Spike morphological characters. The genetic variability and inheritance were calculated. </w:t>
            </w:r>
          </w:p>
          <w:p w14:paraId="0AE36C7B" w14:textId="77777777"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Results:</w:t>
            </w:r>
            <w:r w:rsidRPr="00C126E4">
              <w:rPr>
                <w:rFonts w:ascii="Arial" w:eastAsia="Calibri" w:hAnsi="Arial" w:cs="Arial"/>
                <w:szCs w:val="22"/>
              </w:rPr>
              <w:t xml:space="preserve"> The trait percent capsule borer incidence exhibited high phenotypic (PCV = 49.17%) and genotypic (GCV = 41.16%) coefficients of variation, indicating considerable variability within the population. High heritability (70.70%) coupled with high genetic advance (70.35%) was observed. Point-biserial correlation analysis revealed a significant positive association between spine on capsules and capsule damage (r = 0.360), as well as between presence or absence of bloom and capsule damage (r = 0.270). Spininess of capsules appeared to be a codominant trait, while compactness of the spike showed evidence of dominance. The continuous distribution observed in the F</w:t>
            </w:r>
            <w:r w:rsidRPr="00C333FB">
              <w:rPr>
                <w:rFonts w:ascii="Arial" w:eastAsia="Calibri" w:hAnsi="Arial" w:cs="Arial"/>
                <w:szCs w:val="22"/>
                <w:vertAlign w:val="subscript"/>
              </w:rPr>
              <w:t>2</w:t>
            </w:r>
            <w:r w:rsidRPr="00C126E4">
              <w:rPr>
                <w:rFonts w:ascii="Arial" w:eastAsia="Calibri" w:hAnsi="Arial" w:cs="Arial"/>
                <w:szCs w:val="22"/>
              </w:rPr>
              <w:t xml:space="preserve"> population supports the quantitative nature of capsule borer resistance, indicating that the trait is likely governed by multiple genes. </w:t>
            </w:r>
          </w:p>
          <w:p w14:paraId="08DA2758" w14:textId="51C56487" w:rsidR="00505F06" w:rsidRPr="00BA1B01" w:rsidRDefault="00C126E4" w:rsidP="00C126E4">
            <w:pPr>
              <w:pStyle w:val="Body"/>
              <w:spacing w:after="0"/>
              <w:rPr>
                <w:rFonts w:ascii="Arial" w:eastAsia="Calibri" w:hAnsi="Arial" w:cs="Arial"/>
                <w:szCs w:val="22"/>
              </w:rPr>
            </w:pPr>
            <w:r w:rsidRPr="007F2A89">
              <w:rPr>
                <w:rFonts w:ascii="Arial" w:eastAsia="Calibri" w:hAnsi="Arial" w:cs="Arial"/>
                <w:b/>
                <w:bCs/>
                <w:szCs w:val="22"/>
              </w:rPr>
              <w:t>Conclusion:</w:t>
            </w:r>
            <w:r w:rsidRPr="00C126E4">
              <w:rPr>
                <w:rFonts w:ascii="Arial" w:eastAsia="Calibri" w:hAnsi="Arial" w:cs="Arial"/>
                <w:szCs w:val="22"/>
              </w:rPr>
              <w:t xml:space="preserve"> This genetic variability and inheritance pattern provide a strong basis for developing castor lines with improved resistance to the capsule borer.</w:t>
            </w:r>
          </w:p>
        </w:tc>
      </w:tr>
    </w:tbl>
    <w:p w14:paraId="65C6C308" w14:textId="77777777" w:rsidR="00636EB2" w:rsidRDefault="00636EB2" w:rsidP="00441B6F">
      <w:pPr>
        <w:pStyle w:val="Body"/>
        <w:spacing w:after="0"/>
        <w:rPr>
          <w:rFonts w:ascii="Arial" w:hAnsi="Arial" w:cs="Arial"/>
          <w:i/>
        </w:rPr>
      </w:pPr>
    </w:p>
    <w:p w14:paraId="27422365" w14:textId="352510DE" w:rsidR="003557B9" w:rsidRDefault="00A24E7E" w:rsidP="003557B9">
      <w:pPr>
        <w:pStyle w:val="Body"/>
        <w:spacing w:after="0"/>
        <w:rPr>
          <w:rFonts w:ascii="Arial" w:hAnsi="Arial" w:cs="Arial"/>
        </w:rPr>
      </w:pPr>
      <w:r w:rsidRPr="003557B9">
        <w:rPr>
          <w:rFonts w:ascii="Arial" w:hAnsi="Arial" w:cs="Arial"/>
          <w:b/>
          <w:bCs/>
          <w:i/>
        </w:rPr>
        <w:t>Keywords:</w:t>
      </w:r>
      <w:r>
        <w:rPr>
          <w:rFonts w:ascii="Arial" w:hAnsi="Arial" w:cs="Arial"/>
          <w:i/>
        </w:rPr>
        <w:t xml:space="preserve"> </w:t>
      </w:r>
      <w:r w:rsidR="003557B9" w:rsidRPr="00106B05">
        <w:rPr>
          <w:rFonts w:ascii="Arial" w:hAnsi="Arial" w:cs="Arial"/>
        </w:rPr>
        <w:t>Castor</w:t>
      </w:r>
      <w:r w:rsidR="003557B9">
        <w:rPr>
          <w:rFonts w:ascii="Arial" w:hAnsi="Arial" w:cs="Arial"/>
        </w:rPr>
        <w:t>, Host plant resistance,</w:t>
      </w:r>
      <w:r w:rsidR="001A6016">
        <w:rPr>
          <w:rFonts w:ascii="Arial" w:hAnsi="Arial" w:cs="Arial"/>
        </w:rPr>
        <w:t xml:space="preserve"> </w:t>
      </w:r>
      <w:r w:rsidR="00FB384A">
        <w:rPr>
          <w:rFonts w:ascii="Arial" w:hAnsi="Arial" w:cs="Arial"/>
        </w:rPr>
        <w:t>C</w:t>
      </w:r>
      <w:r w:rsidR="001A6016" w:rsidRPr="002B585B">
        <w:rPr>
          <w:rFonts w:ascii="Arial" w:hAnsi="Arial" w:cs="Arial"/>
        </w:rPr>
        <w:t>oefficients of variation</w:t>
      </w:r>
      <w:r w:rsidR="001A6016">
        <w:rPr>
          <w:rFonts w:ascii="Arial" w:hAnsi="Arial" w:cs="Arial"/>
        </w:rPr>
        <w:t xml:space="preserve"> and </w:t>
      </w:r>
      <w:r w:rsidR="00FB384A">
        <w:rPr>
          <w:rFonts w:ascii="Arial" w:hAnsi="Arial" w:cs="Arial"/>
        </w:rPr>
        <w:t>P</w:t>
      </w:r>
      <w:r w:rsidR="001A6016">
        <w:rPr>
          <w:rFonts w:ascii="Arial" w:hAnsi="Arial" w:cs="Arial"/>
        </w:rPr>
        <w:t>olygenic</w:t>
      </w:r>
    </w:p>
    <w:p w14:paraId="41604ACB" w14:textId="77777777" w:rsidR="003557B9" w:rsidRDefault="003557B9" w:rsidP="003557B9">
      <w:pPr>
        <w:pStyle w:val="Body"/>
        <w:spacing w:after="0"/>
        <w:rPr>
          <w:rFonts w:ascii="Arial" w:hAnsi="Arial" w:cs="Arial"/>
        </w:rPr>
      </w:pPr>
    </w:p>
    <w:p w14:paraId="7F996F4F" w14:textId="3D56AE0F" w:rsidR="00790ADA" w:rsidRPr="003557B9" w:rsidRDefault="00902823" w:rsidP="003557B9">
      <w:pPr>
        <w:pStyle w:val="Body"/>
        <w:spacing w:after="0"/>
        <w:rPr>
          <w:rFonts w:ascii="Arial" w:hAnsi="Arial" w:cs="Arial"/>
          <w:b/>
          <w:bCs/>
        </w:rPr>
      </w:pPr>
      <w:r w:rsidRPr="003557B9">
        <w:rPr>
          <w:rFonts w:ascii="Arial" w:hAnsi="Arial" w:cs="Arial"/>
          <w:b/>
          <w:bCs/>
        </w:rPr>
        <w:t xml:space="preserve">1. </w:t>
      </w:r>
      <w:r w:rsidR="00B01FCD" w:rsidRPr="003557B9">
        <w:rPr>
          <w:rFonts w:ascii="Arial" w:hAnsi="Arial" w:cs="Arial"/>
          <w:b/>
          <w:bCs/>
        </w:rPr>
        <w:t>INTRODUCTION</w:t>
      </w:r>
      <w:r w:rsidR="007F7B32" w:rsidRPr="003557B9">
        <w:rPr>
          <w:rFonts w:ascii="Arial" w:hAnsi="Arial" w:cs="Arial"/>
          <w:b/>
          <w:bCs/>
        </w:rPr>
        <w:t xml:space="preserve"> </w:t>
      </w:r>
    </w:p>
    <w:p w14:paraId="17D5DC23" w14:textId="77777777" w:rsidR="00106B05" w:rsidRPr="00106B05" w:rsidRDefault="00106B05" w:rsidP="00106B05">
      <w:pPr>
        <w:pStyle w:val="Body"/>
        <w:ind w:firstLine="720"/>
        <w:rPr>
          <w:rFonts w:ascii="Arial" w:hAnsi="Arial" w:cs="Arial"/>
        </w:rPr>
      </w:pPr>
      <w:r w:rsidRPr="00106B05">
        <w:rPr>
          <w:rFonts w:ascii="Arial" w:hAnsi="Arial" w:cs="Arial"/>
        </w:rPr>
        <w:t>Castor (</w:t>
      </w:r>
      <w:r w:rsidRPr="00106B05">
        <w:rPr>
          <w:rFonts w:ascii="Arial" w:hAnsi="Arial" w:cs="Arial"/>
          <w:i/>
          <w:iCs/>
        </w:rPr>
        <w:t>Ricinus communis</w:t>
      </w:r>
      <w:r w:rsidRPr="00106B05">
        <w:rPr>
          <w:rFonts w:ascii="Arial" w:hAnsi="Arial" w:cs="Arial"/>
        </w:rPr>
        <w:t xml:space="preserve"> L.) is an ancient and highly important industrial, non-edible oilseed crop grown worldwide, producing 1.82 million metric </w:t>
      </w:r>
      <w:proofErr w:type="spellStart"/>
      <w:r w:rsidRPr="00106B05">
        <w:rPr>
          <w:rFonts w:ascii="Arial" w:hAnsi="Arial" w:cs="Arial"/>
        </w:rPr>
        <w:t>tonnes</w:t>
      </w:r>
      <w:proofErr w:type="spellEnd"/>
      <w:r w:rsidRPr="00106B05">
        <w:rPr>
          <w:rFonts w:ascii="Arial" w:hAnsi="Arial" w:cs="Arial"/>
        </w:rPr>
        <w:t xml:space="preserve"> from 1.21 million hectares of cultivated land </w:t>
      </w:r>
      <w:r w:rsidRPr="00106B05">
        <w:rPr>
          <w:rFonts w:ascii="Arial" w:hAnsi="Arial" w:cs="Arial"/>
          <w:color w:val="FF0000"/>
        </w:rPr>
        <w:t>(FAOSTAT, 2022).</w:t>
      </w:r>
      <w:r w:rsidRPr="00106B05">
        <w:rPr>
          <w:rFonts w:ascii="Arial" w:hAnsi="Arial" w:cs="Arial"/>
        </w:rPr>
        <w:t xml:space="preserve"> India is the leading global producer, followed by China, Brazil, and Thailand, contributing about 1.6 million metric </w:t>
      </w:r>
      <w:proofErr w:type="spellStart"/>
      <w:r w:rsidRPr="00106B05">
        <w:rPr>
          <w:rFonts w:ascii="Arial" w:hAnsi="Arial" w:cs="Arial"/>
        </w:rPr>
        <w:t>tonnes</w:t>
      </w:r>
      <w:proofErr w:type="spellEnd"/>
      <w:r w:rsidRPr="00106B05">
        <w:rPr>
          <w:rFonts w:ascii="Arial" w:hAnsi="Arial" w:cs="Arial"/>
        </w:rPr>
        <w:t xml:space="preserve"> and supplying </w:t>
      </w:r>
      <w:r w:rsidRPr="00106B05">
        <w:rPr>
          <w:rFonts w:ascii="Arial" w:hAnsi="Arial" w:cs="Arial"/>
        </w:rPr>
        <w:lastRenderedPageBreak/>
        <w:t xml:space="preserve">over 80% of the world’s castor oil demand. Nearly 90% of the oil extracted from castor seeds consists of </w:t>
      </w:r>
      <w:proofErr w:type="spellStart"/>
      <w:r w:rsidRPr="00106B05">
        <w:rPr>
          <w:rFonts w:ascii="Arial" w:hAnsi="Arial" w:cs="Arial"/>
        </w:rPr>
        <w:t>ricinoleic</w:t>
      </w:r>
      <w:proofErr w:type="spellEnd"/>
      <w:r w:rsidRPr="00106B05">
        <w:rPr>
          <w:rFonts w:ascii="Arial" w:hAnsi="Arial" w:cs="Arial"/>
        </w:rPr>
        <w:t xml:space="preserve"> acid, a unique hydroxylated fatty acid that lends itself to a wide range of industrial applications </w:t>
      </w:r>
      <w:r w:rsidRPr="00106B05">
        <w:rPr>
          <w:rFonts w:ascii="Arial" w:hAnsi="Arial" w:cs="Arial"/>
          <w:color w:val="FF0000"/>
        </w:rPr>
        <w:t xml:space="preserve">(Ramos </w:t>
      </w:r>
      <w:r w:rsidRPr="00106B05">
        <w:rPr>
          <w:rFonts w:ascii="Arial" w:hAnsi="Arial" w:cs="Arial"/>
          <w:i/>
          <w:iCs/>
          <w:color w:val="FF0000"/>
        </w:rPr>
        <w:t>et al.,</w:t>
      </w:r>
      <w:r w:rsidRPr="00106B05">
        <w:rPr>
          <w:rFonts w:ascii="Arial" w:hAnsi="Arial" w:cs="Arial"/>
          <w:color w:val="FF0000"/>
        </w:rPr>
        <w:t xml:space="preserve"> 1984).</w:t>
      </w:r>
      <w:r w:rsidRPr="00106B05">
        <w:rPr>
          <w:rFonts w:ascii="Arial" w:hAnsi="Arial" w:cs="Arial"/>
        </w:rPr>
        <w:t xml:space="preserve"> Castor seeds are an industrially vital crop, recognized as the sole plant source of </w:t>
      </w:r>
      <w:proofErr w:type="spellStart"/>
      <w:r w:rsidRPr="00106B05">
        <w:rPr>
          <w:rFonts w:ascii="Arial" w:hAnsi="Arial" w:cs="Arial"/>
        </w:rPr>
        <w:t>ricinoleic</w:t>
      </w:r>
      <w:proofErr w:type="spellEnd"/>
      <w:r w:rsidRPr="00106B05">
        <w:rPr>
          <w:rFonts w:ascii="Arial" w:hAnsi="Arial" w:cs="Arial"/>
        </w:rPr>
        <w:t xml:space="preserve"> acid (12-hydroxy-octadeca-9-enoic acid). The seeds have a high oil content (50-55%), with the oil being unusually rich in </w:t>
      </w:r>
      <w:proofErr w:type="spellStart"/>
      <w:r w:rsidRPr="00106B05">
        <w:rPr>
          <w:rFonts w:ascii="Arial" w:hAnsi="Arial" w:cs="Arial"/>
        </w:rPr>
        <w:t>ricinoleic</w:t>
      </w:r>
      <w:proofErr w:type="spellEnd"/>
      <w:r w:rsidRPr="00106B05">
        <w:rPr>
          <w:rFonts w:ascii="Arial" w:hAnsi="Arial" w:cs="Arial"/>
        </w:rPr>
        <w:t xml:space="preserve"> acid (85–95%). Castor oil and its derivatives are extensively used in manufacturing lubricants, textiles, cosmetics, pharmaceuticals, and various other industrial products. Furthermore, its high yield, wide adaptability, and oil content make it a strong candidate for biofuel production.</w:t>
      </w:r>
    </w:p>
    <w:p w14:paraId="026AE995" w14:textId="77777777" w:rsidR="00106B05" w:rsidRPr="00106B05" w:rsidRDefault="00106B05" w:rsidP="00106B05">
      <w:pPr>
        <w:pStyle w:val="Body"/>
        <w:ind w:firstLine="720"/>
        <w:rPr>
          <w:rFonts w:ascii="Arial" w:hAnsi="Arial" w:cs="Arial"/>
        </w:rPr>
      </w:pPr>
      <w:r w:rsidRPr="00106B05">
        <w:rPr>
          <w:rFonts w:ascii="Arial" w:hAnsi="Arial" w:cs="Arial"/>
        </w:rPr>
        <w:t>The Shoot and Capsule Borer (SCB), also known as the yellow peach moth (</w:t>
      </w:r>
      <w:proofErr w:type="spellStart"/>
      <w:r w:rsidRPr="00106B05">
        <w:rPr>
          <w:rFonts w:ascii="Arial" w:hAnsi="Arial" w:cs="Arial"/>
          <w:i/>
          <w:iCs/>
        </w:rPr>
        <w:t>Conogethes</w:t>
      </w:r>
      <w:proofErr w:type="spellEnd"/>
      <w:r w:rsidRPr="00106B05">
        <w:rPr>
          <w:rFonts w:ascii="Arial" w:hAnsi="Arial" w:cs="Arial"/>
          <w:i/>
          <w:iCs/>
        </w:rPr>
        <w:t xml:space="preserve"> </w:t>
      </w:r>
      <w:proofErr w:type="spellStart"/>
      <w:r w:rsidRPr="00106B05">
        <w:rPr>
          <w:rFonts w:ascii="Arial" w:hAnsi="Arial" w:cs="Arial"/>
          <w:i/>
          <w:iCs/>
        </w:rPr>
        <w:t>punctiferalis</w:t>
      </w:r>
      <w:proofErr w:type="spellEnd"/>
      <w:r w:rsidRPr="00106B05">
        <w:rPr>
          <w:rFonts w:ascii="Arial" w:hAnsi="Arial" w:cs="Arial"/>
        </w:rPr>
        <w:t>), is a major pest of castor, causing significant yield losses by damaging the plant's inflorescence (spike). This widely distributed pest attacks numerous crop species. Effectively controlling SCB is challenging because the larvae are concealed within fibrous material, which prevents contact with pesticides. Consequently, using host plant resistance an economical, sustainable, and eco-friendly strategy and the preferred management option. Research suggests that castor varieties differ in their susceptibility to SCB, with the spike morphology influencing the level of capsule damage.</w:t>
      </w:r>
    </w:p>
    <w:p w14:paraId="4DEA5D29" w14:textId="5A8FBBD0" w:rsidR="00790ADA" w:rsidRPr="00FB3A86" w:rsidRDefault="00106B05" w:rsidP="002B585B">
      <w:pPr>
        <w:pStyle w:val="Body"/>
        <w:ind w:firstLine="720"/>
        <w:rPr>
          <w:rFonts w:ascii="Arial" w:hAnsi="Arial" w:cs="Arial"/>
        </w:rPr>
      </w:pPr>
      <w:proofErr w:type="spellStart"/>
      <w:r w:rsidRPr="00106B05">
        <w:rPr>
          <w:rFonts w:ascii="Arial" w:hAnsi="Arial" w:cs="Arial"/>
        </w:rPr>
        <w:t>Spineness</w:t>
      </w:r>
      <w:proofErr w:type="spellEnd"/>
      <w:r w:rsidRPr="00106B05">
        <w:rPr>
          <w:rFonts w:ascii="Arial" w:hAnsi="Arial" w:cs="Arial"/>
        </w:rPr>
        <w:t xml:space="preserve"> (classified as spiny or non-spiny) and compactness (classified as compact, semi-compact, or loose) are morphological traits of castor that are thought to contribute to capsule borer resistance </w:t>
      </w:r>
      <w:r w:rsidRPr="00106B05">
        <w:rPr>
          <w:rFonts w:ascii="Arial" w:hAnsi="Arial" w:cs="Arial"/>
          <w:color w:val="FF0000"/>
        </w:rPr>
        <w:t xml:space="preserve">(Sathishkumar </w:t>
      </w:r>
      <w:r w:rsidRPr="00106B05">
        <w:rPr>
          <w:rFonts w:ascii="Arial" w:hAnsi="Arial" w:cs="Arial"/>
          <w:i/>
          <w:iCs/>
          <w:color w:val="FF0000"/>
        </w:rPr>
        <w:t>et al.,</w:t>
      </w:r>
      <w:r w:rsidRPr="00106B05">
        <w:rPr>
          <w:rFonts w:ascii="Arial" w:hAnsi="Arial" w:cs="Arial"/>
          <w:color w:val="FF0000"/>
        </w:rPr>
        <w:t xml:space="preserve"> 2022).</w:t>
      </w:r>
      <w:r w:rsidRPr="00106B05">
        <w:rPr>
          <w:rFonts w:ascii="Arial" w:hAnsi="Arial" w:cs="Arial"/>
        </w:rPr>
        <w:t xml:space="preserve"> However, there is currently limited or outdated information available regarding the inheritance patterns of these specific morphological traits. While earlier studies focused on the inheritance of traits like leaf/stem color, bloom, and seed coat characteristics </w:t>
      </w:r>
      <w:r w:rsidRPr="00106B05">
        <w:rPr>
          <w:rFonts w:ascii="Arial" w:hAnsi="Arial" w:cs="Arial"/>
          <w:color w:val="FF0000"/>
        </w:rPr>
        <w:t>(Harland, 1922; Peat, 1928),</w:t>
      </w:r>
      <w:r w:rsidRPr="00106B05">
        <w:rPr>
          <w:rFonts w:ascii="Arial" w:hAnsi="Arial" w:cs="Arial"/>
        </w:rPr>
        <w:t xml:space="preserve"> the direct relationship between inflorescence morphology and capsule borer resistance has not yet been established. Therefore, this study was conducted to precisely determine the relationship between these morphological features and the incidence of Shoot and Capsule Borer (SCB).</w:t>
      </w:r>
    </w:p>
    <w:p w14:paraId="57D43B76" w14:textId="482BFD80"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C2F36C3" w14:textId="4D8A9D48" w:rsidR="002B585B" w:rsidRPr="002B585B" w:rsidRDefault="002B585B" w:rsidP="002B585B">
      <w:pPr>
        <w:pStyle w:val="Body"/>
        <w:ind w:firstLine="720"/>
        <w:rPr>
          <w:rFonts w:ascii="Arial" w:hAnsi="Arial" w:cs="Arial"/>
        </w:rPr>
      </w:pPr>
      <w:r w:rsidRPr="002B585B">
        <w:rPr>
          <w:rFonts w:ascii="Arial" w:hAnsi="Arial" w:cs="Arial"/>
        </w:rPr>
        <w:t>Two inbred lines, DCS-9 (susceptible) and RG-2774 (resistant), were crossed to produce F</w:t>
      </w:r>
      <w:r w:rsidRPr="00AD3DA4">
        <w:rPr>
          <w:rFonts w:ascii="Arial" w:hAnsi="Arial" w:cs="Arial"/>
          <w:vertAlign w:val="subscript"/>
        </w:rPr>
        <w:t>1</w:t>
      </w:r>
      <w:r w:rsidRPr="002B585B">
        <w:rPr>
          <w:rFonts w:ascii="Arial" w:hAnsi="Arial" w:cs="Arial"/>
        </w:rPr>
        <w:t xml:space="preserve"> progeny. DCS-9, a commercial variety and a parent of mapping population, is characterized by medium height, red stems, double bloom, spiny capsules, normal internodes, flat leaves and with monoecious inflorescence. RG-2774, a germplasm line is distinguished by non-spiny capsules, double bloom, and red stems. During Rabi 2022, F</w:t>
      </w:r>
      <w:r w:rsidRPr="00AD3DA4">
        <w:rPr>
          <w:rFonts w:ascii="Arial" w:hAnsi="Arial" w:cs="Arial"/>
          <w:vertAlign w:val="subscript"/>
        </w:rPr>
        <w:t xml:space="preserve">1 </w:t>
      </w:r>
      <w:r w:rsidRPr="002B585B">
        <w:rPr>
          <w:rFonts w:ascii="Arial" w:hAnsi="Arial" w:cs="Arial"/>
        </w:rPr>
        <w:t xml:space="preserve">individuals were </w:t>
      </w:r>
      <w:proofErr w:type="spellStart"/>
      <w:r w:rsidRPr="002B585B">
        <w:rPr>
          <w:rFonts w:ascii="Arial" w:hAnsi="Arial" w:cs="Arial"/>
        </w:rPr>
        <w:t>selfed</w:t>
      </w:r>
      <w:proofErr w:type="spellEnd"/>
      <w:r w:rsidRPr="002B585B">
        <w:rPr>
          <w:rFonts w:ascii="Arial" w:hAnsi="Arial" w:cs="Arial"/>
        </w:rPr>
        <w:t xml:space="preserve"> to produce F</w:t>
      </w:r>
      <w:r w:rsidRPr="00AD3DA4">
        <w:rPr>
          <w:rFonts w:ascii="Arial" w:hAnsi="Arial" w:cs="Arial"/>
          <w:vertAlign w:val="subscript"/>
        </w:rPr>
        <w:t>2</w:t>
      </w:r>
      <w:r w:rsidRPr="002B585B">
        <w:rPr>
          <w:rFonts w:ascii="Arial" w:hAnsi="Arial" w:cs="Arial"/>
        </w:rPr>
        <w:t xml:space="preserve"> progenies and simultaneously backcrossed with both parents. The backcross with DCS-9 (P</w:t>
      </w:r>
      <w:r w:rsidRPr="00AD3DA4">
        <w:rPr>
          <w:rFonts w:ascii="Arial" w:hAnsi="Arial" w:cs="Arial"/>
          <w:vertAlign w:val="subscript"/>
        </w:rPr>
        <w:t>1</w:t>
      </w:r>
      <w:r w:rsidRPr="002B585B">
        <w:rPr>
          <w:rFonts w:ascii="Arial" w:hAnsi="Arial" w:cs="Arial"/>
        </w:rPr>
        <w:t>) was designated as BC</w:t>
      </w:r>
      <w:r w:rsidRPr="00AD3DA4">
        <w:rPr>
          <w:rFonts w:ascii="Arial" w:hAnsi="Arial" w:cs="Arial"/>
          <w:vertAlign w:val="subscript"/>
        </w:rPr>
        <w:t>1</w:t>
      </w:r>
      <w:r w:rsidRPr="002B585B">
        <w:rPr>
          <w:rFonts w:ascii="Arial" w:hAnsi="Arial" w:cs="Arial"/>
        </w:rPr>
        <w:t>P</w:t>
      </w:r>
      <w:r w:rsidRPr="00AD3DA4">
        <w:rPr>
          <w:rFonts w:ascii="Arial" w:hAnsi="Arial" w:cs="Arial"/>
          <w:vertAlign w:val="subscript"/>
        </w:rPr>
        <w:t>1</w:t>
      </w:r>
      <w:r w:rsidRPr="002B585B">
        <w:rPr>
          <w:rFonts w:ascii="Arial" w:hAnsi="Arial" w:cs="Arial"/>
        </w:rPr>
        <w:t>, while the backcross with RG-2774 (P</w:t>
      </w:r>
      <w:r w:rsidRPr="00AD3DA4">
        <w:rPr>
          <w:rFonts w:ascii="Arial" w:hAnsi="Arial" w:cs="Arial"/>
          <w:vertAlign w:val="subscript"/>
        </w:rPr>
        <w:t>2</w:t>
      </w:r>
      <w:r w:rsidRPr="002B585B">
        <w:rPr>
          <w:rFonts w:ascii="Arial" w:hAnsi="Arial" w:cs="Arial"/>
        </w:rPr>
        <w:t>) was designated as BC</w:t>
      </w:r>
      <w:r w:rsidRPr="00AD3DA4">
        <w:rPr>
          <w:rFonts w:ascii="Arial" w:hAnsi="Arial" w:cs="Arial"/>
          <w:vertAlign w:val="subscript"/>
        </w:rPr>
        <w:t>1</w:t>
      </w:r>
      <w:r w:rsidRPr="002B585B">
        <w:rPr>
          <w:rFonts w:ascii="Arial" w:hAnsi="Arial" w:cs="Arial"/>
        </w:rPr>
        <w:t>P</w:t>
      </w:r>
      <w:r w:rsidRPr="00AD3DA4">
        <w:rPr>
          <w:rFonts w:ascii="Arial" w:hAnsi="Arial" w:cs="Arial"/>
          <w:vertAlign w:val="subscript"/>
        </w:rPr>
        <w:t>2</w:t>
      </w:r>
      <w:r w:rsidRPr="002B585B">
        <w:rPr>
          <w:rFonts w:ascii="Arial" w:hAnsi="Arial" w:cs="Arial"/>
        </w:rPr>
        <w:t xml:space="preserve">. In August 2023, </w:t>
      </w:r>
      <w:r w:rsidR="00AD3DA4" w:rsidRPr="00C126E4">
        <w:rPr>
          <w:rFonts w:ascii="Arial" w:eastAsia="Calibri" w:hAnsi="Arial" w:cs="Arial"/>
          <w:szCs w:val="22"/>
        </w:rPr>
        <w:t>the P</w:t>
      </w:r>
      <w:r w:rsidR="00AD3DA4" w:rsidRPr="008A0366">
        <w:rPr>
          <w:rFonts w:ascii="Arial" w:eastAsia="Calibri" w:hAnsi="Arial" w:cs="Arial"/>
          <w:szCs w:val="22"/>
          <w:vertAlign w:val="subscript"/>
        </w:rPr>
        <w:t>1</w:t>
      </w:r>
      <w:r w:rsidR="00AD3DA4" w:rsidRPr="00C126E4">
        <w:rPr>
          <w:rFonts w:ascii="Arial" w:eastAsia="Calibri" w:hAnsi="Arial" w:cs="Arial"/>
          <w:szCs w:val="22"/>
        </w:rPr>
        <w:t>, P</w:t>
      </w:r>
      <w:r w:rsidR="00AD3DA4" w:rsidRPr="008A0366">
        <w:rPr>
          <w:rFonts w:ascii="Arial" w:eastAsia="Calibri" w:hAnsi="Arial" w:cs="Arial"/>
          <w:szCs w:val="22"/>
          <w:vertAlign w:val="subscript"/>
        </w:rPr>
        <w:t>2</w:t>
      </w:r>
      <w:r w:rsidR="00AD3DA4" w:rsidRPr="00C126E4">
        <w:rPr>
          <w:rFonts w:ascii="Arial" w:eastAsia="Calibri" w:hAnsi="Arial" w:cs="Arial"/>
          <w:szCs w:val="22"/>
        </w:rPr>
        <w:t>, F</w:t>
      </w:r>
      <w:r w:rsidR="00AD3DA4" w:rsidRPr="008A0366">
        <w:rPr>
          <w:rFonts w:ascii="Arial" w:eastAsia="Calibri" w:hAnsi="Arial" w:cs="Arial"/>
          <w:szCs w:val="22"/>
          <w:vertAlign w:val="subscript"/>
        </w:rPr>
        <w:t>1</w:t>
      </w:r>
      <w:r w:rsidR="00AD3DA4" w:rsidRPr="00C126E4">
        <w:rPr>
          <w:rFonts w:ascii="Arial" w:eastAsia="Calibri" w:hAnsi="Arial" w:cs="Arial"/>
          <w:szCs w:val="22"/>
        </w:rPr>
        <w:t>, F</w:t>
      </w:r>
      <w:r w:rsidR="00AD3DA4" w:rsidRPr="008A0366">
        <w:rPr>
          <w:rFonts w:ascii="Arial" w:eastAsia="Calibri" w:hAnsi="Arial" w:cs="Arial"/>
          <w:szCs w:val="22"/>
          <w:vertAlign w:val="subscript"/>
        </w:rPr>
        <w:t>2</w:t>
      </w:r>
      <w:r w:rsidR="00AD3DA4" w:rsidRPr="00C126E4">
        <w:rPr>
          <w:rFonts w:ascii="Arial" w:eastAsia="Calibri" w:hAnsi="Arial" w:cs="Arial"/>
          <w:szCs w:val="22"/>
        </w:rPr>
        <w:t>, BC</w:t>
      </w:r>
      <w:r w:rsidR="00AD3DA4" w:rsidRPr="008A0366">
        <w:rPr>
          <w:rFonts w:ascii="Arial" w:eastAsia="Calibri" w:hAnsi="Arial" w:cs="Arial"/>
          <w:szCs w:val="22"/>
          <w:vertAlign w:val="subscript"/>
        </w:rPr>
        <w:t>1</w:t>
      </w:r>
      <w:r w:rsidR="00AD3DA4" w:rsidRPr="00C126E4">
        <w:rPr>
          <w:rFonts w:ascii="Arial" w:eastAsia="Calibri" w:hAnsi="Arial" w:cs="Arial"/>
          <w:szCs w:val="22"/>
        </w:rPr>
        <w:t>P</w:t>
      </w:r>
      <w:r w:rsidR="00AD3DA4" w:rsidRPr="008A0366">
        <w:rPr>
          <w:rFonts w:ascii="Arial" w:eastAsia="Calibri" w:hAnsi="Arial" w:cs="Arial"/>
          <w:szCs w:val="22"/>
          <w:vertAlign w:val="subscript"/>
        </w:rPr>
        <w:t>1</w:t>
      </w:r>
      <w:r w:rsidR="00AD3DA4" w:rsidRPr="00C126E4">
        <w:rPr>
          <w:rFonts w:ascii="Arial" w:eastAsia="Calibri" w:hAnsi="Arial" w:cs="Arial"/>
          <w:szCs w:val="22"/>
        </w:rPr>
        <w:t>, and BC</w:t>
      </w:r>
      <w:r w:rsidR="00AD3DA4" w:rsidRPr="008A0366">
        <w:rPr>
          <w:rFonts w:ascii="Arial" w:eastAsia="Calibri" w:hAnsi="Arial" w:cs="Arial"/>
          <w:szCs w:val="22"/>
          <w:vertAlign w:val="subscript"/>
        </w:rPr>
        <w:t>1</w:t>
      </w:r>
      <w:r w:rsidR="00AD3DA4" w:rsidRPr="00C126E4">
        <w:rPr>
          <w:rFonts w:ascii="Arial" w:eastAsia="Calibri" w:hAnsi="Arial" w:cs="Arial"/>
          <w:szCs w:val="22"/>
        </w:rPr>
        <w:t>P</w:t>
      </w:r>
      <w:r w:rsidR="00AD3DA4" w:rsidRPr="008A0366">
        <w:rPr>
          <w:rFonts w:ascii="Arial" w:eastAsia="Calibri" w:hAnsi="Arial" w:cs="Arial"/>
          <w:szCs w:val="22"/>
          <w:vertAlign w:val="subscript"/>
        </w:rPr>
        <w:t>2</w:t>
      </w:r>
      <w:r w:rsidRPr="002B585B">
        <w:rPr>
          <w:rFonts w:ascii="Arial" w:hAnsi="Arial" w:cs="Arial"/>
        </w:rPr>
        <w:t xml:space="preserve"> generations of the DCS-9 × RG-2774 cross was planted at ICAR-IIOR. Each line was sown in 6-meter rows, with 90 cm spacing between rows and 60 cm between plants, while the susceptible check, DCS-9, was planted after every fourth row. These generations were replicated twice. The number of plants observed varied across generations, with 60 plants from the parental generations, 280 from the F</w:t>
      </w:r>
      <w:r w:rsidRPr="001357FE">
        <w:rPr>
          <w:rFonts w:ascii="Arial" w:hAnsi="Arial" w:cs="Arial"/>
          <w:vertAlign w:val="subscript"/>
        </w:rPr>
        <w:t>2</w:t>
      </w:r>
      <w:r w:rsidRPr="002B585B">
        <w:rPr>
          <w:rFonts w:ascii="Arial" w:hAnsi="Arial" w:cs="Arial"/>
        </w:rPr>
        <w:t xml:space="preserve"> generation, and 60 each from the F</w:t>
      </w:r>
      <w:r w:rsidRPr="001357FE">
        <w:rPr>
          <w:rFonts w:ascii="Arial" w:hAnsi="Arial" w:cs="Arial"/>
          <w:vertAlign w:val="subscript"/>
        </w:rPr>
        <w:t>1</w:t>
      </w:r>
      <w:r w:rsidRPr="002B585B">
        <w:rPr>
          <w:rFonts w:ascii="Arial" w:hAnsi="Arial" w:cs="Arial"/>
        </w:rPr>
        <w:t xml:space="preserve">, </w:t>
      </w:r>
      <w:r w:rsidR="001357FE" w:rsidRPr="00C126E4">
        <w:rPr>
          <w:rFonts w:ascii="Arial" w:eastAsia="Calibri" w:hAnsi="Arial" w:cs="Arial"/>
          <w:szCs w:val="22"/>
        </w:rPr>
        <w:t>BC</w:t>
      </w:r>
      <w:r w:rsidR="001357FE" w:rsidRPr="008A0366">
        <w:rPr>
          <w:rFonts w:ascii="Arial" w:eastAsia="Calibri" w:hAnsi="Arial" w:cs="Arial"/>
          <w:szCs w:val="22"/>
          <w:vertAlign w:val="subscript"/>
        </w:rPr>
        <w:t>1</w:t>
      </w:r>
      <w:r w:rsidR="001357FE" w:rsidRPr="00C126E4">
        <w:rPr>
          <w:rFonts w:ascii="Arial" w:eastAsia="Calibri" w:hAnsi="Arial" w:cs="Arial"/>
          <w:szCs w:val="22"/>
        </w:rPr>
        <w:t>P</w:t>
      </w:r>
      <w:r w:rsidR="001357FE">
        <w:rPr>
          <w:rFonts w:ascii="Arial" w:eastAsia="Calibri" w:hAnsi="Arial" w:cs="Arial"/>
          <w:szCs w:val="22"/>
          <w:vertAlign w:val="subscript"/>
        </w:rPr>
        <w:t>1</w:t>
      </w:r>
      <w:r w:rsidRPr="002B585B">
        <w:rPr>
          <w:rFonts w:ascii="Arial" w:hAnsi="Arial" w:cs="Arial"/>
        </w:rPr>
        <w:t xml:space="preserve">, and </w:t>
      </w:r>
      <w:r w:rsidR="001357FE" w:rsidRPr="00C126E4">
        <w:rPr>
          <w:rFonts w:ascii="Arial" w:eastAsia="Calibri" w:hAnsi="Arial" w:cs="Arial"/>
          <w:szCs w:val="22"/>
        </w:rPr>
        <w:t>BC</w:t>
      </w:r>
      <w:r w:rsidR="001357FE" w:rsidRPr="008A0366">
        <w:rPr>
          <w:rFonts w:ascii="Arial" w:eastAsia="Calibri" w:hAnsi="Arial" w:cs="Arial"/>
          <w:szCs w:val="22"/>
          <w:vertAlign w:val="subscript"/>
        </w:rPr>
        <w:t>1</w:t>
      </w:r>
      <w:r w:rsidR="001357FE" w:rsidRPr="00C126E4">
        <w:rPr>
          <w:rFonts w:ascii="Arial" w:eastAsia="Calibri" w:hAnsi="Arial" w:cs="Arial"/>
          <w:szCs w:val="22"/>
        </w:rPr>
        <w:t>P</w:t>
      </w:r>
      <w:r w:rsidR="001357FE" w:rsidRPr="008A0366">
        <w:rPr>
          <w:rFonts w:ascii="Arial" w:eastAsia="Calibri" w:hAnsi="Arial" w:cs="Arial"/>
          <w:szCs w:val="22"/>
          <w:vertAlign w:val="subscript"/>
        </w:rPr>
        <w:t>2</w:t>
      </w:r>
      <w:r w:rsidRPr="002B585B">
        <w:rPr>
          <w:rFonts w:ascii="Arial" w:hAnsi="Arial" w:cs="Arial"/>
        </w:rPr>
        <w:t xml:space="preserve"> generations. Data were recorded on per cent capsule borer damage.</w:t>
      </w:r>
    </w:p>
    <w:p w14:paraId="132A371C" w14:textId="1A54BDCB" w:rsidR="00A03B96" w:rsidRDefault="002B585B" w:rsidP="002B585B">
      <w:pPr>
        <w:pStyle w:val="Body"/>
        <w:spacing w:after="0"/>
        <w:ind w:firstLine="720"/>
        <w:rPr>
          <w:rFonts w:ascii="Arial" w:hAnsi="Arial" w:cs="Arial"/>
        </w:rPr>
      </w:pPr>
      <w:r w:rsidRPr="002B585B">
        <w:rPr>
          <w:rFonts w:ascii="Arial" w:hAnsi="Arial" w:cs="Arial"/>
        </w:rPr>
        <w:t xml:space="preserve">The spike characteristics </w:t>
      </w:r>
      <w:r w:rsidRPr="002B585B">
        <w:rPr>
          <w:rFonts w:ascii="Arial" w:hAnsi="Arial" w:cs="Arial"/>
          <w:i/>
          <w:iCs/>
        </w:rPr>
        <w:t>viz.</w:t>
      </w:r>
      <w:r w:rsidRPr="002B585B">
        <w:rPr>
          <w:rFonts w:ascii="Arial" w:hAnsi="Arial" w:cs="Arial"/>
        </w:rPr>
        <w:t xml:space="preserve">, spine on capsules, presence/absence of bloom and compactness of the spike were recorded for all the selected plants. The per cent capsule damage for all the plants were worked out by counting the damaged and healthy capsules. As the independent variables are nominal and the dependent variable is continuous, point biserial correlation was used to assess the relationship. The phenotypic and genotypic coefficients of variation (PCV and GCV) were calculated using the formula given by </w:t>
      </w:r>
      <w:r w:rsidRPr="002B585B">
        <w:rPr>
          <w:rFonts w:ascii="Arial" w:hAnsi="Arial" w:cs="Arial"/>
          <w:color w:val="FF0000"/>
        </w:rPr>
        <w:t>Burton and Devane (1953)</w:t>
      </w:r>
      <w:r w:rsidRPr="002B585B">
        <w:rPr>
          <w:rFonts w:ascii="Arial" w:hAnsi="Arial" w:cs="Arial"/>
        </w:rPr>
        <w:t xml:space="preserve"> and heritability and genetic advance by </w:t>
      </w:r>
      <w:r w:rsidRPr="002B585B">
        <w:rPr>
          <w:rFonts w:ascii="Arial" w:hAnsi="Arial" w:cs="Arial"/>
          <w:color w:val="FF0000"/>
        </w:rPr>
        <w:t xml:space="preserve">Johnson </w:t>
      </w:r>
      <w:r w:rsidRPr="002B585B">
        <w:rPr>
          <w:rFonts w:ascii="Arial" w:hAnsi="Arial" w:cs="Arial"/>
          <w:i/>
          <w:iCs/>
          <w:color w:val="FF0000"/>
        </w:rPr>
        <w:t>et al.,</w:t>
      </w:r>
      <w:r w:rsidRPr="002B585B">
        <w:rPr>
          <w:rFonts w:ascii="Arial" w:hAnsi="Arial" w:cs="Arial"/>
          <w:color w:val="FF0000"/>
        </w:rPr>
        <w:t xml:space="preserve"> (1955).</w:t>
      </w:r>
      <w:r w:rsidRPr="002B585B">
        <w:rPr>
          <w:rFonts w:ascii="Arial" w:hAnsi="Arial" w:cs="Arial"/>
        </w:rPr>
        <w:t xml:space="preserve"> Chi-</w:t>
      </w:r>
      <w:r w:rsidRPr="002B585B">
        <w:rPr>
          <w:rFonts w:ascii="Arial" w:hAnsi="Arial" w:cs="Arial"/>
        </w:rPr>
        <w:lastRenderedPageBreak/>
        <w:t>square test was used to check goodness of fit of the wilt resistance scores of F2 and BC1F1 populations to various classical Mendelian ratios. The Chi-square value was calculated as per the standard formula χ</w:t>
      </w:r>
      <w:r w:rsidRPr="002B585B">
        <w:rPr>
          <w:rFonts w:ascii="Arial" w:hAnsi="Arial" w:cs="Arial"/>
          <w:vertAlign w:val="superscript"/>
        </w:rPr>
        <w:t>2</w:t>
      </w:r>
      <w:r w:rsidRPr="002B585B">
        <w:rPr>
          <w:rFonts w:ascii="Arial" w:hAnsi="Arial" w:cs="Arial"/>
        </w:rPr>
        <w:t xml:space="preserve"> = Σ (O–E)</w:t>
      </w:r>
      <w:r w:rsidRPr="002B585B">
        <w:rPr>
          <w:rFonts w:ascii="Arial" w:hAnsi="Arial" w:cs="Arial"/>
          <w:vertAlign w:val="superscript"/>
        </w:rPr>
        <w:t>2</w:t>
      </w:r>
      <w:r w:rsidRPr="002B585B">
        <w:rPr>
          <w:rFonts w:ascii="Arial" w:hAnsi="Arial" w:cs="Arial"/>
        </w:rPr>
        <w:t>/E, where O = observed frequency of resistant/susceptible plants and E = expected frequency of resistant/susceptible plants. The deviation between observed and expected ratios was considered non-significant, if the calculated χ</w:t>
      </w:r>
      <w:r w:rsidRPr="002B585B">
        <w:rPr>
          <w:rFonts w:ascii="Arial" w:hAnsi="Arial" w:cs="Arial"/>
          <w:vertAlign w:val="superscript"/>
        </w:rPr>
        <w:t>2</w:t>
      </w:r>
      <w:r w:rsidRPr="002B585B">
        <w:rPr>
          <w:rFonts w:ascii="Arial" w:hAnsi="Arial" w:cs="Arial"/>
        </w:rPr>
        <w:t xml:space="preserve"> value was lesser than the tabular value at P = 0.05 for (n−1) degrees of freedom, where ‘n’ is the total number of phenotypic categories/classes.</w:t>
      </w:r>
    </w:p>
    <w:p w14:paraId="5590E19F" w14:textId="77777777" w:rsidR="00A03B96" w:rsidRDefault="00A03B96" w:rsidP="00441B6F">
      <w:pPr>
        <w:pStyle w:val="Body"/>
        <w:spacing w:after="0"/>
        <w:rPr>
          <w:rFonts w:ascii="Arial" w:hAnsi="Arial" w:cs="Arial"/>
        </w:rPr>
      </w:pPr>
    </w:p>
    <w:p w14:paraId="02D99670" w14:textId="7EF315E0"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62F26B" w14:textId="77777777" w:rsidR="007C3141" w:rsidRPr="007C3141" w:rsidRDefault="007C3141" w:rsidP="007C3141">
      <w:pPr>
        <w:pStyle w:val="ConcHead"/>
        <w:ind w:firstLine="720"/>
        <w:jc w:val="both"/>
        <w:rPr>
          <w:rFonts w:ascii="Arial" w:hAnsi="Arial" w:cs="Arial"/>
          <w:b w:val="0"/>
          <w:caps w:val="0"/>
          <w:sz w:val="20"/>
        </w:rPr>
      </w:pPr>
      <w:r w:rsidRPr="007C3141">
        <w:rPr>
          <w:rFonts w:ascii="Arial" w:hAnsi="Arial" w:cs="Arial"/>
          <w:b w:val="0"/>
          <w:caps w:val="0"/>
          <w:sz w:val="20"/>
        </w:rPr>
        <w:t xml:space="preserve">The nature of gene action and the number of genes governing a trait can be inferred through critical analysis of distribution properties using third-order statistics, such as skewness and kurtosis. These parameters provide deeper insights than first- and second-order statistics, which mainly reveal interaction effects </w:t>
      </w:r>
      <w:r w:rsidRPr="007C3141">
        <w:rPr>
          <w:rFonts w:ascii="Arial" w:hAnsi="Arial" w:cs="Arial"/>
          <w:b w:val="0"/>
          <w:caps w:val="0"/>
          <w:color w:val="FF0000"/>
          <w:sz w:val="20"/>
        </w:rPr>
        <w:t xml:space="preserve">(Rani </w:t>
      </w:r>
      <w:r w:rsidRPr="007C3141">
        <w:rPr>
          <w:rFonts w:ascii="Arial" w:hAnsi="Arial" w:cs="Arial"/>
          <w:b w:val="0"/>
          <w:i/>
          <w:iCs/>
          <w:caps w:val="0"/>
          <w:color w:val="FF0000"/>
          <w:sz w:val="20"/>
        </w:rPr>
        <w:t>et al.,</w:t>
      </w:r>
      <w:r w:rsidRPr="007C3141">
        <w:rPr>
          <w:rFonts w:ascii="Arial" w:hAnsi="Arial" w:cs="Arial"/>
          <w:b w:val="0"/>
          <w:caps w:val="0"/>
          <w:color w:val="FF0000"/>
          <w:sz w:val="20"/>
        </w:rPr>
        <w:t xml:space="preserve"> 2016).</w:t>
      </w:r>
      <w:r w:rsidRPr="007C3141">
        <w:rPr>
          <w:rFonts w:ascii="Arial" w:hAnsi="Arial" w:cs="Arial"/>
          <w:b w:val="0"/>
          <w:caps w:val="0"/>
          <w:sz w:val="20"/>
        </w:rPr>
        <w:t xml:space="preserve"> Skewness reflects the direction and extent of deviation from the central tendency: positive skewness suggests control by dominant and complementary gene action, while negative skewness indicates dominant and duplicate epistasis. Kurtosis describes the </w:t>
      </w:r>
      <w:proofErr w:type="spellStart"/>
      <w:r w:rsidRPr="007C3141">
        <w:rPr>
          <w:rFonts w:ascii="Arial" w:hAnsi="Arial" w:cs="Arial"/>
          <w:b w:val="0"/>
          <w:caps w:val="0"/>
          <w:sz w:val="20"/>
        </w:rPr>
        <w:t>peakedness</w:t>
      </w:r>
      <w:proofErr w:type="spellEnd"/>
      <w:r w:rsidRPr="007C3141">
        <w:rPr>
          <w:rFonts w:ascii="Arial" w:hAnsi="Arial" w:cs="Arial"/>
          <w:b w:val="0"/>
          <w:caps w:val="0"/>
          <w:sz w:val="20"/>
        </w:rPr>
        <w:t xml:space="preserve"> of a distribution; a leptokurtic pattern implies that the trait is influenced by a few genes, whereas a platykurtic distribution suggests regulation by many genes.</w:t>
      </w:r>
    </w:p>
    <w:p w14:paraId="33FAAB25" w14:textId="77777777" w:rsidR="007C3141" w:rsidRDefault="007C3141" w:rsidP="007C3141">
      <w:pPr>
        <w:pStyle w:val="ConcHead"/>
        <w:ind w:firstLine="720"/>
        <w:jc w:val="both"/>
        <w:rPr>
          <w:rFonts w:ascii="Arial" w:hAnsi="Arial" w:cs="Arial"/>
          <w:b w:val="0"/>
          <w:caps w:val="0"/>
          <w:sz w:val="20"/>
        </w:rPr>
      </w:pPr>
      <w:r w:rsidRPr="007C3141">
        <w:rPr>
          <w:rFonts w:ascii="Arial" w:hAnsi="Arial" w:cs="Arial"/>
          <w:b w:val="0"/>
          <w:caps w:val="0"/>
          <w:sz w:val="20"/>
        </w:rPr>
        <w:t>The descriptive analysis (Table 1) revealed that the morphological traits (spine and compactness) were more stable than the capsule borer incidence. Spine showed moderate variability and a symmetrical distribution, suggesting consistency among genotypes. Compactness displayed low to moderate variability but a strong negative skew, indicating that high compactness is typical, with only a few genotypes having low values. Crucially, the percent capsule borer incidence (0–100%) exhibited very high variability, reflecting a wide spectrum of susceptibility across the population. The incidence's slight positive skew and broad, flat distribution further confirmed the presence of both highly susceptible and highly resistant genotypes. This clear distinction between the stability of the morphological traits and the wide range in borer incidence makes the assessed population valuable for resistance breeding and genetic analysis.</w:t>
      </w:r>
    </w:p>
    <w:p w14:paraId="62E626B0" w14:textId="77777777" w:rsidR="00317631" w:rsidRPr="00317631" w:rsidRDefault="00317631" w:rsidP="00404FA9">
      <w:pPr>
        <w:spacing w:line="276" w:lineRule="auto"/>
        <w:jc w:val="both"/>
        <w:rPr>
          <w:rFonts w:ascii="Arial" w:hAnsi="Arial" w:cs="Arial"/>
        </w:rPr>
      </w:pPr>
      <w:r w:rsidRPr="00317631">
        <w:rPr>
          <w:rFonts w:ascii="Arial" w:hAnsi="Arial" w:cs="Arial"/>
          <w:b/>
          <w:bCs/>
        </w:rPr>
        <w:t>Table 1. Descriptive statistics of studied traits in F</w:t>
      </w:r>
      <w:r w:rsidRPr="00317631">
        <w:rPr>
          <w:rFonts w:ascii="Arial" w:hAnsi="Arial" w:cs="Arial"/>
          <w:b/>
          <w:bCs/>
          <w:vertAlign w:val="subscript"/>
        </w:rPr>
        <w:t>2</w:t>
      </w:r>
      <w:r w:rsidRPr="00317631">
        <w:rPr>
          <w:rFonts w:ascii="Arial" w:hAnsi="Arial" w:cs="Arial"/>
          <w:b/>
          <w:bCs/>
        </w:rPr>
        <w:t xml:space="preserve"> population of DCS-9 x RG-2774 cross</w:t>
      </w:r>
    </w:p>
    <w:tbl>
      <w:tblPr>
        <w:tblW w:w="8419" w:type="dxa"/>
        <w:tblLook w:val="04A0" w:firstRow="1" w:lastRow="0" w:firstColumn="1" w:lastColumn="0" w:noHBand="0" w:noVBand="1"/>
      </w:tblPr>
      <w:tblGrid>
        <w:gridCol w:w="2566"/>
        <w:gridCol w:w="1763"/>
        <w:gridCol w:w="1692"/>
        <w:gridCol w:w="2398"/>
      </w:tblGrid>
      <w:tr w:rsidR="00317631" w:rsidRPr="00317631" w14:paraId="5F0C75D7" w14:textId="77777777" w:rsidTr="00317631">
        <w:trPr>
          <w:trHeight w:val="134"/>
        </w:trPr>
        <w:tc>
          <w:tcPr>
            <w:tcW w:w="2566" w:type="dxa"/>
            <w:tcBorders>
              <w:top w:val="single" w:sz="4" w:space="0" w:color="auto"/>
              <w:left w:val="single" w:sz="4" w:space="0" w:color="auto"/>
              <w:bottom w:val="single" w:sz="4" w:space="0" w:color="auto"/>
              <w:right w:val="single" w:sz="4" w:space="0" w:color="auto"/>
            </w:tcBorders>
            <w:noWrap/>
            <w:vAlign w:val="bottom"/>
            <w:hideMark/>
          </w:tcPr>
          <w:p w14:paraId="3267296C" w14:textId="77777777" w:rsidR="00317631" w:rsidRPr="00317631" w:rsidRDefault="00317631" w:rsidP="00B74BCB">
            <w:pPr>
              <w:spacing w:line="360" w:lineRule="auto"/>
              <w:jc w:val="center"/>
              <w:rPr>
                <w:rFonts w:ascii="Arial" w:hAnsi="Arial" w:cs="Arial"/>
                <w:b/>
                <w:bCs/>
                <w:color w:val="000000"/>
                <w:lang w:eastAsia="en-IN"/>
              </w:rPr>
            </w:pPr>
          </w:p>
        </w:tc>
        <w:tc>
          <w:tcPr>
            <w:tcW w:w="1763" w:type="dxa"/>
            <w:tcBorders>
              <w:top w:val="single" w:sz="4" w:space="0" w:color="auto"/>
              <w:left w:val="nil"/>
              <w:bottom w:val="single" w:sz="4" w:space="0" w:color="auto"/>
              <w:right w:val="single" w:sz="4" w:space="0" w:color="auto"/>
            </w:tcBorders>
            <w:noWrap/>
            <w:vAlign w:val="bottom"/>
            <w:hideMark/>
          </w:tcPr>
          <w:p w14:paraId="3AACD4E6" w14:textId="77777777" w:rsidR="00317631" w:rsidRPr="00317631" w:rsidRDefault="00317631" w:rsidP="00B74BCB">
            <w:pPr>
              <w:spacing w:line="360" w:lineRule="auto"/>
              <w:jc w:val="center"/>
              <w:rPr>
                <w:rFonts w:ascii="Arial" w:hAnsi="Arial" w:cs="Arial"/>
                <w:b/>
                <w:bCs/>
                <w:color w:val="000000"/>
                <w:lang w:eastAsia="en-IN"/>
              </w:rPr>
            </w:pPr>
            <w:r w:rsidRPr="00317631">
              <w:rPr>
                <w:rFonts w:ascii="Arial" w:hAnsi="Arial" w:cs="Arial"/>
                <w:b/>
                <w:bCs/>
                <w:color w:val="000000"/>
                <w:lang w:eastAsia="en-IN"/>
              </w:rPr>
              <w:t>Spine</w:t>
            </w:r>
          </w:p>
        </w:tc>
        <w:tc>
          <w:tcPr>
            <w:tcW w:w="1692" w:type="dxa"/>
            <w:tcBorders>
              <w:top w:val="single" w:sz="4" w:space="0" w:color="auto"/>
              <w:left w:val="nil"/>
              <w:bottom w:val="single" w:sz="4" w:space="0" w:color="auto"/>
              <w:right w:val="single" w:sz="4" w:space="0" w:color="auto"/>
            </w:tcBorders>
            <w:noWrap/>
            <w:vAlign w:val="bottom"/>
            <w:hideMark/>
          </w:tcPr>
          <w:p w14:paraId="13704C08" w14:textId="77777777" w:rsidR="00317631" w:rsidRPr="00317631" w:rsidRDefault="00317631" w:rsidP="00B74BCB">
            <w:pPr>
              <w:spacing w:line="360" w:lineRule="auto"/>
              <w:jc w:val="center"/>
              <w:rPr>
                <w:rFonts w:ascii="Arial" w:hAnsi="Arial" w:cs="Arial"/>
                <w:b/>
                <w:bCs/>
                <w:i/>
                <w:iCs/>
                <w:color w:val="000000"/>
                <w:lang w:eastAsia="en-IN"/>
              </w:rPr>
            </w:pPr>
            <w:r w:rsidRPr="00317631">
              <w:rPr>
                <w:rFonts w:ascii="Arial" w:hAnsi="Arial" w:cs="Arial"/>
                <w:b/>
                <w:bCs/>
                <w:color w:val="000000"/>
                <w:lang w:eastAsia="en-IN"/>
              </w:rPr>
              <w:t>Compactness</w:t>
            </w:r>
          </w:p>
        </w:tc>
        <w:tc>
          <w:tcPr>
            <w:tcW w:w="2398" w:type="dxa"/>
            <w:tcBorders>
              <w:top w:val="single" w:sz="4" w:space="0" w:color="auto"/>
              <w:left w:val="nil"/>
              <w:bottom w:val="single" w:sz="4" w:space="0" w:color="auto"/>
              <w:right w:val="single" w:sz="4" w:space="0" w:color="auto"/>
            </w:tcBorders>
            <w:noWrap/>
            <w:vAlign w:val="bottom"/>
            <w:hideMark/>
          </w:tcPr>
          <w:p w14:paraId="56218587" w14:textId="77777777" w:rsidR="00317631" w:rsidRPr="00317631" w:rsidRDefault="00317631" w:rsidP="00B74BCB">
            <w:pPr>
              <w:spacing w:line="360" w:lineRule="auto"/>
              <w:jc w:val="center"/>
              <w:rPr>
                <w:rFonts w:ascii="Arial" w:hAnsi="Arial" w:cs="Arial"/>
                <w:b/>
                <w:bCs/>
                <w:i/>
                <w:iCs/>
                <w:color w:val="000000"/>
                <w:lang w:eastAsia="en-IN"/>
              </w:rPr>
            </w:pPr>
            <w:r w:rsidRPr="00317631">
              <w:rPr>
                <w:rFonts w:ascii="Arial" w:hAnsi="Arial" w:cs="Arial"/>
                <w:b/>
                <w:bCs/>
                <w:color w:val="000000"/>
                <w:lang w:eastAsia="en-IN"/>
              </w:rPr>
              <w:t>Percent capsule borer incidence</w:t>
            </w:r>
          </w:p>
        </w:tc>
      </w:tr>
      <w:tr w:rsidR="00317631" w:rsidRPr="00317631" w14:paraId="31E6BE16"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7C11A539"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Mean</w:t>
            </w:r>
          </w:p>
        </w:tc>
        <w:tc>
          <w:tcPr>
            <w:tcW w:w="1763" w:type="dxa"/>
            <w:tcBorders>
              <w:top w:val="nil"/>
              <w:left w:val="nil"/>
              <w:bottom w:val="single" w:sz="4" w:space="0" w:color="auto"/>
              <w:right w:val="single" w:sz="4" w:space="0" w:color="auto"/>
            </w:tcBorders>
            <w:noWrap/>
            <w:vAlign w:val="bottom"/>
            <w:hideMark/>
          </w:tcPr>
          <w:p w14:paraId="4BFC8008"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1.08156</w:t>
            </w:r>
          </w:p>
        </w:tc>
        <w:tc>
          <w:tcPr>
            <w:tcW w:w="1692" w:type="dxa"/>
            <w:tcBorders>
              <w:top w:val="nil"/>
              <w:left w:val="nil"/>
              <w:bottom w:val="single" w:sz="4" w:space="0" w:color="auto"/>
              <w:right w:val="single" w:sz="4" w:space="0" w:color="auto"/>
            </w:tcBorders>
            <w:noWrap/>
            <w:vAlign w:val="bottom"/>
            <w:hideMark/>
          </w:tcPr>
          <w:p w14:paraId="30C8845B"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0.751773</w:t>
            </w:r>
          </w:p>
        </w:tc>
        <w:tc>
          <w:tcPr>
            <w:tcW w:w="2398" w:type="dxa"/>
            <w:tcBorders>
              <w:top w:val="nil"/>
              <w:left w:val="nil"/>
              <w:bottom w:val="single" w:sz="4" w:space="0" w:color="auto"/>
              <w:right w:val="single" w:sz="4" w:space="0" w:color="auto"/>
            </w:tcBorders>
            <w:noWrap/>
            <w:vAlign w:val="bottom"/>
            <w:hideMark/>
          </w:tcPr>
          <w:p w14:paraId="178A5B8C"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52.5</w:t>
            </w:r>
          </w:p>
        </w:tc>
      </w:tr>
      <w:tr w:rsidR="00317631" w:rsidRPr="00317631" w14:paraId="4BBD6C94"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7C171C9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Standard Error</w:t>
            </w:r>
          </w:p>
        </w:tc>
        <w:tc>
          <w:tcPr>
            <w:tcW w:w="1763" w:type="dxa"/>
            <w:tcBorders>
              <w:top w:val="nil"/>
              <w:left w:val="nil"/>
              <w:bottom w:val="single" w:sz="4" w:space="0" w:color="auto"/>
              <w:right w:val="single" w:sz="4" w:space="0" w:color="auto"/>
            </w:tcBorders>
            <w:noWrap/>
            <w:vAlign w:val="bottom"/>
            <w:hideMark/>
          </w:tcPr>
          <w:p w14:paraId="1DB1D64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0.041599</w:t>
            </w:r>
          </w:p>
        </w:tc>
        <w:tc>
          <w:tcPr>
            <w:tcW w:w="1692" w:type="dxa"/>
            <w:tcBorders>
              <w:top w:val="nil"/>
              <w:left w:val="nil"/>
              <w:bottom w:val="single" w:sz="4" w:space="0" w:color="auto"/>
              <w:right w:val="single" w:sz="4" w:space="0" w:color="auto"/>
            </w:tcBorders>
            <w:noWrap/>
            <w:vAlign w:val="bottom"/>
            <w:hideMark/>
          </w:tcPr>
          <w:p w14:paraId="4A774062"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0.02577</w:t>
            </w:r>
          </w:p>
        </w:tc>
        <w:tc>
          <w:tcPr>
            <w:tcW w:w="2398" w:type="dxa"/>
            <w:tcBorders>
              <w:top w:val="nil"/>
              <w:left w:val="nil"/>
              <w:bottom w:val="single" w:sz="4" w:space="0" w:color="auto"/>
              <w:right w:val="single" w:sz="4" w:space="0" w:color="auto"/>
            </w:tcBorders>
            <w:noWrap/>
            <w:vAlign w:val="bottom"/>
            <w:hideMark/>
          </w:tcPr>
          <w:p w14:paraId="5BEDC578"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2.012958</w:t>
            </w:r>
          </w:p>
        </w:tc>
      </w:tr>
      <w:tr w:rsidR="00317631" w:rsidRPr="00317631" w14:paraId="1220BC2C"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CFB376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Median</w:t>
            </w:r>
          </w:p>
        </w:tc>
        <w:tc>
          <w:tcPr>
            <w:tcW w:w="1763" w:type="dxa"/>
            <w:tcBorders>
              <w:top w:val="nil"/>
              <w:left w:val="nil"/>
              <w:bottom w:val="single" w:sz="4" w:space="0" w:color="auto"/>
              <w:right w:val="single" w:sz="4" w:space="0" w:color="auto"/>
            </w:tcBorders>
            <w:noWrap/>
            <w:vAlign w:val="bottom"/>
            <w:hideMark/>
          </w:tcPr>
          <w:p w14:paraId="0C88D81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1692" w:type="dxa"/>
            <w:tcBorders>
              <w:top w:val="nil"/>
              <w:left w:val="nil"/>
              <w:bottom w:val="single" w:sz="4" w:space="0" w:color="auto"/>
              <w:right w:val="single" w:sz="4" w:space="0" w:color="auto"/>
            </w:tcBorders>
            <w:noWrap/>
            <w:vAlign w:val="bottom"/>
            <w:hideMark/>
          </w:tcPr>
          <w:p w14:paraId="78D5A46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14:paraId="3710949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45</w:t>
            </w:r>
          </w:p>
        </w:tc>
      </w:tr>
      <w:tr w:rsidR="00317631" w:rsidRPr="00317631" w14:paraId="37543084"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0CDFA5A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Mode</w:t>
            </w:r>
          </w:p>
        </w:tc>
        <w:tc>
          <w:tcPr>
            <w:tcW w:w="1763" w:type="dxa"/>
            <w:tcBorders>
              <w:top w:val="nil"/>
              <w:left w:val="nil"/>
              <w:bottom w:val="single" w:sz="4" w:space="0" w:color="auto"/>
              <w:right w:val="single" w:sz="4" w:space="0" w:color="auto"/>
            </w:tcBorders>
            <w:noWrap/>
            <w:vAlign w:val="bottom"/>
            <w:hideMark/>
          </w:tcPr>
          <w:p w14:paraId="7AE1A318"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1692" w:type="dxa"/>
            <w:tcBorders>
              <w:top w:val="nil"/>
              <w:left w:val="nil"/>
              <w:bottom w:val="single" w:sz="4" w:space="0" w:color="auto"/>
              <w:right w:val="single" w:sz="4" w:space="0" w:color="auto"/>
            </w:tcBorders>
            <w:noWrap/>
            <w:vAlign w:val="bottom"/>
            <w:hideMark/>
          </w:tcPr>
          <w:p w14:paraId="3D3AC3DC"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14:paraId="12789761"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100</w:t>
            </w:r>
          </w:p>
        </w:tc>
      </w:tr>
      <w:tr w:rsidR="00317631" w:rsidRPr="00317631" w14:paraId="093ACF76"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3D60E59"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Standard Deviation</w:t>
            </w:r>
          </w:p>
        </w:tc>
        <w:tc>
          <w:tcPr>
            <w:tcW w:w="1763" w:type="dxa"/>
            <w:tcBorders>
              <w:top w:val="nil"/>
              <w:left w:val="nil"/>
              <w:bottom w:val="single" w:sz="4" w:space="0" w:color="auto"/>
              <w:right w:val="single" w:sz="4" w:space="0" w:color="auto"/>
            </w:tcBorders>
            <w:noWrap/>
            <w:vAlign w:val="bottom"/>
            <w:hideMark/>
          </w:tcPr>
          <w:p w14:paraId="35F1305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0.69856</w:t>
            </w:r>
          </w:p>
        </w:tc>
        <w:tc>
          <w:tcPr>
            <w:tcW w:w="1692" w:type="dxa"/>
            <w:tcBorders>
              <w:top w:val="nil"/>
              <w:left w:val="nil"/>
              <w:bottom w:val="single" w:sz="4" w:space="0" w:color="auto"/>
              <w:right w:val="single" w:sz="4" w:space="0" w:color="auto"/>
            </w:tcBorders>
            <w:noWrap/>
            <w:vAlign w:val="bottom"/>
            <w:hideMark/>
          </w:tcPr>
          <w:p w14:paraId="00D95D4B"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0.432752</w:t>
            </w:r>
          </w:p>
        </w:tc>
        <w:tc>
          <w:tcPr>
            <w:tcW w:w="2398" w:type="dxa"/>
            <w:tcBorders>
              <w:top w:val="nil"/>
              <w:left w:val="nil"/>
              <w:bottom w:val="single" w:sz="4" w:space="0" w:color="auto"/>
              <w:right w:val="single" w:sz="4" w:space="0" w:color="auto"/>
            </w:tcBorders>
            <w:noWrap/>
            <w:vAlign w:val="bottom"/>
            <w:hideMark/>
          </w:tcPr>
          <w:p w14:paraId="2DDCC33D"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33.80331</w:t>
            </w:r>
          </w:p>
        </w:tc>
      </w:tr>
      <w:tr w:rsidR="00317631" w:rsidRPr="00317631" w14:paraId="6F20F211"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03587BF"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Sample Variance</w:t>
            </w:r>
          </w:p>
        </w:tc>
        <w:tc>
          <w:tcPr>
            <w:tcW w:w="1763" w:type="dxa"/>
            <w:tcBorders>
              <w:top w:val="nil"/>
              <w:left w:val="nil"/>
              <w:bottom w:val="single" w:sz="4" w:space="0" w:color="auto"/>
              <w:right w:val="single" w:sz="4" w:space="0" w:color="auto"/>
            </w:tcBorders>
            <w:noWrap/>
            <w:vAlign w:val="bottom"/>
            <w:hideMark/>
          </w:tcPr>
          <w:p w14:paraId="10A56A1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0.487986</w:t>
            </w:r>
          </w:p>
        </w:tc>
        <w:tc>
          <w:tcPr>
            <w:tcW w:w="1692" w:type="dxa"/>
            <w:tcBorders>
              <w:top w:val="nil"/>
              <w:left w:val="nil"/>
              <w:bottom w:val="single" w:sz="4" w:space="0" w:color="auto"/>
              <w:right w:val="single" w:sz="4" w:space="0" w:color="auto"/>
            </w:tcBorders>
            <w:noWrap/>
            <w:vAlign w:val="bottom"/>
            <w:hideMark/>
          </w:tcPr>
          <w:p w14:paraId="34E4B3D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0.187274</w:t>
            </w:r>
          </w:p>
        </w:tc>
        <w:tc>
          <w:tcPr>
            <w:tcW w:w="2398" w:type="dxa"/>
            <w:tcBorders>
              <w:top w:val="nil"/>
              <w:left w:val="nil"/>
              <w:bottom w:val="single" w:sz="4" w:space="0" w:color="auto"/>
              <w:right w:val="single" w:sz="4" w:space="0" w:color="auto"/>
            </w:tcBorders>
            <w:noWrap/>
            <w:vAlign w:val="bottom"/>
            <w:hideMark/>
          </w:tcPr>
          <w:p w14:paraId="44D3098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1142.664</w:t>
            </w:r>
          </w:p>
        </w:tc>
      </w:tr>
      <w:tr w:rsidR="00317631" w:rsidRPr="00317631" w14:paraId="64AF3D27"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5DF367EA"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Kurtosis</w:t>
            </w:r>
          </w:p>
        </w:tc>
        <w:tc>
          <w:tcPr>
            <w:tcW w:w="1763" w:type="dxa"/>
            <w:tcBorders>
              <w:top w:val="nil"/>
              <w:left w:val="nil"/>
              <w:bottom w:val="single" w:sz="4" w:space="0" w:color="auto"/>
              <w:right w:val="single" w:sz="4" w:space="0" w:color="auto"/>
            </w:tcBorders>
            <w:noWrap/>
            <w:vAlign w:val="bottom"/>
            <w:hideMark/>
          </w:tcPr>
          <w:p w14:paraId="5DE67205"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-0.94062</w:t>
            </w:r>
          </w:p>
        </w:tc>
        <w:tc>
          <w:tcPr>
            <w:tcW w:w="1692" w:type="dxa"/>
            <w:tcBorders>
              <w:top w:val="nil"/>
              <w:left w:val="nil"/>
              <w:bottom w:val="single" w:sz="4" w:space="0" w:color="auto"/>
              <w:right w:val="single" w:sz="4" w:space="0" w:color="auto"/>
            </w:tcBorders>
            <w:noWrap/>
            <w:vAlign w:val="bottom"/>
            <w:hideMark/>
          </w:tcPr>
          <w:p w14:paraId="6CB106E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-0.63117</w:t>
            </w:r>
          </w:p>
        </w:tc>
        <w:tc>
          <w:tcPr>
            <w:tcW w:w="2398" w:type="dxa"/>
            <w:tcBorders>
              <w:top w:val="nil"/>
              <w:left w:val="nil"/>
              <w:bottom w:val="single" w:sz="4" w:space="0" w:color="auto"/>
              <w:right w:val="single" w:sz="4" w:space="0" w:color="auto"/>
            </w:tcBorders>
            <w:noWrap/>
            <w:vAlign w:val="bottom"/>
            <w:hideMark/>
          </w:tcPr>
          <w:p w14:paraId="5E61B02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-1.33903</w:t>
            </w:r>
          </w:p>
        </w:tc>
      </w:tr>
      <w:tr w:rsidR="00317631" w:rsidRPr="00317631" w14:paraId="049EA0CA"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1C9E679"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Skewness</w:t>
            </w:r>
          </w:p>
        </w:tc>
        <w:tc>
          <w:tcPr>
            <w:tcW w:w="1763" w:type="dxa"/>
            <w:tcBorders>
              <w:top w:val="nil"/>
              <w:left w:val="nil"/>
              <w:bottom w:val="single" w:sz="4" w:space="0" w:color="auto"/>
              <w:right w:val="single" w:sz="4" w:space="0" w:color="auto"/>
            </w:tcBorders>
            <w:noWrap/>
            <w:vAlign w:val="bottom"/>
            <w:hideMark/>
          </w:tcPr>
          <w:p w14:paraId="299B799D"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-0.11255</w:t>
            </w:r>
          </w:p>
        </w:tc>
        <w:tc>
          <w:tcPr>
            <w:tcW w:w="1692" w:type="dxa"/>
            <w:tcBorders>
              <w:top w:val="nil"/>
              <w:left w:val="nil"/>
              <w:bottom w:val="single" w:sz="4" w:space="0" w:color="auto"/>
              <w:right w:val="single" w:sz="4" w:space="0" w:color="auto"/>
            </w:tcBorders>
            <w:noWrap/>
            <w:vAlign w:val="bottom"/>
            <w:hideMark/>
          </w:tcPr>
          <w:p w14:paraId="4C9544B7"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-1.1719</w:t>
            </w:r>
          </w:p>
        </w:tc>
        <w:tc>
          <w:tcPr>
            <w:tcW w:w="2398" w:type="dxa"/>
            <w:tcBorders>
              <w:top w:val="nil"/>
              <w:left w:val="nil"/>
              <w:bottom w:val="single" w:sz="4" w:space="0" w:color="auto"/>
              <w:right w:val="single" w:sz="4" w:space="0" w:color="auto"/>
            </w:tcBorders>
            <w:noWrap/>
            <w:vAlign w:val="bottom"/>
            <w:hideMark/>
          </w:tcPr>
          <w:p w14:paraId="157A01AA"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0.245367</w:t>
            </w:r>
          </w:p>
        </w:tc>
      </w:tr>
      <w:tr w:rsidR="00317631" w:rsidRPr="00317631" w14:paraId="62AD8942"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548B2A8A"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Range</w:t>
            </w:r>
          </w:p>
        </w:tc>
        <w:tc>
          <w:tcPr>
            <w:tcW w:w="1763" w:type="dxa"/>
            <w:tcBorders>
              <w:top w:val="nil"/>
              <w:left w:val="nil"/>
              <w:bottom w:val="single" w:sz="4" w:space="0" w:color="auto"/>
              <w:right w:val="single" w:sz="4" w:space="0" w:color="auto"/>
            </w:tcBorders>
            <w:noWrap/>
            <w:vAlign w:val="bottom"/>
            <w:hideMark/>
          </w:tcPr>
          <w:p w14:paraId="79EBE312"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w:t>
            </w:r>
          </w:p>
        </w:tc>
        <w:tc>
          <w:tcPr>
            <w:tcW w:w="1692" w:type="dxa"/>
            <w:tcBorders>
              <w:top w:val="nil"/>
              <w:left w:val="nil"/>
              <w:bottom w:val="single" w:sz="4" w:space="0" w:color="auto"/>
              <w:right w:val="single" w:sz="4" w:space="0" w:color="auto"/>
            </w:tcBorders>
            <w:noWrap/>
            <w:vAlign w:val="bottom"/>
            <w:hideMark/>
          </w:tcPr>
          <w:p w14:paraId="69731BCD"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14:paraId="7FFE87D2"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100</w:t>
            </w:r>
          </w:p>
        </w:tc>
      </w:tr>
      <w:tr w:rsidR="00317631" w:rsidRPr="00317631" w14:paraId="48F55873"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677A07D"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Minimum</w:t>
            </w:r>
          </w:p>
        </w:tc>
        <w:tc>
          <w:tcPr>
            <w:tcW w:w="1763" w:type="dxa"/>
            <w:tcBorders>
              <w:top w:val="nil"/>
              <w:left w:val="nil"/>
              <w:bottom w:val="single" w:sz="4" w:space="0" w:color="auto"/>
              <w:right w:val="single" w:sz="4" w:space="0" w:color="auto"/>
            </w:tcBorders>
            <w:noWrap/>
            <w:vAlign w:val="bottom"/>
            <w:hideMark/>
          </w:tcPr>
          <w:p w14:paraId="2654AA63"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w:t>
            </w:r>
          </w:p>
        </w:tc>
        <w:tc>
          <w:tcPr>
            <w:tcW w:w="1692" w:type="dxa"/>
            <w:tcBorders>
              <w:top w:val="nil"/>
              <w:left w:val="nil"/>
              <w:bottom w:val="single" w:sz="4" w:space="0" w:color="auto"/>
              <w:right w:val="single" w:sz="4" w:space="0" w:color="auto"/>
            </w:tcBorders>
            <w:noWrap/>
            <w:vAlign w:val="bottom"/>
            <w:hideMark/>
          </w:tcPr>
          <w:p w14:paraId="19195CAD"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w:t>
            </w:r>
          </w:p>
        </w:tc>
        <w:tc>
          <w:tcPr>
            <w:tcW w:w="2398" w:type="dxa"/>
            <w:tcBorders>
              <w:top w:val="nil"/>
              <w:left w:val="nil"/>
              <w:bottom w:val="single" w:sz="4" w:space="0" w:color="auto"/>
              <w:right w:val="single" w:sz="4" w:space="0" w:color="auto"/>
            </w:tcBorders>
            <w:noWrap/>
            <w:vAlign w:val="bottom"/>
            <w:hideMark/>
          </w:tcPr>
          <w:p w14:paraId="7D0521F9"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w:t>
            </w:r>
          </w:p>
        </w:tc>
      </w:tr>
      <w:tr w:rsidR="00317631" w:rsidRPr="00317631" w14:paraId="7F84503A"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074F0B86"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Maximum</w:t>
            </w:r>
          </w:p>
        </w:tc>
        <w:tc>
          <w:tcPr>
            <w:tcW w:w="1763" w:type="dxa"/>
            <w:tcBorders>
              <w:top w:val="nil"/>
              <w:left w:val="nil"/>
              <w:bottom w:val="single" w:sz="4" w:space="0" w:color="auto"/>
              <w:right w:val="single" w:sz="4" w:space="0" w:color="auto"/>
            </w:tcBorders>
            <w:noWrap/>
            <w:vAlign w:val="bottom"/>
            <w:hideMark/>
          </w:tcPr>
          <w:p w14:paraId="7E79BBB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w:t>
            </w:r>
          </w:p>
        </w:tc>
        <w:tc>
          <w:tcPr>
            <w:tcW w:w="1692" w:type="dxa"/>
            <w:tcBorders>
              <w:top w:val="nil"/>
              <w:left w:val="nil"/>
              <w:bottom w:val="single" w:sz="4" w:space="0" w:color="auto"/>
              <w:right w:val="single" w:sz="4" w:space="0" w:color="auto"/>
            </w:tcBorders>
            <w:noWrap/>
            <w:vAlign w:val="bottom"/>
            <w:hideMark/>
          </w:tcPr>
          <w:p w14:paraId="1F224EF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14:paraId="023D2A16"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100</w:t>
            </w:r>
          </w:p>
        </w:tc>
      </w:tr>
      <w:tr w:rsidR="00317631" w:rsidRPr="00317631" w14:paraId="2DA65BEB"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1206B0CB"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lastRenderedPageBreak/>
              <w:t>Sum</w:t>
            </w:r>
          </w:p>
        </w:tc>
        <w:tc>
          <w:tcPr>
            <w:tcW w:w="1763" w:type="dxa"/>
            <w:tcBorders>
              <w:top w:val="nil"/>
              <w:left w:val="nil"/>
              <w:bottom w:val="single" w:sz="4" w:space="0" w:color="auto"/>
              <w:right w:val="single" w:sz="4" w:space="0" w:color="auto"/>
            </w:tcBorders>
            <w:noWrap/>
            <w:vAlign w:val="bottom"/>
            <w:hideMark/>
          </w:tcPr>
          <w:p w14:paraId="25B91F8F"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305</w:t>
            </w:r>
          </w:p>
        </w:tc>
        <w:tc>
          <w:tcPr>
            <w:tcW w:w="1692" w:type="dxa"/>
            <w:tcBorders>
              <w:top w:val="nil"/>
              <w:left w:val="nil"/>
              <w:bottom w:val="single" w:sz="4" w:space="0" w:color="auto"/>
              <w:right w:val="single" w:sz="4" w:space="0" w:color="auto"/>
            </w:tcBorders>
            <w:noWrap/>
            <w:vAlign w:val="bottom"/>
            <w:hideMark/>
          </w:tcPr>
          <w:p w14:paraId="49FC733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212</w:t>
            </w:r>
          </w:p>
        </w:tc>
        <w:tc>
          <w:tcPr>
            <w:tcW w:w="2398" w:type="dxa"/>
            <w:tcBorders>
              <w:top w:val="nil"/>
              <w:left w:val="nil"/>
              <w:bottom w:val="single" w:sz="4" w:space="0" w:color="auto"/>
              <w:right w:val="single" w:sz="4" w:space="0" w:color="auto"/>
            </w:tcBorders>
            <w:noWrap/>
            <w:vAlign w:val="bottom"/>
            <w:hideMark/>
          </w:tcPr>
          <w:p w14:paraId="74DBC1CA"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14805</w:t>
            </w:r>
          </w:p>
        </w:tc>
      </w:tr>
      <w:tr w:rsidR="00317631" w:rsidRPr="00317631" w14:paraId="4A73CDF0"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622111D2"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Count</w:t>
            </w:r>
          </w:p>
        </w:tc>
        <w:tc>
          <w:tcPr>
            <w:tcW w:w="1763" w:type="dxa"/>
            <w:tcBorders>
              <w:top w:val="nil"/>
              <w:left w:val="nil"/>
              <w:bottom w:val="single" w:sz="4" w:space="0" w:color="auto"/>
              <w:right w:val="single" w:sz="4" w:space="0" w:color="auto"/>
            </w:tcBorders>
            <w:noWrap/>
            <w:vAlign w:val="bottom"/>
            <w:hideMark/>
          </w:tcPr>
          <w:p w14:paraId="29B5A21F"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282</w:t>
            </w:r>
          </w:p>
        </w:tc>
        <w:tc>
          <w:tcPr>
            <w:tcW w:w="1692" w:type="dxa"/>
            <w:tcBorders>
              <w:top w:val="nil"/>
              <w:left w:val="nil"/>
              <w:bottom w:val="single" w:sz="4" w:space="0" w:color="auto"/>
              <w:right w:val="single" w:sz="4" w:space="0" w:color="auto"/>
            </w:tcBorders>
            <w:noWrap/>
            <w:vAlign w:val="bottom"/>
            <w:hideMark/>
          </w:tcPr>
          <w:p w14:paraId="38194A4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282</w:t>
            </w:r>
          </w:p>
        </w:tc>
        <w:tc>
          <w:tcPr>
            <w:tcW w:w="2398" w:type="dxa"/>
            <w:tcBorders>
              <w:top w:val="nil"/>
              <w:left w:val="nil"/>
              <w:bottom w:val="single" w:sz="4" w:space="0" w:color="auto"/>
              <w:right w:val="single" w:sz="4" w:space="0" w:color="auto"/>
            </w:tcBorders>
            <w:noWrap/>
            <w:vAlign w:val="bottom"/>
            <w:hideMark/>
          </w:tcPr>
          <w:p w14:paraId="3D42E5B9"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282</w:t>
            </w:r>
          </w:p>
        </w:tc>
      </w:tr>
      <w:tr w:rsidR="00317631" w:rsidRPr="00317631" w14:paraId="6F63C3C3"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57B040F6"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Confidence Level (95.0%)</w:t>
            </w:r>
          </w:p>
        </w:tc>
        <w:tc>
          <w:tcPr>
            <w:tcW w:w="1763" w:type="dxa"/>
            <w:tcBorders>
              <w:top w:val="nil"/>
              <w:left w:val="nil"/>
              <w:bottom w:val="single" w:sz="4" w:space="0" w:color="auto"/>
              <w:right w:val="single" w:sz="4" w:space="0" w:color="auto"/>
            </w:tcBorders>
            <w:noWrap/>
            <w:vAlign w:val="bottom"/>
            <w:hideMark/>
          </w:tcPr>
          <w:p w14:paraId="1FB8EFD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0.081885</w:t>
            </w:r>
          </w:p>
        </w:tc>
        <w:tc>
          <w:tcPr>
            <w:tcW w:w="1692" w:type="dxa"/>
            <w:tcBorders>
              <w:top w:val="nil"/>
              <w:left w:val="nil"/>
              <w:bottom w:val="single" w:sz="4" w:space="0" w:color="auto"/>
              <w:right w:val="single" w:sz="4" w:space="0" w:color="auto"/>
            </w:tcBorders>
            <w:noWrap/>
            <w:vAlign w:val="bottom"/>
            <w:hideMark/>
          </w:tcPr>
          <w:p w14:paraId="14D6CA9A"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0.050727</w:t>
            </w:r>
          </w:p>
        </w:tc>
        <w:tc>
          <w:tcPr>
            <w:tcW w:w="2398" w:type="dxa"/>
            <w:tcBorders>
              <w:top w:val="nil"/>
              <w:left w:val="nil"/>
              <w:bottom w:val="single" w:sz="4" w:space="0" w:color="auto"/>
              <w:right w:val="single" w:sz="4" w:space="0" w:color="auto"/>
            </w:tcBorders>
            <w:noWrap/>
            <w:vAlign w:val="bottom"/>
            <w:hideMark/>
          </w:tcPr>
          <w:p w14:paraId="0F273D35"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3.962391</w:t>
            </w:r>
          </w:p>
        </w:tc>
      </w:tr>
    </w:tbl>
    <w:p w14:paraId="300B9AFB" w14:textId="77777777" w:rsidR="00317631" w:rsidRPr="007C3141" w:rsidRDefault="00317631" w:rsidP="00404FA9">
      <w:pPr>
        <w:pStyle w:val="ConcHead"/>
        <w:jc w:val="both"/>
        <w:rPr>
          <w:rFonts w:ascii="Arial" w:hAnsi="Arial" w:cs="Arial"/>
          <w:b w:val="0"/>
          <w:caps w:val="0"/>
          <w:sz w:val="20"/>
        </w:rPr>
      </w:pPr>
    </w:p>
    <w:p w14:paraId="32846DBA" w14:textId="77777777" w:rsidR="007C3141" w:rsidRPr="007C3141" w:rsidRDefault="007C3141" w:rsidP="007C3141">
      <w:pPr>
        <w:pStyle w:val="ConcHead"/>
        <w:ind w:firstLine="720"/>
        <w:jc w:val="both"/>
        <w:rPr>
          <w:rFonts w:ascii="Arial" w:hAnsi="Arial" w:cs="Arial"/>
          <w:b w:val="0"/>
          <w:caps w:val="0"/>
          <w:sz w:val="20"/>
        </w:rPr>
      </w:pPr>
      <w:r w:rsidRPr="007C3141">
        <w:rPr>
          <w:rFonts w:ascii="Arial" w:hAnsi="Arial" w:cs="Arial"/>
          <w:b w:val="0"/>
          <w:caps w:val="0"/>
          <w:sz w:val="20"/>
        </w:rPr>
        <w:t xml:space="preserve">Exploiting variability through parameters such as the Phenotypic Coefficient of Variation (PCV), Genotypic Coefficient of Variation (GCV), and heritability is essential for effective selection in any breeding programme </w:t>
      </w:r>
      <w:r w:rsidRPr="00712CBF">
        <w:rPr>
          <w:rFonts w:ascii="Arial" w:hAnsi="Arial" w:cs="Arial"/>
          <w:b w:val="0"/>
          <w:caps w:val="0"/>
          <w:color w:val="FF0000"/>
          <w:sz w:val="20"/>
        </w:rPr>
        <w:t xml:space="preserve">(Kishore </w:t>
      </w:r>
      <w:r w:rsidRPr="00712CBF">
        <w:rPr>
          <w:rFonts w:ascii="Arial" w:hAnsi="Arial" w:cs="Arial"/>
          <w:b w:val="0"/>
          <w:i/>
          <w:iCs/>
          <w:caps w:val="0"/>
          <w:color w:val="FF0000"/>
          <w:sz w:val="20"/>
        </w:rPr>
        <w:t>et al.,</w:t>
      </w:r>
      <w:r w:rsidRPr="00712CBF">
        <w:rPr>
          <w:rFonts w:ascii="Arial" w:hAnsi="Arial" w:cs="Arial"/>
          <w:b w:val="0"/>
          <w:caps w:val="0"/>
          <w:color w:val="FF0000"/>
          <w:sz w:val="20"/>
        </w:rPr>
        <w:t xml:space="preserve"> 2015).</w:t>
      </w:r>
      <w:r w:rsidRPr="007C3141">
        <w:rPr>
          <w:rFonts w:ascii="Arial" w:hAnsi="Arial" w:cs="Arial"/>
          <w:b w:val="0"/>
          <w:caps w:val="0"/>
          <w:sz w:val="20"/>
        </w:rPr>
        <w:t xml:space="preserve"> The estimates of variability are presented in Table 2. Capsule borer incidence recorded a mean value of 52.5%, along with high PCV (49.17%) and GCV (41.16%). The wider difference between PCV and GCV indicates a notable environmental influence on the expression of this trait. Heritability serves as a predictive measure reflecting the reliability of phenotypic expression, while genetic advance as a percent of mean (GAM) indicates the expected improvement under selection. Therefore, the combined consideration of heritability and GAM provides a more dependable index for assessing the effectiveness of selection </w:t>
      </w:r>
      <w:r w:rsidRPr="00712CBF">
        <w:rPr>
          <w:rFonts w:ascii="Arial" w:hAnsi="Arial" w:cs="Arial"/>
          <w:b w:val="0"/>
          <w:caps w:val="0"/>
          <w:color w:val="FF0000"/>
          <w:sz w:val="20"/>
        </w:rPr>
        <w:t xml:space="preserve">(Johnson </w:t>
      </w:r>
      <w:r w:rsidRPr="00712CBF">
        <w:rPr>
          <w:rFonts w:ascii="Arial" w:hAnsi="Arial" w:cs="Arial"/>
          <w:b w:val="0"/>
          <w:i/>
          <w:iCs/>
          <w:caps w:val="0"/>
          <w:color w:val="FF0000"/>
          <w:sz w:val="20"/>
        </w:rPr>
        <w:t>et al.,</w:t>
      </w:r>
      <w:r w:rsidRPr="00712CBF">
        <w:rPr>
          <w:rFonts w:ascii="Arial" w:hAnsi="Arial" w:cs="Arial"/>
          <w:b w:val="0"/>
          <w:caps w:val="0"/>
          <w:color w:val="FF0000"/>
          <w:sz w:val="20"/>
        </w:rPr>
        <w:t xml:space="preserve"> 1955).</w:t>
      </w:r>
    </w:p>
    <w:p w14:paraId="1D7256C2" w14:textId="77777777" w:rsidR="007C3141" w:rsidRDefault="007C3141" w:rsidP="00712CBF">
      <w:pPr>
        <w:pStyle w:val="ConcHead"/>
        <w:ind w:firstLine="720"/>
        <w:jc w:val="both"/>
        <w:rPr>
          <w:rFonts w:ascii="Arial" w:hAnsi="Arial" w:cs="Arial"/>
          <w:b w:val="0"/>
          <w:caps w:val="0"/>
          <w:sz w:val="20"/>
        </w:rPr>
      </w:pPr>
      <w:r w:rsidRPr="007C3141">
        <w:rPr>
          <w:rFonts w:ascii="Arial" w:hAnsi="Arial" w:cs="Arial"/>
          <w:b w:val="0"/>
          <w:caps w:val="0"/>
          <w:sz w:val="20"/>
        </w:rPr>
        <w:t xml:space="preserve">Heritability is typically classified into three levels: low (&lt;30%), moderate (30–60%), and high (&gt;60%) (Robinson et al., 1949). Similarly, genetic advance as percent of mean (GAM) is categorized as low (&lt;10%), moderate (10–20%), and high (&gt;20%) </w:t>
      </w:r>
      <w:r w:rsidRPr="00712CBF">
        <w:rPr>
          <w:rFonts w:ascii="Arial" w:hAnsi="Arial" w:cs="Arial"/>
          <w:b w:val="0"/>
          <w:caps w:val="0"/>
          <w:color w:val="FF0000"/>
          <w:sz w:val="20"/>
        </w:rPr>
        <w:t xml:space="preserve">(Johnson </w:t>
      </w:r>
      <w:r w:rsidRPr="00712CBF">
        <w:rPr>
          <w:rFonts w:ascii="Arial" w:hAnsi="Arial" w:cs="Arial"/>
          <w:b w:val="0"/>
          <w:i/>
          <w:iCs/>
          <w:caps w:val="0"/>
          <w:color w:val="FF0000"/>
          <w:sz w:val="20"/>
        </w:rPr>
        <w:t>et al.,</w:t>
      </w:r>
      <w:r w:rsidRPr="00712CBF">
        <w:rPr>
          <w:rFonts w:ascii="Arial" w:hAnsi="Arial" w:cs="Arial"/>
          <w:b w:val="0"/>
          <w:caps w:val="0"/>
          <w:color w:val="FF0000"/>
          <w:sz w:val="20"/>
        </w:rPr>
        <w:t xml:space="preserve"> 1955).</w:t>
      </w:r>
      <w:r w:rsidRPr="007C3141">
        <w:rPr>
          <w:rFonts w:ascii="Arial" w:hAnsi="Arial" w:cs="Arial"/>
          <w:b w:val="0"/>
          <w:caps w:val="0"/>
          <w:sz w:val="20"/>
        </w:rPr>
        <w:t xml:space="preserve"> Percent capsule borer incidence exhibited high heritability (70.70%) along with high genetic advance (70.35%) (Table 2). This combination suggests that the trait is primarily governed by additive gene action, indicating that selection for reduced capsule borer incidence is likely to be effective in subsequent generations.</w:t>
      </w:r>
    </w:p>
    <w:p w14:paraId="48DCD97A" w14:textId="77777777" w:rsidR="00D86379" w:rsidRPr="00D86379" w:rsidRDefault="00D86379" w:rsidP="00D86379">
      <w:pPr>
        <w:spacing w:line="276" w:lineRule="auto"/>
        <w:jc w:val="both"/>
        <w:rPr>
          <w:rFonts w:ascii="Arial" w:hAnsi="Arial" w:cs="Arial"/>
          <w:b/>
          <w:bCs/>
        </w:rPr>
      </w:pPr>
      <w:r w:rsidRPr="00D86379">
        <w:rPr>
          <w:rFonts w:ascii="Arial" w:hAnsi="Arial" w:cs="Arial"/>
          <w:b/>
          <w:bCs/>
        </w:rPr>
        <w:t>Table 2: Estimation of genetic parameters of percent capsule borer incidence in F</w:t>
      </w:r>
      <w:r w:rsidRPr="00D86379">
        <w:rPr>
          <w:rFonts w:ascii="Arial" w:hAnsi="Arial" w:cs="Arial"/>
          <w:b/>
          <w:bCs/>
          <w:vertAlign w:val="subscript"/>
        </w:rPr>
        <w:t>2</w:t>
      </w:r>
      <w:r w:rsidRPr="00D86379">
        <w:rPr>
          <w:rFonts w:ascii="Arial" w:hAnsi="Arial" w:cs="Arial"/>
          <w:b/>
          <w:bCs/>
        </w:rPr>
        <w:t xml:space="preserve"> individuals </w:t>
      </w:r>
    </w:p>
    <w:tbl>
      <w:tblPr>
        <w:tblW w:w="2113" w:type="dxa"/>
        <w:tblLook w:val="04A0" w:firstRow="1" w:lastRow="0" w:firstColumn="1" w:lastColumn="0" w:noHBand="0" w:noVBand="1"/>
      </w:tblPr>
      <w:tblGrid>
        <w:gridCol w:w="1095"/>
        <w:gridCol w:w="1041"/>
      </w:tblGrid>
      <w:tr w:rsidR="00D86379" w:rsidRPr="00D86379" w14:paraId="166198EA" w14:textId="77777777" w:rsidTr="00B74BCB">
        <w:trPr>
          <w:trHeight w:val="288"/>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B8FFA01"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PCV</w:t>
            </w:r>
          </w:p>
        </w:tc>
        <w:tc>
          <w:tcPr>
            <w:tcW w:w="1041" w:type="dxa"/>
            <w:tcBorders>
              <w:top w:val="single" w:sz="4" w:space="0" w:color="auto"/>
              <w:left w:val="nil"/>
              <w:bottom w:val="single" w:sz="4" w:space="0" w:color="auto"/>
              <w:right w:val="single" w:sz="4" w:space="0" w:color="auto"/>
            </w:tcBorders>
            <w:noWrap/>
            <w:vAlign w:val="bottom"/>
            <w:hideMark/>
          </w:tcPr>
          <w:p w14:paraId="3D76ECA7"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49.178</w:t>
            </w:r>
          </w:p>
        </w:tc>
      </w:tr>
      <w:tr w:rsidR="00D86379" w:rsidRPr="00D86379" w14:paraId="0131D069"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3933FF1B"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GCV</w:t>
            </w:r>
          </w:p>
        </w:tc>
        <w:tc>
          <w:tcPr>
            <w:tcW w:w="1041" w:type="dxa"/>
            <w:tcBorders>
              <w:top w:val="nil"/>
              <w:left w:val="nil"/>
              <w:bottom w:val="single" w:sz="4" w:space="0" w:color="auto"/>
              <w:right w:val="single" w:sz="4" w:space="0" w:color="auto"/>
            </w:tcBorders>
            <w:noWrap/>
            <w:vAlign w:val="bottom"/>
            <w:hideMark/>
          </w:tcPr>
          <w:p w14:paraId="1ACE8E32"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41.164</w:t>
            </w:r>
          </w:p>
        </w:tc>
      </w:tr>
      <w:tr w:rsidR="00D86379" w:rsidRPr="00D86379" w14:paraId="7E2AF510"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6F15011E"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h</w:t>
            </w:r>
          </w:p>
        </w:tc>
        <w:tc>
          <w:tcPr>
            <w:tcW w:w="1041" w:type="dxa"/>
            <w:tcBorders>
              <w:top w:val="nil"/>
              <w:left w:val="nil"/>
              <w:bottom w:val="single" w:sz="4" w:space="0" w:color="auto"/>
              <w:right w:val="single" w:sz="4" w:space="0" w:color="auto"/>
            </w:tcBorders>
            <w:noWrap/>
            <w:vAlign w:val="bottom"/>
            <w:hideMark/>
          </w:tcPr>
          <w:p w14:paraId="13D8C5DA"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0.700</w:t>
            </w:r>
          </w:p>
        </w:tc>
      </w:tr>
      <w:tr w:rsidR="00D86379" w:rsidRPr="00D86379" w14:paraId="6082984C"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510861D8"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h</w:t>
            </w:r>
            <w:r w:rsidRPr="00D86379">
              <w:rPr>
                <w:rFonts w:ascii="Arial" w:hAnsi="Arial" w:cs="Arial"/>
                <w:b/>
                <w:bCs/>
                <w:color w:val="000000"/>
                <w:vertAlign w:val="superscript"/>
                <w:lang w:eastAsia="en-IN"/>
              </w:rPr>
              <w:t>2</w:t>
            </w:r>
          </w:p>
        </w:tc>
        <w:tc>
          <w:tcPr>
            <w:tcW w:w="1041" w:type="dxa"/>
            <w:tcBorders>
              <w:top w:val="nil"/>
              <w:left w:val="nil"/>
              <w:bottom w:val="single" w:sz="4" w:space="0" w:color="auto"/>
              <w:right w:val="single" w:sz="4" w:space="0" w:color="auto"/>
            </w:tcBorders>
            <w:noWrap/>
            <w:vAlign w:val="bottom"/>
            <w:hideMark/>
          </w:tcPr>
          <w:p w14:paraId="499E7F33"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70.064</w:t>
            </w:r>
          </w:p>
        </w:tc>
      </w:tr>
      <w:tr w:rsidR="00D86379" w:rsidRPr="00D86379" w14:paraId="2033E9E7"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0D199479"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GA</w:t>
            </w:r>
          </w:p>
        </w:tc>
        <w:tc>
          <w:tcPr>
            <w:tcW w:w="1041" w:type="dxa"/>
            <w:tcBorders>
              <w:top w:val="nil"/>
              <w:left w:val="nil"/>
              <w:bottom w:val="single" w:sz="4" w:space="0" w:color="auto"/>
              <w:right w:val="single" w:sz="4" w:space="0" w:color="auto"/>
            </w:tcBorders>
            <w:noWrap/>
            <w:vAlign w:val="bottom"/>
            <w:hideMark/>
          </w:tcPr>
          <w:p w14:paraId="296198E9"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35.237</w:t>
            </w:r>
          </w:p>
        </w:tc>
      </w:tr>
      <w:tr w:rsidR="00D86379" w:rsidRPr="00D86379" w14:paraId="4CB857BD"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02A112CC"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GA/mean</w:t>
            </w:r>
          </w:p>
        </w:tc>
        <w:tc>
          <w:tcPr>
            <w:tcW w:w="1041" w:type="dxa"/>
            <w:tcBorders>
              <w:top w:val="nil"/>
              <w:left w:val="nil"/>
              <w:bottom w:val="single" w:sz="4" w:space="0" w:color="auto"/>
              <w:right w:val="single" w:sz="4" w:space="0" w:color="auto"/>
            </w:tcBorders>
            <w:noWrap/>
            <w:vAlign w:val="bottom"/>
            <w:hideMark/>
          </w:tcPr>
          <w:p w14:paraId="785AC158"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0.709</w:t>
            </w:r>
          </w:p>
        </w:tc>
      </w:tr>
      <w:tr w:rsidR="00D86379" w:rsidRPr="00D86379" w14:paraId="7B14B05F"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570AC780"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GAPM</w:t>
            </w:r>
          </w:p>
        </w:tc>
        <w:tc>
          <w:tcPr>
            <w:tcW w:w="1041" w:type="dxa"/>
            <w:tcBorders>
              <w:top w:val="nil"/>
              <w:left w:val="nil"/>
              <w:bottom w:val="single" w:sz="4" w:space="0" w:color="auto"/>
              <w:right w:val="single" w:sz="4" w:space="0" w:color="auto"/>
            </w:tcBorders>
            <w:noWrap/>
            <w:vAlign w:val="bottom"/>
            <w:hideMark/>
          </w:tcPr>
          <w:p w14:paraId="53944B2C"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70.979</w:t>
            </w:r>
          </w:p>
        </w:tc>
      </w:tr>
    </w:tbl>
    <w:p w14:paraId="61F07D02" w14:textId="653C76F8" w:rsidR="00D86379" w:rsidRPr="00D86379" w:rsidRDefault="00D86379" w:rsidP="00D86379">
      <w:pPr>
        <w:spacing w:line="276" w:lineRule="auto"/>
        <w:jc w:val="both"/>
        <w:rPr>
          <w:rFonts w:ascii="Arial" w:hAnsi="Arial" w:cs="Arial"/>
          <w:b/>
          <w:bCs/>
        </w:rPr>
      </w:pPr>
      <w:r w:rsidRPr="00D86379">
        <w:rPr>
          <w:rFonts w:ascii="Arial" w:hAnsi="Arial" w:cs="Arial"/>
          <w:b/>
          <w:bCs/>
        </w:rPr>
        <w:t xml:space="preserve">*PCV – Phenotypic coefficient of variation, GCV - Genotypic coefficient of variation, h – heritability, GA – Genetic advance, GAPM- Genetic Advance per Mean. </w:t>
      </w:r>
    </w:p>
    <w:p w14:paraId="02D950AE" w14:textId="77777777" w:rsidR="00E02B1C" w:rsidRDefault="00E02B1C" w:rsidP="00042AF8">
      <w:pPr>
        <w:pStyle w:val="ConcHead"/>
        <w:ind w:firstLine="720"/>
        <w:jc w:val="both"/>
        <w:rPr>
          <w:rFonts w:ascii="Arial" w:hAnsi="Arial" w:cs="Arial"/>
          <w:b w:val="0"/>
          <w:caps w:val="0"/>
          <w:sz w:val="20"/>
        </w:rPr>
      </w:pPr>
    </w:p>
    <w:p w14:paraId="46771051" w14:textId="6B7501F7" w:rsid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The point-biserial correlation analysis revealed that several morphological features of the castor capsule are significantly linked to damage from the capsule borer. Specifically, there was a significant correlation between spine on capsules and percent capsule damage (r = 0.360)</w:t>
      </w:r>
      <w:r w:rsidR="00E02B1C">
        <w:rPr>
          <w:rFonts w:ascii="Arial" w:hAnsi="Arial" w:cs="Arial"/>
          <w:b w:val="0"/>
          <w:caps w:val="0"/>
          <w:sz w:val="20"/>
        </w:rPr>
        <w:t xml:space="preserve"> (Table 3)</w:t>
      </w:r>
      <w:r w:rsidRPr="007C3141">
        <w:rPr>
          <w:rFonts w:ascii="Arial" w:hAnsi="Arial" w:cs="Arial"/>
          <w:b w:val="0"/>
          <w:caps w:val="0"/>
          <w:sz w:val="20"/>
        </w:rPr>
        <w:t xml:space="preserve">. A similar significant correlation was also observed between the presence or absence of bloom and percent capsule damage (r = 0.270). Interestingly, the traits of compactness and spininess showed no correlation (r = -0.050). Based on these correlations, the study infers that genotypes possessing non-spiny capsules with reduced or absent bloom are likely to be less susceptible to capsule borer damage. This aligns partly with earlier work by </w:t>
      </w:r>
      <w:r w:rsidRPr="00042AF8">
        <w:rPr>
          <w:rFonts w:ascii="Arial" w:hAnsi="Arial" w:cs="Arial"/>
          <w:b w:val="0"/>
          <w:caps w:val="0"/>
          <w:color w:val="FF0000"/>
          <w:sz w:val="20"/>
        </w:rPr>
        <w:t>Lakshminarayana (2005),</w:t>
      </w:r>
      <w:r w:rsidRPr="007C3141">
        <w:rPr>
          <w:rFonts w:ascii="Arial" w:hAnsi="Arial" w:cs="Arial"/>
          <w:b w:val="0"/>
          <w:caps w:val="0"/>
          <w:sz w:val="20"/>
        </w:rPr>
        <w:t xml:space="preserve"> which reported that the Shoot and Capsule </w:t>
      </w:r>
      <w:r w:rsidRPr="007C3141">
        <w:rPr>
          <w:rFonts w:ascii="Arial" w:hAnsi="Arial" w:cs="Arial"/>
          <w:b w:val="0"/>
          <w:caps w:val="0"/>
          <w:sz w:val="20"/>
        </w:rPr>
        <w:lastRenderedPageBreak/>
        <w:t xml:space="preserve">Borer (SCB) showed only moderate preference for non-spiny, small-capsule lines and the least preference for loose spikes. </w:t>
      </w:r>
    </w:p>
    <w:p w14:paraId="04E1E2CF" w14:textId="77777777" w:rsidR="00E02B1C" w:rsidRPr="006F6435" w:rsidRDefault="00E02B1C" w:rsidP="00E02B1C">
      <w:pPr>
        <w:spacing w:line="360" w:lineRule="auto"/>
        <w:jc w:val="both"/>
        <w:rPr>
          <w:rFonts w:ascii="Times New Roman" w:hAnsi="Times New Roman"/>
          <w:b/>
          <w:bCs/>
        </w:rPr>
      </w:pPr>
      <w:r w:rsidRPr="006F6435">
        <w:rPr>
          <w:rFonts w:ascii="Times New Roman" w:hAnsi="Times New Roman"/>
          <w:b/>
          <w:bCs/>
        </w:rPr>
        <w:t>Table 3: Correlation coefficient among the traits in F</w:t>
      </w:r>
      <w:r w:rsidRPr="006F6435">
        <w:rPr>
          <w:rFonts w:ascii="Times New Roman" w:hAnsi="Times New Roman"/>
          <w:b/>
          <w:bCs/>
          <w:vertAlign w:val="subscript"/>
        </w:rPr>
        <w:t>2</w:t>
      </w:r>
      <w:r w:rsidRPr="006F6435">
        <w:rPr>
          <w:rFonts w:ascii="Times New Roman" w:hAnsi="Times New Roman"/>
          <w:b/>
          <w:bCs/>
        </w:rPr>
        <w:t xml:space="preserve"> induvial of DCS-9 x RG-2774 cross</w:t>
      </w:r>
    </w:p>
    <w:tbl>
      <w:tblPr>
        <w:tblW w:w="8878" w:type="dxa"/>
        <w:tblLook w:val="04A0" w:firstRow="1" w:lastRow="0" w:firstColumn="1" w:lastColumn="0" w:noHBand="0" w:noVBand="1"/>
      </w:tblPr>
      <w:tblGrid>
        <w:gridCol w:w="3294"/>
        <w:gridCol w:w="1454"/>
        <w:gridCol w:w="1768"/>
        <w:gridCol w:w="2362"/>
      </w:tblGrid>
      <w:tr w:rsidR="00E02B1C" w:rsidRPr="006F6435" w14:paraId="4D04ACDA" w14:textId="77777777" w:rsidTr="00B74BCB">
        <w:trPr>
          <w:trHeight w:val="259"/>
        </w:trPr>
        <w:tc>
          <w:tcPr>
            <w:tcW w:w="3294" w:type="dxa"/>
            <w:tcBorders>
              <w:top w:val="single" w:sz="4" w:space="0" w:color="auto"/>
              <w:left w:val="single" w:sz="4" w:space="0" w:color="auto"/>
              <w:bottom w:val="single" w:sz="4" w:space="0" w:color="auto"/>
              <w:right w:val="single" w:sz="4" w:space="0" w:color="auto"/>
            </w:tcBorders>
            <w:noWrap/>
            <w:vAlign w:val="bottom"/>
            <w:hideMark/>
          </w:tcPr>
          <w:p w14:paraId="68C6E34F" w14:textId="77777777" w:rsidR="00E02B1C" w:rsidRPr="006F6435" w:rsidRDefault="00E02B1C" w:rsidP="00B74BCB">
            <w:pPr>
              <w:spacing w:line="360" w:lineRule="auto"/>
              <w:jc w:val="both"/>
              <w:rPr>
                <w:rFonts w:ascii="Times New Roman" w:hAnsi="Times New Roman"/>
                <w:i/>
                <w:iCs/>
                <w:color w:val="000000"/>
                <w:lang w:eastAsia="en-IN"/>
              </w:rPr>
            </w:pPr>
            <w:r w:rsidRPr="006F6435">
              <w:rPr>
                <w:rFonts w:ascii="Times New Roman" w:hAnsi="Times New Roman"/>
                <w:i/>
                <w:iCs/>
                <w:color w:val="000000"/>
                <w:lang w:eastAsia="en-IN"/>
              </w:rPr>
              <w:t> </w:t>
            </w:r>
          </w:p>
        </w:tc>
        <w:tc>
          <w:tcPr>
            <w:tcW w:w="1454" w:type="dxa"/>
            <w:tcBorders>
              <w:top w:val="single" w:sz="4" w:space="0" w:color="auto"/>
              <w:left w:val="nil"/>
              <w:bottom w:val="single" w:sz="4" w:space="0" w:color="auto"/>
              <w:right w:val="single" w:sz="4" w:space="0" w:color="auto"/>
            </w:tcBorders>
            <w:noWrap/>
            <w:vAlign w:val="bottom"/>
            <w:hideMark/>
          </w:tcPr>
          <w:p w14:paraId="310B2BCF"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Spine</w:t>
            </w:r>
          </w:p>
        </w:tc>
        <w:tc>
          <w:tcPr>
            <w:tcW w:w="1768" w:type="dxa"/>
            <w:tcBorders>
              <w:top w:val="single" w:sz="4" w:space="0" w:color="auto"/>
              <w:left w:val="nil"/>
              <w:bottom w:val="single" w:sz="4" w:space="0" w:color="auto"/>
              <w:right w:val="single" w:sz="4" w:space="0" w:color="auto"/>
            </w:tcBorders>
            <w:noWrap/>
            <w:vAlign w:val="bottom"/>
            <w:hideMark/>
          </w:tcPr>
          <w:p w14:paraId="149C8370"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Compactness</w:t>
            </w:r>
          </w:p>
        </w:tc>
        <w:tc>
          <w:tcPr>
            <w:tcW w:w="2362" w:type="dxa"/>
            <w:tcBorders>
              <w:top w:val="single" w:sz="4" w:space="0" w:color="auto"/>
              <w:left w:val="nil"/>
              <w:bottom w:val="single" w:sz="4" w:space="0" w:color="auto"/>
              <w:right w:val="single" w:sz="4" w:space="0" w:color="auto"/>
            </w:tcBorders>
            <w:noWrap/>
            <w:vAlign w:val="bottom"/>
            <w:hideMark/>
          </w:tcPr>
          <w:p w14:paraId="536B0DFE"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Percent capsule borer incidence</w:t>
            </w:r>
          </w:p>
        </w:tc>
      </w:tr>
      <w:tr w:rsidR="00E02B1C" w:rsidRPr="006F6435" w14:paraId="1119FC82" w14:textId="77777777" w:rsidTr="00B74BCB">
        <w:trPr>
          <w:trHeight w:val="259"/>
        </w:trPr>
        <w:tc>
          <w:tcPr>
            <w:tcW w:w="3294" w:type="dxa"/>
            <w:tcBorders>
              <w:top w:val="nil"/>
              <w:left w:val="single" w:sz="4" w:space="0" w:color="auto"/>
              <w:bottom w:val="single" w:sz="4" w:space="0" w:color="auto"/>
              <w:right w:val="single" w:sz="4" w:space="0" w:color="auto"/>
            </w:tcBorders>
            <w:noWrap/>
            <w:vAlign w:val="bottom"/>
            <w:hideMark/>
          </w:tcPr>
          <w:p w14:paraId="47681065"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Spine</w:t>
            </w:r>
          </w:p>
        </w:tc>
        <w:tc>
          <w:tcPr>
            <w:tcW w:w="1454" w:type="dxa"/>
            <w:tcBorders>
              <w:top w:val="nil"/>
              <w:left w:val="nil"/>
              <w:bottom w:val="single" w:sz="4" w:space="0" w:color="auto"/>
              <w:right w:val="single" w:sz="4" w:space="0" w:color="auto"/>
            </w:tcBorders>
            <w:noWrap/>
            <w:vAlign w:val="bottom"/>
            <w:hideMark/>
          </w:tcPr>
          <w:p w14:paraId="7E49CD6D"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w:t>
            </w:r>
          </w:p>
        </w:tc>
        <w:tc>
          <w:tcPr>
            <w:tcW w:w="1768" w:type="dxa"/>
            <w:tcBorders>
              <w:top w:val="nil"/>
              <w:left w:val="nil"/>
              <w:bottom w:val="single" w:sz="4" w:space="0" w:color="auto"/>
              <w:right w:val="single" w:sz="4" w:space="0" w:color="auto"/>
            </w:tcBorders>
            <w:noWrap/>
            <w:vAlign w:val="bottom"/>
            <w:hideMark/>
          </w:tcPr>
          <w:p w14:paraId="705ACD86"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2362" w:type="dxa"/>
            <w:tcBorders>
              <w:top w:val="nil"/>
              <w:left w:val="nil"/>
              <w:bottom w:val="single" w:sz="4" w:space="0" w:color="auto"/>
              <w:right w:val="single" w:sz="4" w:space="0" w:color="auto"/>
            </w:tcBorders>
            <w:noWrap/>
            <w:vAlign w:val="bottom"/>
            <w:hideMark/>
          </w:tcPr>
          <w:p w14:paraId="668B827E"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E02B1C" w:rsidRPr="006F6435" w14:paraId="1539AED3" w14:textId="77777777" w:rsidTr="00B74BCB">
        <w:trPr>
          <w:trHeight w:val="259"/>
        </w:trPr>
        <w:tc>
          <w:tcPr>
            <w:tcW w:w="3294" w:type="dxa"/>
            <w:tcBorders>
              <w:top w:val="nil"/>
              <w:left w:val="single" w:sz="4" w:space="0" w:color="auto"/>
              <w:bottom w:val="single" w:sz="4" w:space="0" w:color="auto"/>
              <w:right w:val="single" w:sz="4" w:space="0" w:color="auto"/>
            </w:tcBorders>
            <w:noWrap/>
            <w:vAlign w:val="bottom"/>
            <w:hideMark/>
          </w:tcPr>
          <w:p w14:paraId="2CF8CDCF"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 xml:space="preserve">Compactness </w:t>
            </w:r>
          </w:p>
        </w:tc>
        <w:tc>
          <w:tcPr>
            <w:tcW w:w="1454" w:type="dxa"/>
            <w:tcBorders>
              <w:top w:val="nil"/>
              <w:left w:val="nil"/>
              <w:bottom w:val="single" w:sz="4" w:space="0" w:color="auto"/>
              <w:right w:val="single" w:sz="4" w:space="0" w:color="auto"/>
            </w:tcBorders>
            <w:noWrap/>
            <w:vAlign w:val="bottom"/>
            <w:hideMark/>
          </w:tcPr>
          <w:p w14:paraId="5FFC5C15"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-0.050</w:t>
            </w:r>
          </w:p>
        </w:tc>
        <w:tc>
          <w:tcPr>
            <w:tcW w:w="1768" w:type="dxa"/>
            <w:tcBorders>
              <w:top w:val="nil"/>
              <w:left w:val="nil"/>
              <w:bottom w:val="single" w:sz="4" w:space="0" w:color="auto"/>
              <w:right w:val="single" w:sz="4" w:space="0" w:color="auto"/>
            </w:tcBorders>
            <w:noWrap/>
            <w:vAlign w:val="bottom"/>
            <w:hideMark/>
          </w:tcPr>
          <w:p w14:paraId="6F658252"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w:t>
            </w:r>
          </w:p>
        </w:tc>
        <w:tc>
          <w:tcPr>
            <w:tcW w:w="2362" w:type="dxa"/>
            <w:tcBorders>
              <w:top w:val="nil"/>
              <w:left w:val="nil"/>
              <w:bottom w:val="single" w:sz="4" w:space="0" w:color="auto"/>
              <w:right w:val="single" w:sz="4" w:space="0" w:color="auto"/>
            </w:tcBorders>
            <w:noWrap/>
            <w:vAlign w:val="bottom"/>
            <w:hideMark/>
          </w:tcPr>
          <w:p w14:paraId="244564D3"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E02B1C" w:rsidRPr="006F6435" w14:paraId="737F4EB3" w14:textId="77777777" w:rsidTr="00B74BCB">
        <w:trPr>
          <w:trHeight w:val="270"/>
        </w:trPr>
        <w:tc>
          <w:tcPr>
            <w:tcW w:w="3294" w:type="dxa"/>
            <w:tcBorders>
              <w:top w:val="nil"/>
              <w:left w:val="single" w:sz="4" w:space="0" w:color="auto"/>
              <w:bottom w:val="single" w:sz="4" w:space="0" w:color="auto"/>
              <w:right w:val="single" w:sz="4" w:space="0" w:color="auto"/>
            </w:tcBorders>
            <w:noWrap/>
            <w:vAlign w:val="bottom"/>
            <w:hideMark/>
          </w:tcPr>
          <w:p w14:paraId="60F482A8"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Percent capsule borer incidence</w:t>
            </w:r>
          </w:p>
        </w:tc>
        <w:tc>
          <w:tcPr>
            <w:tcW w:w="1454" w:type="dxa"/>
            <w:tcBorders>
              <w:top w:val="nil"/>
              <w:left w:val="nil"/>
              <w:bottom w:val="single" w:sz="4" w:space="0" w:color="auto"/>
              <w:right w:val="single" w:sz="4" w:space="0" w:color="auto"/>
            </w:tcBorders>
            <w:noWrap/>
            <w:vAlign w:val="bottom"/>
            <w:hideMark/>
          </w:tcPr>
          <w:p w14:paraId="1F45551A"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0.360**</w:t>
            </w:r>
          </w:p>
        </w:tc>
        <w:tc>
          <w:tcPr>
            <w:tcW w:w="1768" w:type="dxa"/>
            <w:tcBorders>
              <w:top w:val="nil"/>
              <w:left w:val="nil"/>
              <w:bottom w:val="single" w:sz="4" w:space="0" w:color="auto"/>
              <w:right w:val="single" w:sz="4" w:space="0" w:color="auto"/>
            </w:tcBorders>
            <w:noWrap/>
            <w:vAlign w:val="bottom"/>
            <w:hideMark/>
          </w:tcPr>
          <w:p w14:paraId="41DE99C4"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0.270**</w:t>
            </w:r>
          </w:p>
        </w:tc>
        <w:tc>
          <w:tcPr>
            <w:tcW w:w="2362" w:type="dxa"/>
            <w:tcBorders>
              <w:top w:val="nil"/>
              <w:left w:val="nil"/>
              <w:bottom w:val="single" w:sz="4" w:space="0" w:color="auto"/>
              <w:right w:val="single" w:sz="4" w:space="0" w:color="auto"/>
            </w:tcBorders>
            <w:noWrap/>
            <w:vAlign w:val="bottom"/>
            <w:hideMark/>
          </w:tcPr>
          <w:p w14:paraId="13BDCD72"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w:t>
            </w:r>
          </w:p>
        </w:tc>
      </w:tr>
    </w:tbl>
    <w:p w14:paraId="75FB2362" w14:textId="77777777" w:rsidR="00E02B1C" w:rsidRPr="006F6435" w:rsidRDefault="00E02B1C" w:rsidP="00E02B1C">
      <w:pPr>
        <w:spacing w:line="360" w:lineRule="auto"/>
        <w:jc w:val="both"/>
        <w:rPr>
          <w:rFonts w:ascii="Times New Roman" w:hAnsi="Times New Roman"/>
        </w:rPr>
      </w:pPr>
      <w:r>
        <w:rPr>
          <w:rFonts w:ascii="Times New Roman" w:hAnsi="Times New Roman"/>
        </w:rPr>
        <w:t>**Significance at 0.01</w:t>
      </w:r>
    </w:p>
    <w:p w14:paraId="2E2206CB" w14:textId="77777777" w:rsidR="00E02B1C" w:rsidRPr="007C3141" w:rsidRDefault="00E02B1C" w:rsidP="00E02B1C">
      <w:pPr>
        <w:pStyle w:val="ConcHead"/>
        <w:jc w:val="both"/>
        <w:rPr>
          <w:rFonts w:ascii="Arial" w:hAnsi="Arial" w:cs="Arial"/>
          <w:b w:val="0"/>
          <w:caps w:val="0"/>
          <w:sz w:val="20"/>
        </w:rPr>
      </w:pPr>
    </w:p>
    <w:p w14:paraId="60B9C3F9" w14:textId="77777777" w:rsidR="007C3141" w:rsidRPr="007C3141" w:rsidRDefault="007C3141" w:rsidP="00042AF8">
      <w:pPr>
        <w:pStyle w:val="ConcHead"/>
        <w:ind w:firstLine="720"/>
        <w:jc w:val="both"/>
        <w:rPr>
          <w:rFonts w:ascii="Arial" w:hAnsi="Arial" w:cs="Arial"/>
          <w:b w:val="0"/>
          <w:caps w:val="0"/>
          <w:sz w:val="20"/>
        </w:rPr>
      </w:pPr>
      <w:r w:rsidRPr="00CF25A1">
        <w:rPr>
          <w:rFonts w:ascii="Arial" w:hAnsi="Arial" w:cs="Arial"/>
          <w:b w:val="0"/>
          <w:caps w:val="0"/>
          <w:color w:val="FF0000"/>
          <w:sz w:val="20"/>
          <w:highlight w:val="yellow"/>
        </w:rPr>
        <w:t>Lakshminarayana (2005)</w:t>
      </w:r>
      <w:r w:rsidRPr="00CF25A1">
        <w:rPr>
          <w:rFonts w:ascii="Arial" w:hAnsi="Arial" w:cs="Arial"/>
          <w:b w:val="0"/>
          <w:caps w:val="0"/>
          <w:sz w:val="20"/>
          <w:highlight w:val="yellow"/>
        </w:rPr>
        <w:t xml:space="preserve"> investigated the morphological characteristics of castor capsules associated with resistance to major insect pests, including </w:t>
      </w:r>
      <w:proofErr w:type="spellStart"/>
      <w:r w:rsidRPr="00CF25A1">
        <w:rPr>
          <w:rFonts w:ascii="Arial" w:hAnsi="Arial" w:cs="Arial"/>
          <w:b w:val="0"/>
          <w:i/>
          <w:iCs/>
          <w:caps w:val="0"/>
          <w:sz w:val="20"/>
          <w:highlight w:val="yellow"/>
        </w:rPr>
        <w:t>Conogethes</w:t>
      </w:r>
      <w:proofErr w:type="spellEnd"/>
      <w:r w:rsidRPr="00CF25A1">
        <w:rPr>
          <w:rFonts w:ascii="Arial" w:hAnsi="Arial" w:cs="Arial"/>
          <w:b w:val="0"/>
          <w:i/>
          <w:iCs/>
          <w:caps w:val="0"/>
          <w:sz w:val="20"/>
          <w:highlight w:val="yellow"/>
        </w:rPr>
        <w:t xml:space="preserve"> </w:t>
      </w:r>
      <w:proofErr w:type="spellStart"/>
      <w:r w:rsidRPr="00CF25A1">
        <w:rPr>
          <w:rFonts w:ascii="Arial" w:hAnsi="Arial" w:cs="Arial"/>
          <w:b w:val="0"/>
          <w:i/>
          <w:iCs/>
          <w:caps w:val="0"/>
          <w:sz w:val="20"/>
          <w:highlight w:val="yellow"/>
        </w:rPr>
        <w:t>punctiferalis</w:t>
      </w:r>
      <w:proofErr w:type="spellEnd"/>
      <w:r w:rsidRPr="00CF25A1">
        <w:rPr>
          <w:rFonts w:ascii="Arial" w:hAnsi="Arial" w:cs="Arial"/>
          <w:b w:val="0"/>
          <w:i/>
          <w:iCs/>
          <w:caps w:val="0"/>
          <w:sz w:val="20"/>
          <w:highlight w:val="yellow"/>
        </w:rPr>
        <w:t>.</w:t>
      </w:r>
      <w:r w:rsidRPr="00CF25A1">
        <w:rPr>
          <w:rFonts w:ascii="Arial" w:hAnsi="Arial" w:cs="Arial"/>
          <w:b w:val="0"/>
          <w:caps w:val="0"/>
          <w:sz w:val="20"/>
          <w:highlight w:val="yellow"/>
        </w:rPr>
        <w:t xml:space="preserve"> Twelve castor genotypes with diverse spike traits were evaluated along with the control DCS-9. The study revealed that genotypes with loose spikes (RG-1934), very loose spikes (RG-2543), small capsules (RG-2635), and non-spiny capsules (RG-258) were less prone to capsule borer infestation. In contrast, genotypes with large capsules exhibited high susceptibility, with 85.8% capsule damage, while those with compact spikes recorded 86.7% mean damage. Genotypes bearing small and non-spiny capsules showed moderate susceptibility, with mean damage levels of 42.0% and 51.7%, respectively. Overall, genotypes with loose spikes experienced the lowest infestation, with capsule damage ranging from 18.3% to 28.3%.</w:t>
      </w:r>
    </w:p>
    <w:p w14:paraId="51A00B69" w14:textId="77777777" w:rsidR="007C3141" w:rsidRP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 xml:space="preserve">In line with previous research, </w:t>
      </w:r>
      <w:r w:rsidRPr="00042AF8">
        <w:rPr>
          <w:rFonts w:ascii="Arial" w:hAnsi="Arial" w:cs="Arial"/>
          <w:b w:val="0"/>
          <w:caps w:val="0"/>
          <w:color w:val="FF0000"/>
          <w:sz w:val="20"/>
        </w:rPr>
        <w:t>Jayalaxmi (1996)</w:t>
      </w:r>
      <w:r w:rsidRPr="007C3141">
        <w:rPr>
          <w:rFonts w:ascii="Arial" w:hAnsi="Arial" w:cs="Arial"/>
          <w:b w:val="0"/>
          <w:caps w:val="0"/>
          <w:sz w:val="20"/>
        </w:rPr>
        <w:t xml:space="preserve"> determined that the capsule borer preferred castor plants having compact and spiny spikes, while those with loose and spineless spikes showed reduced susceptibility. Analyzing various lines, the Aruna variety stood out as the most resistant, recording only 13% capsule damage. Other varieties, including VHB-150, GAUCH-1, SHB-18, and JI-35, exhibited slightly higher levels of damage, falling within the 14.2% to 19.4% range. This evidence strongly supports selecting breeding lines based on lo</w:t>
      </w:r>
      <w:bookmarkStart w:id="0" w:name="_GoBack"/>
      <w:bookmarkEnd w:id="0"/>
      <w:r w:rsidRPr="007C3141">
        <w:rPr>
          <w:rFonts w:ascii="Arial" w:hAnsi="Arial" w:cs="Arial"/>
          <w:b w:val="0"/>
          <w:caps w:val="0"/>
          <w:sz w:val="20"/>
        </w:rPr>
        <w:t>ose and spineless capsule traits to enhance capsule borer resistance.</w:t>
      </w:r>
    </w:p>
    <w:p w14:paraId="03E2A0D4" w14:textId="77777777" w:rsid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Genetic resources with resistance to capsule borer are crucial for castor breeding programs aimed at developing high-yielding cultivars. Understanding the inheritance pattern of capsule borer resistance in these genetic sources can facilitate the identification of diverse resistance genes. Incorporating these genes into improved parental lines through gene pyramiding can ultimately lead to the development of cultivars with durable resistance to capsule borer in castor. Spininess of capsules is found to be codominant traits; the F</w:t>
      </w:r>
      <w:r w:rsidRPr="001C1363">
        <w:rPr>
          <w:rFonts w:ascii="Arial" w:hAnsi="Arial" w:cs="Arial"/>
          <w:b w:val="0"/>
          <w:caps w:val="0"/>
          <w:sz w:val="20"/>
          <w:vertAlign w:val="subscript"/>
        </w:rPr>
        <w:t>1</w:t>
      </w:r>
      <w:r w:rsidRPr="007C3141">
        <w:rPr>
          <w:rFonts w:ascii="Arial" w:hAnsi="Arial" w:cs="Arial"/>
          <w:b w:val="0"/>
          <w:caps w:val="0"/>
          <w:sz w:val="20"/>
        </w:rPr>
        <w:t xml:space="preserve"> plants showed intermediate phenotype i.e., sparsely spiny capsules (Table 4). The F</w:t>
      </w:r>
      <w:r w:rsidRPr="001C1363">
        <w:rPr>
          <w:rFonts w:ascii="Arial" w:hAnsi="Arial" w:cs="Arial"/>
          <w:b w:val="0"/>
          <w:caps w:val="0"/>
          <w:sz w:val="20"/>
          <w:vertAlign w:val="subscript"/>
        </w:rPr>
        <w:t xml:space="preserve">2 </w:t>
      </w:r>
      <w:r w:rsidRPr="007C3141">
        <w:rPr>
          <w:rFonts w:ascii="Arial" w:hAnsi="Arial" w:cs="Arial"/>
          <w:b w:val="0"/>
          <w:caps w:val="0"/>
          <w:sz w:val="20"/>
        </w:rPr>
        <w:t xml:space="preserve">segregation of the cross DCS-9 x RG-2774 showed goodness of fit for 1 spiny: 2 sparsely spiny: 1 no-spiny. The recessive character is governed by single recessive gene, thus the recessive homozygotes aa are non-spiny; heterozygotes Aa produce sparsely spiny phenotype; and the dominant homozygotes AA results in spiny capsules. The inheritance of this character agreement with previous report. </w:t>
      </w:r>
      <w:r w:rsidRPr="00042AF8">
        <w:rPr>
          <w:rFonts w:ascii="Arial" w:hAnsi="Arial" w:cs="Arial"/>
          <w:b w:val="0"/>
          <w:caps w:val="0"/>
          <w:color w:val="FF0000"/>
          <w:sz w:val="20"/>
        </w:rPr>
        <w:t xml:space="preserve">(Shankar </w:t>
      </w:r>
      <w:r w:rsidRPr="00042AF8">
        <w:rPr>
          <w:rFonts w:ascii="Arial" w:hAnsi="Arial" w:cs="Arial"/>
          <w:b w:val="0"/>
          <w:i/>
          <w:iCs/>
          <w:caps w:val="0"/>
          <w:color w:val="FF0000"/>
          <w:sz w:val="20"/>
        </w:rPr>
        <w:t>et al.,</w:t>
      </w:r>
      <w:r w:rsidRPr="00042AF8">
        <w:rPr>
          <w:rFonts w:ascii="Arial" w:hAnsi="Arial" w:cs="Arial"/>
          <w:b w:val="0"/>
          <w:caps w:val="0"/>
          <w:color w:val="FF0000"/>
          <w:sz w:val="20"/>
        </w:rPr>
        <w:t xml:space="preserve"> 2010).</w:t>
      </w:r>
      <w:r w:rsidRPr="007C3141">
        <w:rPr>
          <w:rFonts w:ascii="Arial" w:hAnsi="Arial" w:cs="Arial"/>
          <w:b w:val="0"/>
          <w:caps w:val="0"/>
          <w:sz w:val="20"/>
        </w:rPr>
        <w:t xml:space="preserve"> </w:t>
      </w:r>
    </w:p>
    <w:p w14:paraId="5898A1DC" w14:textId="77777777" w:rsidR="006D1142" w:rsidRPr="006F6435" w:rsidRDefault="006D1142" w:rsidP="006D1142">
      <w:pPr>
        <w:spacing w:line="276" w:lineRule="auto"/>
        <w:jc w:val="both"/>
        <w:rPr>
          <w:rFonts w:ascii="Times New Roman" w:hAnsi="Times New Roman"/>
          <w:b/>
          <w:bCs/>
        </w:rPr>
      </w:pPr>
      <w:r w:rsidRPr="006F6435">
        <w:rPr>
          <w:rFonts w:ascii="Times New Roman" w:hAnsi="Times New Roman"/>
          <w:b/>
          <w:bCs/>
        </w:rPr>
        <w:t>Table 4. Inheritance of spininess in parents, F</w:t>
      </w:r>
      <w:r w:rsidRPr="006F6435">
        <w:rPr>
          <w:rFonts w:ascii="Times New Roman" w:hAnsi="Times New Roman"/>
          <w:b/>
          <w:bCs/>
          <w:vertAlign w:val="subscript"/>
        </w:rPr>
        <w:t>1</w:t>
      </w:r>
      <w:r w:rsidRPr="006F6435">
        <w:rPr>
          <w:rFonts w:ascii="Times New Roman" w:hAnsi="Times New Roman"/>
          <w:b/>
          <w:bCs/>
        </w:rPr>
        <w:t xml:space="preserve"> and F</w:t>
      </w:r>
      <w:r w:rsidRPr="006F6435">
        <w:rPr>
          <w:rFonts w:ascii="Times New Roman" w:hAnsi="Times New Roman"/>
          <w:b/>
          <w:bCs/>
          <w:vertAlign w:val="subscript"/>
        </w:rPr>
        <w:t>2</w:t>
      </w:r>
      <w:r w:rsidRPr="006F6435">
        <w:rPr>
          <w:rFonts w:ascii="Times New Roman" w:hAnsi="Times New Roman"/>
          <w:b/>
          <w:bCs/>
        </w:rPr>
        <w:t xml:space="preserve"> and backcross population of DCS-9 x RG -2774 cross </w:t>
      </w:r>
    </w:p>
    <w:tbl>
      <w:tblPr>
        <w:tblW w:w="8136" w:type="dxa"/>
        <w:tblLook w:val="04A0" w:firstRow="1" w:lastRow="0" w:firstColumn="1" w:lastColumn="0" w:noHBand="0" w:noVBand="1"/>
      </w:tblPr>
      <w:tblGrid>
        <w:gridCol w:w="1183"/>
        <w:gridCol w:w="1250"/>
        <w:gridCol w:w="1142"/>
        <w:gridCol w:w="1142"/>
        <w:gridCol w:w="1143"/>
        <w:gridCol w:w="1142"/>
        <w:gridCol w:w="1142"/>
      </w:tblGrid>
      <w:tr w:rsidR="006D1142" w:rsidRPr="006F6435" w14:paraId="3B0E724C" w14:textId="77777777" w:rsidTr="006D1142">
        <w:trPr>
          <w:trHeight w:val="588"/>
        </w:trPr>
        <w:tc>
          <w:tcPr>
            <w:tcW w:w="1175" w:type="dxa"/>
            <w:vMerge w:val="restart"/>
            <w:tcBorders>
              <w:top w:val="single" w:sz="4" w:space="0" w:color="auto"/>
              <w:left w:val="single" w:sz="4" w:space="0" w:color="auto"/>
              <w:right w:val="single" w:sz="4" w:space="0" w:color="auto"/>
            </w:tcBorders>
            <w:noWrap/>
            <w:vAlign w:val="bottom"/>
            <w:hideMark/>
          </w:tcPr>
          <w:p w14:paraId="72865CD8"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lastRenderedPageBreak/>
              <w:t>Generation</w:t>
            </w:r>
          </w:p>
          <w:p w14:paraId="27A4C833" w14:textId="77777777" w:rsidR="006D1142" w:rsidRPr="006F6435" w:rsidRDefault="006D1142" w:rsidP="00B74BCB">
            <w:pPr>
              <w:spacing w:line="360" w:lineRule="auto"/>
              <w:jc w:val="center"/>
              <w:rPr>
                <w:rFonts w:ascii="Times New Roman" w:hAnsi="Times New Roman"/>
                <w:b/>
                <w:bCs/>
                <w:color w:val="000000"/>
                <w:lang w:eastAsia="en-IN"/>
              </w:rPr>
            </w:pPr>
          </w:p>
        </w:tc>
        <w:tc>
          <w:tcPr>
            <w:tcW w:w="1250" w:type="dxa"/>
            <w:vMerge w:val="restart"/>
            <w:tcBorders>
              <w:top w:val="single" w:sz="4" w:space="0" w:color="auto"/>
              <w:left w:val="nil"/>
              <w:right w:val="single" w:sz="4" w:space="0" w:color="auto"/>
            </w:tcBorders>
            <w:noWrap/>
            <w:vAlign w:val="bottom"/>
            <w:hideMark/>
          </w:tcPr>
          <w:p w14:paraId="77A11E92" w14:textId="77777777" w:rsidR="006D1142" w:rsidRPr="006F6435" w:rsidRDefault="006D1142" w:rsidP="00B74BCB">
            <w:pPr>
              <w:spacing w:line="360" w:lineRule="auto"/>
              <w:jc w:val="center"/>
              <w:rPr>
                <w:rFonts w:ascii="Times New Roman" w:hAnsi="Times New Roman"/>
                <w:b/>
                <w:bCs/>
                <w:color w:val="000000"/>
                <w:lang w:eastAsia="en-IN"/>
              </w:rPr>
            </w:pPr>
          </w:p>
          <w:p w14:paraId="7B1EC344"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Number of plants</w:t>
            </w:r>
          </w:p>
        </w:tc>
        <w:tc>
          <w:tcPr>
            <w:tcW w:w="3427" w:type="dxa"/>
            <w:gridSpan w:val="3"/>
            <w:tcBorders>
              <w:top w:val="single" w:sz="4" w:space="0" w:color="auto"/>
              <w:left w:val="nil"/>
              <w:bottom w:val="single" w:sz="4" w:space="0" w:color="auto"/>
              <w:right w:val="single" w:sz="4" w:space="0" w:color="auto"/>
            </w:tcBorders>
            <w:noWrap/>
            <w:vAlign w:val="bottom"/>
            <w:hideMark/>
          </w:tcPr>
          <w:p w14:paraId="66360E33"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Observed</w:t>
            </w:r>
          </w:p>
        </w:tc>
        <w:tc>
          <w:tcPr>
            <w:tcW w:w="1142" w:type="dxa"/>
            <w:vMerge w:val="restart"/>
            <w:tcBorders>
              <w:top w:val="single" w:sz="4" w:space="0" w:color="auto"/>
              <w:left w:val="nil"/>
              <w:right w:val="single" w:sz="4" w:space="0" w:color="auto"/>
            </w:tcBorders>
            <w:noWrap/>
            <w:vAlign w:val="bottom"/>
            <w:hideMark/>
          </w:tcPr>
          <w:p w14:paraId="42CB962A" w14:textId="77777777" w:rsidR="006D1142" w:rsidRPr="006F6435" w:rsidRDefault="006D1142" w:rsidP="00B74BCB">
            <w:pPr>
              <w:spacing w:line="360" w:lineRule="auto"/>
              <w:jc w:val="center"/>
              <w:rPr>
                <w:rFonts w:ascii="Times New Roman" w:hAnsi="Times New Roman"/>
                <w:b/>
                <w:bCs/>
                <w:color w:val="000000"/>
                <w:lang w:eastAsia="en-IN"/>
              </w:rPr>
            </w:pPr>
          </w:p>
          <w:p w14:paraId="174CA8B8"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EXP</w:t>
            </w:r>
          </w:p>
        </w:tc>
        <w:tc>
          <w:tcPr>
            <w:tcW w:w="1142" w:type="dxa"/>
            <w:vMerge w:val="restart"/>
            <w:tcBorders>
              <w:top w:val="single" w:sz="4" w:space="0" w:color="auto"/>
              <w:left w:val="nil"/>
              <w:right w:val="single" w:sz="4" w:space="0" w:color="auto"/>
            </w:tcBorders>
            <w:noWrap/>
            <w:vAlign w:val="bottom"/>
            <w:hideMark/>
          </w:tcPr>
          <w:p w14:paraId="72F15E0D" w14:textId="77777777" w:rsidR="006D1142" w:rsidRPr="006F6435" w:rsidRDefault="006D1142" w:rsidP="00B74BCB">
            <w:pPr>
              <w:spacing w:line="360" w:lineRule="auto"/>
              <w:jc w:val="center"/>
              <w:rPr>
                <w:rFonts w:ascii="Times New Roman" w:hAnsi="Times New Roman"/>
                <w:b/>
                <w:bCs/>
                <w:color w:val="000000"/>
                <w:lang w:eastAsia="en-IN"/>
              </w:rPr>
            </w:pPr>
          </w:p>
          <w:p w14:paraId="30B2164E"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CHI</w:t>
            </w:r>
          </w:p>
        </w:tc>
      </w:tr>
      <w:tr w:rsidR="006D1142" w:rsidRPr="006F6435" w14:paraId="4755FE01" w14:textId="77777777" w:rsidTr="006D1142">
        <w:trPr>
          <w:trHeight w:val="295"/>
        </w:trPr>
        <w:tc>
          <w:tcPr>
            <w:tcW w:w="1175" w:type="dxa"/>
            <w:vMerge/>
            <w:tcBorders>
              <w:left w:val="single" w:sz="4" w:space="0" w:color="auto"/>
              <w:bottom w:val="single" w:sz="4" w:space="0" w:color="auto"/>
              <w:right w:val="single" w:sz="4" w:space="0" w:color="auto"/>
            </w:tcBorders>
            <w:noWrap/>
            <w:vAlign w:val="bottom"/>
            <w:hideMark/>
          </w:tcPr>
          <w:p w14:paraId="34439DC9" w14:textId="77777777" w:rsidR="006D1142" w:rsidRPr="006F6435" w:rsidRDefault="006D1142" w:rsidP="00B74BCB">
            <w:pPr>
              <w:spacing w:line="360" w:lineRule="auto"/>
              <w:jc w:val="both"/>
              <w:rPr>
                <w:rFonts w:ascii="Times New Roman" w:hAnsi="Times New Roman"/>
                <w:color w:val="000000"/>
                <w:lang w:eastAsia="en-IN"/>
              </w:rPr>
            </w:pPr>
          </w:p>
        </w:tc>
        <w:tc>
          <w:tcPr>
            <w:tcW w:w="1250" w:type="dxa"/>
            <w:vMerge/>
            <w:tcBorders>
              <w:left w:val="nil"/>
              <w:bottom w:val="single" w:sz="4" w:space="0" w:color="auto"/>
              <w:right w:val="single" w:sz="4" w:space="0" w:color="auto"/>
            </w:tcBorders>
            <w:noWrap/>
            <w:vAlign w:val="bottom"/>
            <w:hideMark/>
          </w:tcPr>
          <w:p w14:paraId="2108E922" w14:textId="77777777" w:rsidR="006D1142" w:rsidRPr="006F6435" w:rsidRDefault="006D1142" w:rsidP="00B74BCB">
            <w:pPr>
              <w:spacing w:line="360" w:lineRule="auto"/>
              <w:jc w:val="both"/>
              <w:rPr>
                <w:rFonts w:ascii="Times New Roman" w:hAnsi="Times New Roman"/>
                <w:color w:val="000000"/>
                <w:lang w:eastAsia="en-IN"/>
              </w:rPr>
            </w:pPr>
          </w:p>
        </w:tc>
        <w:tc>
          <w:tcPr>
            <w:tcW w:w="1142" w:type="dxa"/>
            <w:tcBorders>
              <w:top w:val="nil"/>
              <w:left w:val="nil"/>
              <w:bottom w:val="single" w:sz="4" w:space="0" w:color="auto"/>
              <w:right w:val="single" w:sz="4" w:space="0" w:color="auto"/>
            </w:tcBorders>
            <w:noWrap/>
            <w:vAlign w:val="bottom"/>
            <w:hideMark/>
          </w:tcPr>
          <w:p w14:paraId="6DE49145"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NSP</w:t>
            </w:r>
          </w:p>
        </w:tc>
        <w:tc>
          <w:tcPr>
            <w:tcW w:w="1142" w:type="dxa"/>
            <w:tcBorders>
              <w:top w:val="nil"/>
              <w:left w:val="nil"/>
              <w:bottom w:val="single" w:sz="4" w:space="0" w:color="auto"/>
              <w:right w:val="single" w:sz="4" w:space="0" w:color="auto"/>
            </w:tcBorders>
            <w:noWrap/>
            <w:vAlign w:val="bottom"/>
            <w:hideMark/>
          </w:tcPr>
          <w:p w14:paraId="74A5EEB0"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SSP</w:t>
            </w:r>
          </w:p>
        </w:tc>
        <w:tc>
          <w:tcPr>
            <w:tcW w:w="1143" w:type="dxa"/>
            <w:tcBorders>
              <w:top w:val="nil"/>
              <w:left w:val="nil"/>
              <w:bottom w:val="single" w:sz="4" w:space="0" w:color="auto"/>
              <w:right w:val="single" w:sz="4" w:space="0" w:color="auto"/>
            </w:tcBorders>
            <w:noWrap/>
            <w:vAlign w:val="bottom"/>
            <w:hideMark/>
          </w:tcPr>
          <w:p w14:paraId="1CC2C210"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SP</w:t>
            </w:r>
          </w:p>
        </w:tc>
        <w:tc>
          <w:tcPr>
            <w:tcW w:w="1142" w:type="dxa"/>
            <w:vMerge/>
            <w:tcBorders>
              <w:left w:val="nil"/>
              <w:bottom w:val="single" w:sz="4" w:space="0" w:color="auto"/>
              <w:right w:val="single" w:sz="4" w:space="0" w:color="auto"/>
            </w:tcBorders>
            <w:noWrap/>
            <w:vAlign w:val="bottom"/>
            <w:hideMark/>
          </w:tcPr>
          <w:p w14:paraId="769B977B" w14:textId="77777777" w:rsidR="006D1142" w:rsidRPr="006F6435" w:rsidRDefault="006D1142" w:rsidP="00B74BCB">
            <w:pPr>
              <w:spacing w:line="360" w:lineRule="auto"/>
              <w:jc w:val="both"/>
              <w:rPr>
                <w:rFonts w:ascii="Times New Roman" w:hAnsi="Times New Roman"/>
                <w:color w:val="000000"/>
                <w:lang w:eastAsia="en-IN"/>
              </w:rPr>
            </w:pPr>
          </w:p>
        </w:tc>
        <w:tc>
          <w:tcPr>
            <w:tcW w:w="1142" w:type="dxa"/>
            <w:vMerge/>
            <w:tcBorders>
              <w:left w:val="nil"/>
              <w:bottom w:val="single" w:sz="4" w:space="0" w:color="auto"/>
              <w:right w:val="single" w:sz="4" w:space="0" w:color="auto"/>
            </w:tcBorders>
            <w:noWrap/>
            <w:vAlign w:val="bottom"/>
            <w:hideMark/>
          </w:tcPr>
          <w:p w14:paraId="4A0F4850" w14:textId="77777777" w:rsidR="006D1142" w:rsidRPr="006F6435" w:rsidRDefault="006D1142" w:rsidP="00B74BCB">
            <w:pPr>
              <w:spacing w:line="360" w:lineRule="auto"/>
              <w:jc w:val="both"/>
              <w:rPr>
                <w:rFonts w:ascii="Times New Roman" w:hAnsi="Times New Roman"/>
                <w:color w:val="000000"/>
                <w:lang w:eastAsia="en-IN"/>
              </w:rPr>
            </w:pPr>
          </w:p>
        </w:tc>
      </w:tr>
      <w:tr w:rsidR="006D1142" w:rsidRPr="006F6435" w14:paraId="4D273621"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48FE3724"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1</w:t>
            </w:r>
          </w:p>
        </w:tc>
        <w:tc>
          <w:tcPr>
            <w:tcW w:w="1250" w:type="dxa"/>
            <w:tcBorders>
              <w:top w:val="nil"/>
              <w:left w:val="nil"/>
              <w:bottom w:val="single" w:sz="4" w:space="0" w:color="auto"/>
              <w:right w:val="single" w:sz="4" w:space="0" w:color="auto"/>
            </w:tcBorders>
            <w:noWrap/>
            <w:vAlign w:val="bottom"/>
            <w:hideMark/>
          </w:tcPr>
          <w:p w14:paraId="5B96448E"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2ED0EBAE"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1FEE41DD"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3" w:type="dxa"/>
            <w:tcBorders>
              <w:top w:val="nil"/>
              <w:left w:val="nil"/>
              <w:bottom w:val="single" w:sz="4" w:space="0" w:color="auto"/>
              <w:right w:val="single" w:sz="4" w:space="0" w:color="auto"/>
            </w:tcBorders>
            <w:noWrap/>
            <w:vAlign w:val="bottom"/>
            <w:hideMark/>
          </w:tcPr>
          <w:p w14:paraId="126171FC"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3F5E9AF3"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2B6B4448"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6D1142" w:rsidRPr="006F6435" w14:paraId="630FCA15"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74545DC3"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2</w:t>
            </w:r>
          </w:p>
        </w:tc>
        <w:tc>
          <w:tcPr>
            <w:tcW w:w="1250" w:type="dxa"/>
            <w:tcBorders>
              <w:top w:val="nil"/>
              <w:left w:val="nil"/>
              <w:bottom w:val="single" w:sz="4" w:space="0" w:color="auto"/>
              <w:right w:val="single" w:sz="4" w:space="0" w:color="auto"/>
            </w:tcBorders>
            <w:noWrap/>
            <w:vAlign w:val="bottom"/>
            <w:hideMark/>
          </w:tcPr>
          <w:p w14:paraId="639DF082"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3D209001"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25415BF8"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3" w:type="dxa"/>
            <w:tcBorders>
              <w:top w:val="nil"/>
              <w:left w:val="nil"/>
              <w:bottom w:val="single" w:sz="4" w:space="0" w:color="auto"/>
              <w:right w:val="single" w:sz="4" w:space="0" w:color="auto"/>
            </w:tcBorders>
            <w:noWrap/>
            <w:vAlign w:val="bottom"/>
            <w:hideMark/>
          </w:tcPr>
          <w:p w14:paraId="5771F842"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4A4DDA89"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27C59C74"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6D1142" w:rsidRPr="006F6435" w14:paraId="50ADA521"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6FC86D74"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1</w:t>
            </w:r>
          </w:p>
        </w:tc>
        <w:tc>
          <w:tcPr>
            <w:tcW w:w="1250" w:type="dxa"/>
            <w:tcBorders>
              <w:top w:val="nil"/>
              <w:left w:val="nil"/>
              <w:bottom w:val="single" w:sz="4" w:space="0" w:color="auto"/>
              <w:right w:val="single" w:sz="4" w:space="0" w:color="auto"/>
            </w:tcBorders>
            <w:noWrap/>
            <w:vAlign w:val="bottom"/>
            <w:hideMark/>
          </w:tcPr>
          <w:p w14:paraId="771BF592"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06A8DAC1"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142" w:type="dxa"/>
            <w:tcBorders>
              <w:top w:val="nil"/>
              <w:left w:val="nil"/>
              <w:bottom w:val="single" w:sz="4" w:space="0" w:color="auto"/>
              <w:right w:val="single" w:sz="4" w:space="0" w:color="auto"/>
            </w:tcBorders>
            <w:noWrap/>
            <w:vAlign w:val="bottom"/>
            <w:hideMark/>
          </w:tcPr>
          <w:p w14:paraId="16DCC335"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3" w:type="dxa"/>
            <w:tcBorders>
              <w:top w:val="nil"/>
              <w:left w:val="nil"/>
              <w:bottom w:val="single" w:sz="4" w:space="0" w:color="auto"/>
              <w:right w:val="single" w:sz="4" w:space="0" w:color="auto"/>
            </w:tcBorders>
            <w:noWrap/>
            <w:vAlign w:val="bottom"/>
            <w:hideMark/>
          </w:tcPr>
          <w:p w14:paraId="2E39785C"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6DCB2C6C"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2674249F"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6D1142" w:rsidRPr="006F6435" w14:paraId="13082751"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30A4B3C3"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2</w:t>
            </w:r>
          </w:p>
        </w:tc>
        <w:tc>
          <w:tcPr>
            <w:tcW w:w="1250" w:type="dxa"/>
            <w:tcBorders>
              <w:top w:val="nil"/>
              <w:left w:val="nil"/>
              <w:bottom w:val="single" w:sz="4" w:space="0" w:color="auto"/>
              <w:right w:val="single" w:sz="4" w:space="0" w:color="auto"/>
            </w:tcBorders>
            <w:noWrap/>
            <w:vAlign w:val="bottom"/>
            <w:hideMark/>
          </w:tcPr>
          <w:p w14:paraId="39911256"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276</w:t>
            </w:r>
          </w:p>
        </w:tc>
        <w:tc>
          <w:tcPr>
            <w:tcW w:w="1142" w:type="dxa"/>
            <w:tcBorders>
              <w:top w:val="nil"/>
              <w:left w:val="nil"/>
              <w:bottom w:val="single" w:sz="4" w:space="0" w:color="auto"/>
              <w:right w:val="single" w:sz="4" w:space="0" w:color="auto"/>
            </w:tcBorders>
            <w:noWrap/>
            <w:vAlign w:val="bottom"/>
            <w:hideMark/>
          </w:tcPr>
          <w:p w14:paraId="0D79468F"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58</w:t>
            </w:r>
          </w:p>
        </w:tc>
        <w:tc>
          <w:tcPr>
            <w:tcW w:w="1142" w:type="dxa"/>
            <w:tcBorders>
              <w:top w:val="nil"/>
              <w:left w:val="nil"/>
              <w:bottom w:val="single" w:sz="4" w:space="0" w:color="auto"/>
              <w:right w:val="single" w:sz="4" w:space="0" w:color="auto"/>
            </w:tcBorders>
            <w:noWrap/>
            <w:vAlign w:val="bottom"/>
            <w:hideMark/>
          </w:tcPr>
          <w:p w14:paraId="0094A336"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142</w:t>
            </w:r>
          </w:p>
        </w:tc>
        <w:tc>
          <w:tcPr>
            <w:tcW w:w="1143" w:type="dxa"/>
            <w:tcBorders>
              <w:top w:val="nil"/>
              <w:left w:val="nil"/>
              <w:bottom w:val="single" w:sz="4" w:space="0" w:color="auto"/>
              <w:right w:val="single" w:sz="4" w:space="0" w:color="auto"/>
            </w:tcBorders>
            <w:noWrap/>
            <w:vAlign w:val="bottom"/>
            <w:hideMark/>
          </w:tcPr>
          <w:p w14:paraId="6145F820"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81</w:t>
            </w:r>
          </w:p>
        </w:tc>
        <w:tc>
          <w:tcPr>
            <w:tcW w:w="1142" w:type="dxa"/>
            <w:tcBorders>
              <w:top w:val="nil"/>
              <w:left w:val="nil"/>
              <w:bottom w:val="single" w:sz="4" w:space="0" w:color="auto"/>
              <w:right w:val="single" w:sz="4" w:space="0" w:color="auto"/>
            </w:tcBorders>
            <w:noWrap/>
            <w:vAlign w:val="bottom"/>
            <w:hideMark/>
          </w:tcPr>
          <w:p w14:paraId="544CD597"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1:2:1</w:t>
            </w:r>
          </w:p>
        </w:tc>
        <w:tc>
          <w:tcPr>
            <w:tcW w:w="1142" w:type="dxa"/>
            <w:tcBorders>
              <w:top w:val="nil"/>
              <w:left w:val="nil"/>
              <w:bottom w:val="single" w:sz="4" w:space="0" w:color="auto"/>
              <w:right w:val="single" w:sz="4" w:space="0" w:color="auto"/>
            </w:tcBorders>
            <w:noWrap/>
            <w:vAlign w:val="bottom"/>
            <w:hideMark/>
          </w:tcPr>
          <w:p w14:paraId="22AAF1BA"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1.925</w:t>
            </w:r>
          </w:p>
        </w:tc>
      </w:tr>
      <w:tr w:rsidR="006D1142" w:rsidRPr="006F6435" w14:paraId="14901E70"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3AD9117D"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1</w:t>
            </w:r>
          </w:p>
        </w:tc>
        <w:tc>
          <w:tcPr>
            <w:tcW w:w="1250" w:type="dxa"/>
            <w:tcBorders>
              <w:top w:val="nil"/>
              <w:left w:val="nil"/>
              <w:bottom w:val="single" w:sz="4" w:space="0" w:color="auto"/>
              <w:right w:val="single" w:sz="4" w:space="0" w:color="auto"/>
            </w:tcBorders>
            <w:noWrap/>
            <w:vAlign w:val="bottom"/>
            <w:hideMark/>
          </w:tcPr>
          <w:p w14:paraId="3480B1B1"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482D9F81"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142" w:type="dxa"/>
            <w:tcBorders>
              <w:top w:val="nil"/>
              <w:left w:val="nil"/>
              <w:bottom w:val="single" w:sz="4" w:space="0" w:color="auto"/>
              <w:right w:val="single" w:sz="4" w:space="0" w:color="auto"/>
            </w:tcBorders>
            <w:noWrap/>
            <w:vAlign w:val="bottom"/>
            <w:hideMark/>
          </w:tcPr>
          <w:p w14:paraId="194CE74A"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36</w:t>
            </w:r>
          </w:p>
        </w:tc>
        <w:tc>
          <w:tcPr>
            <w:tcW w:w="1143" w:type="dxa"/>
            <w:tcBorders>
              <w:top w:val="nil"/>
              <w:left w:val="nil"/>
              <w:bottom w:val="single" w:sz="4" w:space="0" w:color="auto"/>
              <w:right w:val="single" w:sz="4" w:space="0" w:color="auto"/>
            </w:tcBorders>
            <w:noWrap/>
            <w:vAlign w:val="bottom"/>
            <w:hideMark/>
          </w:tcPr>
          <w:p w14:paraId="3651CA0A"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24</w:t>
            </w:r>
          </w:p>
        </w:tc>
        <w:tc>
          <w:tcPr>
            <w:tcW w:w="1142" w:type="dxa"/>
            <w:tcBorders>
              <w:top w:val="nil"/>
              <w:left w:val="nil"/>
              <w:bottom w:val="single" w:sz="4" w:space="0" w:color="auto"/>
              <w:right w:val="single" w:sz="4" w:space="0" w:color="auto"/>
            </w:tcBorders>
            <w:noWrap/>
            <w:vAlign w:val="bottom"/>
            <w:hideMark/>
          </w:tcPr>
          <w:p w14:paraId="7AC0B866"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142" w:type="dxa"/>
            <w:tcBorders>
              <w:top w:val="nil"/>
              <w:left w:val="nil"/>
              <w:bottom w:val="single" w:sz="4" w:space="0" w:color="auto"/>
              <w:right w:val="single" w:sz="4" w:space="0" w:color="auto"/>
            </w:tcBorders>
            <w:noWrap/>
            <w:vAlign w:val="bottom"/>
            <w:hideMark/>
          </w:tcPr>
          <w:p w14:paraId="4E6F07EE"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1.212</w:t>
            </w:r>
          </w:p>
        </w:tc>
      </w:tr>
      <w:tr w:rsidR="006D1142" w:rsidRPr="006F6435" w14:paraId="1005F1EC"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77EC7485"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2</w:t>
            </w:r>
          </w:p>
        </w:tc>
        <w:tc>
          <w:tcPr>
            <w:tcW w:w="1250" w:type="dxa"/>
            <w:tcBorders>
              <w:top w:val="nil"/>
              <w:left w:val="nil"/>
              <w:bottom w:val="single" w:sz="4" w:space="0" w:color="auto"/>
              <w:right w:val="single" w:sz="4" w:space="0" w:color="auto"/>
            </w:tcBorders>
            <w:noWrap/>
            <w:vAlign w:val="bottom"/>
            <w:hideMark/>
          </w:tcPr>
          <w:p w14:paraId="453EF73F"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1B9FF924"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27</w:t>
            </w:r>
          </w:p>
        </w:tc>
        <w:tc>
          <w:tcPr>
            <w:tcW w:w="1142" w:type="dxa"/>
            <w:tcBorders>
              <w:top w:val="nil"/>
              <w:left w:val="nil"/>
              <w:bottom w:val="single" w:sz="4" w:space="0" w:color="auto"/>
              <w:right w:val="single" w:sz="4" w:space="0" w:color="auto"/>
            </w:tcBorders>
            <w:noWrap/>
            <w:vAlign w:val="bottom"/>
            <w:hideMark/>
          </w:tcPr>
          <w:p w14:paraId="632597F8"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33</w:t>
            </w:r>
          </w:p>
        </w:tc>
        <w:tc>
          <w:tcPr>
            <w:tcW w:w="1143" w:type="dxa"/>
            <w:tcBorders>
              <w:top w:val="nil"/>
              <w:left w:val="nil"/>
              <w:bottom w:val="single" w:sz="4" w:space="0" w:color="auto"/>
              <w:right w:val="single" w:sz="4" w:space="0" w:color="auto"/>
            </w:tcBorders>
            <w:noWrap/>
            <w:vAlign w:val="bottom"/>
            <w:hideMark/>
          </w:tcPr>
          <w:p w14:paraId="3443E048"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142" w:type="dxa"/>
            <w:tcBorders>
              <w:top w:val="nil"/>
              <w:left w:val="nil"/>
              <w:bottom w:val="single" w:sz="4" w:space="0" w:color="auto"/>
              <w:right w:val="single" w:sz="4" w:space="0" w:color="auto"/>
            </w:tcBorders>
            <w:noWrap/>
            <w:vAlign w:val="bottom"/>
            <w:hideMark/>
          </w:tcPr>
          <w:p w14:paraId="2B00062B"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142" w:type="dxa"/>
            <w:tcBorders>
              <w:top w:val="nil"/>
              <w:left w:val="nil"/>
              <w:bottom w:val="single" w:sz="4" w:space="0" w:color="auto"/>
              <w:right w:val="single" w:sz="4" w:space="0" w:color="auto"/>
            </w:tcBorders>
            <w:noWrap/>
            <w:vAlign w:val="bottom"/>
            <w:hideMark/>
          </w:tcPr>
          <w:p w14:paraId="3AF97B8F"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0.3008</w:t>
            </w:r>
          </w:p>
        </w:tc>
      </w:tr>
    </w:tbl>
    <w:p w14:paraId="3483409A" w14:textId="77777777" w:rsidR="006D1142" w:rsidRPr="007C3141" w:rsidRDefault="006D1142" w:rsidP="006D1142">
      <w:pPr>
        <w:pStyle w:val="ConcHead"/>
        <w:jc w:val="both"/>
        <w:rPr>
          <w:rFonts w:ascii="Arial" w:hAnsi="Arial" w:cs="Arial"/>
          <w:b w:val="0"/>
          <w:caps w:val="0"/>
          <w:sz w:val="20"/>
        </w:rPr>
      </w:pPr>
    </w:p>
    <w:p w14:paraId="284084C9" w14:textId="77777777" w:rsid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The inheritance of compactness was studied in the DCS-9 x RG-2774 cross (Table 5). The parent DCS-9 had all the plant with semi compact spike and RG-2774 had loose compact spike. The F</w:t>
      </w:r>
      <w:r w:rsidRPr="001C1363">
        <w:rPr>
          <w:rFonts w:ascii="Arial" w:hAnsi="Arial" w:cs="Arial"/>
          <w:b w:val="0"/>
          <w:caps w:val="0"/>
          <w:sz w:val="20"/>
          <w:vertAlign w:val="subscript"/>
        </w:rPr>
        <w:t>1</w:t>
      </w:r>
      <w:r w:rsidRPr="007C3141">
        <w:rPr>
          <w:rFonts w:ascii="Arial" w:hAnsi="Arial" w:cs="Arial"/>
          <w:b w:val="0"/>
          <w:caps w:val="0"/>
          <w:sz w:val="20"/>
        </w:rPr>
        <w:t xml:space="preserve"> population of cross recorded semi compact spike in all observed plants. It revealed the dominance of Compactness spike. Segregation pattern in F</w:t>
      </w:r>
      <w:r w:rsidRPr="001C1363">
        <w:rPr>
          <w:rFonts w:ascii="Arial" w:hAnsi="Arial" w:cs="Arial"/>
          <w:b w:val="0"/>
          <w:caps w:val="0"/>
          <w:sz w:val="20"/>
          <w:vertAlign w:val="subscript"/>
        </w:rPr>
        <w:t>2</w:t>
      </w:r>
      <w:r w:rsidRPr="007C3141">
        <w:rPr>
          <w:rFonts w:ascii="Arial" w:hAnsi="Arial" w:cs="Arial"/>
          <w:b w:val="0"/>
          <w:caps w:val="0"/>
          <w:sz w:val="20"/>
        </w:rPr>
        <w:t xml:space="preserve"> generation in cross exhibited a good fit to the 3 semi compact spike: 1 loose spike. The back cross populations of (DCS-9 x RG-2774) x DCS-9 gave 1:1 ratio.  The backcross population of (DCS-9 x RG-2774) x RG-2774 segregated in the ratio 1 semi compact: 1 loose spike. </w:t>
      </w:r>
    </w:p>
    <w:p w14:paraId="07440AF1" w14:textId="77777777" w:rsidR="00DC2342" w:rsidRPr="006F6435" w:rsidRDefault="00DC2342" w:rsidP="00DC2342">
      <w:pPr>
        <w:spacing w:line="276" w:lineRule="auto"/>
        <w:jc w:val="both"/>
        <w:rPr>
          <w:rFonts w:ascii="Times New Roman" w:hAnsi="Times New Roman"/>
          <w:b/>
          <w:bCs/>
        </w:rPr>
      </w:pPr>
      <w:r w:rsidRPr="006F6435">
        <w:rPr>
          <w:rFonts w:ascii="Times New Roman" w:hAnsi="Times New Roman"/>
          <w:b/>
          <w:bCs/>
        </w:rPr>
        <w:t>Table 5. Inheritance of compactness in parents, F</w:t>
      </w:r>
      <w:r w:rsidRPr="006F6435">
        <w:rPr>
          <w:rFonts w:ascii="Times New Roman" w:hAnsi="Times New Roman"/>
          <w:b/>
          <w:bCs/>
          <w:vertAlign w:val="subscript"/>
        </w:rPr>
        <w:t>1</w:t>
      </w:r>
      <w:r w:rsidRPr="006F6435">
        <w:rPr>
          <w:rFonts w:ascii="Times New Roman" w:hAnsi="Times New Roman"/>
          <w:b/>
          <w:bCs/>
        </w:rPr>
        <w:t xml:space="preserve"> and F</w:t>
      </w:r>
      <w:r w:rsidRPr="006F6435">
        <w:rPr>
          <w:rFonts w:ascii="Times New Roman" w:hAnsi="Times New Roman"/>
          <w:b/>
          <w:bCs/>
          <w:vertAlign w:val="subscript"/>
        </w:rPr>
        <w:t>2</w:t>
      </w:r>
      <w:r w:rsidRPr="006F6435">
        <w:rPr>
          <w:rFonts w:ascii="Times New Roman" w:hAnsi="Times New Roman"/>
          <w:b/>
          <w:bCs/>
        </w:rPr>
        <w:t xml:space="preserve"> and backcross population of DCS-9 x RG - 2774 cross</w:t>
      </w:r>
    </w:p>
    <w:tbl>
      <w:tblPr>
        <w:tblW w:w="8828" w:type="dxa"/>
        <w:tblLook w:val="04A0" w:firstRow="1" w:lastRow="0" w:firstColumn="1" w:lastColumn="0" w:noHBand="0" w:noVBand="1"/>
      </w:tblPr>
      <w:tblGrid>
        <w:gridCol w:w="1592"/>
        <w:gridCol w:w="1447"/>
        <w:gridCol w:w="1447"/>
        <w:gridCol w:w="1448"/>
        <w:gridCol w:w="1447"/>
        <w:gridCol w:w="1447"/>
      </w:tblGrid>
      <w:tr w:rsidR="00DC2342" w:rsidRPr="006F6435" w14:paraId="435137D3" w14:textId="77777777" w:rsidTr="00B74BCB">
        <w:trPr>
          <w:trHeight w:val="544"/>
        </w:trPr>
        <w:tc>
          <w:tcPr>
            <w:tcW w:w="1592" w:type="dxa"/>
            <w:vMerge w:val="restart"/>
            <w:tcBorders>
              <w:top w:val="single" w:sz="4" w:space="0" w:color="auto"/>
              <w:left w:val="single" w:sz="4" w:space="0" w:color="auto"/>
              <w:right w:val="single" w:sz="4" w:space="0" w:color="auto"/>
            </w:tcBorders>
            <w:noWrap/>
            <w:vAlign w:val="bottom"/>
            <w:hideMark/>
          </w:tcPr>
          <w:p w14:paraId="58646E4E" w14:textId="77777777"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Generation</w:t>
            </w:r>
          </w:p>
          <w:p w14:paraId="1FE88D5D" w14:textId="77777777" w:rsidR="00DC2342" w:rsidRPr="006F6435" w:rsidRDefault="00DC2342" w:rsidP="00B74BCB">
            <w:pPr>
              <w:spacing w:line="360" w:lineRule="auto"/>
              <w:jc w:val="center"/>
              <w:rPr>
                <w:rFonts w:ascii="Times New Roman" w:hAnsi="Times New Roman"/>
                <w:b/>
                <w:bCs/>
                <w:color w:val="000000"/>
                <w:lang w:eastAsia="en-IN"/>
              </w:rPr>
            </w:pPr>
          </w:p>
        </w:tc>
        <w:tc>
          <w:tcPr>
            <w:tcW w:w="1447" w:type="dxa"/>
            <w:vMerge w:val="restart"/>
            <w:tcBorders>
              <w:top w:val="single" w:sz="4" w:space="0" w:color="auto"/>
              <w:left w:val="nil"/>
              <w:right w:val="single" w:sz="4" w:space="0" w:color="auto"/>
            </w:tcBorders>
            <w:noWrap/>
            <w:vAlign w:val="bottom"/>
            <w:hideMark/>
          </w:tcPr>
          <w:p w14:paraId="3783F942" w14:textId="77777777" w:rsidR="00DC2342" w:rsidRPr="006F6435" w:rsidRDefault="00DC2342" w:rsidP="00B74BCB">
            <w:pPr>
              <w:spacing w:line="360" w:lineRule="auto"/>
              <w:jc w:val="center"/>
              <w:rPr>
                <w:rFonts w:ascii="Times New Roman" w:hAnsi="Times New Roman"/>
                <w:b/>
                <w:bCs/>
                <w:color w:val="000000"/>
                <w:lang w:eastAsia="en-IN"/>
              </w:rPr>
            </w:pPr>
          </w:p>
          <w:p w14:paraId="5CFE35F6" w14:textId="77777777"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Number of plants</w:t>
            </w:r>
          </w:p>
        </w:tc>
        <w:tc>
          <w:tcPr>
            <w:tcW w:w="2895" w:type="dxa"/>
            <w:gridSpan w:val="2"/>
            <w:tcBorders>
              <w:top w:val="single" w:sz="4" w:space="0" w:color="auto"/>
              <w:left w:val="nil"/>
              <w:bottom w:val="single" w:sz="4" w:space="0" w:color="auto"/>
              <w:right w:val="single" w:sz="4" w:space="0" w:color="auto"/>
            </w:tcBorders>
            <w:noWrap/>
            <w:vAlign w:val="bottom"/>
            <w:hideMark/>
          </w:tcPr>
          <w:p w14:paraId="1F69082B" w14:textId="77777777"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Observed</w:t>
            </w:r>
          </w:p>
        </w:tc>
        <w:tc>
          <w:tcPr>
            <w:tcW w:w="1447" w:type="dxa"/>
            <w:vMerge w:val="restart"/>
            <w:tcBorders>
              <w:top w:val="single" w:sz="4" w:space="0" w:color="auto"/>
              <w:left w:val="nil"/>
              <w:right w:val="single" w:sz="4" w:space="0" w:color="auto"/>
            </w:tcBorders>
            <w:noWrap/>
            <w:vAlign w:val="bottom"/>
            <w:hideMark/>
          </w:tcPr>
          <w:p w14:paraId="1B6B1F62" w14:textId="77777777"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EXP</w:t>
            </w:r>
          </w:p>
        </w:tc>
        <w:tc>
          <w:tcPr>
            <w:tcW w:w="1447" w:type="dxa"/>
            <w:vMerge w:val="restart"/>
            <w:tcBorders>
              <w:top w:val="single" w:sz="4" w:space="0" w:color="auto"/>
              <w:left w:val="nil"/>
              <w:right w:val="single" w:sz="4" w:space="0" w:color="auto"/>
            </w:tcBorders>
            <w:noWrap/>
            <w:vAlign w:val="bottom"/>
            <w:hideMark/>
          </w:tcPr>
          <w:p w14:paraId="779FAA32" w14:textId="77777777"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CHI</w:t>
            </w:r>
          </w:p>
        </w:tc>
      </w:tr>
      <w:tr w:rsidR="00DC2342" w:rsidRPr="006F6435" w14:paraId="40DD863E" w14:textId="77777777" w:rsidTr="00B74BCB">
        <w:trPr>
          <w:trHeight w:val="320"/>
        </w:trPr>
        <w:tc>
          <w:tcPr>
            <w:tcW w:w="1592" w:type="dxa"/>
            <w:vMerge/>
            <w:tcBorders>
              <w:left w:val="single" w:sz="4" w:space="0" w:color="auto"/>
              <w:bottom w:val="single" w:sz="4" w:space="0" w:color="auto"/>
              <w:right w:val="single" w:sz="4" w:space="0" w:color="auto"/>
            </w:tcBorders>
            <w:noWrap/>
            <w:vAlign w:val="bottom"/>
            <w:hideMark/>
          </w:tcPr>
          <w:p w14:paraId="1DD776A4" w14:textId="77777777" w:rsidR="00DC2342" w:rsidRPr="006F6435" w:rsidRDefault="00DC2342" w:rsidP="00B74BCB">
            <w:pPr>
              <w:spacing w:line="360" w:lineRule="auto"/>
              <w:jc w:val="both"/>
              <w:rPr>
                <w:rFonts w:ascii="Times New Roman" w:hAnsi="Times New Roman"/>
                <w:color w:val="000000"/>
                <w:lang w:eastAsia="en-IN"/>
              </w:rPr>
            </w:pPr>
          </w:p>
        </w:tc>
        <w:tc>
          <w:tcPr>
            <w:tcW w:w="1447" w:type="dxa"/>
            <w:vMerge/>
            <w:tcBorders>
              <w:left w:val="nil"/>
              <w:bottom w:val="single" w:sz="4" w:space="0" w:color="auto"/>
              <w:right w:val="single" w:sz="4" w:space="0" w:color="auto"/>
            </w:tcBorders>
            <w:noWrap/>
            <w:vAlign w:val="bottom"/>
            <w:hideMark/>
          </w:tcPr>
          <w:p w14:paraId="6DEF3503" w14:textId="77777777" w:rsidR="00DC2342" w:rsidRPr="006F6435" w:rsidRDefault="00DC2342" w:rsidP="00B74BCB">
            <w:pPr>
              <w:spacing w:line="360" w:lineRule="auto"/>
              <w:jc w:val="both"/>
              <w:rPr>
                <w:rFonts w:ascii="Times New Roman" w:hAnsi="Times New Roman"/>
                <w:color w:val="000000"/>
                <w:lang w:eastAsia="en-IN"/>
              </w:rPr>
            </w:pPr>
          </w:p>
        </w:tc>
        <w:tc>
          <w:tcPr>
            <w:tcW w:w="1447" w:type="dxa"/>
            <w:tcBorders>
              <w:top w:val="nil"/>
              <w:left w:val="nil"/>
              <w:bottom w:val="single" w:sz="4" w:space="0" w:color="auto"/>
              <w:right w:val="single" w:sz="4" w:space="0" w:color="auto"/>
            </w:tcBorders>
            <w:noWrap/>
            <w:vAlign w:val="bottom"/>
            <w:hideMark/>
          </w:tcPr>
          <w:p w14:paraId="0CD1A037" w14:textId="77777777" w:rsidR="00DC2342" w:rsidRPr="006F6435" w:rsidRDefault="00DC2342"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SEMI</w:t>
            </w:r>
          </w:p>
        </w:tc>
        <w:tc>
          <w:tcPr>
            <w:tcW w:w="1448" w:type="dxa"/>
            <w:tcBorders>
              <w:top w:val="nil"/>
              <w:left w:val="nil"/>
              <w:bottom w:val="single" w:sz="4" w:space="0" w:color="auto"/>
              <w:right w:val="single" w:sz="4" w:space="0" w:color="auto"/>
            </w:tcBorders>
            <w:noWrap/>
            <w:vAlign w:val="bottom"/>
            <w:hideMark/>
          </w:tcPr>
          <w:p w14:paraId="60FC15A7" w14:textId="77777777" w:rsidR="00DC2342" w:rsidRPr="006F6435" w:rsidRDefault="00DC2342"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LOOSE</w:t>
            </w:r>
          </w:p>
        </w:tc>
        <w:tc>
          <w:tcPr>
            <w:tcW w:w="1447" w:type="dxa"/>
            <w:vMerge/>
            <w:tcBorders>
              <w:left w:val="nil"/>
              <w:bottom w:val="single" w:sz="4" w:space="0" w:color="auto"/>
              <w:right w:val="single" w:sz="4" w:space="0" w:color="auto"/>
            </w:tcBorders>
            <w:noWrap/>
            <w:vAlign w:val="bottom"/>
            <w:hideMark/>
          </w:tcPr>
          <w:p w14:paraId="41D77FEF" w14:textId="77777777" w:rsidR="00DC2342" w:rsidRPr="006F6435" w:rsidRDefault="00DC2342" w:rsidP="00B74BCB">
            <w:pPr>
              <w:spacing w:line="360" w:lineRule="auto"/>
              <w:jc w:val="both"/>
              <w:rPr>
                <w:rFonts w:ascii="Times New Roman" w:hAnsi="Times New Roman"/>
                <w:color w:val="000000"/>
                <w:lang w:eastAsia="en-IN"/>
              </w:rPr>
            </w:pPr>
          </w:p>
        </w:tc>
        <w:tc>
          <w:tcPr>
            <w:tcW w:w="1447" w:type="dxa"/>
            <w:vMerge/>
            <w:tcBorders>
              <w:left w:val="nil"/>
              <w:bottom w:val="single" w:sz="4" w:space="0" w:color="auto"/>
              <w:right w:val="single" w:sz="4" w:space="0" w:color="auto"/>
            </w:tcBorders>
            <w:noWrap/>
            <w:vAlign w:val="bottom"/>
            <w:hideMark/>
          </w:tcPr>
          <w:p w14:paraId="0353CC9E" w14:textId="77777777" w:rsidR="00DC2342" w:rsidRPr="006F6435" w:rsidRDefault="00DC2342" w:rsidP="00B74BCB">
            <w:pPr>
              <w:spacing w:line="360" w:lineRule="auto"/>
              <w:jc w:val="both"/>
              <w:rPr>
                <w:rFonts w:ascii="Times New Roman" w:hAnsi="Times New Roman"/>
                <w:color w:val="000000"/>
                <w:lang w:eastAsia="en-IN"/>
              </w:rPr>
            </w:pPr>
          </w:p>
        </w:tc>
      </w:tr>
      <w:tr w:rsidR="00DC2342" w:rsidRPr="006F6435" w14:paraId="4EEE3772"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0D73BEE3"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1</w:t>
            </w:r>
          </w:p>
        </w:tc>
        <w:tc>
          <w:tcPr>
            <w:tcW w:w="1447" w:type="dxa"/>
            <w:tcBorders>
              <w:top w:val="nil"/>
              <w:left w:val="nil"/>
              <w:bottom w:val="single" w:sz="4" w:space="0" w:color="auto"/>
              <w:right w:val="single" w:sz="4" w:space="0" w:color="auto"/>
            </w:tcBorders>
            <w:noWrap/>
            <w:vAlign w:val="bottom"/>
            <w:hideMark/>
          </w:tcPr>
          <w:p w14:paraId="2C6EC416"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30654D9F"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8" w:type="dxa"/>
            <w:tcBorders>
              <w:top w:val="nil"/>
              <w:left w:val="nil"/>
              <w:bottom w:val="single" w:sz="4" w:space="0" w:color="auto"/>
              <w:right w:val="single" w:sz="4" w:space="0" w:color="auto"/>
            </w:tcBorders>
            <w:noWrap/>
            <w:vAlign w:val="bottom"/>
            <w:hideMark/>
          </w:tcPr>
          <w:p w14:paraId="395F8722"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447" w:type="dxa"/>
            <w:tcBorders>
              <w:top w:val="nil"/>
              <w:left w:val="nil"/>
              <w:bottom w:val="single" w:sz="4" w:space="0" w:color="auto"/>
              <w:right w:val="single" w:sz="4" w:space="0" w:color="auto"/>
            </w:tcBorders>
            <w:noWrap/>
            <w:vAlign w:val="bottom"/>
            <w:hideMark/>
          </w:tcPr>
          <w:p w14:paraId="20CFE9F0"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14:paraId="634E53B5"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DC2342" w:rsidRPr="006F6435" w14:paraId="6134C76B"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23D1F173"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2</w:t>
            </w:r>
          </w:p>
        </w:tc>
        <w:tc>
          <w:tcPr>
            <w:tcW w:w="1447" w:type="dxa"/>
            <w:tcBorders>
              <w:top w:val="nil"/>
              <w:left w:val="nil"/>
              <w:bottom w:val="single" w:sz="4" w:space="0" w:color="auto"/>
              <w:right w:val="single" w:sz="4" w:space="0" w:color="auto"/>
            </w:tcBorders>
            <w:noWrap/>
            <w:vAlign w:val="bottom"/>
            <w:hideMark/>
          </w:tcPr>
          <w:p w14:paraId="482884DF"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557E2C69"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448" w:type="dxa"/>
            <w:tcBorders>
              <w:top w:val="nil"/>
              <w:left w:val="nil"/>
              <w:bottom w:val="single" w:sz="4" w:space="0" w:color="auto"/>
              <w:right w:val="single" w:sz="4" w:space="0" w:color="auto"/>
            </w:tcBorders>
            <w:noWrap/>
            <w:vAlign w:val="bottom"/>
            <w:hideMark/>
          </w:tcPr>
          <w:p w14:paraId="647AAA55"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50E57830"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14:paraId="0E40A634"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DC2342" w:rsidRPr="006F6435" w14:paraId="6F91C814"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40D34C5B"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1</w:t>
            </w:r>
          </w:p>
        </w:tc>
        <w:tc>
          <w:tcPr>
            <w:tcW w:w="1447" w:type="dxa"/>
            <w:tcBorders>
              <w:top w:val="nil"/>
              <w:left w:val="nil"/>
              <w:bottom w:val="single" w:sz="4" w:space="0" w:color="auto"/>
              <w:right w:val="single" w:sz="4" w:space="0" w:color="auto"/>
            </w:tcBorders>
            <w:noWrap/>
            <w:vAlign w:val="bottom"/>
            <w:hideMark/>
          </w:tcPr>
          <w:p w14:paraId="05251BE6"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7BABFC0D"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8" w:type="dxa"/>
            <w:tcBorders>
              <w:top w:val="nil"/>
              <w:left w:val="nil"/>
              <w:bottom w:val="single" w:sz="4" w:space="0" w:color="auto"/>
              <w:right w:val="single" w:sz="4" w:space="0" w:color="auto"/>
            </w:tcBorders>
            <w:noWrap/>
            <w:vAlign w:val="bottom"/>
            <w:hideMark/>
          </w:tcPr>
          <w:p w14:paraId="0FF1731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14:paraId="3CD8F04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14:paraId="6986B319"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DC2342" w:rsidRPr="006F6435" w14:paraId="6CDAB45C"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46B5AD16"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2</w:t>
            </w:r>
          </w:p>
        </w:tc>
        <w:tc>
          <w:tcPr>
            <w:tcW w:w="1447" w:type="dxa"/>
            <w:tcBorders>
              <w:top w:val="nil"/>
              <w:left w:val="nil"/>
              <w:bottom w:val="single" w:sz="4" w:space="0" w:color="auto"/>
              <w:right w:val="single" w:sz="4" w:space="0" w:color="auto"/>
            </w:tcBorders>
            <w:noWrap/>
            <w:vAlign w:val="bottom"/>
            <w:hideMark/>
          </w:tcPr>
          <w:p w14:paraId="42BE0EB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276</w:t>
            </w:r>
          </w:p>
        </w:tc>
        <w:tc>
          <w:tcPr>
            <w:tcW w:w="1447" w:type="dxa"/>
            <w:tcBorders>
              <w:top w:val="nil"/>
              <w:left w:val="nil"/>
              <w:bottom w:val="single" w:sz="4" w:space="0" w:color="auto"/>
              <w:right w:val="single" w:sz="4" w:space="0" w:color="auto"/>
            </w:tcBorders>
            <w:noWrap/>
            <w:vAlign w:val="bottom"/>
            <w:hideMark/>
          </w:tcPr>
          <w:p w14:paraId="104767A3"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211</w:t>
            </w:r>
          </w:p>
        </w:tc>
        <w:tc>
          <w:tcPr>
            <w:tcW w:w="1448" w:type="dxa"/>
            <w:tcBorders>
              <w:top w:val="nil"/>
              <w:left w:val="nil"/>
              <w:bottom w:val="single" w:sz="4" w:space="0" w:color="auto"/>
              <w:right w:val="single" w:sz="4" w:space="0" w:color="auto"/>
            </w:tcBorders>
            <w:noWrap/>
            <w:vAlign w:val="bottom"/>
            <w:hideMark/>
          </w:tcPr>
          <w:p w14:paraId="1E5F93EF"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65</w:t>
            </w:r>
          </w:p>
        </w:tc>
        <w:tc>
          <w:tcPr>
            <w:tcW w:w="1447" w:type="dxa"/>
            <w:tcBorders>
              <w:top w:val="nil"/>
              <w:left w:val="nil"/>
              <w:bottom w:val="single" w:sz="4" w:space="0" w:color="auto"/>
              <w:right w:val="single" w:sz="4" w:space="0" w:color="auto"/>
            </w:tcBorders>
            <w:noWrap/>
            <w:vAlign w:val="bottom"/>
            <w:hideMark/>
          </w:tcPr>
          <w:p w14:paraId="53BB08BF"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3:1</w:t>
            </w:r>
          </w:p>
        </w:tc>
        <w:tc>
          <w:tcPr>
            <w:tcW w:w="1447" w:type="dxa"/>
            <w:tcBorders>
              <w:top w:val="nil"/>
              <w:left w:val="nil"/>
              <w:bottom w:val="single" w:sz="4" w:space="0" w:color="auto"/>
              <w:right w:val="single" w:sz="4" w:space="0" w:color="auto"/>
            </w:tcBorders>
            <w:noWrap/>
            <w:vAlign w:val="bottom"/>
            <w:hideMark/>
          </w:tcPr>
          <w:p w14:paraId="494B67D2"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0.1577</w:t>
            </w:r>
          </w:p>
        </w:tc>
      </w:tr>
      <w:tr w:rsidR="00DC2342" w:rsidRPr="006F6435" w14:paraId="1BFB1B05"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1D461BCB"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1</w:t>
            </w:r>
          </w:p>
        </w:tc>
        <w:tc>
          <w:tcPr>
            <w:tcW w:w="1447" w:type="dxa"/>
            <w:tcBorders>
              <w:top w:val="nil"/>
              <w:left w:val="nil"/>
              <w:bottom w:val="single" w:sz="4" w:space="0" w:color="auto"/>
              <w:right w:val="single" w:sz="4" w:space="0" w:color="auto"/>
            </w:tcBorders>
            <w:noWrap/>
            <w:vAlign w:val="bottom"/>
            <w:hideMark/>
          </w:tcPr>
          <w:p w14:paraId="25A503A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4689ED64"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38</w:t>
            </w:r>
          </w:p>
        </w:tc>
        <w:tc>
          <w:tcPr>
            <w:tcW w:w="1448" w:type="dxa"/>
            <w:tcBorders>
              <w:top w:val="nil"/>
              <w:left w:val="nil"/>
              <w:bottom w:val="single" w:sz="4" w:space="0" w:color="auto"/>
              <w:right w:val="single" w:sz="4" w:space="0" w:color="auto"/>
            </w:tcBorders>
            <w:noWrap/>
            <w:vAlign w:val="bottom"/>
            <w:hideMark/>
          </w:tcPr>
          <w:p w14:paraId="3464F95C"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22</w:t>
            </w:r>
          </w:p>
        </w:tc>
        <w:tc>
          <w:tcPr>
            <w:tcW w:w="1447" w:type="dxa"/>
            <w:tcBorders>
              <w:top w:val="nil"/>
              <w:left w:val="nil"/>
              <w:bottom w:val="single" w:sz="4" w:space="0" w:color="auto"/>
              <w:right w:val="single" w:sz="4" w:space="0" w:color="auto"/>
            </w:tcBorders>
            <w:noWrap/>
            <w:vAlign w:val="bottom"/>
            <w:hideMark/>
          </w:tcPr>
          <w:p w14:paraId="20BF04B5"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447" w:type="dxa"/>
            <w:tcBorders>
              <w:top w:val="nil"/>
              <w:left w:val="nil"/>
              <w:bottom w:val="single" w:sz="4" w:space="0" w:color="auto"/>
              <w:right w:val="single" w:sz="4" w:space="0" w:color="auto"/>
            </w:tcBorders>
            <w:noWrap/>
            <w:vAlign w:val="bottom"/>
            <w:hideMark/>
          </w:tcPr>
          <w:p w14:paraId="5B2455C4"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2.171</w:t>
            </w:r>
          </w:p>
        </w:tc>
      </w:tr>
      <w:tr w:rsidR="00DC2342" w:rsidRPr="006F6435" w14:paraId="3E2ACD83"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0B4847FE"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2</w:t>
            </w:r>
          </w:p>
        </w:tc>
        <w:tc>
          <w:tcPr>
            <w:tcW w:w="1447" w:type="dxa"/>
            <w:tcBorders>
              <w:top w:val="nil"/>
              <w:left w:val="nil"/>
              <w:bottom w:val="single" w:sz="4" w:space="0" w:color="auto"/>
              <w:right w:val="single" w:sz="4" w:space="0" w:color="auto"/>
            </w:tcBorders>
            <w:noWrap/>
            <w:vAlign w:val="bottom"/>
            <w:hideMark/>
          </w:tcPr>
          <w:p w14:paraId="6EFE7F16"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345E6874"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26</w:t>
            </w:r>
          </w:p>
        </w:tc>
        <w:tc>
          <w:tcPr>
            <w:tcW w:w="1448" w:type="dxa"/>
            <w:tcBorders>
              <w:top w:val="nil"/>
              <w:left w:val="nil"/>
              <w:bottom w:val="single" w:sz="4" w:space="0" w:color="auto"/>
              <w:right w:val="single" w:sz="4" w:space="0" w:color="auto"/>
            </w:tcBorders>
            <w:noWrap/>
            <w:vAlign w:val="bottom"/>
            <w:hideMark/>
          </w:tcPr>
          <w:p w14:paraId="24D9EE8D"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34</w:t>
            </w:r>
          </w:p>
        </w:tc>
        <w:tc>
          <w:tcPr>
            <w:tcW w:w="1447" w:type="dxa"/>
            <w:tcBorders>
              <w:top w:val="nil"/>
              <w:left w:val="nil"/>
              <w:bottom w:val="single" w:sz="4" w:space="0" w:color="auto"/>
              <w:right w:val="single" w:sz="4" w:space="0" w:color="auto"/>
            </w:tcBorders>
            <w:noWrap/>
            <w:vAlign w:val="bottom"/>
            <w:hideMark/>
          </w:tcPr>
          <w:p w14:paraId="57A16AD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447" w:type="dxa"/>
            <w:tcBorders>
              <w:top w:val="nil"/>
              <w:left w:val="nil"/>
              <w:bottom w:val="single" w:sz="4" w:space="0" w:color="auto"/>
              <w:right w:val="single" w:sz="4" w:space="0" w:color="auto"/>
            </w:tcBorders>
            <w:noWrap/>
            <w:vAlign w:val="bottom"/>
            <w:hideMark/>
          </w:tcPr>
          <w:p w14:paraId="668CAF3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0.535</w:t>
            </w:r>
          </w:p>
        </w:tc>
      </w:tr>
    </w:tbl>
    <w:p w14:paraId="057530D4" w14:textId="77777777" w:rsidR="00DC2342" w:rsidRPr="007C3141" w:rsidRDefault="00DC2342" w:rsidP="00DC2342">
      <w:pPr>
        <w:pStyle w:val="ConcHead"/>
        <w:jc w:val="both"/>
        <w:rPr>
          <w:rFonts w:ascii="Arial" w:hAnsi="Arial" w:cs="Arial"/>
          <w:b w:val="0"/>
          <w:caps w:val="0"/>
          <w:sz w:val="20"/>
        </w:rPr>
      </w:pPr>
    </w:p>
    <w:p w14:paraId="38CC2749" w14:textId="77777777" w:rsidR="00042AF8"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The relative distribution of the F</w:t>
      </w:r>
      <w:r w:rsidRPr="001C1363">
        <w:rPr>
          <w:rFonts w:ascii="Arial" w:hAnsi="Arial" w:cs="Arial"/>
          <w:b w:val="0"/>
          <w:caps w:val="0"/>
          <w:sz w:val="20"/>
          <w:vertAlign w:val="subscript"/>
        </w:rPr>
        <w:t>2</w:t>
      </w:r>
      <w:r w:rsidRPr="007C3141">
        <w:rPr>
          <w:rFonts w:ascii="Arial" w:hAnsi="Arial" w:cs="Arial"/>
          <w:b w:val="0"/>
          <w:caps w:val="0"/>
          <w:sz w:val="20"/>
        </w:rPr>
        <w:t xml:space="preserve"> population followed a continuous distribution curve (Fig.1), indicating that capsule borer resistance may exhibit a quantitative inheritance pattern and is likely controlled by multiple genes. Similar findings were reported by Anderson et al., 2025 in wheat for Hessian fly. From a breeding perspective, the polygenic control of capsule borer resistance is advantageous. This complex genetic control contributes to a durable resistance mechanism, reducing the likelihood of resistance breakdown and slowing the evolution of aggressive pest races. </w:t>
      </w:r>
    </w:p>
    <w:p w14:paraId="37C97E95" w14:textId="3F761F10" w:rsidR="006C45D2" w:rsidRDefault="006C45D2" w:rsidP="00042AF8">
      <w:pPr>
        <w:pStyle w:val="ConcHead"/>
        <w:ind w:firstLine="720"/>
        <w:jc w:val="both"/>
        <w:rPr>
          <w:rFonts w:ascii="Arial" w:hAnsi="Arial" w:cs="Arial"/>
          <w:b w:val="0"/>
          <w:caps w:val="0"/>
          <w:sz w:val="20"/>
        </w:rPr>
      </w:pPr>
      <w:r w:rsidRPr="006F6435">
        <w:rPr>
          <w:rFonts w:ascii="Times New Roman" w:hAnsi="Times New Roman"/>
          <w:noProof/>
        </w:rPr>
        <w:drawing>
          <wp:anchor distT="0" distB="0" distL="114300" distR="114300" simplePos="0" relativeHeight="251658240" behindDoc="0" locked="0" layoutInCell="1" allowOverlap="1" wp14:anchorId="319279F6" wp14:editId="5A91700D">
            <wp:simplePos x="0" y="0"/>
            <wp:positionH relativeFrom="column">
              <wp:posOffset>456625</wp:posOffset>
            </wp:positionH>
            <wp:positionV relativeFrom="paragraph">
              <wp:posOffset>-1677</wp:posOffset>
            </wp:positionV>
            <wp:extent cx="4136774" cy="2628900"/>
            <wp:effectExtent l="0" t="0" r="0" b="0"/>
            <wp:wrapNone/>
            <wp:docPr id="33772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6774" cy="2628900"/>
                    </a:xfrm>
                    <a:prstGeom prst="rect">
                      <a:avLst/>
                    </a:prstGeom>
                    <a:noFill/>
                    <a:ln>
                      <a:noFill/>
                    </a:ln>
                  </pic:spPr>
                </pic:pic>
              </a:graphicData>
            </a:graphic>
          </wp:anchor>
        </w:drawing>
      </w:r>
    </w:p>
    <w:p w14:paraId="1774480B" w14:textId="77777777" w:rsidR="006C45D2" w:rsidRDefault="006C45D2" w:rsidP="00042AF8">
      <w:pPr>
        <w:pStyle w:val="ConcHead"/>
        <w:ind w:firstLine="720"/>
        <w:jc w:val="both"/>
        <w:rPr>
          <w:rFonts w:ascii="Arial" w:hAnsi="Arial" w:cs="Arial"/>
          <w:b w:val="0"/>
          <w:caps w:val="0"/>
          <w:sz w:val="20"/>
        </w:rPr>
      </w:pPr>
    </w:p>
    <w:p w14:paraId="68C56284" w14:textId="77777777" w:rsidR="006C45D2" w:rsidRDefault="006C45D2" w:rsidP="00042AF8">
      <w:pPr>
        <w:pStyle w:val="ConcHead"/>
        <w:ind w:firstLine="720"/>
        <w:jc w:val="both"/>
        <w:rPr>
          <w:rFonts w:ascii="Arial" w:hAnsi="Arial" w:cs="Arial"/>
          <w:b w:val="0"/>
          <w:caps w:val="0"/>
          <w:sz w:val="20"/>
        </w:rPr>
      </w:pPr>
    </w:p>
    <w:p w14:paraId="23094784" w14:textId="77777777" w:rsidR="006C45D2" w:rsidRDefault="006C45D2" w:rsidP="00042AF8">
      <w:pPr>
        <w:pStyle w:val="ConcHead"/>
        <w:ind w:firstLine="720"/>
        <w:jc w:val="both"/>
        <w:rPr>
          <w:rFonts w:ascii="Arial" w:hAnsi="Arial" w:cs="Arial"/>
          <w:b w:val="0"/>
          <w:caps w:val="0"/>
          <w:sz w:val="20"/>
        </w:rPr>
      </w:pPr>
    </w:p>
    <w:p w14:paraId="2CA544CD" w14:textId="77777777" w:rsidR="006C45D2" w:rsidRDefault="006C45D2" w:rsidP="00042AF8">
      <w:pPr>
        <w:pStyle w:val="ConcHead"/>
        <w:ind w:firstLine="720"/>
        <w:jc w:val="both"/>
        <w:rPr>
          <w:rFonts w:ascii="Arial" w:hAnsi="Arial" w:cs="Arial"/>
          <w:b w:val="0"/>
          <w:caps w:val="0"/>
          <w:sz w:val="20"/>
        </w:rPr>
      </w:pPr>
    </w:p>
    <w:p w14:paraId="4FAC3C2B" w14:textId="77777777" w:rsidR="006C45D2" w:rsidRDefault="006C45D2" w:rsidP="00042AF8">
      <w:pPr>
        <w:pStyle w:val="ConcHead"/>
        <w:ind w:firstLine="720"/>
        <w:jc w:val="both"/>
        <w:rPr>
          <w:rFonts w:ascii="Arial" w:hAnsi="Arial" w:cs="Arial"/>
          <w:b w:val="0"/>
          <w:caps w:val="0"/>
          <w:sz w:val="20"/>
        </w:rPr>
      </w:pPr>
    </w:p>
    <w:p w14:paraId="46F8307D" w14:textId="77777777" w:rsidR="006C45D2" w:rsidRDefault="006C45D2" w:rsidP="00042AF8">
      <w:pPr>
        <w:pStyle w:val="ConcHead"/>
        <w:ind w:firstLine="720"/>
        <w:jc w:val="both"/>
        <w:rPr>
          <w:rFonts w:ascii="Arial" w:hAnsi="Arial" w:cs="Arial"/>
          <w:b w:val="0"/>
          <w:caps w:val="0"/>
          <w:sz w:val="20"/>
        </w:rPr>
      </w:pPr>
    </w:p>
    <w:p w14:paraId="5DD39A9A" w14:textId="77777777" w:rsidR="006C45D2" w:rsidRDefault="006C45D2" w:rsidP="00042AF8">
      <w:pPr>
        <w:pStyle w:val="ConcHead"/>
        <w:ind w:firstLine="720"/>
        <w:jc w:val="both"/>
        <w:rPr>
          <w:rFonts w:ascii="Arial" w:hAnsi="Arial" w:cs="Arial"/>
          <w:b w:val="0"/>
          <w:caps w:val="0"/>
          <w:sz w:val="20"/>
        </w:rPr>
      </w:pPr>
    </w:p>
    <w:p w14:paraId="3E30CEA3" w14:textId="77777777" w:rsidR="006C45D2" w:rsidRDefault="006C45D2" w:rsidP="00042AF8">
      <w:pPr>
        <w:pStyle w:val="ConcHead"/>
        <w:ind w:firstLine="720"/>
        <w:jc w:val="both"/>
        <w:rPr>
          <w:rFonts w:ascii="Arial" w:hAnsi="Arial" w:cs="Arial"/>
          <w:b w:val="0"/>
          <w:caps w:val="0"/>
          <w:sz w:val="20"/>
        </w:rPr>
      </w:pPr>
    </w:p>
    <w:p w14:paraId="70986553" w14:textId="3C34AAB5" w:rsidR="006C45D2" w:rsidRPr="00A1115F" w:rsidRDefault="00A1115F" w:rsidP="00A1115F">
      <w:pPr>
        <w:spacing w:line="360" w:lineRule="auto"/>
        <w:jc w:val="center"/>
        <w:rPr>
          <w:rFonts w:ascii="Times New Roman" w:hAnsi="Times New Roman"/>
          <w:b/>
          <w:bCs/>
        </w:rPr>
      </w:pPr>
      <w:r w:rsidRPr="006F6435">
        <w:rPr>
          <w:rFonts w:ascii="Times New Roman" w:hAnsi="Times New Roman"/>
          <w:b/>
          <w:bCs/>
        </w:rPr>
        <w:t>Fig.1.Frequency distribution of capsule borer in F</w:t>
      </w:r>
      <w:r w:rsidRPr="006F6435">
        <w:rPr>
          <w:rFonts w:ascii="Times New Roman" w:hAnsi="Times New Roman"/>
          <w:b/>
          <w:bCs/>
          <w:vertAlign w:val="subscript"/>
        </w:rPr>
        <w:t>2</w:t>
      </w:r>
      <w:r w:rsidRPr="006F6435">
        <w:rPr>
          <w:rFonts w:ascii="Times New Roman" w:hAnsi="Times New Roman"/>
          <w:b/>
          <w:bCs/>
        </w:rPr>
        <w:t xml:space="preserve"> of DCS-9 x RG - 2774 cross.</w:t>
      </w:r>
    </w:p>
    <w:p w14:paraId="332CDE1A" w14:textId="77777777" w:rsidR="00A1115F" w:rsidRDefault="00A1115F" w:rsidP="00441B6F">
      <w:pPr>
        <w:pStyle w:val="ConcHead"/>
        <w:spacing w:after="0"/>
        <w:jc w:val="both"/>
        <w:rPr>
          <w:rFonts w:ascii="Arial" w:hAnsi="Arial" w:cs="Arial"/>
        </w:rPr>
      </w:pPr>
    </w:p>
    <w:p w14:paraId="4D7CDBAE" w14:textId="67A15453"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B1A593F" w14:textId="305C4769" w:rsidR="00790ADA" w:rsidRDefault="00993FFA" w:rsidP="00993FFA">
      <w:pPr>
        <w:pStyle w:val="Body"/>
        <w:spacing w:after="0"/>
        <w:ind w:firstLine="720"/>
        <w:rPr>
          <w:rFonts w:ascii="Arial" w:hAnsi="Arial" w:cs="Arial"/>
        </w:rPr>
      </w:pPr>
      <w:r w:rsidRPr="00993FFA">
        <w:rPr>
          <w:rFonts w:ascii="Arial" w:hAnsi="Arial" w:cs="Arial"/>
        </w:rPr>
        <w:t>The study highlights that capsule borer resistance in castor is a quantitatively inherited trait with high variability and strong genetic control. High heritability and genetic advance for capsule borer incidence indicate ample scope for effective selection. Significant correlations of spine presence and bloom with capsule damage suggest their potential use as morphological indicators in breeding. Overall, resistance appears to be governed by multiple genes, enabling the identification and improvement of tolerant genotypes through targeted selection.</w:t>
      </w:r>
    </w:p>
    <w:p w14:paraId="4A3AC9CD" w14:textId="77777777" w:rsidR="00993FFA" w:rsidRPr="00FB3A86" w:rsidRDefault="00993FFA" w:rsidP="00993FFA">
      <w:pPr>
        <w:pStyle w:val="Body"/>
        <w:spacing w:after="0"/>
        <w:ind w:firstLine="720"/>
        <w:rPr>
          <w:rFonts w:ascii="Arial" w:hAnsi="Arial" w:cs="Arial"/>
        </w:rPr>
      </w:pPr>
    </w:p>
    <w:p w14:paraId="51B4DB2F" w14:textId="77777777" w:rsidR="003D6452" w:rsidRPr="00E86519" w:rsidRDefault="003D6452" w:rsidP="003D6452">
      <w:pPr>
        <w:pStyle w:val="ReferHead"/>
        <w:spacing w:after="0"/>
        <w:jc w:val="both"/>
        <w:rPr>
          <w:rFonts w:ascii="Arial" w:hAnsi="Arial" w:cs="Arial"/>
          <w:bCs/>
        </w:rPr>
      </w:pPr>
      <w:r w:rsidRPr="00E86519">
        <w:rPr>
          <w:rFonts w:ascii="Arial" w:hAnsi="Arial" w:cs="Arial"/>
          <w:bCs/>
        </w:rPr>
        <w:t xml:space="preserve">Consent </w:t>
      </w:r>
    </w:p>
    <w:p w14:paraId="224971E4" w14:textId="77777777" w:rsidR="003D6452" w:rsidRPr="00E86519" w:rsidRDefault="003D6452" w:rsidP="003D6452">
      <w:pPr>
        <w:pStyle w:val="ReferHead"/>
        <w:spacing w:after="0"/>
        <w:jc w:val="both"/>
        <w:rPr>
          <w:rFonts w:ascii="Arial" w:hAnsi="Arial" w:cs="Arial"/>
          <w:b w:val="0"/>
          <w:caps w:val="0"/>
          <w:sz w:val="20"/>
        </w:rPr>
      </w:pPr>
      <w:r w:rsidRPr="00E86519">
        <w:rPr>
          <w:rFonts w:ascii="Arial" w:hAnsi="Arial" w:cs="Arial"/>
          <w:b w:val="0"/>
          <w:bCs/>
          <w:caps w:val="0"/>
        </w:rPr>
        <w:t>Not Applicable</w:t>
      </w:r>
    </w:p>
    <w:p w14:paraId="76A30D2B" w14:textId="77777777" w:rsidR="003D6452" w:rsidRPr="00E86519" w:rsidRDefault="003D6452" w:rsidP="003D6452">
      <w:pPr>
        <w:pStyle w:val="ReferHead"/>
        <w:spacing w:after="0"/>
        <w:jc w:val="both"/>
        <w:rPr>
          <w:rFonts w:ascii="Arial" w:hAnsi="Arial" w:cs="Arial"/>
          <w:b w:val="0"/>
          <w:caps w:val="0"/>
          <w:sz w:val="20"/>
        </w:rPr>
      </w:pPr>
    </w:p>
    <w:p w14:paraId="683D268D" w14:textId="77777777" w:rsidR="003D6452" w:rsidRPr="00E86519" w:rsidRDefault="003D6452" w:rsidP="003D6452">
      <w:pPr>
        <w:pStyle w:val="ReferHead"/>
        <w:spacing w:after="0"/>
        <w:jc w:val="both"/>
        <w:rPr>
          <w:rFonts w:ascii="Arial" w:hAnsi="Arial" w:cs="Arial"/>
          <w:bCs/>
        </w:rPr>
      </w:pPr>
      <w:r w:rsidRPr="00E86519">
        <w:rPr>
          <w:rFonts w:ascii="Arial" w:hAnsi="Arial" w:cs="Arial"/>
          <w:bCs/>
        </w:rPr>
        <w:t xml:space="preserve">Ethical approval </w:t>
      </w:r>
    </w:p>
    <w:p w14:paraId="0CFCD9D9" w14:textId="77777777" w:rsidR="003D6452" w:rsidRPr="00E86519" w:rsidRDefault="003D6452" w:rsidP="003D6452">
      <w:pPr>
        <w:pStyle w:val="ReferHead"/>
        <w:spacing w:after="0"/>
        <w:jc w:val="both"/>
        <w:rPr>
          <w:rFonts w:ascii="Arial" w:hAnsi="Arial" w:cs="Arial"/>
          <w:b w:val="0"/>
          <w:caps w:val="0"/>
          <w:sz w:val="20"/>
        </w:rPr>
      </w:pPr>
      <w:r w:rsidRPr="00E86519">
        <w:rPr>
          <w:rFonts w:ascii="Arial" w:hAnsi="Arial" w:cs="Arial"/>
          <w:b w:val="0"/>
          <w:bCs/>
          <w:caps w:val="0"/>
        </w:rPr>
        <w:t>Not Applicable</w:t>
      </w:r>
    </w:p>
    <w:p w14:paraId="1E23D9D2" w14:textId="77777777" w:rsidR="003D6452" w:rsidRDefault="003D6452" w:rsidP="00441B6F">
      <w:pPr>
        <w:pStyle w:val="ReferHead"/>
        <w:spacing w:after="0"/>
        <w:jc w:val="both"/>
        <w:rPr>
          <w:rFonts w:ascii="Arial" w:hAnsi="Arial" w:cs="Arial"/>
        </w:rPr>
      </w:pPr>
    </w:p>
    <w:p w14:paraId="591D53FB" w14:textId="7CF6ABA5" w:rsidR="00B01FCD" w:rsidRDefault="00B01FCD" w:rsidP="00441B6F">
      <w:pPr>
        <w:pStyle w:val="ReferHead"/>
        <w:spacing w:after="0"/>
        <w:jc w:val="both"/>
        <w:rPr>
          <w:rFonts w:ascii="Arial" w:hAnsi="Arial" w:cs="Arial"/>
        </w:rPr>
      </w:pPr>
      <w:r w:rsidRPr="00FB3A86">
        <w:rPr>
          <w:rFonts w:ascii="Arial" w:hAnsi="Arial" w:cs="Arial"/>
        </w:rPr>
        <w:t>References</w:t>
      </w:r>
    </w:p>
    <w:p w14:paraId="1989F396" w14:textId="09CAD989"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lang w:val="en-IN"/>
        </w:rPr>
        <w:t>Burton, Glenn W., and de E.H. Devane. (1953). Estimating heritability in tall fescue (Festuca arundinacea) from replicated clonal material. Agronomy Journal, 45 (10):478-481.</w:t>
      </w:r>
      <w:r w:rsidR="00D62B38">
        <w:rPr>
          <w:rFonts w:ascii="Arial" w:hAnsi="Arial" w:cs="Arial"/>
          <w:sz w:val="20"/>
          <w:szCs w:val="20"/>
          <w:lang w:val="en-IN"/>
        </w:rPr>
        <w:t xml:space="preserve"> </w:t>
      </w:r>
      <w:r w:rsidR="00D62B38">
        <w:br/>
      </w:r>
      <w:r w:rsidR="00D62B38">
        <w:rPr>
          <w:rFonts w:ascii="Arial" w:hAnsi="Arial" w:cs="Arial"/>
          <w:color w:val="4F46E5"/>
          <w:sz w:val="18"/>
          <w:szCs w:val="18"/>
          <w:shd w:val="clear" w:color="auto" w:fill="F8FAFC"/>
        </w:rPr>
        <w:t>10.2134/AGRONJ1953.00021962004500100005X</w:t>
      </w:r>
    </w:p>
    <w:p w14:paraId="5C528B12" w14:textId="1D87F874"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 xml:space="preserve">Chan, A.P., Crabtree, J., Zhao, Q., Lorenzi, H., Orvis, J., Puiu, D., Melake-Berhan, A., Jones, K.M., Redman, J., Chen, G. and Cahoon, E.B., (2010). Draft genome </w:t>
      </w:r>
      <w:r w:rsidRPr="002F336B">
        <w:rPr>
          <w:rFonts w:ascii="Arial" w:hAnsi="Arial" w:cs="Arial"/>
          <w:sz w:val="20"/>
          <w:szCs w:val="20"/>
        </w:rPr>
        <w:lastRenderedPageBreak/>
        <w:t>sequence of the ricin-producing oilseed castor bean. Nature biotechnology, 28(9), p.951.</w:t>
      </w:r>
      <w:r w:rsidR="00D62B38">
        <w:rPr>
          <w:rFonts w:ascii="Arial" w:hAnsi="Arial" w:cs="Arial"/>
          <w:sz w:val="20"/>
          <w:szCs w:val="20"/>
        </w:rPr>
        <w:t xml:space="preserve"> </w:t>
      </w:r>
      <w:hyperlink r:id="rId16" w:tgtFrame="_blank" w:history="1">
        <w:r w:rsidR="00D62B38">
          <w:rPr>
            <w:rStyle w:val="truncate"/>
            <w:rFonts w:ascii="Arial" w:hAnsi="Arial" w:cs="Arial"/>
            <w:color w:val="4F46E5"/>
            <w:u w:val="single"/>
            <w:bdr w:val="single" w:sz="2" w:space="0" w:color="E5E7EB" w:frame="1"/>
            <w:shd w:val="clear" w:color="auto" w:fill="F8FAFC"/>
          </w:rPr>
          <w:t>10.1038/nbt.1674</w:t>
        </w:r>
      </w:hyperlink>
    </w:p>
    <w:p w14:paraId="65AE199D" w14:textId="29F9F185" w:rsidR="00260AA3" w:rsidRPr="002F336B" w:rsidRDefault="00260AA3" w:rsidP="00D62B38">
      <w:pPr>
        <w:pStyle w:val="EndNoteBibliography"/>
        <w:numPr>
          <w:ilvl w:val="0"/>
          <w:numId w:val="31"/>
        </w:numPr>
        <w:jc w:val="both"/>
        <w:rPr>
          <w:rFonts w:ascii="Arial" w:hAnsi="Arial" w:cs="Arial"/>
          <w:sz w:val="20"/>
          <w:szCs w:val="20"/>
          <w:lang w:val="en-IN"/>
        </w:rPr>
      </w:pPr>
      <w:r w:rsidRPr="002F336B">
        <w:rPr>
          <w:rFonts w:ascii="Arial" w:hAnsi="Arial" w:cs="Arial"/>
          <w:sz w:val="20"/>
          <w:szCs w:val="20"/>
          <w:lang w:val="en-IN"/>
        </w:rPr>
        <w:t xml:space="preserve">FAO, 2022, Food and Agricultural Organization of the United Nation, FAO statistical database. </w:t>
      </w:r>
      <w:r w:rsidR="00D62B38" w:rsidRPr="00D62B38">
        <w:rPr>
          <w:rFonts w:ascii="Arial" w:hAnsi="Arial" w:cs="Arial"/>
          <w:sz w:val="20"/>
          <w:szCs w:val="20"/>
          <w:lang w:val="en-IN"/>
        </w:rPr>
        <w:t>http://faostat.fao.org/site/291/default.aspx</w:t>
      </w:r>
    </w:p>
    <w:p w14:paraId="63198156" w14:textId="29906316"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Harland, S.C., (1922). Inheritance in Ricinus communis L. Part II. Journal of Genetics, 12(3), pp.251-253.</w:t>
      </w:r>
      <w:r w:rsidR="00D62B38">
        <w:rPr>
          <w:rFonts w:ascii="Arial" w:hAnsi="Arial" w:cs="Arial"/>
          <w:sz w:val="20"/>
          <w:szCs w:val="20"/>
        </w:rPr>
        <w:t xml:space="preserve"> </w:t>
      </w:r>
      <w:hyperlink r:id="rId17" w:tgtFrame="_blank" w:history="1">
        <w:r w:rsidR="00D62B38">
          <w:rPr>
            <w:rStyle w:val="truncate"/>
            <w:rFonts w:ascii="Arial" w:hAnsi="Arial" w:cs="Arial"/>
            <w:color w:val="4F46E5"/>
            <w:u w:val="single"/>
            <w:bdr w:val="single" w:sz="2" w:space="0" w:color="E5E7EB" w:frame="1"/>
            <w:shd w:val="clear" w:color="auto" w:fill="F8FAFC"/>
          </w:rPr>
          <w:t>10.1007/BF02983981</w:t>
        </w:r>
      </w:hyperlink>
    </w:p>
    <w:p w14:paraId="6483B042" w14:textId="5C818F84"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Johnson, Herbert W., Robinson, H.F., and Comstock. R.E.,  (1955). Estimates of genetic and environmental variability in soybean . Agronomy Journal, 47 (7):314-318.</w:t>
      </w:r>
      <w:r w:rsidR="00D62B38">
        <w:rPr>
          <w:rFonts w:ascii="Arial" w:hAnsi="Arial" w:cs="Arial"/>
          <w:sz w:val="20"/>
          <w:szCs w:val="20"/>
        </w:rPr>
        <w:t xml:space="preserve"> </w:t>
      </w:r>
      <w:hyperlink r:id="rId18" w:tgtFrame="_blank" w:history="1">
        <w:r w:rsidR="00D62B38">
          <w:rPr>
            <w:rStyle w:val="truncate"/>
            <w:rFonts w:ascii="Arial" w:hAnsi="Arial" w:cs="Arial"/>
            <w:color w:val="4F46E5"/>
            <w:u w:val="single"/>
            <w:bdr w:val="single" w:sz="2" w:space="0" w:color="E5E7EB" w:frame="1"/>
            <w:shd w:val="clear" w:color="auto" w:fill="F8FAFC"/>
          </w:rPr>
          <w:t>10.2134/agronj1955.00021962004700070009x</w:t>
        </w:r>
      </w:hyperlink>
    </w:p>
    <w:p w14:paraId="2B0DC306" w14:textId="0FAB6F87"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Kishore, N.S., Srinivas, T., Nagabhushanam, U., Pallavi, M. and Sameera, S.K., (2015). Genetic variability, correlation and path analysis for yield and yield components in promising rice (</w:t>
      </w:r>
      <w:r w:rsidRPr="002F336B">
        <w:rPr>
          <w:rFonts w:ascii="Arial" w:hAnsi="Arial" w:cs="Arial"/>
          <w:i/>
          <w:iCs/>
          <w:sz w:val="20"/>
          <w:szCs w:val="20"/>
        </w:rPr>
        <w:t>Oryza sativa</w:t>
      </w:r>
      <w:r w:rsidRPr="002F336B">
        <w:rPr>
          <w:rFonts w:ascii="Arial" w:hAnsi="Arial" w:cs="Arial"/>
          <w:sz w:val="20"/>
          <w:szCs w:val="20"/>
        </w:rPr>
        <w:t xml:space="preserve"> L.) genotypes. SAARC Journal of Agriculture, 13(1), pp.99-108.</w:t>
      </w:r>
      <w:r w:rsidR="00D62B38">
        <w:rPr>
          <w:rFonts w:ascii="Arial" w:hAnsi="Arial" w:cs="Arial"/>
          <w:sz w:val="20"/>
          <w:szCs w:val="20"/>
        </w:rPr>
        <w:t xml:space="preserve"> </w:t>
      </w:r>
      <w:hyperlink r:id="rId19" w:tgtFrame="_blank" w:history="1">
        <w:r w:rsidR="00D62B38">
          <w:rPr>
            <w:rStyle w:val="truncate"/>
            <w:rFonts w:ascii="Arial" w:hAnsi="Arial" w:cs="Arial"/>
            <w:color w:val="4F46E5"/>
            <w:u w:val="single"/>
            <w:bdr w:val="single" w:sz="2" w:space="0" w:color="E5E7EB" w:frame="1"/>
            <w:shd w:val="clear" w:color="auto" w:fill="F8FAFC"/>
          </w:rPr>
          <w:t>10.3329/sja.v13i1.24184</w:t>
        </w:r>
      </w:hyperlink>
    </w:p>
    <w:p w14:paraId="49FF7800" w14:textId="03CDCE7A"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 xml:space="preserve">Peat, J.E., (1928). Genetic studies in </w:t>
      </w:r>
      <w:r w:rsidRPr="002F336B">
        <w:rPr>
          <w:rFonts w:ascii="Arial" w:hAnsi="Arial" w:cs="Arial"/>
          <w:i/>
          <w:iCs/>
          <w:sz w:val="20"/>
          <w:szCs w:val="20"/>
        </w:rPr>
        <w:t>Ricinus communis</w:t>
      </w:r>
      <w:r w:rsidRPr="002F336B">
        <w:rPr>
          <w:rFonts w:ascii="Arial" w:hAnsi="Arial" w:cs="Arial"/>
          <w:sz w:val="20"/>
          <w:szCs w:val="20"/>
        </w:rPr>
        <w:t xml:space="preserve"> L. Journal of Genetics, 19(3), pp.373-389.</w:t>
      </w:r>
      <w:r w:rsidR="00D62B38">
        <w:rPr>
          <w:rFonts w:ascii="Arial" w:hAnsi="Arial" w:cs="Arial"/>
          <w:sz w:val="20"/>
          <w:szCs w:val="20"/>
        </w:rPr>
        <w:t xml:space="preserve"> </w:t>
      </w:r>
      <w:hyperlink r:id="rId20" w:tgtFrame="_blank" w:history="1">
        <w:r w:rsidR="00D62B38">
          <w:rPr>
            <w:rStyle w:val="truncate"/>
            <w:rFonts w:ascii="Arial" w:hAnsi="Arial" w:cs="Arial"/>
            <w:color w:val="4F46E5"/>
            <w:u w:val="single"/>
            <w:bdr w:val="single" w:sz="2" w:space="0" w:color="E5E7EB" w:frame="1"/>
            <w:shd w:val="clear" w:color="auto" w:fill="F8FAFC"/>
          </w:rPr>
          <w:t>10.1007/BF02983166</w:t>
        </w:r>
      </w:hyperlink>
    </w:p>
    <w:p w14:paraId="68AB6207" w14:textId="348F6895"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Ramos, L.C.D.S., Tango, J.S., Savi, A., Leal, N.R., (1984). Variability for oil and fatty acid composition in castor bean varieties. Journal of American Oil Chemistry Socity, 61, 1841–1843.</w:t>
      </w:r>
      <w:r w:rsidR="00D62B38">
        <w:rPr>
          <w:rFonts w:ascii="Arial" w:hAnsi="Arial" w:cs="Arial"/>
          <w:sz w:val="20"/>
          <w:szCs w:val="20"/>
        </w:rPr>
        <w:t xml:space="preserve"> </w:t>
      </w:r>
      <w:hyperlink r:id="rId21" w:tgtFrame="_blank" w:history="1">
        <w:r w:rsidR="00D62B38">
          <w:rPr>
            <w:rStyle w:val="truncate"/>
            <w:rFonts w:ascii="Arial" w:hAnsi="Arial" w:cs="Arial"/>
            <w:color w:val="4F46E5"/>
            <w:u w:val="single"/>
            <w:bdr w:val="single" w:sz="2" w:space="0" w:color="E5E7EB" w:frame="1"/>
            <w:shd w:val="clear" w:color="auto" w:fill="F8FAFC"/>
          </w:rPr>
          <w:t>10.1007/BF02540812</w:t>
        </w:r>
      </w:hyperlink>
    </w:p>
    <w:p w14:paraId="11DC9211" w14:textId="47CC4BD8"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Rani, C.S., Anandakumar, C.R., Raveendran, M., Subramanian, K.S. and Robin, S., (2016). Genetic variability studies and multivariate analysis in F</w:t>
      </w:r>
      <w:r w:rsidRPr="002F336B">
        <w:rPr>
          <w:rFonts w:ascii="Arial" w:hAnsi="Arial" w:cs="Arial"/>
          <w:sz w:val="20"/>
          <w:szCs w:val="20"/>
          <w:vertAlign w:val="subscript"/>
        </w:rPr>
        <w:t>2</w:t>
      </w:r>
      <w:r w:rsidRPr="002F336B">
        <w:rPr>
          <w:rFonts w:ascii="Arial" w:hAnsi="Arial" w:cs="Arial"/>
          <w:sz w:val="20"/>
          <w:szCs w:val="20"/>
        </w:rPr>
        <w:t xml:space="preserve"> segregating populations involving medicinal rice (</w:t>
      </w:r>
      <w:r w:rsidRPr="002F336B">
        <w:rPr>
          <w:rFonts w:ascii="Arial" w:hAnsi="Arial" w:cs="Arial"/>
          <w:i/>
          <w:iCs/>
          <w:sz w:val="20"/>
          <w:szCs w:val="20"/>
        </w:rPr>
        <w:t>Oryza sativa</w:t>
      </w:r>
      <w:r w:rsidRPr="002F336B">
        <w:rPr>
          <w:rFonts w:ascii="Arial" w:hAnsi="Arial" w:cs="Arial"/>
          <w:sz w:val="20"/>
          <w:szCs w:val="20"/>
        </w:rPr>
        <w:t xml:space="preserve"> L.) Cultivar Kavuni. International Journal of Agriculture Sciences, 8(35), pp.1733-1735.</w:t>
      </w:r>
      <w:r w:rsidR="00D62B38">
        <w:rPr>
          <w:rFonts w:ascii="Arial" w:hAnsi="Arial" w:cs="Arial"/>
          <w:sz w:val="20"/>
          <w:szCs w:val="20"/>
        </w:rPr>
        <w:t xml:space="preserve"> </w:t>
      </w:r>
      <w:r w:rsidR="00D62B38" w:rsidRPr="00D62B38">
        <w:rPr>
          <w:rFonts w:ascii="Arial" w:hAnsi="Arial" w:cs="Arial"/>
          <w:sz w:val="20"/>
          <w:szCs w:val="20"/>
        </w:rPr>
        <w:t>http://www.bioinfopublication.org/pages.php?id=IJAS</w:t>
      </w:r>
    </w:p>
    <w:p w14:paraId="55DC62C0" w14:textId="4777B9D5"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Robinson, H.F., Comstock, R.E. and Harvey, P.H., (1955). Genetic variances in open pollinated varieties of corn. Genetics, 40(1), p.45.</w:t>
      </w:r>
      <w:r w:rsidR="00D62B38">
        <w:rPr>
          <w:rFonts w:ascii="Arial" w:hAnsi="Arial" w:cs="Arial"/>
          <w:sz w:val="20"/>
          <w:szCs w:val="20"/>
        </w:rPr>
        <w:t xml:space="preserve"> </w:t>
      </w:r>
      <w:hyperlink r:id="rId22" w:tgtFrame="_blank" w:history="1">
        <w:r w:rsidR="00D62B38">
          <w:rPr>
            <w:rStyle w:val="truncate"/>
            <w:rFonts w:ascii="Arial" w:hAnsi="Arial" w:cs="Arial"/>
            <w:color w:val="4F46E5"/>
            <w:u w:val="single"/>
            <w:bdr w:val="single" w:sz="2" w:space="0" w:color="E5E7EB" w:frame="1"/>
            <w:shd w:val="clear" w:color="auto" w:fill="F8FAFC"/>
          </w:rPr>
          <w:t>10.1093/genetics/40.1.45</w:t>
        </w:r>
      </w:hyperlink>
    </w:p>
    <w:p w14:paraId="02C55205" w14:textId="3B3B5F35"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Sathishkumar, R., Duraimurugan, P., Manjunatha, T. and Senthilvel, S., (2022), Relationships between morphological features of inflorescence and capsule borer incidence in castor. Journal of Oil Seeds Research , 40, Specialissue.</w:t>
      </w:r>
      <w:r w:rsidR="00D62B38">
        <w:rPr>
          <w:rFonts w:ascii="Arial" w:hAnsi="Arial" w:cs="Arial"/>
          <w:sz w:val="20"/>
          <w:szCs w:val="20"/>
        </w:rPr>
        <w:t xml:space="preserve"> </w:t>
      </w:r>
      <w:hyperlink r:id="rId23" w:tgtFrame="_blank" w:history="1">
        <w:r w:rsidR="00D62B38">
          <w:rPr>
            <w:rStyle w:val="truncate"/>
            <w:rFonts w:ascii="Arial" w:hAnsi="Arial" w:cs="Arial"/>
            <w:color w:val="4F46E5"/>
            <w:u w:val="single"/>
            <w:bdr w:val="single" w:sz="2" w:space="0" w:color="E5E7EB" w:frame="1"/>
            <w:shd w:val="clear" w:color="auto" w:fill="F8FAFC"/>
          </w:rPr>
          <w:t>10.56739/5f3a8h06</w:t>
        </w:r>
      </w:hyperlink>
    </w:p>
    <w:p w14:paraId="66E83D5D" w14:textId="77777777"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Sathishkumar, R., Mohanrao, M.D., Geethanjali, S., Prasad, M.S.L. and Senthilvel, S., (2025). A simple and cost-effective SNP genotyping assay for marker-assisted selection of wilt resistance in castor breeding. Industrial Crops and Products, 226, p.120693.</w:t>
      </w:r>
    </w:p>
    <w:p w14:paraId="552BB1A7" w14:textId="77777777" w:rsidR="00790ADA" w:rsidRPr="00FB3A86" w:rsidRDefault="00790ADA" w:rsidP="00441B6F">
      <w:pPr>
        <w:pStyle w:val="ReferHead"/>
        <w:spacing w:after="0"/>
        <w:jc w:val="both"/>
        <w:rPr>
          <w:rFonts w:ascii="Arial" w:hAnsi="Arial" w:cs="Arial"/>
        </w:rPr>
      </w:pPr>
    </w:p>
    <w:sectPr w:rsidR="00790ADA" w:rsidRPr="00FB3A86" w:rsidSect="00F0480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DA147" w14:textId="77777777" w:rsidR="00287391" w:rsidRDefault="00287391" w:rsidP="00C37E61">
      <w:r>
        <w:separator/>
      </w:r>
    </w:p>
  </w:endnote>
  <w:endnote w:type="continuationSeparator" w:id="0">
    <w:p w14:paraId="578D4F2E" w14:textId="77777777" w:rsidR="00287391" w:rsidRDefault="002873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3996F" w14:textId="77777777" w:rsidR="00F04803" w:rsidRDefault="00F048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8927" w14:textId="77777777" w:rsidR="00F04803" w:rsidRDefault="00F048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7DD51" w14:textId="2C6E572C" w:rsidR="00754C9A" w:rsidRPr="00025106" w:rsidRDefault="00754C9A" w:rsidP="00025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EB4C8" w14:textId="77777777" w:rsidR="00287391" w:rsidRDefault="00287391" w:rsidP="00C37E61">
      <w:r>
        <w:separator/>
      </w:r>
    </w:p>
  </w:footnote>
  <w:footnote w:type="continuationSeparator" w:id="0">
    <w:p w14:paraId="0C576530" w14:textId="77777777" w:rsidR="00287391" w:rsidRDefault="0028739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786C5" w14:textId="1A6D6DC7" w:rsidR="00F04803" w:rsidRDefault="00287391">
    <w:pPr>
      <w:pStyle w:val="Header"/>
    </w:pPr>
    <w:r>
      <w:rPr>
        <w:noProof/>
      </w:rPr>
      <w:pict w14:anchorId="13AE2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2BAF2" w14:textId="11A35BF0" w:rsidR="00F04803" w:rsidRDefault="00287391">
    <w:pPr>
      <w:pStyle w:val="Header"/>
    </w:pPr>
    <w:r>
      <w:rPr>
        <w:noProof/>
      </w:rPr>
      <w:pict w14:anchorId="2E9B2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58F37" w14:textId="2016710A" w:rsidR="00296529" w:rsidRPr="00296529" w:rsidRDefault="00287391" w:rsidP="00296529">
    <w:pPr>
      <w:ind w:left="2160"/>
      <w:jc w:val="center"/>
      <w:rPr>
        <w:rFonts w:ascii="Times New Roman" w:eastAsia="Calibri" w:hAnsi="Times New Roman"/>
        <w:i/>
        <w:sz w:val="18"/>
        <w:szCs w:val="22"/>
      </w:rPr>
    </w:pPr>
    <w:r>
      <w:rPr>
        <w:noProof/>
      </w:rPr>
      <w:pict w14:anchorId="272A6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340A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874C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88D81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D6911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891C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0568B4"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6E369F"/>
    <w:multiLevelType w:val="hybridMultilevel"/>
    <w:tmpl w:val="61F8EF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5106"/>
    <w:rsid w:val="00030174"/>
    <w:rsid w:val="00042AF8"/>
    <w:rsid w:val="0004579C"/>
    <w:rsid w:val="000A0C30"/>
    <w:rsid w:val="000A47FA"/>
    <w:rsid w:val="000A65D3"/>
    <w:rsid w:val="000B1E33"/>
    <w:rsid w:val="000D3999"/>
    <w:rsid w:val="000D689F"/>
    <w:rsid w:val="000E0EE7"/>
    <w:rsid w:val="000E7B7B"/>
    <w:rsid w:val="000E7D62"/>
    <w:rsid w:val="00103357"/>
    <w:rsid w:val="00106B05"/>
    <w:rsid w:val="00111E11"/>
    <w:rsid w:val="00123C9F"/>
    <w:rsid w:val="00126190"/>
    <w:rsid w:val="00130F17"/>
    <w:rsid w:val="001320BF"/>
    <w:rsid w:val="001357FE"/>
    <w:rsid w:val="00156A7B"/>
    <w:rsid w:val="00163BC4"/>
    <w:rsid w:val="00191062"/>
    <w:rsid w:val="00192B72"/>
    <w:rsid w:val="001A29D8"/>
    <w:rsid w:val="001A5CAA"/>
    <w:rsid w:val="001A6016"/>
    <w:rsid w:val="001B0427"/>
    <w:rsid w:val="001B660F"/>
    <w:rsid w:val="001C1363"/>
    <w:rsid w:val="001D3A51"/>
    <w:rsid w:val="001E10D2"/>
    <w:rsid w:val="001E25B4"/>
    <w:rsid w:val="001E44FE"/>
    <w:rsid w:val="00200595"/>
    <w:rsid w:val="00204835"/>
    <w:rsid w:val="00231920"/>
    <w:rsid w:val="0023195C"/>
    <w:rsid w:val="0024282C"/>
    <w:rsid w:val="002460DC"/>
    <w:rsid w:val="00250985"/>
    <w:rsid w:val="002556F6"/>
    <w:rsid w:val="00260AA3"/>
    <w:rsid w:val="00275FF9"/>
    <w:rsid w:val="00283105"/>
    <w:rsid w:val="00284C4C"/>
    <w:rsid w:val="00287391"/>
    <w:rsid w:val="00287E68"/>
    <w:rsid w:val="00296529"/>
    <w:rsid w:val="002B27FB"/>
    <w:rsid w:val="002B5009"/>
    <w:rsid w:val="002B585B"/>
    <w:rsid w:val="002B685A"/>
    <w:rsid w:val="002C57D2"/>
    <w:rsid w:val="002E0D56"/>
    <w:rsid w:val="002F336B"/>
    <w:rsid w:val="002F4BDA"/>
    <w:rsid w:val="00305CA7"/>
    <w:rsid w:val="00315186"/>
    <w:rsid w:val="00317631"/>
    <w:rsid w:val="0033343E"/>
    <w:rsid w:val="00347976"/>
    <w:rsid w:val="003512C2"/>
    <w:rsid w:val="003557B9"/>
    <w:rsid w:val="00371FB6"/>
    <w:rsid w:val="003763C1"/>
    <w:rsid w:val="00376BBE"/>
    <w:rsid w:val="0039224F"/>
    <w:rsid w:val="003A43A4"/>
    <w:rsid w:val="003A7E18"/>
    <w:rsid w:val="003C4C86"/>
    <w:rsid w:val="003C6258"/>
    <w:rsid w:val="003C6656"/>
    <w:rsid w:val="003D6452"/>
    <w:rsid w:val="003D6EE7"/>
    <w:rsid w:val="003E2904"/>
    <w:rsid w:val="003F2757"/>
    <w:rsid w:val="003F2CEA"/>
    <w:rsid w:val="00401927"/>
    <w:rsid w:val="00404FA9"/>
    <w:rsid w:val="0041027F"/>
    <w:rsid w:val="00412475"/>
    <w:rsid w:val="00413852"/>
    <w:rsid w:val="00423789"/>
    <w:rsid w:val="00440F43"/>
    <w:rsid w:val="00441B6F"/>
    <w:rsid w:val="00446221"/>
    <w:rsid w:val="00450E62"/>
    <w:rsid w:val="004539DB"/>
    <w:rsid w:val="00471A80"/>
    <w:rsid w:val="004D305E"/>
    <w:rsid w:val="004D4277"/>
    <w:rsid w:val="004D6234"/>
    <w:rsid w:val="004F2B75"/>
    <w:rsid w:val="00502516"/>
    <w:rsid w:val="00505F06"/>
    <w:rsid w:val="00506828"/>
    <w:rsid w:val="0053056E"/>
    <w:rsid w:val="00531B6E"/>
    <w:rsid w:val="00554FDA"/>
    <w:rsid w:val="005C784C"/>
    <w:rsid w:val="005D17F6"/>
    <w:rsid w:val="005E5539"/>
    <w:rsid w:val="00602BF5"/>
    <w:rsid w:val="0060647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45D2"/>
    <w:rsid w:val="006D1142"/>
    <w:rsid w:val="006D30FF"/>
    <w:rsid w:val="006D5B66"/>
    <w:rsid w:val="006D6940"/>
    <w:rsid w:val="006F11EC"/>
    <w:rsid w:val="0070082C"/>
    <w:rsid w:val="00712CBF"/>
    <w:rsid w:val="00724B1F"/>
    <w:rsid w:val="007369E6"/>
    <w:rsid w:val="00746E59"/>
    <w:rsid w:val="00754C9A"/>
    <w:rsid w:val="0075599A"/>
    <w:rsid w:val="00761D52"/>
    <w:rsid w:val="0077749E"/>
    <w:rsid w:val="00790ADA"/>
    <w:rsid w:val="007C3141"/>
    <w:rsid w:val="007D2288"/>
    <w:rsid w:val="007E088F"/>
    <w:rsid w:val="007F2A89"/>
    <w:rsid w:val="007F7B32"/>
    <w:rsid w:val="008005E3"/>
    <w:rsid w:val="00804BC2"/>
    <w:rsid w:val="0081431A"/>
    <w:rsid w:val="0083216F"/>
    <w:rsid w:val="00860000"/>
    <w:rsid w:val="00863BD3"/>
    <w:rsid w:val="008641ED"/>
    <w:rsid w:val="00866D66"/>
    <w:rsid w:val="008671C6"/>
    <w:rsid w:val="00875803"/>
    <w:rsid w:val="008A0366"/>
    <w:rsid w:val="008B459E"/>
    <w:rsid w:val="008C5047"/>
    <w:rsid w:val="008E050D"/>
    <w:rsid w:val="008E13AE"/>
    <w:rsid w:val="008E1506"/>
    <w:rsid w:val="008E710C"/>
    <w:rsid w:val="008F69D6"/>
    <w:rsid w:val="00902823"/>
    <w:rsid w:val="00915CA6"/>
    <w:rsid w:val="00927834"/>
    <w:rsid w:val="009500A6"/>
    <w:rsid w:val="00957C18"/>
    <w:rsid w:val="00963E8B"/>
    <w:rsid w:val="009659BA"/>
    <w:rsid w:val="00983040"/>
    <w:rsid w:val="00993FFA"/>
    <w:rsid w:val="009B3FB9"/>
    <w:rsid w:val="009C2465"/>
    <w:rsid w:val="009D35A0"/>
    <w:rsid w:val="009D7EB7"/>
    <w:rsid w:val="009E048A"/>
    <w:rsid w:val="009E08E9"/>
    <w:rsid w:val="009E3DB9"/>
    <w:rsid w:val="009E6E35"/>
    <w:rsid w:val="009F0EDA"/>
    <w:rsid w:val="00A03B96"/>
    <w:rsid w:val="00A05B19"/>
    <w:rsid w:val="00A1115F"/>
    <w:rsid w:val="00A1134E"/>
    <w:rsid w:val="00A24E7E"/>
    <w:rsid w:val="00A258C3"/>
    <w:rsid w:val="00A347C0"/>
    <w:rsid w:val="00A35359"/>
    <w:rsid w:val="00A51431"/>
    <w:rsid w:val="00A539AD"/>
    <w:rsid w:val="00A94063"/>
    <w:rsid w:val="00AA6219"/>
    <w:rsid w:val="00AA74E0"/>
    <w:rsid w:val="00AB703F"/>
    <w:rsid w:val="00AC5BAC"/>
    <w:rsid w:val="00AC6BB8"/>
    <w:rsid w:val="00AD3DA4"/>
    <w:rsid w:val="00AE008F"/>
    <w:rsid w:val="00AE6DA0"/>
    <w:rsid w:val="00B01FCD"/>
    <w:rsid w:val="00B1776C"/>
    <w:rsid w:val="00B246B6"/>
    <w:rsid w:val="00B3298C"/>
    <w:rsid w:val="00B52583"/>
    <w:rsid w:val="00B52896"/>
    <w:rsid w:val="00B95236"/>
    <w:rsid w:val="00B96BD9"/>
    <w:rsid w:val="00BA1B01"/>
    <w:rsid w:val="00BA2641"/>
    <w:rsid w:val="00BB37AA"/>
    <w:rsid w:val="00BC53A0"/>
    <w:rsid w:val="00BE62AD"/>
    <w:rsid w:val="00BF121F"/>
    <w:rsid w:val="00BF1F80"/>
    <w:rsid w:val="00C126E4"/>
    <w:rsid w:val="00C166EF"/>
    <w:rsid w:val="00C17EB0"/>
    <w:rsid w:val="00C27F5F"/>
    <w:rsid w:val="00C30A0F"/>
    <w:rsid w:val="00C333FB"/>
    <w:rsid w:val="00C37E61"/>
    <w:rsid w:val="00C70F1B"/>
    <w:rsid w:val="00C71A47"/>
    <w:rsid w:val="00C7464C"/>
    <w:rsid w:val="00C85588"/>
    <w:rsid w:val="00CD6755"/>
    <w:rsid w:val="00CD6856"/>
    <w:rsid w:val="00CE0089"/>
    <w:rsid w:val="00CE793C"/>
    <w:rsid w:val="00CF193C"/>
    <w:rsid w:val="00CF25A1"/>
    <w:rsid w:val="00D04F73"/>
    <w:rsid w:val="00D05814"/>
    <w:rsid w:val="00D173F1"/>
    <w:rsid w:val="00D62B38"/>
    <w:rsid w:val="00D74CB0"/>
    <w:rsid w:val="00D8295D"/>
    <w:rsid w:val="00D86379"/>
    <w:rsid w:val="00DB32B1"/>
    <w:rsid w:val="00DC2342"/>
    <w:rsid w:val="00DC2A65"/>
    <w:rsid w:val="00DE15F0"/>
    <w:rsid w:val="00DE5663"/>
    <w:rsid w:val="00DE78AA"/>
    <w:rsid w:val="00E02B1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696C"/>
    <w:rsid w:val="00EE52CB"/>
    <w:rsid w:val="00EF581D"/>
    <w:rsid w:val="00EF7FD8"/>
    <w:rsid w:val="00F04803"/>
    <w:rsid w:val="00F06F59"/>
    <w:rsid w:val="00F17988"/>
    <w:rsid w:val="00F17F14"/>
    <w:rsid w:val="00F469F0"/>
    <w:rsid w:val="00F53273"/>
    <w:rsid w:val="00F5333A"/>
    <w:rsid w:val="00F55223"/>
    <w:rsid w:val="00F755E4"/>
    <w:rsid w:val="00F77D02"/>
    <w:rsid w:val="00FA5398"/>
    <w:rsid w:val="00FB384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EB8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2F336B"/>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F336B"/>
    <w:rPr>
      <w:rFonts w:ascii="Calibri" w:eastAsiaTheme="minorHAnsi" w:hAnsi="Calibri" w:cs="Calibri"/>
      <w:noProof/>
      <w:sz w:val="22"/>
      <w:szCs w:val="22"/>
    </w:rPr>
  </w:style>
  <w:style w:type="character" w:customStyle="1" w:styleId="truncate">
    <w:name w:val="truncate"/>
    <w:basedOn w:val="DefaultParagraphFont"/>
    <w:rsid w:val="00D62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2134/agronj1955.00021962004700070009x" TargetMode="External"/><Relationship Id="rId3" Type="http://schemas.openxmlformats.org/officeDocument/2006/relationships/styles" Target="styles.xml"/><Relationship Id="rId21" Type="http://schemas.openxmlformats.org/officeDocument/2006/relationships/hyperlink" Target="https://doi.org/10.1007/BF0254081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07/BF0298398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8/nbt.1674" TargetMode="External"/><Relationship Id="rId20" Type="http://schemas.openxmlformats.org/officeDocument/2006/relationships/hyperlink" Target="https://doi.org/10.1007/BF0298316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56739/5f3a8h06" TargetMode="External"/><Relationship Id="rId10" Type="http://schemas.openxmlformats.org/officeDocument/2006/relationships/header" Target="header2.xml"/><Relationship Id="rId19" Type="http://schemas.openxmlformats.org/officeDocument/2006/relationships/hyperlink" Target="https://doi.org/10.3329/sja.v13i1.2418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93/genetics/40.1.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CD9EA-3634-4475-A5E7-E6D829C0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8</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66</cp:revision>
  <cp:lastPrinted>1999-07-06T11:00:00Z</cp:lastPrinted>
  <dcterms:created xsi:type="dcterms:W3CDTF">2014-10-25T14:34:00Z</dcterms:created>
  <dcterms:modified xsi:type="dcterms:W3CDTF">2025-12-06T09:19:00Z</dcterms:modified>
</cp:coreProperties>
</file>