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0" w:lineRule="auto"/>
        <w:jc w:val="center"/>
        <w:rPr>
          <w:rFonts w:cs="Times New Roman"/>
          <w:b/>
          <w:bCs/>
          <w:color w:val="000000" w:themeColor="text1"/>
          <w:sz w:val="36"/>
          <w:szCs w:val="36"/>
          <w14:textFill>
            <w14:solidFill>
              <w14:schemeClr w14:val="tx1"/>
            </w14:solidFill>
          </w14:textFill>
        </w:rPr>
      </w:pPr>
      <w:r>
        <w:rPr>
          <w:rFonts w:cs="Times New Roman"/>
          <w:b/>
          <w:bCs/>
          <w:color w:val="000000" w:themeColor="text1"/>
          <w:sz w:val="36"/>
          <w:szCs w:val="36"/>
          <w14:textFill>
            <w14:solidFill>
              <w14:schemeClr w14:val="tx1"/>
            </w14:solidFill>
          </w14:textFill>
        </w:rPr>
        <w:t>FIRM CHARACTERISTICS AND GROWTH OF GENERAL INSURANCE COMPANIES IN KENYA</w:t>
      </w:r>
    </w:p>
    <w:p>
      <w:pPr>
        <w:spacing w:before="0" w:line="240" w:lineRule="auto"/>
        <w:jc w:val="center"/>
        <w:rPr>
          <w:rFonts w:cs="Times New Roman"/>
          <w:b/>
          <w:bCs/>
          <w:color w:val="000000" w:themeColor="text1"/>
          <w:sz w:val="36"/>
          <w:szCs w:val="36"/>
          <w14:textFill>
            <w14:solidFill>
              <w14:schemeClr w14:val="tx1"/>
            </w14:solidFill>
          </w14:textFill>
        </w:rPr>
      </w:pPr>
    </w:p>
    <w:p>
      <w:pPr>
        <w:spacing w:before="0" w:line="240" w:lineRule="auto"/>
        <w:jc w:val="center"/>
        <w:rPr>
          <w:rFonts w:cs="Times New Roman"/>
          <w:b/>
          <w:color w:val="000000" w:themeColor="text1"/>
          <w:szCs w:val="24"/>
          <w14:textFill>
            <w14:solidFill>
              <w14:schemeClr w14:val="tx1"/>
            </w14:solidFill>
          </w14:textFill>
        </w:rPr>
      </w:pPr>
    </w:p>
    <w:p>
      <w:pPr>
        <w:spacing w:before="0" w:line="240" w:lineRule="auto"/>
        <w:jc w:val="center"/>
        <w:rPr>
          <w:rFonts w:cs="Times New Roman"/>
          <w:color w:val="000000" w:themeColor="text1"/>
          <w:szCs w:val="24"/>
          <w14:textFill>
            <w14:solidFill>
              <w14:schemeClr w14:val="tx1"/>
            </w14:solidFill>
          </w14:textFill>
        </w:rPr>
      </w:pPr>
    </w:p>
    <w:p>
      <w:pPr>
        <w:spacing w:before="0" w:line="240" w:lineRule="auto"/>
        <w:jc w:val="center"/>
        <w:rPr>
          <w:b/>
          <w:sz w:val="28"/>
        </w:rPr>
      </w:pPr>
      <w:bookmarkStart w:id="0" w:name="_Toc102409737"/>
      <w:bookmarkStart w:id="1" w:name="_Toc488404692"/>
      <w:r>
        <w:rPr>
          <w:b/>
          <w:sz w:val="28"/>
        </w:rPr>
        <w:t>ABSTRACT</w:t>
      </w:r>
      <w:bookmarkEnd w:id="0"/>
      <w:bookmarkEnd w:id="1"/>
    </w:p>
    <w:p>
      <w:pPr>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 xml:space="preserve">Insurance plays a central role in supporting business investment, infrastructure development, and financial sector stability, all of which contribute to economic growth. Despite this importance, Kenya’s general insurance industry continues to experience slow expansion, largely attributed to intense competition and weak firm-level characteristics. This study </w:t>
      </w:r>
      <w:commentRangeStart w:id="0"/>
      <w:r>
        <w:rPr>
          <w:rFonts w:cs="Times New Roman"/>
          <w:color w:val="000000" w:themeColor="text1"/>
          <w:szCs w:val="24"/>
          <w14:textFill>
            <w14:solidFill>
              <w14:schemeClr w14:val="tx1"/>
            </w14:solidFill>
          </w14:textFill>
        </w:rPr>
        <w:t xml:space="preserve">examines </w:t>
      </w:r>
      <w:commentRangeEnd w:id="0"/>
      <w:r>
        <w:commentReference w:id="0"/>
      </w:r>
      <w:r>
        <w:rPr>
          <w:rFonts w:cs="Times New Roman"/>
          <w:color w:val="000000" w:themeColor="text1"/>
          <w:szCs w:val="24"/>
          <w14:textFill>
            <w14:solidFill>
              <w14:schemeClr w14:val="tx1"/>
            </w14:solidFill>
          </w14:textFill>
        </w:rPr>
        <w:t xml:space="preserve">how selected firm-specific factors—equity, leverage, liquidity, and operational efficiency—influence the growth of general insurance companies in Kenya. </w:t>
      </w:r>
      <w:commentRangeStart w:id="1"/>
      <w:r>
        <w:rPr>
          <w:rFonts w:cs="Times New Roman"/>
          <w:color w:val="000000" w:themeColor="text1"/>
          <w:szCs w:val="24"/>
          <w14:textFill>
            <w14:solidFill>
              <w14:schemeClr w14:val="tx1"/>
            </w14:solidFill>
          </w14:textFill>
        </w:rPr>
        <w:t>The analysis is grounded in Institutional Theory, Agency Theory, Liquidity Theory, the Resource-Based View, and the Efficiency Structure Theory.</w:t>
      </w:r>
      <w:commentRangeEnd w:id="1"/>
      <w:r>
        <w:commentReference w:id="1"/>
      </w:r>
      <w:r>
        <w:rPr>
          <w:rFonts w:cs="Times New Roman"/>
          <w:color w:val="000000" w:themeColor="text1"/>
          <w:szCs w:val="24"/>
          <w14:textFill>
            <w14:solidFill>
              <w14:schemeClr w14:val="tx1"/>
            </w14:solidFill>
          </w14:textFill>
        </w:rPr>
        <w:t xml:space="preserve"> The study targeted all 36 insurance companies regulated by the Insurance Regulatory Authority and applied a quantitative longitudinal research design. Financial data from 2016 to 2024 were extracted from audited annual reports and analyzed using panel regression, supported by diagnostic tests to validate model robustness. Results were presented through tables, charts, and graphs. Findings </w:t>
      </w:r>
      <w:commentRangeStart w:id="2"/>
      <w:r>
        <w:rPr>
          <w:rFonts w:cs="Times New Roman"/>
          <w:color w:val="000000" w:themeColor="text1"/>
          <w:szCs w:val="24"/>
          <w14:textFill>
            <w14:solidFill>
              <w14:schemeClr w14:val="tx1"/>
            </w14:solidFill>
          </w14:textFill>
        </w:rPr>
        <w:t xml:space="preserve">indicate </w:t>
      </w:r>
      <w:commentRangeEnd w:id="2"/>
      <w:r>
        <w:commentReference w:id="2"/>
      </w:r>
      <w:r>
        <w:rPr>
          <w:rFonts w:cs="Times New Roman"/>
          <w:color w:val="000000" w:themeColor="text1"/>
          <w:szCs w:val="24"/>
          <w14:textFill>
            <w14:solidFill>
              <w14:schemeClr w14:val="tx1"/>
            </w14:solidFill>
          </w14:textFill>
        </w:rPr>
        <w:t xml:space="preserve">that equity and operational efficiency </w:t>
      </w:r>
      <w:commentRangeStart w:id="3"/>
      <w:r>
        <w:rPr>
          <w:rFonts w:cs="Times New Roman"/>
          <w:color w:val="000000" w:themeColor="text1"/>
          <w:szCs w:val="24"/>
          <w14:textFill>
            <w14:solidFill>
              <w14:schemeClr w14:val="tx1"/>
            </w14:solidFill>
          </w14:textFill>
        </w:rPr>
        <w:t xml:space="preserve">exert </w:t>
      </w:r>
      <w:commentRangeEnd w:id="3"/>
      <w:r>
        <w:commentReference w:id="3"/>
      </w:r>
      <w:r>
        <w:rPr>
          <w:rFonts w:cs="Times New Roman"/>
          <w:color w:val="000000" w:themeColor="text1"/>
          <w:szCs w:val="24"/>
          <w14:textFill>
            <w14:solidFill>
              <w14:schemeClr w14:val="tx1"/>
            </w14:solidFill>
          </w14:textFill>
        </w:rPr>
        <w:t xml:space="preserve">strong and positive effects on firm growth, highlighting the importance of adequate capitalization and streamlined operations. Leverage demonstrated a moderate influence, while liquidity emerged as an essential determinant of growth. The study further established that Gross Domestic Product (GDP) significantly </w:t>
      </w:r>
      <w:commentRangeStart w:id="4"/>
      <w:r>
        <w:rPr>
          <w:rFonts w:cs="Times New Roman"/>
          <w:color w:val="000000" w:themeColor="text1"/>
          <w:szCs w:val="24"/>
          <w14:textFill>
            <w14:solidFill>
              <w14:schemeClr w14:val="tx1"/>
            </w14:solidFill>
          </w14:textFill>
        </w:rPr>
        <w:t xml:space="preserve">moderates </w:t>
      </w:r>
      <w:commentRangeEnd w:id="4"/>
      <w:r>
        <w:commentReference w:id="4"/>
      </w:r>
      <w:r>
        <w:rPr>
          <w:rFonts w:cs="Times New Roman"/>
          <w:color w:val="000000" w:themeColor="text1"/>
          <w:szCs w:val="24"/>
          <w14:textFill>
            <w14:solidFill>
              <w14:schemeClr w14:val="tx1"/>
            </w14:solidFill>
          </w14:textFill>
        </w:rPr>
        <w:t xml:space="preserve">the relationship between firm characteristics and growth, amplifying positive effects during periods of economic expansion and constraining growth during economic downturns. The study recommends strengthening capital structures, prudent debt management, maintaining adequate liquidity levels, and enhancing operational efficiency. Aligning strategic growth initiatives with prevailing macroeconomic conditions is also emphasized. </w:t>
      </w:r>
      <w:commentRangeStart w:id="5"/>
      <w:r>
        <w:rPr>
          <w:rFonts w:cs="Times New Roman"/>
          <w:color w:val="000000" w:themeColor="text1"/>
          <w:szCs w:val="24"/>
          <w14:textFill>
            <w14:solidFill>
              <w14:schemeClr w14:val="tx1"/>
            </w14:solidFill>
          </w14:textFill>
        </w:rPr>
        <w:t>Future studies should broaden the scope of firm-level determinants, incorporate economic cycle variations, and undertake sectoral or cross-country comparisons to enrich understanding of growth dynamics in the insurance industry.</w:t>
      </w:r>
      <w:commentRangeEnd w:id="5"/>
      <w:r>
        <w:commentReference w:id="5"/>
      </w:r>
    </w:p>
    <w:p>
      <w:pPr>
        <w:spacing w:line="240" w:lineRule="auto"/>
        <w:rPr>
          <w:rFonts w:cs="Times New Roman"/>
          <w:color w:val="000000" w:themeColor="text1"/>
          <w:szCs w:val="24"/>
          <w14:textFill>
            <w14:solidFill>
              <w14:schemeClr w14:val="tx1"/>
            </w14:solidFill>
          </w14:textFill>
        </w:rPr>
      </w:pPr>
    </w:p>
    <w:p>
      <w:pPr>
        <w:spacing w:line="240" w:lineRule="auto"/>
        <w:rPr>
          <w:rFonts w:cs="Times New Roman"/>
          <w:i/>
          <w:color w:val="000000" w:themeColor="text1"/>
          <w:szCs w:val="24"/>
          <w14:textFill>
            <w14:solidFill>
              <w14:schemeClr w14:val="tx1"/>
            </w14:solidFill>
          </w14:textFill>
        </w:rPr>
      </w:pPr>
      <w:r>
        <w:rPr>
          <w:rFonts w:cs="Times New Roman"/>
          <w:b/>
          <w:color w:val="000000" w:themeColor="text1"/>
          <w:szCs w:val="24"/>
          <w14:textFill>
            <w14:solidFill>
              <w14:schemeClr w14:val="tx1"/>
            </w14:solidFill>
          </w14:textFill>
        </w:rPr>
        <w:t>Keywords:</w:t>
      </w:r>
      <w:r>
        <w:rPr>
          <w:rFonts w:cs="Times New Roman"/>
          <w:color w:val="000000" w:themeColor="text1"/>
          <w:szCs w:val="24"/>
          <w14:textFill>
            <w14:solidFill>
              <w14:schemeClr w14:val="tx1"/>
            </w14:solidFill>
          </w14:textFill>
        </w:rPr>
        <w:t xml:space="preserve"> </w:t>
      </w:r>
      <w:commentRangeStart w:id="6"/>
      <w:r>
        <w:rPr>
          <w:rFonts w:cs="Times New Roman"/>
          <w:i/>
          <w:color w:val="000000" w:themeColor="text1"/>
          <w:szCs w:val="24"/>
          <w14:textFill>
            <w14:solidFill>
              <w14:schemeClr w14:val="tx1"/>
            </w14:solidFill>
          </w14:textFill>
        </w:rPr>
        <w:t>Firm characteristics; General insurance; Equity; Liquidity; Leverage; Operational efficiency; Economic growth; GDP moderation.</w:t>
      </w:r>
      <w:commentRangeEnd w:id="6"/>
      <w:r>
        <w:commentReference w:id="6"/>
      </w:r>
    </w:p>
    <w:p>
      <w:pPr>
        <w:spacing w:line="240" w:lineRule="auto"/>
        <w:rPr>
          <w:rFonts w:cs="Times New Roman"/>
          <w:color w:val="000000" w:themeColor="text1"/>
          <w:szCs w:val="24"/>
          <w14:textFill>
            <w14:solidFill>
              <w14:schemeClr w14:val="tx1"/>
            </w14:solidFill>
          </w14:textFill>
        </w:rPr>
      </w:pPr>
    </w:p>
    <w:p>
      <w:pPr>
        <w:spacing w:line="240" w:lineRule="auto"/>
        <w:rPr>
          <w:rFonts w:cs="Times New Roman"/>
          <w:color w:val="000000" w:themeColor="text1"/>
          <w:szCs w:val="24"/>
          <w14:textFill>
            <w14:solidFill>
              <w14:schemeClr w14:val="tx1"/>
            </w14:solidFill>
          </w14:textFill>
        </w:rPr>
      </w:pPr>
    </w:p>
    <w:p>
      <w:pPr>
        <w:spacing w:line="240" w:lineRule="auto"/>
        <w:rPr>
          <w:rFonts w:cs="Times New Roman"/>
          <w:color w:val="000000" w:themeColor="text1"/>
          <w:szCs w:val="24"/>
          <w14:textFill>
            <w14:solidFill>
              <w14:schemeClr w14:val="tx1"/>
            </w14:solidFill>
          </w14:textFill>
        </w:rPr>
      </w:pPr>
    </w:p>
    <w:p>
      <w:pPr>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1.0 INTRODUCTION</w:t>
      </w: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The insurance industry plays a critical role in reducing social and economic vulnerability by providing risk management mechanisms and income security essential for sustainable national development (Shawar &amp; Danish, 2019). Across both developed and emerging economies, the industry is a central component of the financial sector, advancing economic development through efficient allocation of resources, minimizing transaction costs, enhancing liquidity, and promoting capital formation (Sambasiviam &amp; Ayele, 2019). It is increasingly expected to implement business policies and initiatives that meet the needs of all population groups, particularly low-income households and vulnerable communities (</w:t>
      </w:r>
      <w:r>
        <w:commentReference w:id="7"/>
      </w:r>
      <w:r>
        <w:rPr>
          <w:rFonts w:cs="Times New Roman"/>
          <w:color w:val="000000" w:themeColor="text1"/>
          <w:szCs w:val="24"/>
          <w14:textFill>
            <w14:solidFill>
              <w14:schemeClr w14:val="tx1"/>
            </w14:solidFill>
          </w14:textFill>
        </w:rPr>
        <w:t>Kiptoo, Kariuki &amp; Ocharo, 2021).</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Insurance companies not only protect individuals and businesses against unpredictable events—such as theft, illness, disasters, accidents, and death—but also enhance economic productivity by enabling firms to operate with confidence (IRA, 2019). In Kenya, the sector is expected to mobilize savings, safeguard assets, and channel investments into critical economic sectors, thereby increasing insurance penetration and contributing more substantially to the country’s GDP (Morara &amp; Sibindi, 2021). Despite this importance, the global and Kenyan insurance sectors face numerous challenges that constrain growth (</w:t>
      </w:r>
      <w:r>
        <w:commentReference w:id="8"/>
      </w:r>
      <w:r>
        <w:rPr>
          <w:rFonts w:cs="Times New Roman"/>
          <w:color w:val="000000" w:themeColor="text1"/>
          <w:szCs w:val="24"/>
          <w14:textFill>
            <w14:solidFill>
              <w14:schemeClr w14:val="tx1"/>
            </w14:solidFill>
          </w14:textFill>
        </w:rPr>
        <w:t>Kang’e, Senaji &amp; Orero, 2020).</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Globally, the performance of insurance companies has weakened. In the United States, despite rising revenues, industry growth has contracted by 2.9% annually over the past three years due to rising investment costs (Gaganis &amp; Pasiouras, 2019). Increasing competition and declining insurance premiums have negatively affected insurers’ profitability (Deloitte, 2019). In the United Kingdom, global economic crises have strained liquidity, adversely affecting insurers’ assets and liabilities (Mehari &amp; Aemiro, 2020). The Chinese insurance market has experienced persistent challenges such as failing to achieve returns above capital costs (Choi, 2019).</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Similar trends are evident in Africa, where the sector’s growth has declined due to the imposition of trade tariffs, increased market entry by new insurers, and intensified competition (AKI, 2019). Performance has also been undermined by poor returns from real estate and stock markets since 2015, making it difficult for insurers to offset recurring financial losses (Morara &amp; Sibindi, 2021). This heightened competition has made it imperative for insurers to differentiate themselves through innovative products and value-adding services (Odhiambo, 2020).</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In Kenya, insurers operate in a highly volatile environment where products are easily replicated and market dynamics change rapidly (</w:t>
      </w:r>
      <w:r>
        <w:commentReference w:id="9"/>
      </w:r>
      <w:r>
        <w:rPr>
          <w:rFonts w:cs="Times New Roman"/>
          <w:color w:val="000000" w:themeColor="text1"/>
          <w:szCs w:val="24"/>
          <w14:textFill>
            <w14:solidFill>
              <w14:schemeClr w14:val="tx1"/>
            </w14:solidFill>
          </w14:textFill>
        </w:rPr>
        <w:t>Ouma, Obonyo &amp; Yabs, 2019). Increased competition, a high rate of staff turnover, and negative public perceptions continue to constrain performance (AKI, 2019). Insurance penetration has steadily fallen from a peak of 3.4% in 2013 to 2.3% (Kiptoo et al., 2021). Product uptake is also low due to limited public awareness of the importance of insurance (Kang’e et al., 2020). Consumers mainly purchase mandatory or essential products such as medical and motor insurance, while perceiving other covers as luxury services rather than necessities. Additionally, widespread fraud has significantly increased operational costs, driving major motor insurers to raise premium rates by up to 50% in 2022 (Deloitte, 2022). The COVID-19 pandemic further disrupted the industry through declining premiums, increased health and life insurance claims, and reduced investment returns (Kiptoo et al., 2021).</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Firm characteristics constitute managerial and demographic attributes that shape internal operations and strategic choices (Olugbenga et al., 2022). These features—such as size, resources, age, and ownership—distinguish firms and influence their competitive strategies, operational capabilities, and business models. Larger firms typically possess stronger resource bases than smaller ones (Handoyo et al., 2023).</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Insurance firms differ by both financial and non-financial attributes, including size, profitability, structure, leverage, liquidity, growth rates, age, and customer base. These characteristics directly influence industry activities and performance (Nyabaga &amp; Matanda, 2020). Technical characteristics specific to insurance—such as age, size, premium growth, loss ratios, solvency, underwriting capacity, and reserves—shape risk transfer, exposure levels, and pricing approaches (</w:t>
      </w:r>
      <w:r>
        <w:commentReference w:id="10"/>
      </w:r>
      <w:r>
        <w:rPr>
          <w:rFonts w:cs="Times New Roman"/>
          <w:color w:val="000000" w:themeColor="text1"/>
          <w:szCs w:val="24"/>
          <w14:textFill>
            <w14:solidFill>
              <w14:schemeClr w14:val="tx1"/>
            </w14:solidFill>
          </w14:textFill>
        </w:rPr>
        <w:t>Abass, Dansu &amp; Oyetayo, 2021). Efficient management of equity capital, leverage, liquidity, and operational efficiency determines an insurer’s ability to settle claims, stabilize claim ratios, and sustain growth (Kamau, 2022). These factors are widely applied in insurance sector studies (Collins, 2019; Kamau, Olweny &amp; Muturi, 2021; Shamsuddin et al., 2020; Ige-Gbadeyan, 2023).</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Equity capital represents ownership capital not backed by debt. Investors provide equity in exchange for ownership, dividend prospects, and capital gains (Ackermann, 2023). For insurers, equity capital is essential for meeting policyholder claims, covering operating expenses, and safeguarding against unexpected losses (Kamau, 2022). This study applies the natural log of equity capital. Firm leverage measures the degree to which a company finances its assets through debt (Corporate Finance Institute, 2023). High leverage may reduce profitability due to elevated interest expenses (Hayes, 2021). It is measured as the ratio of total debt to total assets.</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Liquidity reflects an insurer’s ability to meet short-term obligations using liquid assets (Kamau, 2022). Although high liquidity reduces solvency risk, it may lower investment income (</w:t>
      </w:r>
      <w:r>
        <w:commentReference w:id="11"/>
      </w:r>
      <w:r>
        <w:rPr>
          <w:rFonts w:cs="Times New Roman"/>
          <w:color w:val="000000" w:themeColor="text1"/>
          <w:szCs w:val="24"/>
          <w14:textFill>
            <w14:solidFill>
              <w14:schemeClr w14:val="tx1"/>
            </w14:solidFill>
          </w14:textFill>
        </w:rPr>
        <w:t>Nugraha, Banani &amp; Shafeni, 2022). It is measured as the ratio of current assets to current liabilities. Operational efficiency refers to management’s ability to generate profits while effectively controlling costs (Alemu &amp; Negasa, 2019). It is assessed through operating profits relative to net income (Ongore &amp; Kusa, 2019), reflecting the firm’s capacity to maximize output with minimal resources (Dulah &amp; Helal, 2019).</w:t>
      </w: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Growth reflects a sustained increase in a firm's size, profitability, market share, and earnings, alongside the development of new characteristics and the elimination of old ones. It encompasses changes in organizational scale and structure and can be pursued through diversification, innovation, or revenue expansion strategies. Firms grow to achieve objectives such as increasing market share, optimizing profits, and boosting sales. Expansion may occur internally by reinvesting profits to acquire new assets or externally through mergers and partnerships (Frederiksen, 2023). Growth can be evaluated through both quantitative indicators—such as value creation, income levels, and sales volumes—and qualitative attributes including customer satisfaction, market positioning, and product quality. A firm’s growth trajectory depends on whether expansion remains domestic or extends internationally, and whether it occurs through internal mechanisms or collaborative arrangements (</w:t>
      </w:r>
      <w:r>
        <w:commentReference w:id="12"/>
      </w:r>
      <w:r>
        <w:rPr>
          <w:rFonts w:cs="Times New Roman"/>
          <w:color w:val="000000" w:themeColor="text1"/>
          <w:szCs w:val="24"/>
          <w14:textFill>
            <w14:solidFill>
              <w14:schemeClr w14:val="tx1"/>
            </w14:solidFill>
          </w14:textFill>
        </w:rPr>
        <w:t>Fernando, Brown, and Reeves, 2022).</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According to Otola (2020), an organization’s ability to grow is limited by the availability and efficiency of core resources—managers, employees, agents, financial capital, technology, and physical capacity. Deficiencies in any single resource may constrain growth. For insurance firms, resource adequacy is particularly critical because their expansion depends on surplus accumulation, the value of active business, and the productivity of distribution networks. Optimal growth is achieved when yearly additions to net worth are maximized without surpassing surplus constraints. Many insurance companies pursue rapid expansion to reduce unit costs, using different indicators to measure progress. These include premium revenue, assets held, life insurance in force, and earnings per share for stock-based insurers (</w:t>
      </w:r>
      <w:r>
        <w:commentReference w:id="13"/>
      </w:r>
      <w:r>
        <w:rPr>
          <w:rFonts w:cs="Times New Roman"/>
          <w:color w:val="000000" w:themeColor="text1"/>
          <w:szCs w:val="24"/>
          <w14:textFill>
            <w14:solidFill>
              <w14:schemeClr w14:val="tx1"/>
            </w14:solidFill>
          </w14:textFill>
        </w:rPr>
        <w:t>Tarsono, Ardheta and Amriyan, 2020). In this study, premium growth is adopted as the measure of growth.</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Premiums refer to payments made by policyholders in exchange for insurance coverage over a defined duration. Premium growth represents the annual change in total premiums and reflects the insurance sector’s penetration in an economy. Premiums consist of the rate applied to insured units of exposure. According to Abass Dansu and Oyetayo (2022), premium levels must cover claims, management expenses, sales costs, insurer profits, and reinsurance charges. Because premiums constitute a key revenue source, their growth indicates the sector’s overall health and its contribution to GDP. Insurance firms with high premium growth and low claims ratios typically perform better (Islam &amp; Layth, 2020).</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Kenya’s insurance industry has experienced inconsistent premium growth. Premium expansion slowed from 19.8% in 2014 to 9.9% in 2016, declined by -0.02% in 2018, and dropped further to -0.5% in 2020 (IRA, 2020). Some insurers have competitively reduced premium rates to gain market share, limiting their revenue and weakening their capacity to cover risk (Kang’e et al., 2020). This practice has contributed to poor industry performance. In 2020, the Insurance Regulatory Authority began revising premium tariffs to stabilize underwriting margins (IRA Report, 2020). Persistently low premium growth signals weak insurance penetration and reduces the sector’s overall contribution to GDP.</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GDP represents the total monetary value of all final goods and services produced within a country over a given period, excluding resale of previously produced items (Egbunike &amp; Okerekeoti, 2019). It is a key macroeconomic indicator reflecting national economic health. Economic variables such as GDP, interest rates, and taxation influence business operations even though firms have limited control over them (Harris &amp; Adam, 2019). These external factors may generate opportunities or threats (Egbunike &amp; Okerekeoti, 2019). Business leaders therefore need to understand macroeconomic dynamics and anticipate their potential implications (Nyangor, 2020). GDP also reflects the aggregated profits of enterprises within an economy; higher GDP improves conditions for individual firms, though policy biases may favour some firms over others. Proactive planning enables firms to mitigate risks and exploit economic opportunities (Nyangor, 2020). In this study, GDP growth rate serves as the proxy for GDP.</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Insurance companies in Kenya operate under regulations issued by the Insurance Regulatory Authority (IRA) in accordance with the Insurance Act (Ngugi, 2021). Section 184 of the Act authorizes a wide range of insurance-related entities, including brokers, agents, insurers, assessors, reinsurers, and claims-settling agents (IRA Report, 2020). The Association of Kenya Insurers (AKI), formed in 1987, provides consultative and self-regulatory functions for insurers (Kiptoo et al., 2021). Kenya has long-term insurers offering products such as life and pensions, composite insurers offering health and general insurance, and general insurers providing financial and motor coverage (Ngugi, 2021).</w:t>
      </w:r>
    </w:p>
    <w:p>
      <w:pPr>
        <w:shd w:val="clear" w:color="auto" w:fill="FFFFFF"/>
        <w:spacing w:line="240" w:lineRule="auto"/>
        <w:rPr>
          <w:rFonts w:cs="Times New Roman"/>
          <w:color w:val="000000" w:themeColor="text1"/>
          <w:szCs w:val="24"/>
          <w14:textFill>
            <w14:solidFill>
              <w14:schemeClr w14:val="tx1"/>
            </w14:solidFill>
          </w14:textFill>
        </w:rPr>
      </w:pPr>
    </w:p>
    <w:p>
      <w:pPr>
        <w:shd w:val="clear" w:color="auto" w:fill="FFFFFF"/>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Despite regulatory oversight, insurer performance in Nairobi County has declined, marked by low customer patronage, reduced productivity, and diminishing revenues (IRA, 2019). While motor insurance is compulsory in Kenya, the industry still faces persistent challenges. Several firms—including Invesco Assurance, Allianz, Trident, Cannon, Resolution General, and First Assurance—have reported continuous losses since 2015 (Morara &amp; Sibindi, 2021). Underwriting losses ranging from Ksh 1bn to Ksh 3.2bn were recorded between 2016 and 2020</w:t>
      </w:r>
      <w:r>
        <w:commentReference w:id="14"/>
      </w:r>
      <w:r>
        <w:rPr>
          <w:rFonts w:cs="Times New Roman"/>
          <w:color w:val="000000" w:themeColor="text1"/>
          <w:szCs w:val="24"/>
          <w14:textFill>
            <w14:solidFill>
              <w14:schemeClr w14:val="tx1"/>
            </w14:solidFill>
          </w14:textFill>
        </w:rPr>
        <w:t xml:space="preserve"> (IRA Report, 2020). Losses have also been prevalent in classes such as fire domestic, medical, and motor insurance (Ngunguni, Misango &amp; Osiro, 2020). As a result, the insurance sector’s GDP contribution has steadily declined from 3.4% in 2013 to 2.31% in 2020 (Kamau et al., 2021).</w:t>
      </w:r>
    </w:p>
    <w:p>
      <w:pPr>
        <w:shd w:val="clear" w:color="auto" w:fill="FFFFFF"/>
        <w:spacing w:line="240" w:lineRule="auto"/>
        <w:rPr>
          <w:rFonts w:eastAsia="Times New Roman" w:cs="Times New Roman"/>
          <w:b/>
          <w:bCs/>
          <w:i/>
          <w:iCs/>
          <w:color w:val="000000" w:themeColor="text1"/>
          <w:sz w:val="28"/>
          <w:szCs w:val="28"/>
          <w14:textFill>
            <w14:solidFill>
              <w14:schemeClr w14:val="tx1"/>
            </w14:solidFill>
          </w14:textFill>
        </w:rPr>
      </w:pPr>
      <w:r>
        <w:rPr>
          <w:rFonts w:eastAsia="Times New Roman" w:cs="Times New Roman"/>
          <w:b/>
          <w:bCs/>
          <w:i/>
          <w:iCs/>
          <w:color w:val="000000" w:themeColor="text1"/>
          <w:sz w:val="28"/>
          <w:szCs w:val="28"/>
          <w14:textFill>
            <w14:solidFill>
              <w14:schemeClr w14:val="tx1"/>
            </w14:solidFill>
          </w14:textFill>
        </w:rPr>
        <w:t>Research Problem</w:t>
      </w:r>
      <w:r>
        <w:commentReference w:id="15"/>
      </w:r>
    </w:p>
    <w:p>
      <w:pPr>
        <w:spacing w:after="240"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The insurance sector plays a vital role in stimulating economic activity by reducing uncertainty, optimizing capital use, and safeguarding financial stability for individuals and organizations. While these functions are well established in advanced economies, Kenya’s insurance industry has not realized similar outcomes (Morara &amp; Sibindi, 2021). Persistent underwriting losses reflect this challenge, with reported deficits of Ksh 2.1bn, Ksh 1bn, Ksh 2.6bn, Ksh 3.2bn, and Ksh 1.2bn for 2016–2020 respectively (IRA, 2020). Such poor performance has been linked to inadequate attention to firm characteristics and weak operational indices. Odhiambo (2020) attributes the slow growth of Kenyan insurers to intense competition and unfavourable firm attributes, underscoring the need to examine how these features influence performance.</w:t>
      </w:r>
    </w:p>
    <w:p>
      <w:pPr>
        <w:spacing w:after="240" w:line="240" w:lineRule="auto"/>
        <w:rPr>
          <w:rFonts w:cs="Times New Roman"/>
          <w:color w:val="000000" w:themeColor="text1"/>
          <w:szCs w:val="24"/>
          <w14:textFill>
            <w14:solidFill>
              <w14:schemeClr w14:val="tx1"/>
            </w14:solidFill>
          </w14:textFill>
        </w:rPr>
      </w:pPr>
    </w:p>
    <w:p>
      <w:pPr>
        <w:spacing w:after="240" w:line="240" w:lineRule="auto"/>
        <w:rPr>
          <w:rFonts w:cs="Times New Roman"/>
          <w:b/>
          <w:szCs w:val="24"/>
        </w:rPr>
      </w:pPr>
      <w:r>
        <w:rPr>
          <w:rFonts w:cs="Times New Roman"/>
          <w:color w:val="000000" w:themeColor="text1"/>
          <w:szCs w:val="24"/>
          <w14:textFill>
            <w14:solidFill>
              <w14:schemeClr w14:val="tx1"/>
            </w14:solidFill>
          </w14:textFill>
        </w:rPr>
        <w:t>Existing studies show mixed findings across different contexts. Arhinful and Radmehr (2023) found that financial leverage adversely affects the performance of Tokyo Stock Exchange-listed firms, whereas Msomi and Nyide (2021) reported significant effects of firm attributes on non-life insurers in South Africa. In Nigeria, Maduabuchi and Ndubuisi (2021) revealed negative effects of revenue growth and liquidity on capital structure. However, these studies reflect environments substantially different from Kenya. Local evidence remains limited, though studies by Kamau et al. (2021), Kamau (2022), and Mutua et al. (2023) highlight the effects of leverage, liquidity, equity capital, underwriting risk, and insurance risks moderated by GDP.</w:t>
      </w:r>
      <w:r>
        <w:rPr>
          <w:rFonts w:cs="Times New Roman"/>
          <w:b/>
          <w:szCs w:val="24"/>
        </w:rPr>
        <w:t xml:space="preserve"> </w:t>
      </w:r>
    </w:p>
    <w:p>
      <w:pPr>
        <w:spacing w:line="240" w:lineRule="auto"/>
        <w:rPr>
          <w:rFonts w:cs="Times New Roman"/>
          <w:b/>
          <w:bCs/>
          <w:i/>
          <w:iCs/>
          <w:color w:val="000000" w:themeColor="text1"/>
          <w:sz w:val="28"/>
          <w:szCs w:val="28"/>
          <w14:textFill>
            <w14:solidFill>
              <w14:schemeClr w14:val="tx1"/>
            </w14:solidFill>
          </w14:textFill>
        </w:rPr>
      </w:pPr>
      <w:r>
        <w:rPr>
          <w:rFonts w:cs="Times New Roman"/>
          <w:b/>
          <w:bCs/>
          <w:i/>
          <w:iCs/>
          <w:color w:val="000000" w:themeColor="text1"/>
          <w:sz w:val="28"/>
          <w:szCs w:val="28"/>
          <w14:textFill>
            <w14:solidFill>
              <w14:schemeClr w14:val="tx1"/>
            </w14:solidFill>
          </w14:textFill>
        </w:rPr>
        <w:t>Research Objective</w:t>
      </w:r>
    </w:p>
    <w:p>
      <w:pPr>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This study was guided by the following general objective to: determine effect of firm characteristics on growth of general insurance companies in Kenya.</w:t>
      </w:r>
    </w:p>
    <w:p>
      <w:pPr>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 xml:space="preserve">Specific Objectives were to; </w:t>
      </w:r>
    </w:p>
    <w:p>
      <w:pPr>
        <w:pStyle w:val="22"/>
        <w:numPr>
          <w:ilvl w:val="0"/>
          <w:numId w:val="1"/>
        </w:numPr>
        <w:spacing w:before="0"/>
        <w:rPr>
          <w:rFonts w:ascii="Times New Roman" w:hAnsi="Times New Roman"/>
          <w:sz w:val="24"/>
          <w:szCs w:val="24"/>
        </w:rPr>
      </w:pPr>
      <w:r>
        <w:rPr>
          <w:rFonts w:ascii="Times New Roman" w:hAnsi="Times New Roman"/>
          <w:sz w:val="24"/>
          <w:szCs w:val="24"/>
        </w:rPr>
        <w:t>To determine the effect of equity capital on growth of general insurance companies in Kenya.</w:t>
      </w:r>
    </w:p>
    <w:p>
      <w:pPr>
        <w:pStyle w:val="22"/>
        <w:numPr>
          <w:ilvl w:val="0"/>
          <w:numId w:val="1"/>
        </w:numPr>
        <w:spacing w:before="0"/>
        <w:rPr>
          <w:rFonts w:ascii="Times New Roman" w:hAnsi="Times New Roman"/>
          <w:sz w:val="24"/>
          <w:szCs w:val="24"/>
        </w:rPr>
      </w:pPr>
      <w:r>
        <w:rPr>
          <w:rFonts w:ascii="Times New Roman" w:hAnsi="Times New Roman"/>
          <w:sz w:val="24"/>
          <w:szCs w:val="24"/>
        </w:rPr>
        <w:t>To examine the effect of firm leverage on growth of general insurance companies in Kenya.</w:t>
      </w:r>
    </w:p>
    <w:p>
      <w:pPr>
        <w:pStyle w:val="22"/>
        <w:numPr>
          <w:ilvl w:val="0"/>
          <w:numId w:val="1"/>
        </w:numPr>
        <w:spacing w:before="0"/>
        <w:rPr>
          <w:rFonts w:ascii="Times New Roman" w:hAnsi="Times New Roman"/>
          <w:sz w:val="24"/>
          <w:szCs w:val="24"/>
        </w:rPr>
      </w:pPr>
      <w:r>
        <w:rPr>
          <w:rFonts w:ascii="Times New Roman" w:hAnsi="Times New Roman"/>
          <w:sz w:val="24"/>
          <w:szCs w:val="24"/>
        </w:rPr>
        <w:t>To examine the effect of liquidity on growth of general insurance companies in Kenya.</w:t>
      </w:r>
    </w:p>
    <w:p>
      <w:pPr>
        <w:pStyle w:val="22"/>
        <w:numPr>
          <w:ilvl w:val="0"/>
          <w:numId w:val="1"/>
        </w:numPr>
        <w:spacing w:before="0"/>
        <w:rPr>
          <w:rFonts w:ascii="Times New Roman" w:hAnsi="Times New Roman"/>
          <w:sz w:val="24"/>
          <w:szCs w:val="24"/>
        </w:rPr>
      </w:pPr>
      <w:r>
        <w:rPr>
          <w:rFonts w:ascii="Times New Roman" w:hAnsi="Times New Roman"/>
          <w:sz w:val="24"/>
          <w:szCs w:val="24"/>
        </w:rPr>
        <w:t>To evaluate the effect of operational efficiency on growth of general insurance companies in Kenya.</w:t>
      </w:r>
    </w:p>
    <w:p>
      <w:pPr>
        <w:pStyle w:val="22"/>
        <w:numPr>
          <w:ilvl w:val="0"/>
          <w:numId w:val="1"/>
        </w:numPr>
        <w:spacing w:before="0"/>
        <w:rPr>
          <w:rFonts w:ascii="Times New Roman" w:hAnsi="Times New Roman"/>
          <w:sz w:val="24"/>
          <w:szCs w:val="24"/>
        </w:rPr>
      </w:pPr>
      <w:r>
        <w:rPr>
          <w:rFonts w:ascii="Times New Roman" w:hAnsi="Times New Roman"/>
          <w:sz w:val="24"/>
          <w:szCs w:val="24"/>
        </w:rPr>
        <w:t>To determine the moderating effect of Growth Domestic Product on the relationship between firm characteristics and growth of general insurance companies in Kenya.</w:t>
      </w:r>
    </w:p>
    <w:p>
      <w:pPr>
        <w:spacing w:before="0"/>
        <w:rPr>
          <w:b/>
          <w:bCs/>
          <w:i/>
          <w:iCs/>
          <w:sz w:val="28"/>
          <w:szCs w:val="24"/>
        </w:rPr>
      </w:pPr>
    </w:p>
    <w:p>
      <w:pPr>
        <w:spacing w:before="0"/>
        <w:rPr>
          <w:b/>
          <w:bCs/>
          <w:i/>
          <w:iCs/>
          <w:sz w:val="28"/>
          <w:szCs w:val="24"/>
        </w:rPr>
      </w:pPr>
      <w:r>
        <w:rPr>
          <w:b/>
          <w:bCs/>
          <w:i/>
          <w:iCs/>
          <w:sz w:val="28"/>
          <w:szCs w:val="24"/>
        </w:rPr>
        <w:t>Significance of the Study</w:t>
      </w:r>
    </w:p>
    <w:p>
      <w:pPr>
        <w:spacing w:line="240" w:lineRule="auto"/>
      </w:pPr>
      <w:r>
        <w:t>The study provided valuable insights to the Kenyan government, policymakers, AKI, and IRA by informing the development of regulations aimed at strengthening the insurance sector and supporting national development agendas. It enhanced public understanding of the importance of financial performance when selecting insurers. Managers benefited from evidence guiding improved financial management, strategic planning, and resource allocation to enhance growth and shareholder returns. Shareholders gained clarity on firm characteristics that drive value creation. The findings also contributed to academic literature by offering methodological and empirical references for future research on how business characteristics influence premium growth in insurance companies.</w:t>
      </w:r>
    </w:p>
    <w:p>
      <w:pPr>
        <w:autoSpaceDE w:val="0"/>
        <w:autoSpaceDN w:val="0"/>
        <w:adjustRightInd w:val="0"/>
        <w:spacing w:before="0" w:after="240" w:line="240" w:lineRule="auto"/>
        <w:rPr>
          <w:color w:val="000000" w:themeColor="text1"/>
          <w:szCs w:val="24"/>
          <w14:textFill>
            <w14:solidFill>
              <w14:schemeClr w14:val="tx1"/>
            </w14:solidFill>
          </w14:textFill>
        </w:rPr>
      </w:pPr>
    </w:p>
    <w:p>
      <w:pPr>
        <w:spacing w:before="0"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pPr>
        <w:pStyle w:val="22"/>
        <w:autoSpaceDE w:val="0"/>
        <w:autoSpaceDN w:val="0"/>
        <w:adjustRightInd w:val="0"/>
        <w:spacing w:before="480" w:after="240" w:line="240" w:lineRule="auto"/>
        <w:ind w:left="0"/>
        <w:rPr>
          <w:rFonts w:ascii="Times New Roman" w:hAnsi="Times New Roman"/>
          <w:b/>
          <w:color w:val="000000" w:themeColor="text1"/>
          <w:sz w:val="28"/>
          <w:szCs w:val="28"/>
          <w:lang w:val="en-GB"/>
          <w14:textFill>
            <w14:solidFill>
              <w14:schemeClr w14:val="tx1"/>
            </w14:solidFill>
          </w14:textFill>
        </w:rPr>
      </w:pPr>
      <w:r>
        <w:rPr>
          <w:rFonts w:ascii="Times New Roman" w:hAnsi="Times New Roman"/>
          <w:b/>
          <w:color w:val="000000" w:themeColor="text1"/>
          <w:sz w:val="28"/>
          <w:szCs w:val="28"/>
          <w:lang w:val="en-GB"/>
          <w14:textFill>
            <w14:solidFill>
              <w14:schemeClr w14:val="tx1"/>
            </w14:solidFill>
          </w14:textFill>
        </w:rPr>
        <w:t xml:space="preserve">2.0 LITERATURE REVIEW  </w:t>
      </w:r>
    </w:p>
    <w:p>
      <w:pPr>
        <w:spacing w:before="0" w:after="160" w:line="259" w:lineRule="auto"/>
        <w:rPr>
          <w:rFonts w:cs="Times New Roman"/>
          <w:b/>
          <w:i/>
          <w:iCs/>
          <w:color w:val="000000" w:themeColor="text1"/>
          <w:kern w:val="2"/>
          <w:szCs w:val="24"/>
          <w:lang w:val="en-GB"/>
          <w14:textFill>
            <w14:solidFill>
              <w14:schemeClr w14:val="tx1"/>
            </w14:solidFill>
          </w14:textFill>
        </w:rPr>
      </w:pPr>
      <w:r>
        <w:commentReference w:id="16"/>
      </w:r>
    </w:p>
    <w:p>
      <w:pPr>
        <w:spacing w:before="0" w:after="160" w:line="259" w:lineRule="auto"/>
        <w:rPr>
          <w:rFonts w:cs="Times New Roman"/>
          <w:b/>
          <w:i/>
          <w:iCs/>
          <w:color w:val="000000" w:themeColor="text1"/>
          <w:kern w:val="2"/>
          <w:szCs w:val="24"/>
          <w:lang w:val="en-GB"/>
          <w14:textFill>
            <w14:solidFill>
              <w14:schemeClr w14:val="tx1"/>
            </w14:solidFill>
          </w14:textFill>
        </w:rPr>
      </w:pPr>
      <w:r>
        <w:rPr>
          <w:rFonts w:cs="Times New Roman"/>
          <w:b/>
          <w:i/>
          <w:iCs/>
          <w:color w:val="000000" w:themeColor="text1"/>
          <w:kern w:val="2"/>
          <w:szCs w:val="24"/>
          <w:lang w:val="en-GB"/>
          <w14:textFill>
            <w14:solidFill>
              <w14:schemeClr w14:val="tx1"/>
            </w14:solidFill>
          </w14:textFill>
        </w:rPr>
        <w:t xml:space="preserve">The theoretical review </w:t>
      </w:r>
      <w:r>
        <w:commentReference w:id="17"/>
      </w: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The theoretical review provides a structured foundation for understanding the key concepts underpinning the study. It draws upon several major theories—Institutional Theory, Efficiency Structure Theory, Agency Theory, Liquidity Preference Theory, and Resource-Based View Theory—to explain how organizations behave, how performance is shaped, and how internal and external dynamics interact. These theories collectively guide the selection of variables, define expected relationships, and support interpretation of empirical findings.</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Institutional Theory, advanced by DiMaggio and Powell (1983) and Meyer and Rowan (1977), posits that organizations operate within broader institutional environments containing rules, norms, and expectations that they are compelled to follow. Institutions include regulatory bodies, legal systems, professional associations, societal norms, and other stakeholders that shape organizational legitimacy (Scott, 1987). The theory argues that organizational structures and routines often reflect socially accepted norms rather than purely efficiency-driven choices. Such institutionalized practices become accepted myths that organizations adopt to maintain legitimacy and survive.</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The theory highlights multiple dimensions of institutional pressure: regulative, normative, and mimetic. Regulative pressures arise from compliance requirements imposed by laws and regulatory agencies; normative pressures stem from professional standards and societal expectations; while mimetic pressures encourage organizations to imitate practices of successful competitors (Zucker, 1988). Conforming to these pressures offers benefits such as access to resources, reduced scrutiny, and enhanced public trust. However, organizations must also balance conformity with the need for strategic differentiation to remain competitive (Boon, Paauwe &amp; Hartog, 2009).</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Institutional theory also recognizes that organizations may not passively accept institutional demands. Instead, they may adopt strategic responses ranging from acquiescence and compromise to defiance and manipulation, depending on perceived costs and benefits (Oliver, 1991). This makes the theory relevant to the insurance sector, where companies must comply with strict regulation while also navigating competitive market pressures. The theory suggests that insurance firms’ actions—whether in compliance, adaptation, or resistance—are shaped by the institutional forces surrounding them.</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Efficiency Structure (ES) Theory, developed primarily by Demsetz (1973), asserts that variations in firm performance and market structure stem from differences in efficiency. According to the theory, firms that achieve higher operational efficiency are able to reduce costs, raise profitability, and expand market share, thereby contributing to greater industry concentration. Efficient firms outperform others because lower marginal costs allow them to compete more effectively.</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The theory includes two major components: scale efficiency and X-efficiency. Scale efficiency focuses on economies of scale, arguing that larger firms can reduce per-unit costs and realize greater profits. Increased scale fosters competitive advantages as firms with sizeable operations can dominate markets (Athanasoglou et al., 2008). X-efficiency emphasizes managerial efficiency and the ability to minimize structural and operational costs through superior administrative practices. Both forms of efficiency enhance profitability and strengthen competitive positions.</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Efficiency Structure Theory argues that firms operating in highly concentrated markets must optimize their internal operations to remain competitive. When firms allocate resources optimally—that is, when marginal profits equal marginal social costs—they minimize waste, avoid inefficiencies, and produce at the lowest cost possible. Managers may compare their firm’s performance against industry benchmarks to identify inefficiencies in need of improvement. This theory is particularly applicable in evaluating insurance companies’ performance because operational efficiency and effective resource utilization can significantly influence growth and financial sustainability.</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Jensen and Meckling (1976) introduced Agency Theory to explain conflicts between principals (owners) and agents (managers). The theory is based on the assumption that both parties are self-interested and may pursue personal benefits that conflict with organizational goals. Information asymmetry arises when managers possess more information about firm operations than owners, creating opportunities for managerial opportunism.</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Agency conflicts may cause managers to make decisions that prioritize personal gain—such as excessive borrowing, misuse of funds, or focusing on actions that increase short-term rewards rather than long-term shareholder value. To mitigate such conflicts, owners introduce monitoring mechanisms and incentive systems, which incur agency costs. Larger firms may handle agency problems more effectively due to their capacity to implement sophisticated monitoring and governance systems (Vithessonthi &amp; Tongurai, 2015).</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In the context of insurance firms, rapid expansion, aggressive premium collection, and increased risk-taking may occur when managers focus on growth metrics rather than financial stability. Managers may neglect efficiency or service quality while chasing premium growth, potentially undermining performance. Thus, the theory explains how growth and managerial decisions can contribute to performance outcomes and highlights the importance of aligning interests between managers and owners.</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Keynes’s (1936, 1964) Liquidity Preference Theory asserts that firms and individuals prefer holding liquid assets due to their ease of conversion into cash. The theory identifies three motives for holding liquidity: transactional, precautionary, and speculative. The transactional motive ensures funds are available to meet daily operational needs; precautionary liquidity provides a buffer against unforeseen events; and speculative liquidity offers flexibility to take advantage of future investment opportunities when market conditions shift.</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Businesses with adequate liquidity are better positioned to meet short-term obligations such as claims, salaries, or taxes, thereby reducing financial distress (Saunders &amp; Cornett, 2011). However, maintaining excessive liquidity has an opportunity cost because funds held in liquid form earn lower returns compared to long-term investments (Bibow, 1995). In insurance companies, liquidity is crucial since firms must respond promptly to claims while also maintaining investment portfolios that generate income. Therefore, liquidity influences financial performance, as insufficient liquidity increases insolvency risk, while excessive liquidity reduces profitability.</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kern w:val="2"/>
          <w:szCs w:val="24"/>
          <w:lang w:val="en-GB"/>
          <w14:textFill>
            <w14:solidFill>
              <w14:schemeClr w14:val="tx1"/>
            </w14:solidFill>
          </w14:textFill>
        </w:rPr>
      </w:pPr>
      <w:r>
        <w:rPr>
          <w:rFonts w:cs="Times New Roman"/>
          <w:bCs/>
          <w:color w:val="000000" w:themeColor="text1"/>
          <w:kern w:val="2"/>
          <w:szCs w:val="24"/>
          <w:lang w:val="en-GB"/>
          <w14:textFill>
            <w14:solidFill>
              <w14:schemeClr w14:val="tx1"/>
            </w14:solidFill>
          </w14:textFill>
        </w:rPr>
        <w:t>The Resource-Based View, introduced by Penrose (1959) and advanced by Barney (1991), emphasizes that unique internal resources drive sustained competitive advantage. RBV argues that resources must be valuable, rare, difficult to imitate, and non-substitutable to confer long-term advantages. Resource heterogeneity explains why firms operating in the same environment may exhibit different performance outcomes (Barney &amp; Arikan, 2001).</w:t>
      </w:r>
    </w:p>
    <w:p>
      <w:pPr>
        <w:spacing w:before="0" w:after="160" w:line="259" w:lineRule="auto"/>
        <w:rPr>
          <w:rFonts w:cs="Times New Roman"/>
          <w:bCs/>
          <w:color w:val="000000" w:themeColor="text1"/>
          <w:kern w:val="2"/>
          <w:szCs w:val="24"/>
          <w:lang w:val="en-GB"/>
          <w14:textFill>
            <w14:solidFill>
              <w14:schemeClr w14:val="tx1"/>
            </w14:solidFill>
          </w14:textFill>
        </w:rPr>
      </w:pPr>
    </w:p>
    <w:p>
      <w:pPr>
        <w:spacing w:before="0" w:after="160" w:line="259" w:lineRule="auto"/>
        <w:rPr>
          <w:rFonts w:cs="Times New Roman"/>
          <w:bCs/>
          <w:color w:val="000000" w:themeColor="text1"/>
          <w:szCs w:val="24"/>
          <w14:textFill>
            <w14:solidFill>
              <w14:schemeClr w14:val="tx1"/>
            </w14:solidFill>
          </w14:textFill>
        </w:rPr>
      </w:pPr>
      <w:r>
        <w:rPr>
          <w:rFonts w:cs="Times New Roman"/>
          <w:bCs/>
          <w:color w:val="000000" w:themeColor="text1"/>
          <w:kern w:val="2"/>
          <w:szCs w:val="24"/>
          <w:lang w:val="en-GB"/>
          <w14:textFill>
            <w14:solidFill>
              <w14:schemeClr w14:val="tx1"/>
            </w14:solidFill>
          </w14:textFill>
        </w:rPr>
        <w:t>RBV identifies both tangible and intangible resources—such as human capital, systems, organization culture, proprietary technologies, and strategic capabilities—as foundations for performance and growth. Firms that effectively utilize and combine their resources create dynamic capabilities enabling them to adapt to changing markets (Mahoney &amp; Pandian, 1992). While the theory is criticized for assuming resource immobility and for underestimating external factors, RBV remains influential in analyzing how firm-specific attributes influence performance. For insurance companies, the RBV explains how internal strengths—such as underwriting expertise, technological capacity, brand reputation, and financial assets—drive growth and competitiveness. The theory thus supports the study’s dependent variable by linking organizational resources to firm growth.</w:t>
      </w:r>
    </w:p>
    <w:p>
      <w:pPr>
        <w:spacing w:before="0" w:after="160" w:line="259" w:lineRule="auto"/>
        <w:rPr>
          <w:rFonts w:cs="Times New Roman"/>
          <w:color w:val="000000" w:themeColor="text1"/>
          <w:szCs w:val="24"/>
          <w14:textFill>
            <w14:solidFill>
              <w14:schemeClr w14:val="tx1"/>
            </w14:solidFill>
          </w14:textFill>
        </w:rPr>
      </w:pPr>
      <w:r>
        <w:rPr>
          <w:rFonts w:cs="Times New Roman"/>
          <w:b/>
          <w:bCs/>
          <w:i/>
          <w:iCs/>
          <w:color w:val="000000" w:themeColor="text1"/>
          <w:sz w:val="28"/>
          <w:szCs w:val="28"/>
          <w14:textFill>
            <w14:solidFill>
              <w14:schemeClr w14:val="tx1"/>
            </w14:solidFill>
          </w14:textFill>
        </w:rPr>
        <w:t>Empirical Literature Review</w:t>
      </w:r>
      <w:r>
        <w:commentReference w:id="18"/>
      </w: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Studies across various jurisdictions have consistently explored the influence of equity capital on the performance and development of insurance firms. Collins (2019) examined the impact of capital structure components—including indebtedness, equity, and preference shares—on the financial performance of insurance companies listed on the Nairobi Securities Exchange (NSE). Using a descriptive design and secondary data from five insurers, the findings indicated that equity capital had a significant positive effect on financial performance, with results showing that an increase in equity enhanced firm performance. However, this study was limited to financial performance rather than organizational growth, which forms the focal point of the present investigation into Kenyan general insurance firms.</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Shamsuddin, Kamel, Daud, and Sallha (2020) analyzed the relationship between capital structure and performance of Jordanian listed insurers from 2007 to 2017, using static panel data analysis based on Tobin’s Q, ROA, and ROE. Their findings demonstrated that equity financing played a substantial role in improving profitability. While the study focused on profitability within Jordan’s insurance sector, the current inquiry shifts attention to the growth of Kenyan general insurers.</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Contrasting these positive relationships, Msomi (2023) conducted a study covering 1452 observations from non-life insurance companies in Africa between 2008 and 2019, utilizing two-step System GMM estimators and OLS. The results revealed that equity capital had a statistically significant but negative association with the financial performance of African non-life insurers. Although focused on financial performance across multiple African countries, this study highlights the differing effects of equity capital across markets, justifying further investigation into its influence on the growth of Kenyan insurance companies.</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Research on firm leverage similarly presents mixed conclusions. Kamau, Olweny, and Muturi (2021) assessed the effects of firm-specific characteristics on the financial performance of 52 Kenyan insurers from 2010 to 2018 using panel regression. They established that leverage adversely influenced financial performance, recommending the adoption of prudent leverage strategies. While their focus remained on performance outcomes, the present study extends this concern to organizational growth.</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In contrast, Kamanda and Sibindi (2021) evaluated leverage within models featuring fixed effects, random effects, and pooled OLS, finding a positive relationship between leverage and financial success among insurance firms. Their study, however, was restricted to performance rather than growth. Similarly, Lilian (2022) examined all 56 Kenyan insurers operating between 2015 and 2020 and found that leverage had a positive and statistically significant effect on financial performance. The study concluded that cost reduction strategies associated with optimized leverage enhanced customer satisfaction and financial outcomes. Nonetheless, this work covered only a limited period and focused solely on performance, whereas the current research will evaluate leverage effects on growth from 2016 to 2024.</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Liquidity has also attracted considerable scholarly attention. Kamau et al. (2021), using correlation analysis, found that liquidity negatively affected the financial performance of Kenyan insurers between 2010 and 2018. They emphasized the importance of proper liquidity management for maximizing firm value. Notably, their study did not incorporate GDP as a moderating variable, a gap the present study aims to address.</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Maduabuchi and Ndubuisi (2021) analyzed liquidity effects on the capital structures of 14 listed Nigerian insurers from 2011 to 2020. Using panel least squares and Pearson correlation, they established that liquidity negatively affected capital structure decisions. Their focus on Nigerian firms limits generalizability, highlighting the need for evidence from Kenya.</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Conversely, Msomi and Nzama (2023) found a strong and positive association between liquidity ratios and the financial performance of South African insurers, based on ROA analysis of 36 listed firms between 2008 and 2019. This contrasting evidence supports the need for further inquiry into liquidity within the Kenyan insurance landscape.</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Operational efficiency has been widely acknowledged as a driver of performance. Using panel data of 121 non-life insurers across 48 African countries, Msomi (2023) found operational efficiency to be a significant predictor of financial performance. Similarly, Ige-Gbadeyan (2023), focusing on 32 South African non-life insurers, reported a strong positive relationship between operational efficiency and financial stability. Both studies underscore the importance of operational effectiveness but were conducted outside Kenya and focused on performance rather than growth.</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Furthermore, Akims et al. (2023) examined operational efficiency in relation to liquidity transformation in 15 Nigerian banks and concluded that managerial efficiency significantly influenced liquidity transformation. Although outside the insurance context, the findings reinforce operational efficiency as a critical institutional capability relevant to the growth of Kenyan insurers.</w:t>
      </w: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Macroeconomic conditions, especially GDP, also shape industry growth. Gonji et al. (2020) analyzed macroeconomic determinants of insurance firm expansion in Nigeria from 1990 to 2019, revealing that GDP had a significant and positive influence on growth. While the study did not treat GDP as a moderating variable, the current study will address this limitation.</w:t>
      </w:r>
    </w:p>
    <w:p>
      <w:pPr>
        <w:spacing w:before="0" w:after="160" w:line="259" w:lineRule="auto"/>
        <w:rPr>
          <w:rFonts w:cs="Times New Roman"/>
          <w:color w:val="000000" w:themeColor="text1"/>
          <w:szCs w:val="24"/>
          <w14:textFill>
            <w14:solidFill>
              <w14:schemeClr w14:val="tx1"/>
            </w14:solidFill>
          </w14:textFill>
        </w:rPr>
      </w:pPr>
    </w:p>
    <w:p>
      <w:pPr>
        <w:spacing w:before="0"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Msomi (2023) also found GDP to be a significant predictor of financial performance for 121 non-life insurers across Africa, though GDP was not examined as a moderating factor. Meanwhile, Mutua, Wamugo, and Theuri (2023), studying Kenyan insurers from 2015 to 2020, found that GDP growth substantially moderated the relationship between insurance risks and financial performance. Their findings underscore the importance of GDP in shaping firm outcomes, supporting the current study’s inclusion of GDP as a moderating variable from 2016 to 2024.</w:t>
      </w:r>
    </w:p>
    <w:p>
      <w:pPr>
        <w:spacing w:before="0" w:after="160" w:line="259" w:lineRule="auto"/>
        <w:rPr>
          <w:rFonts w:cs="Times New Roman"/>
          <w:color w:val="000000" w:themeColor="text1"/>
          <w:szCs w:val="24"/>
          <w14:textFill>
            <w14:solidFill>
              <w14:schemeClr w14:val="tx1"/>
            </w14:solidFill>
          </w14:textFill>
        </w:rPr>
      </w:pPr>
      <w:r>
        <w:commentReference w:id="19"/>
      </w:r>
    </w:p>
    <w:p>
      <w:pPr>
        <w:spacing w:line="240" w:lineRule="auto"/>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3.0 METHODOLOGY</w:t>
      </w:r>
      <w:r>
        <w:commentReference w:id="20"/>
      </w:r>
    </w:p>
    <w:p>
      <w:pPr>
        <w:spacing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The study adopted a systematic research design that aligned the foundational research questions with the methodological procedures required to generate reliable empirical evidence. Guided by the principles outlined by Blanche et al. (2006), the design ensured coherence between data collection, analysis, and interpretation. A quantitative longitudinal approach was employed, enabling the researcher to track the same variables across 36 insurance companies from 2016 to 2024. This design was appropriate because it facilitates examination of changes and trends in substantive variables over time, consistent with the purpose of longitudinal studies, which is to conceptualize and assess variable alterations over extended periods (Wang et al., 2017). Quantitative techniques, which rely on numerical representation of company characteristics and performance indicators, formed the methodological foundation.</w:t>
      </w:r>
    </w:p>
    <w:p>
      <w:pPr>
        <w:spacing w:after="160" w:line="259" w:lineRule="auto"/>
        <w:rPr>
          <w:rFonts w:cs="Times New Roman"/>
          <w:color w:val="000000" w:themeColor="text1"/>
          <w:szCs w:val="24"/>
          <w14:textFill>
            <w14:solidFill>
              <w14:schemeClr w14:val="tx1"/>
            </w14:solidFill>
          </w14:textFill>
        </w:rPr>
      </w:pPr>
    </w:p>
    <w:p>
      <w:pPr>
        <w:spacing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To examine the relationships between the variables, the study applied an empirical model rooted in regression-based methodologies commonly used in panel data analysis (Frees, 2003). The direct effects model assessed how equity capital, firm leverage, firm liquidity, and operational efficiency influenced insurance premium growth. A second model tested the moderating role of GDP on these relationships, applying procedures recommended by Whisman and McChelland (2005). The moderation analysis followed a two-step approach: first, incorporating GDP as an independent predictor, and second, introducing interaction terms between GDP and each predictor. Decision criteria for confirming moderation were based on significance comparisons between Model One and Model Two.</w:t>
      </w:r>
    </w:p>
    <w:p>
      <w:pPr>
        <w:spacing w:after="160" w:line="259" w:lineRule="auto"/>
        <w:rPr>
          <w:rFonts w:cs="Times New Roman"/>
          <w:color w:val="000000" w:themeColor="text1"/>
          <w:szCs w:val="24"/>
          <w14:textFill>
            <w14:solidFill>
              <w14:schemeClr w14:val="tx1"/>
            </w14:solidFill>
          </w14:textFill>
        </w:rPr>
      </w:pPr>
    </w:p>
    <w:p>
      <w:pPr>
        <w:spacing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Operationalization and measurement of variables were rigorously defined. Premium growth served as the dependent variable, while equity capital, operational efficiency, leverage, and liquidity formed the independent variables, all measured using ratio scales. GDP, operationalized as annual economic growth rate, functioned as the moderating variable. These measures ensured consistency, comparability, and statistical suitability for panel regression analysis.</w:t>
      </w:r>
    </w:p>
    <w:p>
      <w:pPr>
        <w:spacing w:after="160" w:line="259" w:lineRule="auto"/>
        <w:rPr>
          <w:rFonts w:cs="Times New Roman"/>
          <w:color w:val="000000" w:themeColor="text1"/>
          <w:szCs w:val="24"/>
          <w14:textFill>
            <w14:solidFill>
              <w14:schemeClr w14:val="tx1"/>
            </w14:solidFill>
          </w14:textFill>
        </w:rPr>
      </w:pPr>
    </w:p>
    <w:p>
      <w:pPr>
        <w:spacing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The target population consisted of all 36 general insurance companies regulated by the Insurance Regulatory Authority (IRA). Given the manageable population size, the study adopted a census sampling technique, aligning with Mugenda and Mugenda’s (2013) recommendation that census methods minimize sampling bias when dealing with small populations. Including every firm enabled complete sector representation and enhanced the study’s validity.</w:t>
      </w:r>
    </w:p>
    <w:p>
      <w:pPr>
        <w:spacing w:after="160" w:line="259" w:lineRule="auto"/>
        <w:rPr>
          <w:rFonts w:cs="Times New Roman"/>
          <w:color w:val="000000" w:themeColor="text1"/>
          <w:szCs w:val="24"/>
          <w14:textFill>
            <w14:solidFill>
              <w14:schemeClr w14:val="tx1"/>
            </w14:solidFill>
          </w14:textFill>
        </w:rPr>
      </w:pPr>
    </w:p>
    <w:p>
      <w:pPr>
        <w:spacing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Data collection relied exclusively on secondary data drawn from audited annual reports available through the IRA, KRA, and individual insurance firms. The data covered nine financial years, from 2016 to 2024. Collection was completed over two weeks and followed systematic procedures to ensure accuracy and completeness.</w:t>
      </w:r>
    </w:p>
    <w:p>
      <w:pPr>
        <w:spacing w:after="160" w:line="259" w:lineRule="auto"/>
        <w:rPr>
          <w:rFonts w:cs="Times New Roman"/>
          <w:color w:val="000000" w:themeColor="text1"/>
          <w:szCs w:val="24"/>
          <w14:textFill>
            <w14:solidFill>
              <w14:schemeClr w14:val="tx1"/>
            </w14:solidFill>
          </w14:textFill>
        </w:rPr>
      </w:pPr>
    </w:p>
    <w:p>
      <w:pPr>
        <w:spacing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Prior to data analysis, several diagnostic tests were conducted to validate the assumptions of the classical linear regression model. Multicollinearity was assessed using the Variance Inflation Factor (VIF) to ensure independence among predictors. Normality of residuals was tested using significance-based procedures; a p-value above 0.05 confirmed normal distribution, following Razali and Wah (2011). Stationarity of panel data was examined using the Harris-Tzavalis unit root test, as non-stationary series risk misleading regression results (Wooldridge, 2013). Autocorrelation was checked using the Durbin-Watson statistic, while heteroscedasticity was evaluated using the Breusch-Pagan test. The Hausman test determined the appropriate model specification between fixed and random effects, ensuring robust estimation.</w:t>
      </w:r>
    </w:p>
    <w:p>
      <w:pPr>
        <w:spacing w:after="160" w:line="259" w:lineRule="auto"/>
        <w:rPr>
          <w:rFonts w:cs="Times New Roman"/>
          <w:color w:val="000000" w:themeColor="text1"/>
          <w:szCs w:val="24"/>
          <w14:textFill>
            <w14:solidFill>
              <w14:schemeClr w14:val="tx1"/>
            </w14:solidFill>
          </w14:textFill>
        </w:rPr>
      </w:pPr>
    </w:p>
    <w:p>
      <w:pPr>
        <w:spacing w:after="160" w:line="259"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Data analysis was conducted in STATA, using descriptive statistics to summarize the dataset and panel regression techniques to test hypotheses and interpret variable effects. These procedures transformed the collected data into meaningful insights in line with the study’s objectives. Ethical considerations guided the entire research process. The study adhered to Kenyatta University requirements and complied with guidelines from the Commission for University Education (CUE). All necessary clearances were obtained, including research authorization from NACOSTI. These provisions ensured integrity, transparency, and accountability in handling institutional data.</w:t>
      </w:r>
    </w:p>
    <w:p>
      <w:pPr>
        <w:spacing w:before="0" w:after="160" w:line="259" w:lineRule="auto"/>
        <w:jc w:val="left"/>
        <w:rPr>
          <w:b/>
          <w:bCs/>
          <w:color w:val="000000" w:themeColor="text1"/>
          <w:sz w:val="28"/>
          <w:szCs w:val="24"/>
          <w14:textFill>
            <w14:solidFill>
              <w14:schemeClr w14:val="tx1"/>
            </w14:solidFill>
          </w14:textFill>
        </w:rPr>
      </w:pPr>
    </w:p>
    <w:p>
      <w:pPr>
        <w:spacing w:before="0" w:after="160" w:line="259" w:lineRule="auto"/>
        <w:jc w:val="left"/>
        <w:rPr>
          <w:b/>
          <w:bCs/>
          <w:color w:val="000000" w:themeColor="text1"/>
          <w:sz w:val="28"/>
          <w:szCs w:val="24"/>
          <w14:textFill>
            <w14:solidFill>
              <w14:schemeClr w14:val="tx1"/>
            </w14:solidFill>
          </w14:textFill>
        </w:rPr>
      </w:pPr>
      <w:r>
        <w:commentReference w:id="21"/>
      </w:r>
      <w:r>
        <w:rPr>
          <w:b/>
          <w:bCs/>
          <w:color w:val="000000" w:themeColor="text1"/>
          <w:sz w:val="28"/>
          <w:szCs w:val="24"/>
          <w14:textFill>
            <w14:solidFill>
              <w14:schemeClr w14:val="tx1"/>
            </w14:solidFill>
          </w14:textFill>
        </w:rPr>
        <w:br w:type="page"/>
      </w:r>
    </w:p>
    <w:p>
      <w:pPr>
        <w:spacing w:before="0"/>
        <w:rPr>
          <w:b/>
          <w:bCs/>
          <w:color w:val="000000" w:themeColor="text1"/>
          <w:sz w:val="28"/>
          <w:szCs w:val="24"/>
          <w14:textFill>
            <w14:solidFill>
              <w14:schemeClr w14:val="tx1"/>
            </w14:solidFill>
          </w14:textFill>
        </w:rPr>
      </w:pPr>
      <w:r>
        <w:rPr>
          <w:b/>
          <w:bCs/>
          <w:color w:val="000000" w:themeColor="text1"/>
          <w:sz w:val="28"/>
          <w:szCs w:val="24"/>
          <w14:textFill>
            <w14:solidFill>
              <w14:schemeClr w14:val="tx1"/>
            </w14:solidFill>
          </w14:textFill>
        </w:rPr>
        <w:t>4.0 RESULTS  AND DISCUSSION</w:t>
      </w:r>
    </w:p>
    <w:p>
      <w:pPr>
        <w:spacing w:before="0" w:line="240" w:lineRule="auto"/>
        <w:rPr>
          <w:b/>
          <w:bCs/>
          <w:i/>
          <w:iCs/>
          <w:color w:val="000000" w:themeColor="text1"/>
          <w:sz w:val="28"/>
          <w:szCs w:val="24"/>
          <w14:textFill>
            <w14:solidFill>
              <w14:schemeClr w14:val="tx1"/>
            </w14:solidFill>
          </w14:textFill>
        </w:rPr>
      </w:pPr>
      <w:r>
        <w:rPr>
          <w:b/>
          <w:bCs/>
          <w:i/>
          <w:iCs/>
          <w:color w:val="000000" w:themeColor="text1"/>
          <w:sz w:val="28"/>
          <w:szCs w:val="24"/>
          <w14:textFill>
            <w14:solidFill>
              <w14:schemeClr w14:val="tx1"/>
            </w14:solidFill>
          </w14:textFill>
        </w:rPr>
        <w:t xml:space="preserve">Descriptive Statistics </w:t>
      </w:r>
      <w:r>
        <w:commentReference w:id="22"/>
      </w:r>
    </w:p>
    <w:p>
      <w:pPr>
        <w:spacing w:before="0" w:line="240" w:lineRule="auto"/>
        <w:rPr>
          <w:b/>
          <w:bCs/>
          <w:i/>
          <w:iCs/>
          <w:color w:val="000000" w:themeColor="text1"/>
          <w:sz w:val="28"/>
          <w:szCs w:val="24"/>
          <w14:textFill>
            <w14:solidFill>
              <w14:schemeClr w14:val="tx1"/>
            </w14:solidFill>
          </w14:textFill>
        </w:rPr>
      </w:pPr>
    </w:p>
    <w:p>
      <w:pPr>
        <w:spacing w:before="0" w:line="240" w:lineRule="auto"/>
      </w:pPr>
      <w:r>
        <w:t>The study examined key firm characteristics and their influence on the growth of general insurance companies in Kenya. Descriptive results for equity capital, leverage, liquidity, operational efficiency, and the moderating role of GDP provide insights into the financial and operational dynamics shaping industry performance.</w:t>
      </w:r>
    </w:p>
    <w:p>
      <w:pPr>
        <w:spacing w:before="0" w:line="240" w:lineRule="auto"/>
      </w:pPr>
    </w:p>
    <w:p>
      <w:pPr>
        <w:spacing w:before="0" w:line="240" w:lineRule="auto"/>
      </w:pPr>
      <w:r>
        <w:t>Equity capital exhibited an average value of 4.7762, with moderate variation across firms, highlighting differences in capitalization levels within the sector. Companies with stronger equity positions were better positioned to support expansion, absorb shocks, and underwrite more business. Growth presented a mean of 0.7595 but also displayed substantial dispersion, reflected by a wide range between the minimum and maximum values. This indicated significant inconsistencies in performance across firms, with some recording rapid growth while others experienced stagnation or decline.</w:t>
      </w:r>
    </w:p>
    <w:p>
      <w:pPr>
        <w:spacing w:before="0" w:line="240" w:lineRule="auto"/>
      </w:pPr>
    </w:p>
    <w:p>
      <w:pPr>
        <w:spacing w:before="0" w:line="240" w:lineRule="auto"/>
      </w:pPr>
      <w:r>
        <w:t>Firm leverage averaged 3.6947 but showed notably high variability, suggesting diverse approaches to debt financing. Some insurers demonstrated minimal or negative leverage, signalling conservative debt usage, while others exhibited extremely high leverage, which may pose financial risks. These variations illustrate the different capital structure strategies adopted by firms, which in turn influence their growth capacity. Moderate leverage may enhance growth through efficient financing, but excessive debt can constrain expansion due to financial distress.</w:t>
      </w:r>
    </w:p>
    <w:p>
      <w:pPr>
        <w:spacing w:before="0" w:line="240" w:lineRule="auto"/>
      </w:pPr>
    </w:p>
    <w:p>
      <w:pPr>
        <w:spacing w:before="0" w:line="240" w:lineRule="auto"/>
      </w:pPr>
      <w:r>
        <w:t>Liquidity averaged 0.1875, considerably lower than optimal benchmarks, indicating that many insurers operated with limited short-term assets. The low end of the liquidity range signalled acute liquidity constraints for some firms, posing risks such as delayed claim settlements and reputational damage. Conversely, firms with higher liquidity demonstrated stronger financial flexibility. The substantial disparity in liquidity across firms highlighted systemic imbalances in short-term financial management and its implications for growth.</w:t>
      </w:r>
    </w:p>
    <w:p>
      <w:pPr>
        <w:spacing w:before="0" w:line="240" w:lineRule="auto"/>
      </w:pPr>
    </w:p>
    <w:p>
      <w:pPr>
        <w:spacing w:before="0" w:line="240" w:lineRule="auto"/>
      </w:pPr>
      <w:r>
        <w:t>Operational efficiency recorded a mean of 0.6520, suggesting that firms effectively converted a substantial portion of their resources into productive activities. However, differences in efficiency levels indicated that while some companies had streamlined operations, others struggled with operational inefficiencies that limited growth potential.</w:t>
      </w:r>
    </w:p>
    <w:p>
      <w:pPr>
        <w:spacing w:before="0" w:line="240" w:lineRule="auto"/>
      </w:pPr>
    </w:p>
    <w:p>
      <w:pPr>
        <w:spacing w:before="0" w:line="240" w:lineRule="auto"/>
        <w:rPr>
          <w:b/>
          <w:bCs/>
          <w:i/>
          <w:iCs/>
        </w:rPr>
      </w:pPr>
      <w:r>
        <w:t>A hierarchical regression analysis assessed the moderating role of GDP. In the first step, firm characteristics explained 50.7% of the variation in growth. Incorporating GDP interactions in the second step increased the explanatory power to 55.4%, reflecting an additional 4.7% variance attributed to macroeconomic conditions. This demonstrated that GDP significantly moderates the relationship between firm characteristics and growth. During periods of strong economic performance, firm-level factors such as equity capital, liquidity, and operational efficiency enhance growth more effectively, while during economic downturns, their influence weakens. This underscores the importance of both internal capacity and external economic conditions in shaping the growth of general insurance companies in Kenya</w:t>
      </w:r>
    </w:p>
    <w:p>
      <w:pPr>
        <w:spacing w:before="0" w:line="240" w:lineRule="auto"/>
      </w:pPr>
    </w:p>
    <w:p>
      <w:pPr>
        <w:rPr>
          <w:b/>
          <w:i/>
        </w:rPr>
      </w:pPr>
      <w:r>
        <w:rPr>
          <w:b/>
          <w:i/>
        </w:rPr>
        <w:t>Diagnostic Tests</w:t>
      </w:r>
    </w:p>
    <w:p>
      <w:pPr>
        <w:spacing w:before="0" w:line="240" w:lineRule="auto"/>
        <w:rPr>
          <w:color w:val="auto"/>
          <w:szCs w:val="24"/>
        </w:rPr>
      </w:pPr>
      <w:r>
        <w:rPr>
          <w:color w:val="auto"/>
          <w:szCs w:val="24"/>
        </w:rPr>
        <w:t xml:space="preserve">Several diagnostic tests were conducted to determine the most appropriate panel data estimation approach and assess the reliability of the regression results. </w:t>
      </w:r>
    </w:p>
    <w:p>
      <w:pPr>
        <w:spacing w:before="0" w:line="240" w:lineRule="auto"/>
        <w:rPr>
          <w:color w:val="auto"/>
          <w:szCs w:val="24"/>
        </w:rPr>
      </w:pPr>
    </w:p>
    <w:p>
      <w:pPr>
        <w:spacing w:before="0" w:line="240" w:lineRule="auto"/>
        <w:rPr>
          <w:color w:val="auto"/>
          <w:szCs w:val="24"/>
        </w:rPr>
      </w:pPr>
      <w:r>
        <w:rPr>
          <w:color w:val="auto"/>
          <w:szCs w:val="24"/>
        </w:rPr>
        <w:t xml:space="preserve">The Hausman test compared fixed and random effects models to evaluate the presence of correlation between the explanatory variables and the error term. The test produced a significant statistic (χ² = 18.472, p &lt; 0.05), leading to rejection of the null hypothesis and confirming that the random effects estimator was inconsistent. </w:t>
      </w:r>
    </w:p>
    <w:p>
      <w:pPr>
        <w:rPr>
          <w:b/>
          <w:i/>
        </w:rPr>
      </w:pPr>
      <w:r>
        <w:rPr>
          <w:b/>
          <w:i/>
        </w:rPr>
        <w:t>Table 1 Hausman Test Results</w:t>
      </w:r>
    </w:p>
    <w:tbl>
      <w:tblPr>
        <w:tblStyle w:val="8"/>
        <w:tblW w:w="8576"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5"/>
        <w:gridCol w:w="1915"/>
        <w:gridCol w:w="1228"/>
        <w:gridCol w:w="1440"/>
        <w:gridCol w:w="207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bottom w:val="single" w:color="auto" w:sz="4" w:space="0"/>
            </w:tcBorders>
            <w:vAlign w:val="bottom"/>
          </w:tcPr>
          <w:p>
            <w:pPr>
              <w:spacing w:line="240" w:lineRule="auto"/>
              <w:rPr>
                <w:b/>
                <w:bCs/>
                <w:color w:val="0D0D0D"/>
                <w:szCs w:val="24"/>
              </w:rPr>
            </w:pPr>
            <w:r>
              <w:rPr>
                <w:b/>
                <w:bCs/>
                <w:color w:val="0D0D0D"/>
                <w:szCs w:val="24"/>
              </w:rPr>
              <w:t>Test Statistic</w:t>
            </w:r>
          </w:p>
        </w:tc>
        <w:tc>
          <w:tcPr>
            <w:tcW w:w="1915" w:type="dxa"/>
            <w:tcBorders>
              <w:top w:val="single" w:color="auto" w:sz="4" w:space="0"/>
              <w:bottom w:val="single" w:color="auto" w:sz="4" w:space="0"/>
            </w:tcBorders>
            <w:vAlign w:val="bottom"/>
          </w:tcPr>
          <w:p>
            <w:pPr>
              <w:spacing w:line="240" w:lineRule="auto"/>
              <w:rPr>
                <w:b/>
                <w:bCs/>
                <w:color w:val="0D0D0D"/>
                <w:szCs w:val="24"/>
              </w:rPr>
            </w:pPr>
            <w:r>
              <w:rPr>
                <w:b/>
                <w:bCs/>
                <w:color w:val="0D0D0D"/>
                <w:szCs w:val="24"/>
              </w:rPr>
              <w:t>Chi-Square (χ²)</w:t>
            </w:r>
          </w:p>
        </w:tc>
        <w:tc>
          <w:tcPr>
            <w:tcW w:w="1228" w:type="dxa"/>
            <w:tcBorders>
              <w:top w:val="single" w:color="auto" w:sz="4" w:space="0"/>
              <w:bottom w:val="single" w:color="auto" w:sz="4" w:space="0"/>
            </w:tcBorders>
            <w:vAlign w:val="bottom"/>
          </w:tcPr>
          <w:p>
            <w:pPr>
              <w:spacing w:line="240" w:lineRule="auto"/>
              <w:rPr>
                <w:b/>
                <w:bCs/>
                <w:color w:val="0D0D0D"/>
                <w:szCs w:val="24"/>
              </w:rPr>
            </w:pPr>
            <w:r>
              <w:rPr>
                <w:b/>
                <w:bCs/>
                <w:color w:val="0D0D0D"/>
                <w:szCs w:val="24"/>
              </w:rPr>
              <w:t>p-value</w:t>
            </w:r>
          </w:p>
        </w:tc>
        <w:tc>
          <w:tcPr>
            <w:tcW w:w="1440" w:type="dxa"/>
            <w:tcBorders>
              <w:top w:val="single" w:color="auto" w:sz="4" w:space="0"/>
              <w:bottom w:val="single" w:color="auto" w:sz="4" w:space="0"/>
            </w:tcBorders>
            <w:vAlign w:val="bottom"/>
          </w:tcPr>
          <w:p>
            <w:pPr>
              <w:spacing w:line="240" w:lineRule="auto"/>
              <w:rPr>
                <w:b/>
                <w:bCs/>
                <w:color w:val="0D0D0D"/>
                <w:szCs w:val="24"/>
              </w:rPr>
            </w:pPr>
            <w:r>
              <w:rPr>
                <w:b/>
                <w:bCs/>
                <w:color w:val="0D0D0D"/>
                <w:szCs w:val="24"/>
              </w:rPr>
              <w:t>Decision</w:t>
            </w:r>
          </w:p>
        </w:tc>
        <w:tc>
          <w:tcPr>
            <w:tcW w:w="2078" w:type="dxa"/>
            <w:tcBorders>
              <w:top w:val="single" w:color="auto" w:sz="4" w:space="0"/>
              <w:bottom w:val="single" w:color="auto" w:sz="4" w:space="0"/>
            </w:tcBorders>
            <w:vAlign w:val="bottom"/>
          </w:tcPr>
          <w:p>
            <w:pPr>
              <w:spacing w:line="240" w:lineRule="auto"/>
              <w:rPr>
                <w:b/>
                <w:bCs/>
                <w:color w:val="0D0D0D"/>
                <w:szCs w:val="24"/>
              </w:rPr>
            </w:pPr>
            <w:r>
              <w:rPr>
                <w:b/>
                <w:bCs/>
                <w:color w:val="0D0D0D"/>
                <w:szCs w:val="24"/>
              </w:rPr>
              <w:t>Preferred Model</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tcBorders>
            <w:vAlign w:val="bottom"/>
          </w:tcPr>
          <w:p>
            <w:pPr>
              <w:spacing w:line="240" w:lineRule="auto"/>
              <w:rPr>
                <w:szCs w:val="24"/>
              </w:rPr>
            </w:pPr>
            <w:r>
              <w:rPr>
                <w:szCs w:val="24"/>
              </w:rPr>
              <w:t>Hausman Test</w:t>
            </w:r>
          </w:p>
        </w:tc>
        <w:tc>
          <w:tcPr>
            <w:tcW w:w="1915" w:type="dxa"/>
            <w:tcBorders>
              <w:top w:val="single" w:color="auto" w:sz="4" w:space="0"/>
            </w:tcBorders>
            <w:vAlign w:val="bottom"/>
          </w:tcPr>
          <w:p>
            <w:pPr>
              <w:spacing w:line="240" w:lineRule="auto"/>
              <w:rPr>
                <w:szCs w:val="24"/>
              </w:rPr>
            </w:pPr>
            <w:r>
              <w:rPr>
                <w:szCs w:val="24"/>
              </w:rPr>
              <w:t>18.472</w:t>
            </w:r>
          </w:p>
        </w:tc>
        <w:tc>
          <w:tcPr>
            <w:tcW w:w="1228" w:type="dxa"/>
            <w:tcBorders>
              <w:top w:val="single" w:color="auto" w:sz="4" w:space="0"/>
            </w:tcBorders>
            <w:vAlign w:val="bottom"/>
          </w:tcPr>
          <w:p>
            <w:pPr>
              <w:spacing w:line="240" w:lineRule="auto"/>
              <w:rPr>
                <w:szCs w:val="24"/>
              </w:rPr>
            </w:pPr>
            <w:r>
              <w:rPr>
                <w:szCs w:val="24"/>
              </w:rPr>
              <w:t>0.000</w:t>
            </w:r>
          </w:p>
        </w:tc>
        <w:tc>
          <w:tcPr>
            <w:tcW w:w="1440" w:type="dxa"/>
            <w:tcBorders>
              <w:top w:val="single" w:color="auto" w:sz="4" w:space="0"/>
            </w:tcBorders>
            <w:vAlign w:val="bottom"/>
          </w:tcPr>
          <w:p>
            <w:pPr>
              <w:spacing w:line="240" w:lineRule="auto"/>
              <w:rPr>
                <w:szCs w:val="24"/>
              </w:rPr>
            </w:pPr>
            <w:r>
              <w:rPr>
                <w:szCs w:val="24"/>
              </w:rPr>
              <w:t>Reject H₀</w:t>
            </w:r>
          </w:p>
        </w:tc>
        <w:tc>
          <w:tcPr>
            <w:tcW w:w="2078" w:type="dxa"/>
            <w:tcBorders>
              <w:top w:val="single" w:color="auto" w:sz="4" w:space="0"/>
            </w:tcBorders>
            <w:vAlign w:val="bottom"/>
          </w:tcPr>
          <w:p>
            <w:pPr>
              <w:spacing w:line="240" w:lineRule="auto"/>
              <w:rPr>
                <w:szCs w:val="24"/>
              </w:rPr>
            </w:pPr>
            <w:r>
              <w:rPr>
                <w:szCs w:val="24"/>
              </w:rPr>
              <w:t>Fixed Effects</w:t>
            </w:r>
          </w:p>
        </w:tc>
      </w:tr>
    </w:tbl>
    <w:p>
      <w:pPr>
        <w:rPr>
          <w:b/>
          <w:szCs w:val="24"/>
        </w:rPr>
      </w:pPr>
      <w:bookmarkStart w:id="2" w:name="_Hlk207638893"/>
      <w:r>
        <w:rPr>
          <w:b/>
          <w:szCs w:val="24"/>
        </w:rPr>
        <w:t>Source: Study Data (2025)</w:t>
      </w:r>
    </w:p>
    <w:bookmarkEnd w:id="2"/>
    <w:p>
      <w:pPr>
        <w:spacing w:before="0" w:line="240" w:lineRule="auto"/>
        <w:rPr>
          <w:color w:val="auto"/>
          <w:szCs w:val="24"/>
        </w:rPr>
      </w:pPr>
    </w:p>
    <w:p>
      <w:pPr>
        <w:spacing w:before="0" w:line="240" w:lineRule="auto"/>
        <w:rPr>
          <w:color w:val="auto"/>
          <w:szCs w:val="24"/>
        </w:rPr>
      </w:pPr>
      <w:r>
        <w:rPr>
          <w:color w:val="auto"/>
          <w:szCs w:val="24"/>
        </w:rPr>
        <w:t>Consequently, the fixed effects model was selected, as it effectively controlled for unobserved firm-specific characteristics and focused on within-firm variations over time. This choice ensured more accurate estimation of the relationship between firm attributes, GDP, and the growth of general insurance businesses in Kenya.</w:t>
      </w:r>
    </w:p>
    <w:p>
      <w:pPr>
        <w:spacing w:before="0" w:line="240" w:lineRule="auto"/>
        <w:rPr>
          <w:color w:val="auto"/>
          <w:szCs w:val="24"/>
        </w:rPr>
      </w:pPr>
    </w:p>
    <w:p>
      <w:pPr>
        <w:spacing w:before="0" w:line="240" w:lineRule="auto"/>
        <w:rPr>
          <w:color w:val="auto"/>
          <w:szCs w:val="24"/>
        </w:rPr>
      </w:pPr>
      <w:r>
        <w:rPr>
          <w:color w:val="auto"/>
          <w:szCs w:val="24"/>
        </w:rPr>
        <w:t>The Wooldridge test was then applied to detect serial correlation in the panel dataset. The results (p &gt; 0.05) indicated no evidence of autocorrelation, affirming the reliability of the model’s error structure.</w:t>
      </w:r>
    </w:p>
    <w:p>
      <w:pPr>
        <w:rPr>
          <w:b/>
          <w:i/>
        </w:rPr>
      </w:pPr>
      <w:r>
        <w:rPr>
          <w:b/>
          <w:i/>
        </w:rPr>
        <w:t>Table 2 Wooldridge Test for Serial Correlation</w:t>
      </w:r>
    </w:p>
    <w:tbl>
      <w:tblPr>
        <w:tblStyle w:val="8"/>
        <w:tblW w:w="865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8"/>
        <w:gridCol w:w="1680"/>
        <w:gridCol w:w="41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8" w:type="dxa"/>
            <w:tcBorders>
              <w:top w:val="single" w:color="auto" w:sz="4" w:space="0"/>
              <w:bottom w:val="single" w:color="auto" w:sz="4" w:space="0"/>
            </w:tcBorders>
            <w:vAlign w:val="bottom"/>
          </w:tcPr>
          <w:p>
            <w:pPr>
              <w:spacing w:line="240" w:lineRule="auto"/>
              <w:rPr>
                <w:b/>
                <w:bCs/>
                <w:color w:val="0D0D0D"/>
                <w:szCs w:val="24"/>
              </w:rPr>
            </w:pPr>
            <w:r>
              <w:rPr>
                <w:b/>
                <w:bCs/>
                <w:color w:val="0D0D0D"/>
                <w:szCs w:val="24"/>
              </w:rPr>
              <w:t>Test Statistic</w:t>
            </w:r>
          </w:p>
        </w:tc>
        <w:tc>
          <w:tcPr>
            <w:tcW w:w="1680" w:type="dxa"/>
            <w:tcBorders>
              <w:top w:val="single" w:color="auto" w:sz="4" w:space="0"/>
              <w:bottom w:val="single" w:color="auto" w:sz="4" w:space="0"/>
            </w:tcBorders>
            <w:vAlign w:val="bottom"/>
          </w:tcPr>
          <w:p>
            <w:pPr>
              <w:spacing w:line="240" w:lineRule="auto"/>
              <w:rPr>
                <w:b/>
                <w:bCs/>
                <w:color w:val="0D0D0D"/>
                <w:szCs w:val="24"/>
              </w:rPr>
            </w:pPr>
            <w:r>
              <w:rPr>
                <w:b/>
                <w:bCs/>
                <w:color w:val="0D0D0D"/>
                <w:szCs w:val="24"/>
              </w:rPr>
              <w:t>Prob &gt; F</w:t>
            </w:r>
          </w:p>
        </w:tc>
        <w:tc>
          <w:tcPr>
            <w:tcW w:w="4140" w:type="dxa"/>
            <w:tcBorders>
              <w:top w:val="single" w:color="auto" w:sz="4" w:space="0"/>
              <w:bottom w:val="single" w:color="auto" w:sz="4" w:space="0"/>
            </w:tcBorders>
            <w:vAlign w:val="bottom"/>
          </w:tcPr>
          <w:p>
            <w:pPr>
              <w:spacing w:line="240" w:lineRule="auto"/>
              <w:rPr>
                <w:b/>
                <w:bCs/>
                <w:color w:val="0D0D0D"/>
                <w:szCs w:val="24"/>
              </w:rPr>
            </w:pPr>
            <w:r>
              <w:rPr>
                <w:b/>
                <w:bCs/>
                <w:color w:val="0D0D0D"/>
                <w:szCs w:val="24"/>
              </w:rPr>
              <w:t>Decision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8" w:type="dxa"/>
            <w:tcBorders>
              <w:top w:val="single" w:color="auto" w:sz="4" w:space="0"/>
            </w:tcBorders>
            <w:vAlign w:val="bottom"/>
          </w:tcPr>
          <w:p>
            <w:pPr>
              <w:spacing w:line="240" w:lineRule="auto"/>
              <w:rPr>
                <w:szCs w:val="24"/>
              </w:rPr>
            </w:pPr>
            <w:r>
              <w:rPr>
                <w:szCs w:val="24"/>
              </w:rPr>
              <w:t>1.382</w:t>
            </w:r>
          </w:p>
        </w:tc>
        <w:tc>
          <w:tcPr>
            <w:tcW w:w="1680" w:type="dxa"/>
            <w:tcBorders>
              <w:top w:val="single" w:color="auto" w:sz="4" w:space="0"/>
            </w:tcBorders>
            <w:vAlign w:val="bottom"/>
          </w:tcPr>
          <w:p>
            <w:pPr>
              <w:spacing w:line="240" w:lineRule="auto"/>
              <w:rPr>
                <w:szCs w:val="24"/>
              </w:rPr>
            </w:pPr>
            <w:r>
              <w:rPr>
                <w:szCs w:val="24"/>
              </w:rPr>
              <w:t>0.2400</w:t>
            </w:r>
          </w:p>
        </w:tc>
        <w:tc>
          <w:tcPr>
            <w:tcW w:w="4140" w:type="dxa"/>
            <w:tcBorders>
              <w:top w:val="single" w:color="auto" w:sz="4" w:space="0"/>
            </w:tcBorders>
            <w:vAlign w:val="bottom"/>
          </w:tcPr>
          <w:p>
            <w:pPr>
              <w:spacing w:line="240" w:lineRule="auto"/>
              <w:rPr>
                <w:szCs w:val="24"/>
              </w:rPr>
            </w:pPr>
            <w:r>
              <w:rPr>
                <w:szCs w:val="24"/>
              </w:rPr>
              <w:t>No serial correlation (Fail to reject H₀)</w:t>
            </w:r>
          </w:p>
        </w:tc>
      </w:tr>
    </w:tbl>
    <w:p>
      <w:pPr>
        <w:shd w:val="clear" w:color="auto" w:fill="FFFFFF"/>
        <w:spacing w:after="100" w:afterAutospacing="1"/>
        <w:rPr>
          <w:b/>
          <w:color w:val="0D0D0D"/>
          <w:szCs w:val="24"/>
        </w:rPr>
      </w:pPr>
      <w:r>
        <w:rPr>
          <w:b/>
          <w:iCs/>
          <w:color w:val="0D0D0D"/>
          <w:szCs w:val="24"/>
        </w:rPr>
        <w:t>Source: Study Data (2025)</w:t>
      </w:r>
    </w:p>
    <w:p>
      <w:pPr>
        <w:spacing w:before="0" w:line="240" w:lineRule="auto"/>
      </w:pPr>
      <w:r>
        <w:rPr>
          <w:color w:val="auto"/>
          <w:szCs w:val="24"/>
        </w:rPr>
        <w:t>Finally, the Breusch–Pagan test revealed significant heteroscedasticity (p &lt; 0.05), suggesting non-constant error variance across observations. To address this issue, robust standard errors were employed, enhancing the accuracy of hypothesis testing and ensuring the robustness of the study’s final regression estimates</w:t>
      </w:r>
      <w:r>
        <w:rPr>
          <w:szCs w:val="24"/>
        </w:rPr>
        <w:t>.</w:t>
      </w:r>
    </w:p>
    <w:p>
      <w:pPr>
        <w:spacing w:before="0" w:line="240" w:lineRule="auto"/>
      </w:pPr>
    </w:p>
    <w:p>
      <w:pPr>
        <w:rPr>
          <w:b/>
          <w:i/>
        </w:rPr>
      </w:pPr>
      <w:r>
        <w:rPr>
          <w:b/>
          <w:i/>
        </w:rPr>
        <w:t>Table 3 Breusch–Pagan Heteroscedasticity Test Results</w:t>
      </w:r>
    </w:p>
    <w:tbl>
      <w:tblPr>
        <w:tblStyle w:val="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11"/>
        <w:gridCol w:w="2079"/>
        <w:gridCol w:w="1138"/>
        <w:gridCol w:w="306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11" w:type="dxa"/>
            <w:tcBorders>
              <w:top w:val="single" w:color="auto" w:sz="4" w:space="0"/>
              <w:bottom w:val="single" w:color="auto" w:sz="4" w:space="0"/>
            </w:tcBorders>
            <w:vAlign w:val="bottom"/>
          </w:tcPr>
          <w:p>
            <w:pPr>
              <w:spacing w:line="240" w:lineRule="auto"/>
              <w:jc w:val="center"/>
              <w:rPr>
                <w:b/>
                <w:bCs/>
                <w:color w:val="0D0D0D"/>
                <w:szCs w:val="24"/>
              </w:rPr>
            </w:pPr>
            <w:r>
              <w:rPr>
                <w:b/>
                <w:bCs/>
                <w:color w:val="0D0D0D"/>
                <w:szCs w:val="24"/>
              </w:rPr>
              <w:t>Test Statistic</w:t>
            </w:r>
          </w:p>
        </w:tc>
        <w:tc>
          <w:tcPr>
            <w:tcW w:w="2079" w:type="dxa"/>
            <w:tcBorders>
              <w:top w:val="single" w:color="auto" w:sz="4" w:space="0"/>
              <w:bottom w:val="single" w:color="auto" w:sz="4" w:space="0"/>
            </w:tcBorders>
            <w:vAlign w:val="bottom"/>
          </w:tcPr>
          <w:p>
            <w:pPr>
              <w:spacing w:line="240" w:lineRule="auto"/>
              <w:jc w:val="center"/>
              <w:rPr>
                <w:b/>
                <w:bCs/>
                <w:color w:val="0D0D0D"/>
                <w:szCs w:val="24"/>
              </w:rPr>
            </w:pPr>
            <w:r>
              <w:rPr>
                <w:b/>
                <w:bCs/>
                <w:color w:val="0D0D0D"/>
                <w:szCs w:val="24"/>
              </w:rPr>
              <w:t>Chi-Square (χ²)</w:t>
            </w:r>
          </w:p>
        </w:tc>
        <w:tc>
          <w:tcPr>
            <w:tcW w:w="1138" w:type="dxa"/>
            <w:tcBorders>
              <w:top w:val="single" w:color="auto" w:sz="4" w:space="0"/>
              <w:bottom w:val="single" w:color="auto" w:sz="4" w:space="0"/>
            </w:tcBorders>
            <w:vAlign w:val="bottom"/>
          </w:tcPr>
          <w:p>
            <w:pPr>
              <w:spacing w:line="240" w:lineRule="auto"/>
              <w:jc w:val="center"/>
              <w:rPr>
                <w:b/>
                <w:bCs/>
                <w:color w:val="0D0D0D"/>
                <w:szCs w:val="24"/>
              </w:rPr>
            </w:pPr>
            <w:r>
              <w:rPr>
                <w:b/>
                <w:bCs/>
                <w:color w:val="0D0D0D"/>
                <w:szCs w:val="24"/>
              </w:rPr>
              <w:t>p-value</w:t>
            </w:r>
          </w:p>
        </w:tc>
        <w:tc>
          <w:tcPr>
            <w:tcW w:w="3060" w:type="dxa"/>
            <w:tcBorders>
              <w:top w:val="single" w:color="auto" w:sz="4" w:space="0"/>
              <w:bottom w:val="single" w:color="auto" w:sz="4" w:space="0"/>
            </w:tcBorders>
            <w:vAlign w:val="bottom"/>
          </w:tcPr>
          <w:p>
            <w:pPr>
              <w:spacing w:line="240" w:lineRule="auto"/>
              <w:jc w:val="center"/>
              <w:rPr>
                <w:b/>
                <w:bCs/>
                <w:color w:val="0D0D0D"/>
                <w:szCs w:val="24"/>
              </w:rPr>
            </w:pPr>
            <w:r>
              <w:rPr>
                <w:b/>
                <w:bCs/>
                <w:color w:val="0D0D0D"/>
                <w:szCs w:val="24"/>
              </w:rPr>
              <w:t>Decision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11" w:type="dxa"/>
            <w:tcBorders>
              <w:top w:val="single" w:color="auto" w:sz="4" w:space="0"/>
            </w:tcBorders>
            <w:vAlign w:val="bottom"/>
          </w:tcPr>
          <w:p>
            <w:pPr>
              <w:spacing w:line="240" w:lineRule="auto"/>
              <w:jc w:val="left"/>
              <w:rPr>
                <w:szCs w:val="24"/>
              </w:rPr>
            </w:pPr>
            <w:r>
              <w:rPr>
                <w:szCs w:val="24"/>
              </w:rPr>
              <w:t>Breusch–Pagan</w:t>
            </w:r>
          </w:p>
        </w:tc>
        <w:tc>
          <w:tcPr>
            <w:tcW w:w="2079" w:type="dxa"/>
            <w:tcBorders>
              <w:top w:val="single" w:color="auto" w:sz="4" w:space="0"/>
            </w:tcBorders>
            <w:vAlign w:val="bottom"/>
          </w:tcPr>
          <w:p>
            <w:pPr>
              <w:spacing w:line="240" w:lineRule="auto"/>
              <w:jc w:val="left"/>
              <w:rPr>
                <w:szCs w:val="24"/>
              </w:rPr>
            </w:pPr>
            <w:r>
              <w:rPr>
                <w:szCs w:val="24"/>
              </w:rPr>
              <w:t>12.37</w:t>
            </w:r>
          </w:p>
        </w:tc>
        <w:tc>
          <w:tcPr>
            <w:tcW w:w="1138" w:type="dxa"/>
            <w:tcBorders>
              <w:top w:val="single" w:color="auto" w:sz="4" w:space="0"/>
            </w:tcBorders>
            <w:vAlign w:val="bottom"/>
          </w:tcPr>
          <w:p>
            <w:pPr>
              <w:spacing w:line="240" w:lineRule="auto"/>
              <w:jc w:val="left"/>
              <w:rPr>
                <w:szCs w:val="24"/>
              </w:rPr>
            </w:pPr>
            <w:r>
              <w:rPr>
                <w:szCs w:val="24"/>
              </w:rPr>
              <w:t>0.0004</w:t>
            </w:r>
          </w:p>
        </w:tc>
        <w:tc>
          <w:tcPr>
            <w:tcW w:w="3060" w:type="dxa"/>
            <w:tcBorders>
              <w:top w:val="single" w:color="auto" w:sz="4" w:space="0"/>
            </w:tcBorders>
            <w:vAlign w:val="bottom"/>
          </w:tcPr>
          <w:p>
            <w:pPr>
              <w:spacing w:line="240" w:lineRule="auto"/>
              <w:jc w:val="left"/>
              <w:rPr>
                <w:szCs w:val="24"/>
              </w:rPr>
            </w:pPr>
            <w:r>
              <w:rPr>
                <w:szCs w:val="24"/>
              </w:rPr>
              <w:t>Heteroscedasticity detected</w:t>
            </w:r>
          </w:p>
        </w:tc>
      </w:tr>
    </w:tbl>
    <w:p>
      <w:pPr>
        <w:shd w:val="clear" w:color="auto" w:fill="FFFFFF"/>
        <w:spacing w:before="100" w:beforeAutospacing="1" w:after="100" w:afterAutospacing="1" w:line="240" w:lineRule="auto"/>
        <w:jc w:val="left"/>
        <w:rPr>
          <w:b/>
          <w:iCs/>
          <w:color w:val="0D0D0D"/>
          <w:szCs w:val="24"/>
        </w:rPr>
      </w:pPr>
      <w:r>
        <w:rPr>
          <w:b/>
          <w:iCs/>
          <w:color w:val="0D0D0D"/>
          <w:szCs w:val="24"/>
        </w:rPr>
        <w:t>Source: Study Data (2025)</w:t>
      </w:r>
    </w:p>
    <w:p>
      <w:pPr>
        <w:rPr>
          <w:b/>
          <w:i/>
        </w:rPr>
      </w:pPr>
    </w:p>
    <w:p>
      <w:pPr>
        <w:rPr>
          <w:b/>
          <w:i/>
        </w:rPr>
      </w:pPr>
      <w:r>
        <w:rPr>
          <w:b/>
          <w:i/>
        </w:rPr>
        <w:t>Correlation Analysis</w:t>
      </w:r>
    </w:p>
    <w:p>
      <w:pPr>
        <w:spacing w:line="240" w:lineRule="auto"/>
      </w:pPr>
      <w:r>
        <w:t>The correlation analysis showed that most variables were significantly associated with firm growth. Equity capital (r = 0.612), liquidity (r = 0.395), and operational efficiency (r = 0.544) exhibited positive and significant relationships, indicating that stronger financial capacity and efficient operations enhance growth. Firm leverage correlated negatively (r = –0.428), suggesting that heavy borrowing constrains expansion. GDP had a positive effect (r = 0.486), implying economic performance supports growth. No coefficient exceeded 0.80, indicating absence of multicollinearity and suitability for regression analysis.</w:t>
      </w:r>
    </w:p>
    <w:p>
      <w:pPr>
        <w:shd w:val="clear" w:color="auto" w:fill="FFFFFF"/>
        <w:spacing w:before="100" w:beforeAutospacing="1" w:after="100" w:afterAutospacing="1" w:line="240" w:lineRule="auto"/>
        <w:rPr>
          <w:i/>
          <w:color w:val="0D0D0D"/>
          <w:szCs w:val="24"/>
        </w:rPr>
      </w:pPr>
      <w:r>
        <w:rPr>
          <w:b/>
          <w:i/>
          <w:color w:val="0D0D0D"/>
          <w:szCs w:val="24"/>
        </w:rPr>
        <w:t>Table 4 Correlation Matrix sociation among the variables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1073"/>
        <w:gridCol w:w="1691"/>
        <w:gridCol w:w="1711"/>
        <w:gridCol w:w="1177"/>
        <w:gridCol w:w="2485"/>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line="240" w:lineRule="auto"/>
              <w:jc w:val="center"/>
              <w:rPr>
                <w:b/>
                <w:bCs/>
                <w:color w:val="0D0D0D"/>
                <w:szCs w:val="24"/>
              </w:rPr>
            </w:pPr>
            <w:r>
              <w:rPr>
                <w:b/>
                <w:bCs/>
                <w:color w:val="0D0D0D"/>
                <w:szCs w:val="24"/>
              </w:rPr>
              <w:t>Variables</w:t>
            </w:r>
          </w:p>
        </w:tc>
        <w:tc>
          <w:tcPr>
            <w:tcW w:w="0" w:type="auto"/>
          </w:tcPr>
          <w:p>
            <w:pPr>
              <w:spacing w:before="0" w:line="240" w:lineRule="auto"/>
              <w:jc w:val="center"/>
              <w:rPr>
                <w:b/>
                <w:bCs/>
                <w:color w:val="0D0D0D"/>
                <w:szCs w:val="24"/>
              </w:rPr>
            </w:pPr>
            <w:r>
              <w:rPr>
                <w:b/>
                <w:bCs/>
                <w:color w:val="0D0D0D"/>
                <w:szCs w:val="24"/>
              </w:rPr>
              <w:t>Growth</w:t>
            </w:r>
          </w:p>
        </w:tc>
        <w:tc>
          <w:tcPr>
            <w:tcW w:w="0" w:type="auto"/>
          </w:tcPr>
          <w:p>
            <w:pPr>
              <w:spacing w:before="0" w:line="240" w:lineRule="auto"/>
              <w:jc w:val="center"/>
              <w:rPr>
                <w:b/>
                <w:bCs/>
                <w:color w:val="0D0D0D"/>
                <w:szCs w:val="24"/>
              </w:rPr>
            </w:pPr>
            <w:r>
              <w:rPr>
                <w:b/>
                <w:bCs/>
                <w:color w:val="0D0D0D"/>
                <w:szCs w:val="24"/>
              </w:rPr>
              <w:t>Equity Capital</w:t>
            </w:r>
          </w:p>
        </w:tc>
        <w:tc>
          <w:tcPr>
            <w:tcW w:w="0" w:type="auto"/>
          </w:tcPr>
          <w:p>
            <w:pPr>
              <w:spacing w:before="0" w:line="240" w:lineRule="auto"/>
              <w:jc w:val="center"/>
              <w:rPr>
                <w:b/>
                <w:bCs/>
                <w:color w:val="0D0D0D"/>
                <w:szCs w:val="24"/>
              </w:rPr>
            </w:pPr>
            <w:r>
              <w:rPr>
                <w:b/>
                <w:bCs/>
                <w:color w:val="0D0D0D"/>
                <w:szCs w:val="24"/>
              </w:rPr>
              <w:t>Firm Leverage</w:t>
            </w:r>
          </w:p>
        </w:tc>
        <w:tc>
          <w:tcPr>
            <w:tcW w:w="0" w:type="auto"/>
          </w:tcPr>
          <w:p>
            <w:pPr>
              <w:spacing w:before="0" w:line="240" w:lineRule="auto"/>
              <w:jc w:val="center"/>
              <w:rPr>
                <w:b/>
                <w:bCs/>
                <w:color w:val="0D0D0D"/>
                <w:szCs w:val="24"/>
              </w:rPr>
            </w:pPr>
            <w:r>
              <w:rPr>
                <w:b/>
                <w:bCs/>
                <w:color w:val="0D0D0D"/>
                <w:szCs w:val="24"/>
              </w:rPr>
              <w:t>Liquidity</w:t>
            </w:r>
          </w:p>
        </w:tc>
        <w:tc>
          <w:tcPr>
            <w:tcW w:w="0" w:type="auto"/>
          </w:tcPr>
          <w:p>
            <w:pPr>
              <w:spacing w:before="0" w:line="240" w:lineRule="auto"/>
              <w:jc w:val="center"/>
              <w:rPr>
                <w:b/>
                <w:bCs/>
                <w:color w:val="0D0D0D"/>
                <w:szCs w:val="24"/>
              </w:rPr>
            </w:pPr>
            <w:r>
              <w:rPr>
                <w:b/>
                <w:bCs/>
                <w:color w:val="0D0D0D"/>
                <w:szCs w:val="24"/>
              </w:rPr>
              <w:t>Operational Efficiency</w:t>
            </w:r>
          </w:p>
        </w:tc>
        <w:tc>
          <w:tcPr>
            <w:tcW w:w="0" w:type="auto"/>
          </w:tcPr>
          <w:p>
            <w:pPr>
              <w:spacing w:before="0" w:line="240" w:lineRule="auto"/>
              <w:jc w:val="center"/>
              <w:rPr>
                <w:b/>
                <w:bCs/>
                <w:color w:val="0D0D0D"/>
                <w:szCs w:val="24"/>
              </w:rPr>
            </w:pPr>
            <w:r>
              <w:rPr>
                <w:b/>
                <w:bCs/>
                <w:color w:val="0D0D0D"/>
                <w:szCs w:val="24"/>
              </w:rPr>
              <w:t>GDP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line="240" w:lineRule="auto"/>
              <w:jc w:val="left"/>
              <w:rPr>
                <w:color w:val="0D0D0D"/>
                <w:szCs w:val="24"/>
              </w:rPr>
            </w:pPr>
            <w:r>
              <w:rPr>
                <w:color w:val="0D0D0D"/>
                <w:szCs w:val="24"/>
              </w:rPr>
              <w:t>Growth</w:t>
            </w:r>
          </w:p>
        </w:tc>
        <w:tc>
          <w:tcPr>
            <w:tcW w:w="0" w:type="auto"/>
          </w:tcPr>
          <w:p>
            <w:pPr>
              <w:spacing w:before="0" w:line="240" w:lineRule="auto"/>
              <w:jc w:val="left"/>
              <w:rPr>
                <w:color w:val="0D0D0D"/>
                <w:szCs w:val="24"/>
              </w:rPr>
            </w:pPr>
            <w:r>
              <w:rPr>
                <w:color w:val="0D0D0D"/>
                <w:szCs w:val="24"/>
              </w:rPr>
              <w:t>1.000</w:t>
            </w:r>
          </w:p>
        </w:tc>
        <w:tc>
          <w:tcPr>
            <w:tcW w:w="0" w:type="auto"/>
          </w:tcPr>
          <w:p>
            <w:pPr>
              <w:spacing w:before="0" w:line="240" w:lineRule="auto"/>
              <w:jc w:val="left"/>
              <w:rPr>
                <w:color w:val="0D0D0D"/>
                <w:szCs w:val="24"/>
              </w:rPr>
            </w:pPr>
          </w:p>
        </w:tc>
        <w:tc>
          <w:tcPr>
            <w:tcW w:w="0" w:type="auto"/>
          </w:tcPr>
          <w:p>
            <w:pPr>
              <w:spacing w:before="0" w:line="240" w:lineRule="auto"/>
              <w:jc w:val="left"/>
              <w:rPr>
                <w:szCs w:val="24"/>
              </w:rPr>
            </w:pPr>
          </w:p>
        </w:tc>
        <w:tc>
          <w:tcPr>
            <w:tcW w:w="0" w:type="auto"/>
          </w:tcPr>
          <w:p>
            <w:pPr>
              <w:spacing w:before="0" w:line="240" w:lineRule="auto"/>
              <w:jc w:val="left"/>
              <w:rPr>
                <w:szCs w:val="24"/>
              </w:rPr>
            </w:pPr>
          </w:p>
        </w:tc>
        <w:tc>
          <w:tcPr>
            <w:tcW w:w="0" w:type="auto"/>
          </w:tcPr>
          <w:p>
            <w:pPr>
              <w:spacing w:before="0" w:line="240" w:lineRule="auto"/>
              <w:jc w:val="left"/>
              <w:rPr>
                <w:szCs w:val="24"/>
              </w:rPr>
            </w:pPr>
          </w:p>
        </w:tc>
        <w:tc>
          <w:tcPr>
            <w:tcW w:w="0" w:type="auto"/>
          </w:tcPr>
          <w:p>
            <w:pPr>
              <w:spacing w:before="0" w:line="240" w:lineRule="auto"/>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spacing w:before="0" w:line="240" w:lineRule="auto"/>
              <w:jc w:val="left"/>
              <w:rPr>
                <w:color w:val="0D0D0D"/>
                <w:szCs w:val="24"/>
              </w:rPr>
            </w:pPr>
            <w:r>
              <w:rPr>
                <w:color w:val="0D0D0D"/>
                <w:szCs w:val="24"/>
              </w:rPr>
              <w:t>Equity Capital</w:t>
            </w:r>
          </w:p>
        </w:tc>
        <w:tc>
          <w:tcPr>
            <w:tcW w:w="0" w:type="auto"/>
          </w:tcPr>
          <w:p>
            <w:pPr>
              <w:spacing w:before="0" w:line="240" w:lineRule="auto"/>
              <w:jc w:val="left"/>
              <w:rPr>
                <w:color w:val="0D0D0D"/>
                <w:szCs w:val="24"/>
              </w:rPr>
            </w:pPr>
            <w:r>
              <w:rPr>
                <w:color w:val="0D0D0D"/>
                <w:szCs w:val="24"/>
              </w:rPr>
              <w:t>0.612**</w:t>
            </w:r>
          </w:p>
        </w:tc>
        <w:tc>
          <w:tcPr>
            <w:tcW w:w="0" w:type="auto"/>
          </w:tcPr>
          <w:p>
            <w:pPr>
              <w:spacing w:before="0" w:line="240" w:lineRule="auto"/>
              <w:jc w:val="left"/>
              <w:rPr>
                <w:color w:val="0D0D0D"/>
                <w:szCs w:val="24"/>
              </w:rPr>
            </w:pPr>
            <w:r>
              <w:rPr>
                <w:color w:val="0D0D0D"/>
                <w:szCs w:val="24"/>
              </w:rPr>
              <w:t>1.000</w:t>
            </w:r>
          </w:p>
        </w:tc>
        <w:tc>
          <w:tcPr>
            <w:tcW w:w="0" w:type="auto"/>
          </w:tcPr>
          <w:p>
            <w:pPr>
              <w:spacing w:before="0" w:line="240" w:lineRule="auto"/>
              <w:jc w:val="left"/>
              <w:rPr>
                <w:color w:val="0D0D0D"/>
                <w:szCs w:val="24"/>
              </w:rPr>
            </w:pPr>
          </w:p>
        </w:tc>
        <w:tc>
          <w:tcPr>
            <w:tcW w:w="0" w:type="auto"/>
          </w:tcPr>
          <w:p>
            <w:pPr>
              <w:spacing w:before="0" w:line="240" w:lineRule="auto"/>
              <w:jc w:val="left"/>
              <w:rPr>
                <w:szCs w:val="24"/>
              </w:rPr>
            </w:pPr>
          </w:p>
        </w:tc>
        <w:tc>
          <w:tcPr>
            <w:tcW w:w="0" w:type="auto"/>
          </w:tcPr>
          <w:p>
            <w:pPr>
              <w:spacing w:before="0" w:line="240" w:lineRule="auto"/>
              <w:jc w:val="left"/>
              <w:rPr>
                <w:szCs w:val="24"/>
              </w:rPr>
            </w:pPr>
          </w:p>
        </w:tc>
        <w:tc>
          <w:tcPr>
            <w:tcW w:w="0" w:type="auto"/>
          </w:tcPr>
          <w:p>
            <w:pPr>
              <w:spacing w:before="0" w:line="240" w:lineRule="auto"/>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line="240" w:lineRule="auto"/>
              <w:jc w:val="left"/>
              <w:rPr>
                <w:color w:val="0D0D0D"/>
                <w:szCs w:val="24"/>
              </w:rPr>
            </w:pPr>
            <w:r>
              <w:rPr>
                <w:color w:val="0D0D0D"/>
                <w:szCs w:val="24"/>
              </w:rPr>
              <w:t>Firm Leverage</w:t>
            </w:r>
          </w:p>
        </w:tc>
        <w:tc>
          <w:tcPr>
            <w:tcW w:w="0" w:type="auto"/>
          </w:tcPr>
          <w:p>
            <w:pPr>
              <w:spacing w:before="0" w:line="240" w:lineRule="auto"/>
              <w:jc w:val="left"/>
              <w:rPr>
                <w:color w:val="0D0D0D"/>
                <w:szCs w:val="24"/>
              </w:rPr>
            </w:pPr>
            <w:r>
              <w:rPr>
                <w:color w:val="0D0D0D"/>
                <w:szCs w:val="24"/>
              </w:rPr>
              <w:t>-0.428**</w:t>
            </w:r>
          </w:p>
        </w:tc>
        <w:tc>
          <w:tcPr>
            <w:tcW w:w="0" w:type="auto"/>
          </w:tcPr>
          <w:p>
            <w:pPr>
              <w:spacing w:before="0" w:line="240" w:lineRule="auto"/>
              <w:jc w:val="left"/>
              <w:rPr>
                <w:color w:val="0D0D0D"/>
                <w:szCs w:val="24"/>
              </w:rPr>
            </w:pPr>
            <w:r>
              <w:rPr>
                <w:color w:val="0D0D0D"/>
                <w:szCs w:val="24"/>
              </w:rPr>
              <w:t>-0.372**</w:t>
            </w:r>
          </w:p>
        </w:tc>
        <w:tc>
          <w:tcPr>
            <w:tcW w:w="0" w:type="auto"/>
          </w:tcPr>
          <w:p>
            <w:pPr>
              <w:spacing w:before="0" w:line="240" w:lineRule="auto"/>
              <w:jc w:val="left"/>
              <w:rPr>
                <w:color w:val="0D0D0D"/>
                <w:szCs w:val="24"/>
              </w:rPr>
            </w:pPr>
            <w:r>
              <w:rPr>
                <w:color w:val="0D0D0D"/>
                <w:szCs w:val="24"/>
              </w:rPr>
              <w:t>1.000</w:t>
            </w:r>
          </w:p>
        </w:tc>
        <w:tc>
          <w:tcPr>
            <w:tcW w:w="0" w:type="auto"/>
          </w:tcPr>
          <w:p>
            <w:pPr>
              <w:spacing w:before="0" w:line="240" w:lineRule="auto"/>
              <w:jc w:val="left"/>
              <w:rPr>
                <w:color w:val="0D0D0D"/>
                <w:szCs w:val="24"/>
              </w:rPr>
            </w:pPr>
          </w:p>
        </w:tc>
        <w:tc>
          <w:tcPr>
            <w:tcW w:w="0" w:type="auto"/>
          </w:tcPr>
          <w:p>
            <w:pPr>
              <w:spacing w:before="0" w:line="240" w:lineRule="auto"/>
              <w:jc w:val="left"/>
              <w:rPr>
                <w:szCs w:val="24"/>
              </w:rPr>
            </w:pPr>
          </w:p>
        </w:tc>
        <w:tc>
          <w:tcPr>
            <w:tcW w:w="0" w:type="auto"/>
          </w:tcPr>
          <w:p>
            <w:pPr>
              <w:spacing w:before="0" w:line="240" w:lineRule="auto"/>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line="240" w:lineRule="auto"/>
              <w:jc w:val="left"/>
              <w:rPr>
                <w:color w:val="0D0D0D"/>
                <w:szCs w:val="24"/>
              </w:rPr>
            </w:pPr>
            <w:r>
              <w:rPr>
                <w:color w:val="0D0D0D"/>
                <w:szCs w:val="24"/>
              </w:rPr>
              <w:t>Liquidity</w:t>
            </w:r>
          </w:p>
        </w:tc>
        <w:tc>
          <w:tcPr>
            <w:tcW w:w="0" w:type="auto"/>
          </w:tcPr>
          <w:p>
            <w:pPr>
              <w:spacing w:before="0" w:line="240" w:lineRule="auto"/>
              <w:jc w:val="left"/>
              <w:rPr>
                <w:color w:val="0D0D0D"/>
                <w:szCs w:val="24"/>
              </w:rPr>
            </w:pPr>
            <w:r>
              <w:rPr>
                <w:color w:val="0D0D0D"/>
                <w:szCs w:val="24"/>
              </w:rPr>
              <w:t>0.395**</w:t>
            </w:r>
          </w:p>
        </w:tc>
        <w:tc>
          <w:tcPr>
            <w:tcW w:w="0" w:type="auto"/>
          </w:tcPr>
          <w:p>
            <w:pPr>
              <w:spacing w:before="0" w:line="240" w:lineRule="auto"/>
              <w:jc w:val="left"/>
              <w:rPr>
                <w:color w:val="0D0D0D"/>
                <w:szCs w:val="24"/>
              </w:rPr>
            </w:pPr>
            <w:r>
              <w:rPr>
                <w:color w:val="0D0D0D"/>
                <w:szCs w:val="24"/>
              </w:rPr>
              <w:t>0.278**</w:t>
            </w:r>
          </w:p>
        </w:tc>
        <w:tc>
          <w:tcPr>
            <w:tcW w:w="0" w:type="auto"/>
          </w:tcPr>
          <w:p>
            <w:pPr>
              <w:spacing w:before="0" w:line="240" w:lineRule="auto"/>
              <w:jc w:val="left"/>
              <w:rPr>
                <w:color w:val="0D0D0D"/>
                <w:szCs w:val="24"/>
              </w:rPr>
            </w:pPr>
            <w:r>
              <w:rPr>
                <w:color w:val="0D0D0D"/>
                <w:szCs w:val="24"/>
              </w:rPr>
              <w:t>-0.296**</w:t>
            </w:r>
          </w:p>
        </w:tc>
        <w:tc>
          <w:tcPr>
            <w:tcW w:w="0" w:type="auto"/>
          </w:tcPr>
          <w:p>
            <w:pPr>
              <w:spacing w:before="0" w:line="240" w:lineRule="auto"/>
              <w:jc w:val="left"/>
              <w:rPr>
                <w:color w:val="0D0D0D"/>
                <w:szCs w:val="24"/>
              </w:rPr>
            </w:pPr>
            <w:r>
              <w:rPr>
                <w:color w:val="0D0D0D"/>
                <w:szCs w:val="24"/>
              </w:rPr>
              <w:t>1.000</w:t>
            </w:r>
          </w:p>
        </w:tc>
        <w:tc>
          <w:tcPr>
            <w:tcW w:w="0" w:type="auto"/>
          </w:tcPr>
          <w:p>
            <w:pPr>
              <w:spacing w:before="0" w:line="240" w:lineRule="auto"/>
              <w:jc w:val="left"/>
              <w:rPr>
                <w:color w:val="0D0D0D"/>
                <w:szCs w:val="24"/>
              </w:rPr>
            </w:pPr>
          </w:p>
        </w:tc>
        <w:tc>
          <w:tcPr>
            <w:tcW w:w="0" w:type="auto"/>
          </w:tcPr>
          <w:p>
            <w:pPr>
              <w:spacing w:before="0" w:line="240" w:lineRule="auto"/>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before="0" w:line="240" w:lineRule="auto"/>
              <w:jc w:val="left"/>
              <w:rPr>
                <w:color w:val="0D0D0D"/>
                <w:szCs w:val="24"/>
              </w:rPr>
            </w:pPr>
            <w:r>
              <w:rPr>
                <w:color w:val="0D0D0D"/>
                <w:szCs w:val="24"/>
              </w:rPr>
              <w:t>Operational Efficiency</w:t>
            </w:r>
          </w:p>
        </w:tc>
        <w:tc>
          <w:tcPr>
            <w:tcW w:w="0" w:type="auto"/>
          </w:tcPr>
          <w:p>
            <w:pPr>
              <w:spacing w:before="0" w:line="240" w:lineRule="auto"/>
              <w:jc w:val="left"/>
              <w:rPr>
                <w:color w:val="0D0D0D"/>
                <w:szCs w:val="24"/>
              </w:rPr>
            </w:pPr>
            <w:r>
              <w:rPr>
                <w:color w:val="0D0D0D"/>
                <w:szCs w:val="24"/>
              </w:rPr>
              <w:t>0.544**</w:t>
            </w:r>
          </w:p>
        </w:tc>
        <w:tc>
          <w:tcPr>
            <w:tcW w:w="0" w:type="auto"/>
          </w:tcPr>
          <w:p>
            <w:pPr>
              <w:spacing w:before="0" w:line="240" w:lineRule="auto"/>
              <w:jc w:val="left"/>
              <w:rPr>
                <w:color w:val="0D0D0D"/>
                <w:szCs w:val="24"/>
              </w:rPr>
            </w:pPr>
            <w:r>
              <w:rPr>
                <w:color w:val="0D0D0D"/>
                <w:szCs w:val="24"/>
              </w:rPr>
              <w:t>0.437**</w:t>
            </w:r>
          </w:p>
        </w:tc>
        <w:tc>
          <w:tcPr>
            <w:tcW w:w="0" w:type="auto"/>
          </w:tcPr>
          <w:p>
            <w:pPr>
              <w:spacing w:before="0" w:line="240" w:lineRule="auto"/>
              <w:jc w:val="left"/>
              <w:rPr>
                <w:color w:val="0D0D0D"/>
                <w:szCs w:val="24"/>
              </w:rPr>
            </w:pPr>
            <w:r>
              <w:rPr>
                <w:color w:val="0D0D0D"/>
                <w:szCs w:val="24"/>
              </w:rPr>
              <w:t>-0.331**</w:t>
            </w:r>
          </w:p>
        </w:tc>
        <w:tc>
          <w:tcPr>
            <w:tcW w:w="0" w:type="auto"/>
          </w:tcPr>
          <w:p>
            <w:pPr>
              <w:spacing w:before="0" w:line="240" w:lineRule="auto"/>
              <w:jc w:val="left"/>
              <w:rPr>
                <w:color w:val="0D0D0D"/>
                <w:szCs w:val="24"/>
              </w:rPr>
            </w:pPr>
            <w:r>
              <w:rPr>
                <w:color w:val="0D0D0D"/>
                <w:szCs w:val="24"/>
              </w:rPr>
              <w:t>0.416**</w:t>
            </w:r>
          </w:p>
        </w:tc>
        <w:tc>
          <w:tcPr>
            <w:tcW w:w="0" w:type="auto"/>
          </w:tcPr>
          <w:p>
            <w:pPr>
              <w:spacing w:before="0" w:line="240" w:lineRule="auto"/>
              <w:jc w:val="left"/>
              <w:rPr>
                <w:color w:val="0D0D0D"/>
                <w:szCs w:val="24"/>
              </w:rPr>
            </w:pPr>
            <w:r>
              <w:rPr>
                <w:color w:val="0D0D0D"/>
                <w:szCs w:val="24"/>
              </w:rPr>
              <w:t>1.000</w:t>
            </w:r>
          </w:p>
        </w:tc>
        <w:tc>
          <w:tcPr>
            <w:tcW w:w="0" w:type="auto"/>
          </w:tcPr>
          <w:p>
            <w:pPr>
              <w:spacing w:before="0" w:line="240" w:lineRule="auto"/>
              <w:jc w:val="left"/>
              <w:rPr>
                <w:color w:val="0D0D0D"/>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0" w:type="auto"/>
          </w:tcPr>
          <w:p>
            <w:pPr>
              <w:spacing w:before="0" w:line="240" w:lineRule="auto"/>
              <w:jc w:val="left"/>
              <w:rPr>
                <w:color w:val="0D0D0D"/>
                <w:szCs w:val="24"/>
              </w:rPr>
            </w:pPr>
            <w:r>
              <w:rPr>
                <w:color w:val="0D0D0D"/>
                <w:szCs w:val="24"/>
              </w:rPr>
              <w:t>GDP</w:t>
            </w:r>
          </w:p>
        </w:tc>
        <w:tc>
          <w:tcPr>
            <w:tcW w:w="0" w:type="auto"/>
          </w:tcPr>
          <w:p>
            <w:pPr>
              <w:spacing w:before="0" w:line="240" w:lineRule="auto"/>
              <w:jc w:val="left"/>
              <w:rPr>
                <w:color w:val="0D0D0D"/>
                <w:szCs w:val="24"/>
              </w:rPr>
            </w:pPr>
            <w:r>
              <w:rPr>
                <w:color w:val="0D0D0D"/>
                <w:szCs w:val="24"/>
              </w:rPr>
              <w:t>0.486**</w:t>
            </w:r>
          </w:p>
        </w:tc>
        <w:tc>
          <w:tcPr>
            <w:tcW w:w="0" w:type="auto"/>
          </w:tcPr>
          <w:p>
            <w:pPr>
              <w:spacing w:before="0" w:line="240" w:lineRule="auto"/>
              <w:jc w:val="left"/>
              <w:rPr>
                <w:color w:val="0D0D0D"/>
                <w:szCs w:val="24"/>
              </w:rPr>
            </w:pPr>
            <w:r>
              <w:rPr>
                <w:color w:val="0D0D0D"/>
                <w:szCs w:val="24"/>
              </w:rPr>
              <w:t>0.398**</w:t>
            </w:r>
          </w:p>
        </w:tc>
        <w:tc>
          <w:tcPr>
            <w:tcW w:w="0" w:type="auto"/>
          </w:tcPr>
          <w:p>
            <w:pPr>
              <w:spacing w:before="0" w:line="240" w:lineRule="auto"/>
              <w:jc w:val="left"/>
              <w:rPr>
                <w:color w:val="0D0D0D"/>
                <w:szCs w:val="24"/>
              </w:rPr>
            </w:pPr>
            <w:r>
              <w:rPr>
                <w:color w:val="0D0D0D"/>
                <w:szCs w:val="24"/>
              </w:rPr>
              <w:t>-0.285**</w:t>
            </w:r>
          </w:p>
        </w:tc>
        <w:tc>
          <w:tcPr>
            <w:tcW w:w="0" w:type="auto"/>
          </w:tcPr>
          <w:p>
            <w:pPr>
              <w:spacing w:before="0" w:line="240" w:lineRule="auto"/>
              <w:jc w:val="left"/>
              <w:rPr>
                <w:color w:val="0D0D0D"/>
                <w:szCs w:val="24"/>
              </w:rPr>
            </w:pPr>
            <w:r>
              <w:rPr>
                <w:color w:val="0D0D0D"/>
                <w:szCs w:val="24"/>
              </w:rPr>
              <w:t>0.371**</w:t>
            </w:r>
          </w:p>
        </w:tc>
        <w:tc>
          <w:tcPr>
            <w:tcW w:w="0" w:type="auto"/>
          </w:tcPr>
          <w:p>
            <w:pPr>
              <w:spacing w:before="0" w:line="240" w:lineRule="auto"/>
              <w:jc w:val="left"/>
              <w:rPr>
                <w:color w:val="0D0D0D"/>
                <w:szCs w:val="24"/>
              </w:rPr>
            </w:pPr>
            <w:r>
              <w:rPr>
                <w:color w:val="0D0D0D"/>
                <w:szCs w:val="24"/>
              </w:rPr>
              <w:t>0.452**</w:t>
            </w:r>
          </w:p>
        </w:tc>
        <w:tc>
          <w:tcPr>
            <w:tcW w:w="0" w:type="auto"/>
          </w:tcPr>
          <w:p>
            <w:pPr>
              <w:spacing w:before="0" w:line="240" w:lineRule="auto"/>
              <w:jc w:val="left"/>
              <w:rPr>
                <w:color w:val="0D0D0D"/>
                <w:szCs w:val="24"/>
              </w:rPr>
            </w:pPr>
            <w:r>
              <w:rPr>
                <w:color w:val="0D0D0D"/>
                <w:szCs w:val="24"/>
              </w:rPr>
              <w:t>1.000</w:t>
            </w:r>
          </w:p>
        </w:tc>
      </w:tr>
    </w:tbl>
    <w:p>
      <w:pPr>
        <w:shd w:val="clear" w:color="auto" w:fill="FFFFFF"/>
        <w:spacing w:before="100" w:beforeAutospacing="1" w:after="100" w:afterAutospacing="1"/>
        <w:rPr>
          <w:color w:val="0D0D0D"/>
          <w:szCs w:val="24"/>
        </w:rPr>
      </w:pPr>
      <w:r>
        <w:rPr>
          <w:b/>
          <w:bCs/>
          <w:color w:val="0D0D0D"/>
          <w:szCs w:val="24"/>
        </w:rPr>
        <w:t>Note:</w:t>
      </w:r>
      <w:r>
        <w:rPr>
          <w:color w:val="0D0D0D"/>
          <w:szCs w:val="24"/>
        </w:rPr>
        <w:t xml:space="preserve"> </w:t>
      </w:r>
      <w:r>
        <w:rPr>
          <w:b/>
          <w:bCs/>
          <w:color w:val="0D0D0D"/>
          <w:szCs w:val="24"/>
        </w:rPr>
        <w:t>Correlation is significant at the 0.01 level (2-tailed)</w:t>
      </w:r>
      <w:r>
        <w:rPr>
          <w:color w:val="0D0D0D"/>
          <w:szCs w:val="24"/>
        </w:rPr>
        <w:br w:type="textWrapping"/>
      </w:r>
      <w:r>
        <w:rPr>
          <w:i/>
          <w:iCs/>
          <w:color w:val="0D0D0D"/>
          <w:szCs w:val="24"/>
        </w:rPr>
        <w:t>Source: Study Data (2025)</w:t>
      </w:r>
    </w:p>
    <w:p>
      <w:pPr>
        <w:spacing w:before="0" w:line="240" w:lineRule="auto"/>
        <w:rPr>
          <w:b/>
          <w:i/>
          <w:szCs w:val="24"/>
        </w:rPr>
      </w:pPr>
      <w:r>
        <w:rPr>
          <w:b/>
          <w:i/>
          <w:szCs w:val="24"/>
        </w:rPr>
        <w:t>Hypotheses Testing</w:t>
      </w:r>
      <w:r>
        <w:commentReference w:id="23"/>
      </w:r>
    </w:p>
    <w:p>
      <w:pPr>
        <w:spacing w:before="0" w:line="240" w:lineRule="auto"/>
        <w:rPr>
          <w:szCs w:val="24"/>
        </w:rPr>
      </w:pPr>
    </w:p>
    <w:p>
      <w:pPr>
        <w:spacing w:before="0" w:line="240" w:lineRule="auto"/>
        <w:rPr>
          <w:szCs w:val="24"/>
        </w:rPr>
      </w:pPr>
      <w:r>
        <w:rPr>
          <w:szCs w:val="24"/>
        </w:rPr>
        <w:t>The study tested hypotheses on whether equity capital, firm leverage, liquidity, operational efficiency, and Gross Domestic Product (GDP) significantly influence the growth of general insurance companies in Kenya. The results showed that equity capital positively and significantly drives growth, leading to the rejection of the related null hypothesis. This supports existing evidence that well-capitalized insurers are better positioned to underwrite risks and expand operations. Firm leverage demonstrated a significant negative effect on growth, indicating that heavy reliance on debt constrains expansion, although moderate leverage may offer financial flexibility in some contexts. Liquidity was also found to significantly enhance growth, as liquid insurers more effectively meet policyholder obligations and invest in profitable opportunities. Operational efficiency exhibited a significant negative relationship with growth, suggesting that inefficiencies in underwriting, claims handling, and cost management suppress performance. Finally, GDP was shown to positively moderate the relationship between firm characteristics and growth, implying that favorable macroeconomic conditions strengthen the effects of capital structure, liquidity, and efficiency on performance. Overall, all null hypotheses were rejected, confirming that both firm-level and macroeconomic factors strongly shape growth outcomes in Kenya’s general insurance industry.</w:t>
      </w:r>
    </w:p>
    <w:p>
      <w:pPr>
        <w:spacing w:before="0" w:line="240" w:lineRule="auto"/>
        <w:rPr>
          <w:b/>
          <w:bCs/>
          <w:color w:val="000000" w:themeColor="text1"/>
          <w:sz w:val="28"/>
          <w:szCs w:val="24"/>
          <w14:textFill>
            <w14:solidFill>
              <w14:schemeClr w14:val="tx1"/>
            </w14:solidFill>
          </w14:textFill>
        </w:rPr>
      </w:pPr>
    </w:p>
    <w:p>
      <w:pPr>
        <w:shd w:val="clear" w:color="auto" w:fill="FFFFFF"/>
        <w:spacing w:line="240" w:lineRule="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5.0 CONCLUSIONS</w:t>
      </w:r>
      <w:r>
        <w:rPr>
          <w:rFonts w:hint="default" w:eastAsia="Times New Roman" w:cs="Times New Roman"/>
          <w:b/>
          <w:bCs/>
          <w:color w:val="000000" w:themeColor="text1"/>
          <w:sz w:val="28"/>
          <w:szCs w:val="28"/>
          <w:lang w:val="en-US"/>
          <w14:textFill>
            <w14:solidFill>
              <w14:schemeClr w14:val="tx1"/>
            </w14:solidFill>
          </w14:textFill>
        </w:rPr>
        <w:t xml:space="preserve"> </w:t>
      </w:r>
      <w:r>
        <w:commentReference w:id="24"/>
      </w:r>
      <w:r>
        <w:rPr>
          <w:rFonts w:eastAsia="Times New Roman" w:cs="Times New Roman"/>
          <w:b/>
          <w:bCs/>
          <w:color w:val="000000" w:themeColor="text1"/>
          <w:sz w:val="28"/>
          <w:szCs w:val="28"/>
          <w14:textFill>
            <w14:solidFill>
              <w14:schemeClr w14:val="tx1"/>
            </w14:solidFill>
          </w14:textFill>
        </w:rPr>
        <w:t xml:space="preserve"> </w:t>
      </w:r>
    </w:p>
    <w:p>
      <w:pPr>
        <w:spacing w:line="240" w:lineRule="auto"/>
        <w:rPr>
          <w:rFonts w:cs="Times New Roman"/>
          <w:color w:val="000000" w:themeColor="text1"/>
          <w:szCs w:val="24"/>
          <w14:textFill>
            <w14:solidFill>
              <w14:schemeClr w14:val="tx1"/>
            </w14:solidFill>
          </w14:textFill>
        </w:rPr>
      </w:pPr>
      <w:r>
        <w:commentReference w:id="25"/>
      </w:r>
    </w:p>
    <w:p>
      <w:pPr>
        <w:spacing w:line="240" w:lineRule="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 xml:space="preserve">The study concludes that equity capital is the leading driver of growth among general insurance companies in Kenya. Firms with strong equity bases are better positioned to finance operations, invest in new products, and strengthen risk management without incurring the costs and risks associated with external borrowing. Leverage showed a mixed influence: while moderate debt can support expansion, excessive reliance on borrowing heightens financial vulnerability and limits strategic flexibility. Maintaining an optimal balance between debt and equity is therefore essential for sustainable growth. Liquidity also emerged as a critical determinant, as firms with adequate liquid resources can meet short-term obligations, sustain operations, and pursue investment opportunities, whereas weak liquidity constrains growth. Additionally, operational efficiency and macroeconomic conditions, particularly GDP performance, significantly shape growth outcomes. Efficient operations enhance profitability and competitiveness, while favorable economic conditions strengthen firm-level advantages, underscoring the importance of integrating internal capabilities with external economic realities. </w:t>
      </w:r>
    </w:p>
    <w:p>
      <w:pPr>
        <w:spacing w:line="240" w:lineRule="auto"/>
        <w:rPr>
          <w:rFonts w:cs="Times New Roman"/>
          <w:b/>
          <w:bCs/>
          <w:color w:val="000000" w:themeColor="text1"/>
          <w:sz w:val="28"/>
          <w:szCs w:val="28"/>
          <w14:textFill>
            <w14:solidFill>
              <w14:schemeClr w14:val="tx1"/>
            </w14:solidFill>
          </w14:textFill>
        </w:rPr>
      </w:pPr>
      <w:commentRangeStart w:id="26"/>
      <w:r>
        <w:rPr>
          <w:rFonts w:cs="Times New Roman"/>
          <w:b/>
          <w:bCs/>
          <w:color w:val="000000" w:themeColor="text1"/>
          <w:sz w:val="28"/>
          <w:szCs w:val="28"/>
          <w14:textFill>
            <w14:solidFill>
              <w14:schemeClr w14:val="tx1"/>
            </w14:solidFill>
          </w14:textFill>
        </w:rPr>
        <w:t>6.0</w:t>
      </w:r>
      <w:commentRangeEnd w:id="26"/>
      <w:r>
        <w:commentReference w:id="26"/>
      </w:r>
      <w:r>
        <w:rPr>
          <w:rFonts w:cs="Times New Roman"/>
          <w:b/>
          <w:bCs/>
          <w:color w:val="000000" w:themeColor="text1"/>
          <w:sz w:val="28"/>
          <w:szCs w:val="28"/>
          <w14:textFill>
            <w14:solidFill>
              <w14:schemeClr w14:val="tx1"/>
            </w14:solidFill>
          </w14:textFill>
        </w:rPr>
        <w:t xml:space="preserve"> RECOMMENDATIONS</w:t>
      </w:r>
    </w:p>
    <w:p>
      <w:pPr>
        <w:spacing w:before="0" w:line="240" w:lineRule="auto"/>
      </w:pPr>
      <w:r>
        <w:t>The recommendations emphasize the need for Kenyan insurance companies to strengthen their financial foundations by attracting investors and prioritizing retained earnings. Enhancing equity positions would enable firms to expand sales, develop innovative products, and adopt advanced risk-management practices while reducing reliance on external borrowing. Maintaining an optimal balance between debt and equity is essential; moderate leverage can support growth, but excessive debt increases financial vulnerability. Firms should therefore monitor debt ratios carefully and adopt prudent borrowing strategies that foster growth without undermining stability.</w:t>
      </w:r>
    </w:p>
    <w:p>
      <w:pPr>
        <w:spacing w:before="0" w:line="240" w:lineRule="auto"/>
      </w:pPr>
    </w:p>
    <w:p>
      <w:pPr>
        <w:spacing w:before="0" w:line="240" w:lineRule="auto"/>
      </w:pPr>
      <w:r>
        <w:t>Effective liquidity management is also vital for uninterrupted operations and strategic investment. Companies should closely track cash flows, receivables, and payables to ensure sufficient liquidity for short-term obligations, unexpected needs, and emerging opportunities, thereby enhancing competitiveness. Additionally, insurers must improve operational efficiency by investing in technology, process optimization, and cost management. Aligning business expansion and investment decisions with macroeconomic trends can further support sustainable growth.</w:t>
      </w:r>
    </w:p>
    <w:p>
      <w:pPr>
        <w:spacing w:before="0" w:line="240" w:lineRule="auto"/>
      </w:pPr>
    </w:p>
    <w:p>
      <w:pPr>
        <w:spacing w:before="0" w:line="240" w:lineRule="auto"/>
      </w:pPr>
      <w:r>
        <w:t>Future research should examine internal drivers of performance, including governance practices, organizational culture, innovation capacity, and human capital. Longitudinal studies are recommended to assess growth dynamics across economic cycles. Comparative analyses between life and general insurance, as well as cross-national studies, could yield insights to guide policies tailored to specific market segments and broader global competitiveness.</w:t>
      </w:r>
    </w:p>
    <w:p>
      <w:pPr>
        <w:spacing w:before="0" w:after="160" w:line="259" w:lineRule="auto"/>
        <w:jc w:val="left"/>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br w:type="page"/>
      </w:r>
    </w:p>
    <w:p>
      <w:pPr>
        <w:shd w:val="clear" w:color="auto" w:fill="FFFFFF"/>
        <w:spacing w:line="240" w:lineRule="auto"/>
        <w:rPr>
          <w:rFonts w:eastAsia="Times New Roman" w:cs="Times New Roman"/>
          <w:b/>
          <w:bCs/>
          <w:color w:val="000000" w:themeColor="text1"/>
          <w:sz w:val="28"/>
          <w:szCs w:val="28"/>
          <w14:textFill>
            <w14:solidFill>
              <w14:schemeClr w14:val="tx1"/>
            </w14:solidFill>
          </w14:textFill>
        </w:rPr>
      </w:pPr>
      <w:r>
        <w:rPr>
          <w:rFonts w:eastAsia="Times New Roman" w:cs="Times New Roman"/>
          <w:b/>
          <w:bCs/>
          <w:color w:val="000000" w:themeColor="text1"/>
          <w:sz w:val="28"/>
          <w:szCs w:val="28"/>
          <w14:textFill>
            <w14:solidFill>
              <w14:schemeClr w14:val="tx1"/>
            </w14:solidFill>
          </w14:textFill>
        </w:rPr>
        <w:t>REFERENCES</w:t>
      </w:r>
      <w:r>
        <w:commentReference w:id="27"/>
      </w:r>
    </w:p>
    <w:p>
      <w:pPr>
        <w:pStyle w:val="16"/>
        <w:spacing w:before="0"/>
        <w:ind w:left="720" w:hanging="720"/>
        <w:rPr>
          <w:rFonts w:eastAsia="Calibri"/>
          <w:color w:val="000000"/>
          <w14:ligatures w14:val="standardContextual"/>
        </w:rPr>
      </w:pPr>
      <w:commentRangeStart w:id="28"/>
      <w:r>
        <w:rPr>
          <w:rFonts w:eastAsia="Calibri"/>
          <w:color w:val="000000"/>
          <w14:ligatures w14:val="standardContextual"/>
        </w:rPr>
        <w:t>Abass, O. A., Dansu, S. F. and Oyetayo, Y. A. (2021). On the Technical Characteristics of Insurance Operations and Financial Performance of Non-life Insurance Companies in Nigeria. AUDOE, 17(6), 189-205</w:t>
      </w:r>
    </w:p>
    <w:p>
      <w:pPr>
        <w:pStyle w:val="16"/>
        <w:spacing w:before="0"/>
        <w:ind w:left="720" w:hanging="720"/>
        <w:rPr>
          <w:rFonts w:eastAsia="Calibri"/>
          <w:color w:val="000000"/>
          <w14:ligatures w14:val="standardContextual"/>
        </w:rPr>
      </w:pPr>
      <w:r>
        <w:rPr>
          <w:rFonts w:eastAsia="Calibri"/>
          <w:color w:val="000000"/>
          <w14:ligatures w14:val="standardContextual"/>
        </w:rPr>
        <w:t>Abass, O. A., Dansu, S. F., &amp; Oyetayo, Y. A. (2022). On the Technical Characteristics of Insurance Operations and Financial Performance of Non-life Insurance Companies in Nigeria. Retrieved 21st April 2025 from https://dj.univ-danubius.ro/index.php/JAM/article/view/1444/1818</w:t>
      </w:r>
      <w:commentRangeEnd w:id="28"/>
      <w:r>
        <w:commentReference w:id="28"/>
      </w:r>
    </w:p>
    <w:p>
      <w:pPr>
        <w:pStyle w:val="16"/>
        <w:spacing w:before="0"/>
        <w:ind w:left="720" w:hanging="720"/>
        <w:rPr>
          <w:rFonts w:eastAsia="Calibri"/>
          <w:color w:val="000000"/>
          <w14:ligatures w14:val="standardContextual"/>
        </w:rPr>
      </w:pPr>
      <w:r>
        <w:rPr>
          <w:rFonts w:eastAsia="Calibri"/>
          <w:color w:val="000000"/>
          <w14:ligatures w14:val="standardContextual"/>
        </w:rPr>
        <w:t>Ackermann, N. (2023). what is equity capital? Retrieved https://study.com/academy/lesson/debt-capital-vs-equity-capital.html</w:t>
      </w:r>
    </w:p>
    <w:p>
      <w:pPr>
        <w:pStyle w:val="16"/>
        <w:spacing w:before="0"/>
        <w:ind w:left="720" w:hanging="720"/>
        <w:rPr>
          <w:rFonts w:eastAsia="Calibri"/>
          <w:color w:val="000000"/>
          <w14:ligatures w14:val="standardContextual"/>
        </w:rPr>
      </w:pPr>
      <w:r>
        <w:rPr>
          <w:rFonts w:eastAsia="Calibri"/>
          <w:color w:val="000000"/>
          <w14:ligatures w14:val="standardContextual"/>
        </w:rPr>
        <w:t>Alemu, K. S., &amp; Negasa, B. D. (2019). Determinants of financial performance of commercial banks in Ethiopia. Journal of Business Management and Economics, 3(11), 33-40. doi:10.15520/jbme.2019</w:t>
      </w:r>
    </w:p>
    <w:p>
      <w:pPr>
        <w:pStyle w:val="16"/>
        <w:spacing w:before="0"/>
        <w:ind w:left="720" w:hanging="720"/>
        <w:rPr>
          <w:rFonts w:eastAsia="Calibri"/>
          <w:color w:val="000000"/>
          <w14:ligatures w14:val="standardContextual"/>
        </w:rPr>
      </w:pPr>
      <w:commentRangeStart w:id="29"/>
      <w:r>
        <w:rPr>
          <w:rFonts w:eastAsia="Calibri"/>
          <w:color w:val="000000"/>
          <w14:ligatures w14:val="standardContextual"/>
        </w:rPr>
        <w:t>Amit</w:t>
      </w:r>
      <w:commentRangeEnd w:id="29"/>
      <w:r>
        <w:commentReference w:id="29"/>
      </w:r>
      <w:r>
        <w:rPr>
          <w:rFonts w:eastAsia="Calibri"/>
          <w:color w:val="000000"/>
          <w14:ligatures w14:val="standardContextual"/>
        </w:rPr>
        <w:t>, R. &amp; Schoemaker, P. (1993). Strategic assets and organizational rent. Strategic Management Journal, 14(1), 33-46.</w:t>
      </w:r>
    </w:p>
    <w:p>
      <w:pPr>
        <w:pStyle w:val="16"/>
        <w:spacing w:before="0"/>
        <w:ind w:left="720" w:hanging="720"/>
        <w:rPr>
          <w:rFonts w:eastAsia="Calibri"/>
          <w:color w:val="000000"/>
          <w14:ligatures w14:val="standardContextual"/>
        </w:rPr>
      </w:pPr>
      <w:r>
        <w:rPr>
          <w:rFonts w:eastAsia="Calibri"/>
          <w:color w:val="000000"/>
          <w14:ligatures w14:val="standardContextual"/>
        </w:rPr>
        <w:t>Arhinful, R., &amp; Radmehr, M. (2023). The Impact of Financial Leverage on the Financial Performance of the Firms Listed on the Tokyo Stock Exchange. SAGE Open, 13(4), 4-9</w:t>
      </w:r>
    </w:p>
    <w:p>
      <w:pPr>
        <w:pStyle w:val="16"/>
        <w:spacing w:before="0"/>
        <w:ind w:left="720" w:hanging="720"/>
        <w:rPr>
          <w:rFonts w:eastAsia="Calibri"/>
          <w:color w:val="000000"/>
          <w14:ligatures w14:val="standardContextual"/>
        </w:rPr>
      </w:pPr>
      <w:r>
        <w:rPr>
          <w:rFonts w:eastAsia="Calibri"/>
          <w:color w:val="000000"/>
          <w14:ligatures w14:val="standardContextual"/>
        </w:rPr>
        <w:t>Association of Kenyan Insurers (2019). Insurance Industry Annual Report 2019. Nairobi: Kenya: Author</w:t>
      </w:r>
    </w:p>
    <w:p>
      <w:pPr>
        <w:pStyle w:val="16"/>
        <w:spacing w:before="0"/>
        <w:ind w:left="720" w:hanging="720"/>
        <w:rPr>
          <w:rFonts w:eastAsia="Calibri"/>
          <w:color w:val="000000"/>
          <w14:ligatures w14:val="standardContextual"/>
        </w:rPr>
      </w:pPr>
      <w:r>
        <w:commentReference w:id="30"/>
      </w:r>
      <w:r>
        <w:rPr>
          <w:rFonts w:eastAsia="Calibri"/>
          <w:color w:val="000000"/>
          <w14:ligatures w14:val="standardContextual"/>
        </w:rPr>
        <w:t>Balasundaram and Avulakunta, I. D. (2023). Human Growth and Development. Retrieved 9th February from https://pubmed.ncbi.nlm.nih.gov/33620844/</w:t>
      </w:r>
    </w:p>
    <w:p>
      <w:pPr>
        <w:pStyle w:val="16"/>
        <w:spacing w:before="0"/>
        <w:ind w:left="720" w:hanging="720"/>
        <w:rPr>
          <w:rFonts w:eastAsia="Calibri"/>
          <w:color w:val="000000"/>
          <w14:ligatures w14:val="standardContextual"/>
        </w:rPr>
      </w:pPr>
      <w:r>
        <w:rPr>
          <w:rFonts w:eastAsia="Calibri"/>
          <w:color w:val="000000"/>
          <w14:ligatures w14:val="standardContextual"/>
        </w:rPr>
        <w:t>Barney, J. B. &amp; Arikan A. M. (2001). The resource-based view: origins and implications. In The Blackwell Handbook of Strategic Management, Hitt MA, Freeman RE, Harrison JS (eds). Blackwell: Oxford, UK; 124–188.</w:t>
      </w:r>
    </w:p>
    <w:p>
      <w:pPr>
        <w:pStyle w:val="16"/>
        <w:spacing w:before="0"/>
        <w:ind w:left="720" w:hanging="720"/>
        <w:rPr>
          <w:rFonts w:eastAsia="Calibri"/>
          <w:color w:val="000000"/>
          <w14:ligatures w14:val="standardContextual"/>
        </w:rPr>
      </w:pPr>
      <w:r>
        <w:rPr>
          <w:rFonts w:eastAsia="Calibri"/>
          <w:color w:val="000000"/>
          <w14:ligatures w14:val="standardContextual"/>
        </w:rPr>
        <w:t>Barney, J. B. (1991). Firm resources and sustainable competitive advantage. Journal of Management, 35(11), 930-939.</w:t>
      </w:r>
    </w:p>
    <w:p>
      <w:pPr>
        <w:pStyle w:val="16"/>
        <w:spacing w:before="0"/>
        <w:ind w:left="720" w:hanging="720"/>
        <w:rPr>
          <w:rFonts w:eastAsia="Calibri"/>
          <w:color w:val="000000"/>
          <w14:ligatures w14:val="standardContextual"/>
        </w:rPr>
      </w:pPr>
      <w:r>
        <w:rPr>
          <w:rFonts w:eastAsia="Calibri"/>
          <w:color w:val="000000"/>
          <w14:ligatures w14:val="standardContextual"/>
        </w:rPr>
        <w:t>Bealing, W., Riordan, D., and Riordan, M. (2011). Institutional theory in college restructuring: Myth or reality? Journal of Case Studies in Education, 1(1), 1–13.</w:t>
      </w:r>
    </w:p>
    <w:p>
      <w:pPr>
        <w:pStyle w:val="16"/>
        <w:spacing w:before="0"/>
        <w:ind w:left="720" w:hanging="720"/>
        <w:rPr>
          <w:rFonts w:eastAsia="Calibri"/>
          <w:color w:val="000000"/>
          <w14:ligatures w14:val="standardContextual"/>
        </w:rPr>
      </w:pPr>
      <w:r>
        <w:rPr>
          <w:rFonts w:eastAsia="Calibri"/>
          <w:color w:val="000000"/>
          <w14:ligatures w14:val="standardContextual"/>
        </w:rPr>
        <w:t>Boon, C., Paauwe, J., Boselie, P., &amp; Hartog, D.D. (2009). Institutional pressures and HRM: Developing institutional fit. Personnel Review, 38(5), 492-508.</w:t>
      </w:r>
    </w:p>
    <w:p>
      <w:pPr>
        <w:pStyle w:val="16"/>
        <w:spacing w:before="0"/>
        <w:ind w:left="720" w:hanging="720"/>
        <w:rPr>
          <w:rFonts w:eastAsia="Calibri"/>
          <w:color w:val="000000"/>
          <w14:ligatures w14:val="standardContextual"/>
        </w:rPr>
      </w:pPr>
      <w:r>
        <w:rPr>
          <w:rFonts w:eastAsia="Calibri"/>
          <w:color w:val="000000"/>
          <w14:ligatures w14:val="standardContextual"/>
        </w:rPr>
        <w:t>Buhrman, G. (2011). International pressures and strategic responses: The case of the BP Oil Spill. Master thesis. Vrije University, Amsterdam, Netherlands</w:t>
      </w:r>
    </w:p>
    <w:p>
      <w:pPr>
        <w:pStyle w:val="16"/>
        <w:spacing w:before="0"/>
        <w:ind w:left="720" w:hanging="720"/>
        <w:rPr>
          <w:rFonts w:eastAsia="Calibri"/>
          <w:color w:val="000000"/>
          <w14:ligatures w14:val="standardContextual"/>
        </w:rPr>
      </w:pPr>
      <w:r>
        <w:rPr>
          <w:rFonts w:eastAsia="Calibri"/>
          <w:color w:val="000000"/>
          <w14:ligatures w14:val="standardContextual"/>
        </w:rPr>
        <w:t>Chinedu, F. E. &amp; Chinedu, U. O. (2018) Macroeconomic factors, firm characteristics and financial performance. A study of selected quoted manufacturing firms in Nigeria. Asian Journal of Accounting Research, 3(2); 142- 168.</w:t>
      </w:r>
    </w:p>
    <w:p>
      <w:pPr>
        <w:pStyle w:val="16"/>
        <w:spacing w:before="0"/>
        <w:ind w:left="720" w:hanging="720"/>
        <w:rPr>
          <w:rFonts w:eastAsia="Calibri"/>
          <w:color w:val="000000"/>
          <w14:ligatures w14:val="standardContextual"/>
        </w:rPr>
      </w:pPr>
      <w:r>
        <w:rPr>
          <w:rFonts w:eastAsia="Calibri"/>
          <w:color w:val="000000"/>
          <w14:ligatures w14:val="standardContextual"/>
        </w:rPr>
        <w:t>Choi, R. (2019). Kenya insurance industry outlook. Insurance Regulatory Authority (Kenya), Nairobi.</w:t>
      </w:r>
    </w:p>
    <w:p>
      <w:pPr>
        <w:pStyle w:val="16"/>
        <w:spacing w:before="0"/>
        <w:ind w:left="720" w:hanging="720"/>
        <w:rPr>
          <w:rFonts w:eastAsia="Calibri"/>
          <w:color w:val="000000"/>
          <w14:ligatures w14:val="standardContextual"/>
        </w:rPr>
      </w:pPr>
      <w:r>
        <w:rPr>
          <w:rFonts w:eastAsia="Calibri"/>
          <w:color w:val="000000"/>
          <w14:ligatures w14:val="standardContextual"/>
        </w:rPr>
        <w:t>Corperate Finance Institute, (2023). Leverage. Retrieved 9th February from https://corporatefinanceinstitute.com/resources/accounting/leverage/</w:t>
      </w:r>
    </w:p>
    <w:p>
      <w:pPr>
        <w:pStyle w:val="16"/>
        <w:spacing w:before="0"/>
        <w:ind w:left="720" w:hanging="720"/>
        <w:rPr>
          <w:rFonts w:eastAsia="Calibri"/>
          <w:color w:val="000000"/>
          <w14:ligatures w14:val="standardContextual"/>
        </w:rPr>
      </w:pPr>
      <w:r>
        <w:rPr>
          <w:rFonts w:eastAsia="Calibri"/>
          <w:color w:val="000000"/>
          <w14:ligatures w14:val="standardContextual"/>
        </w:rPr>
        <w:t>Deloitte. (2019). East Africa Insurance Outlook Report 2019/2020. Retrieved from: https://www2.deloitte.com/content/dam/Deloitte/ke/Documents/audit/Final%20Insurance %20Outlook%20Report%20EA%202019.pdf</w:t>
      </w:r>
    </w:p>
    <w:p>
      <w:pPr>
        <w:pStyle w:val="16"/>
        <w:spacing w:before="0"/>
        <w:ind w:left="720" w:hanging="720"/>
        <w:rPr>
          <w:rFonts w:eastAsia="Calibri"/>
          <w:color w:val="000000"/>
          <w14:ligatures w14:val="standardContextual"/>
        </w:rPr>
      </w:pPr>
      <w:r>
        <w:rPr>
          <w:rFonts w:eastAsia="Calibri"/>
          <w:color w:val="000000"/>
          <w14:ligatures w14:val="standardContextual"/>
        </w:rPr>
        <w:t>Denizel, M. &amp; Özdemir, Ö. (2006). A resource based and context dependent model of firm competitiveness”, Retrieved 21st April 2025 from www.pomsmeetings.org/confpapers/004/004- 0557.pdf</w:t>
      </w:r>
    </w:p>
    <w:p>
      <w:pPr>
        <w:pStyle w:val="16"/>
        <w:spacing w:before="0"/>
        <w:ind w:left="720" w:hanging="720"/>
        <w:rPr>
          <w:rFonts w:eastAsia="Calibri"/>
          <w:color w:val="000000"/>
          <w14:ligatures w14:val="standardContextual"/>
        </w:rPr>
      </w:pPr>
      <w:r>
        <w:rPr>
          <w:rFonts w:eastAsia="Calibri"/>
          <w:color w:val="000000"/>
          <w14:ligatures w14:val="standardContextual"/>
        </w:rPr>
        <w:t>DiMaggio, P. (1988). Interest and Agency in Institutional Theory. MA: Ballinger.</w:t>
      </w:r>
    </w:p>
    <w:p>
      <w:pPr>
        <w:pStyle w:val="16"/>
        <w:spacing w:before="0"/>
        <w:ind w:left="720" w:hanging="720"/>
        <w:rPr>
          <w:rFonts w:eastAsia="Calibri"/>
          <w:color w:val="000000"/>
          <w14:ligatures w14:val="standardContextual"/>
        </w:rPr>
      </w:pPr>
      <w:r>
        <w:rPr>
          <w:rFonts w:eastAsia="Calibri"/>
          <w:color w:val="000000"/>
          <w14:ligatures w14:val="standardContextual"/>
        </w:rPr>
        <w:t>DiMaggio, P. J., &amp; Powell, W.W. (1983). The iron cage revisited: institutional isomorphism and collective rationality in organizational fields. American Sociological Review, 48(2), 147-160.</w:t>
      </w:r>
    </w:p>
    <w:p>
      <w:pPr>
        <w:pStyle w:val="16"/>
        <w:spacing w:before="0"/>
        <w:ind w:left="720" w:hanging="720"/>
        <w:rPr>
          <w:rFonts w:eastAsia="Calibri"/>
          <w:color w:val="000000"/>
          <w14:ligatures w14:val="standardContextual"/>
        </w:rPr>
      </w:pPr>
      <w:r>
        <w:rPr>
          <w:rFonts w:eastAsia="Calibri"/>
          <w:color w:val="000000"/>
          <w14:ligatures w14:val="standardContextual"/>
        </w:rPr>
        <w:t>Dulah, K., &amp; Helal, J. (2019). Determinants of banks profitability in transition countries. Research in International Business and Finance, 3(8), 69-82.</w:t>
      </w:r>
    </w:p>
    <w:p>
      <w:pPr>
        <w:pStyle w:val="16"/>
        <w:spacing w:before="0"/>
        <w:ind w:left="720" w:hanging="720"/>
        <w:rPr>
          <w:rFonts w:eastAsia="Calibri"/>
          <w:color w:val="000000"/>
          <w14:ligatures w14:val="standardContextual"/>
        </w:rPr>
      </w:pPr>
      <w:r>
        <w:rPr>
          <w:rFonts w:eastAsia="Calibri"/>
          <w:color w:val="000000"/>
          <w14:ligatures w14:val="standardContextual"/>
        </w:rPr>
        <w:t>Dynan, C., &amp; Sheirner, B. (2019). Board of Directors: Composition and Effects on the Performance of the Firm. Journal of Economic Research, 31(1), 1015-1041.</w:t>
      </w:r>
    </w:p>
    <w:p>
      <w:pPr>
        <w:pStyle w:val="16"/>
        <w:spacing w:before="0"/>
        <w:ind w:left="720" w:hanging="720"/>
        <w:rPr>
          <w:rFonts w:eastAsia="Calibri"/>
          <w:color w:val="000000"/>
          <w14:ligatures w14:val="standardContextual"/>
        </w:rPr>
      </w:pPr>
      <w:r>
        <w:rPr>
          <w:rFonts w:eastAsia="Calibri"/>
          <w:color w:val="000000"/>
          <w14:ligatures w14:val="standardContextual"/>
        </w:rPr>
        <w:t xml:space="preserve">Egbunike, C.F. and Okerekeoti, C.U. (2019). Macroeconomic factors, firm characteristics and </w:t>
      </w:r>
      <w:r>
        <w:rPr>
          <w:rFonts w:eastAsia="Calibri"/>
          <w:color w:val="000000"/>
          <w14:ligatures w14:val="standardContextual"/>
        </w:rPr>
        <w:tab/>
      </w:r>
      <w:r>
        <w:rPr>
          <w:rFonts w:eastAsia="Calibri"/>
          <w:color w:val="000000"/>
          <w14:ligatures w14:val="standardContextual"/>
        </w:rPr>
        <w:t xml:space="preserve">financial performance: A study of selected quoted manufacturing firms in Nigeria. Asian </w:t>
      </w:r>
      <w:r>
        <w:rPr>
          <w:rFonts w:eastAsia="Calibri"/>
          <w:color w:val="000000"/>
          <w14:ligatures w14:val="standardContextual"/>
        </w:rPr>
        <w:tab/>
      </w:r>
      <w:r>
        <w:rPr>
          <w:rFonts w:eastAsia="Calibri"/>
          <w:color w:val="000000"/>
          <w14:ligatures w14:val="standardContextual"/>
        </w:rPr>
        <w:t>Journal of Accounting Research, 3 (2), 142-168</w:t>
      </w:r>
    </w:p>
    <w:p>
      <w:pPr>
        <w:pStyle w:val="16"/>
        <w:spacing w:before="0"/>
        <w:ind w:left="720" w:hanging="720"/>
        <w:rPr>
          <w:rFonts w:eastAsia="Calibri"/>
          <w:color w:val="000000"/>
          <w14:ligatures w14:val="standardContextual"/>
        </w:rPr>
      </w:pPr>
      <w:r>
        <w:rPr>
          <w:rFonts w:eastAsia="Calibri"/>
          <w:color w:val="000000"/>
          <w14:ligatures w14:val="standardContextual"/>
        </w:rPr>
        <w:t>EY. (2019). Global insurance trends analysis. Retrieved from: https://assets.ey.com</w:t>
      </w:r>
    </w:p>
    <w:p>
      <w:pPr>
        <w:pStyle w:val="16"/>
        <w:spacing w:before="0"/>
        <w:ind w:left="720" w:hanging="720"/>
        <w:rPr>
          <w:rFonts w:eastAsia="Calibri"/>
          <w:color w:val="000000"/>
          <w14:ligatures w14:val="standardContextual"/>
        </w:rPr>
      </w:pPr>
      <w:r>
        <w:rPr>
          <w:rFonts w:eastAsia="Calibri"/>
          <w:color w:val="000000"/>
          <w14:ligatures w14:val="standardContextual"/>
        </w:rPr>
        <w:t>Fernando, J., Brown, J. R. and Reeves, M. (2022). Growth Firm: What It is, How It Works, Example. Retrieved 9th February from https://www.investopedia.com/terms/g/growth-firm.asp</w:t>
      </w:r>
    </w:p>
    <w:p>
      <w:pPr>
        <w:pStyle w:val="16"/>
        <w:spacing w:before="0"/>
        <w:ind w:left="720" w:hanging="720"/>
        <w:rPr>
          <w:rFonts w:eastAsia="Calibri"/>
          <w:color w:val="000000"/>
          <w14:ligatures w14:val="standardContextual"/>
        </w:rPr>
      </w:pPr>
      <w:r>
        <w:rPr>
          <w:rFonts w:eastAsia="Calibri"/>
          <w:color w:val="000000"/>
          <w14:ligatures w14:val="standardContextual"/>
        </w:rPr>
        <w:t>Frederiksen, l. (2023). How to Drive Organic Growth: 5 Proven Strategies for Professional Services Firms. Retrieved 9th February from https://hingemarketing.com/blog/story/how-to-drive-organic-growth-5-proven-strategies-for-professional-services-firms</w:t>
      </w:r>
    </w:p>
    <w:p>
      <w:pPr>
        <w:pStyle w:val="16"/>
        <w:spacing w:before="0"/>
        <w:ind w:left="720" w:hanging="720"/>
        <w:rPr>
          <w:rFonts w:eastAsia="Calibri"/>
          <w:color w:val="000000"/>
          <w14:ligatures w14:val="standardContextual"/>
        </w:rPr>
      </w:pPr>
      <w:r>
        <w:rPr>
          <w:rFonts w:eastAsia="Calibri"/>
          <w:color w:val="000000"/>
          <w14:ligatures w14:val="standardContextual"/>
        </w:rPr>
        <w:t>Gagauis, T., &amp; Pasiouras, J. (2019). Determinants of insurance companies’ profitability: Analysis of insurance sector in Ethiopia. International Journal of Research in Finance and Marketing, 7(4), 124-137.</w:t>
      </w:r>
    </w:p>
    <w:p>
      <w:pPr>
        <w:pStyle w:val="16"/>
        <w:spacing w:before="0"/>
        <w:ind w:left="720" w:hanging="720"/>
        <w:rPr>
          <w:rFonts w:eastAsia="Calibri"/>
          <w:color w:val="000000"/>
          <w14:ligatures w14:val="standardContextual"/>
        </w:rPr>
      </w:pPr>
      <w:r>
        <w:rPr>
          <w:rFonts w:eastAsia="Calibri"/>
          <w:color w:val="000000"/>
          <w14:ligatures w14:val="standardContextual"/>
        </w:rPr>
        <w:t>Handgraaf, A. (2012). Institutional pressures and strategic responses: The case of Shell and Ogoni Struggle. Master thesis. Vrije University, Amsterdam, Netherlands</w:t>
      </w:r>
    </w:p>
    <w:p>
      <w:pPr>
        <w:pStyle w:val="16"/>
        <w:spacing w:before="0"/>
        <w:ind w:left="720" w:hanging="720"/>
        <w:rPr>
          <w:rFonts w:eastAsia="Calibri"/>
          <w:color w:val="000000"/>
          <w14:ligatures w14:val="standardContextual"/>
        </w:rPr>
      </w:pPr>
      <w:r>
        <w:rPr>
          <w:rFonts w:eastAsia="Calibri"/>
          <w:color w:val="000000"/>
          <w14:ligatures w14:val="standardContextual"/>
        </w:rPr>
        <w:t xml:space="preserve">Handoyo S, Mulyani S, Ghani EK, Soedarsono S. (2023). Firm Characteristics, Business Environment, Strategic Orientation, and Performance. Administrative Sciences. 13(3):74. </w:t>
      </w:r>
    </w:p>
    <w:p>
      <w:pPr>
        <w:pStyle w:val="16"/>
        <w:spacing w:before="0"/>
        <w:ind w:left="720" w:hanging="720"/>
        <w:rPr>
          <w:rFonts w:eastAsia="Calibri"/>
          <w:color w:val="000000"/>
          <w14:ligatures w14:val="standardContextual"/>
        </w:rPr>
      </w:pPr>
      <w:r>
        <w:rPr>
          <w:rFonts w:eastAsia="Calibri"/>
          <w:color w:val="000000"/>
          <w14:ligatures w14:val="standardContextual"/>
        </w:rPr>
        <w:t>Harris, C., &amp; Adam, K. (2019). The Humanizing Effect of Market Interaction. Journal of Economic Behavior and Organization, 6(1).</w:t>
      </w:r>
    </w:p>
    <w:p>
      <w:pPr>
        <w:pStyle w:val="16"/>
        <w:spacing w:before="0"/>
        <w:ind w:left="720" w:hanging="720"/>
        <w:rPr>
          <w:rFonts w:eastAsia="Calibri"/>
          <w:color w:val="000000"/>
          <w14:ligatures w14:val="standardContextual"/>
        </w:rPr>
      </w:pPr>
      <w:r>
        <w:rPr>
          <w:rFonts w:eastAsia="Calibri"/>
          <w:color w:val="000000"/>
          <w14:ligatures w14:val="standardContextual"/>
        </w:rPr>
        <w:t>Hayes, A.(2021). Leverage. Retrieved 9th February from https://www.investopedia.com/terms/ l/leverage.asp</w:t>
      </w:r>
    </w:p>
    <w:p>
      <w:pPr>
        <w:pStyle w:val="16"/>
        <w:spacing w:before="0"/>
        <w:ind w:left="720" w:hanging="720"/>
        <w:rPr>
          <w:rFonts w:eastAsia="Calibri"/>
          <w:color w:val="000000"/>
          <w14:ligatures w14:val="standardContextual"/>
        </w:rPr>
      </w:pPr>
      <w:r>
        <w:rPr>
          <w:rFonts w:eastAsia="Calibri"/>
          <w:color w:val="000000"/>
          <w14:ligatures w14:val="standardContextual"/>
        </w:rPr>
        <w:t>Insurance Regulatory (2019). Insurance Industry Annual Report. Nairobi. Retrieved from: https://www.ira.go.ke/images/docs/annual/2019/Insurance-Industry-Annual-Report2019.pdf</w:t>
      </w:r>
    </w:p>
    <w:p>
      <w:pPr>
        <w:pStyle w:val="16"/>
        <w:spacing w:before="0"/>
        <w:ind w:left="720" w:hanging="720"/>
        <w:rPr>
          <w:rFonts w:eastAsia="Calibri"/>
          <w:color w:val="000000"/>
          <w14:ligatures w14:val="standardContextual"/>
        </w:rPr>
      </w:pPr>
      <w:r>
        <w:rPr>
          <w:rFonts w:eastAsia="Calibri"/>
          <w:color w:val="000000"/>
          <w14:ligatures w14:val="standardContextual"/>
        </w:rPr>
        <w:t>Insurance Regulatory (2020). Insurance Industry Annual Report. Nairobi. Retrieved from: https://www.ira.go.ke/images/docs/annual/2020/Insurance-Industry-Annual-Report2020.pdf 81</w:t>
      </w:r>
    </w:p>
    <w:p>
      <w:pPr>
        <w:pStyle w:val="16"/>
        <w:spacing w:before="0"/>
        <w:ind w:left="720" w:hanging="720"/>
        <w:rPr>
          <w:rFonts w:eastAsia="Calibri"/>
          <w:color w:val="000000"/>
          <w14:ligatures w14:val="standardContextual"/>
        </w:rPr>
      </w:pPr>
      <w:r>
        <w:rPr>
          <w:rFonts w:eastAsia="Calibri"/>
          <w:color w:val="000000"/>
          <w14:ligatures w14:val="standardContextual"/>
        </w:rPr>
        <w:t xml:space="preserve">Insurance Regulatory Authority (2019). Insurance Industry Annual Report. Insurance Regulatory Authority: Nairobi, Kenya. </w:t>
      </w:r>
    </w:p>
    <w:p>
      <w:pPr>
        <w:pStyle w:val="16"/>
        <w:spacing w:before="0"/>
        <w:ind w:left="720" w:hanging="720"/>
        <w:rPr>
          <w:rFonts w:eastAsia="Calibri"/>
          <w:color w:val="000000"/>
          <w14:ligatures w14:val="standardContextual"/>
        </w:rPr>
      </w:pPr>
      <w:r>
        <w:rPr>
          <w:rFonts w:eastAsia="Calibri"/>
          <w:color w:val="000000"/>
          <w14:ligatures w14:val="standardContextual"/>
        </w:rPr>
        <w:t>Insurance Regulatory. (2020). Insurance Industry Annual Report. Nairobi. Retrieved 21st April 2025 from: https://www.ira.go.ke/images/docs/annual/2020/Insurance-Industry-Annual-Report- 2020.pdf</w:t>
      </w:r>
    </w:p>
    <w:p>
      <w:pPr>
        <w:pStyle w:val="16"/>
        <w:spacing w:before="0"/>
        <w:ind w:left="720" w:hanging="720"/>
        <w:rPr>
          <w:rFonts w:eastAsia="Calibri"/>
          <w:color w:val="000000"/>
          <w14:ligatures w14:val="standardContextual"/>
        </w:rPr>
      </w:pPr>
      <w:r>
        <w:rPr>
          <w:rFonts w:eastAsia="Calibri"/>
          <w:color w:val="000000"/>
          <w14:ligatures w14:val="standardContextual"/>
        </w:rPr>
        <w:t>Islam, A., &amp; Layth, M. (2020). The determinants of profitability of insurance companies in Palestine. SSRN Electronic Journal, 36(2), 1-30.</w:t>
      </w:r>
    </w:p>
    <w:p>
      <w:pPr>
        <w:pStyle w:val="16"/>
        <w:spacing w:before="0"/>
        <w:ind w:left="720" w:hanging="720"/>
        <w:rPr>
          <w:rFonts w:eastAsia="Calibri"/>
          <w:color w:val="000000"/>
          <w14:ligatures w14:val="standardContextual"/>
        </w:rPr>
      </w:pPr>
      <w:r>
        <w:rPr>
          <w:rFonts w:eastAsia="Calibri"/>
          <w:color w:val="000000"/>
          <w14:ligatures w14:val="standardContextual"/>
        </w:rPr>
        <w:t>Jensen M, &amp; Meckling W. (1976). Theory of the firm: managerial behavior, agency cost, and ownership structure. Journal of Financial Economics, 3(2), 305-360.</w:t>
      </w:r>
    </w:p>
    <w:p>
      <w:pPr>
        <w:pStyle w:val="16"/>
        <w:spacing w:before="0"/>
        <w:ind w:left="720" w:hanging="720"/>
        <w:rPr>
          <w:rFonts w:eastAsia="Calibri"/>
          <w:color w:val="000000"/>
          <w14:ligatures w14:val="standardContextual"/>
        </w:rPr>
      </w:pPr>
      <w:r>
        <w:rPr>
          <w:rFonts w:eastAsia="Calibri"/>
          <w:color w:val="000000"/>
          <w14:ligatures w14:val="standardContextual"/>
        </w:rPr>
        <w:t>Jensen, M. C., &amp; Meckling, W. H. (2019). Theory of the firm: Managerial behavior, agency costs and ownership structure. In Corporate Governance (pp. 77-132). Gower.</w:t>
      </w:r>
    </w:p>
    <w:p>
      <w:pPr>
        <w:pStyle w:val="16"/>
        <w:spacing w:before="0"/>
        <w:ind w:left="720" w:hanging="720"/>
        <w:rPr>
          <w:rFonts w:eastAsia="Calibri"/>
          <w:color w:val="000000"/>
          <w14:ligatures w14:val="standardContextual"/>
        </w:rPr>
      </w:pPr>
      <w:r>
        <w:rPr>
          <w:rFonts w:eastAsia="Calibri"/>
          <w:color w:val="000000"/>
          <w14:ligatures w14:val="standardContextual"/>
        </w:rPr>
        <w:t>Kamau, A. M. (2022). Firm Characteristics and Financial Performance of Insurance Firms in Kenya. Doctor of Philosophy. Jomo Kenyatta University of Agriculture and Technology.</w:t>
      </w:r>
    </w:p>
    <w:p>
      <w:pPr>
        <w:pStyle w:val="16"/>
        <w:spacing w:before="0"/>
        <w:ind w:left="720" w:hanging="720"/>
        <w:rPr>
          <w:rFonts w:eastAsia="Calibri"/>
          <w:color w:val="000000"/>
          <w14:ligatures w14:val="standardContextual"/>
        </w:rPr>
      </w:pPr>
      <w:r>
        <w:rPr>
          <w:rFonts w:eastAsia="Calibri"/>
          <w:color w:val="000000"/>
          <w14:ligatures w14:val="standardContextual"/>
        </w:rPr>
        <w:t>Kamau, A. M. and Olweny, T. and Muturi, W. M. (2021). Effect of Firm Characteristics on Financial Performance of Insurance Firms in Kenya. The international journal of business &amp; management, 9(6), 292-300</w:t>
      </w:r>
    </w:p>
    <w:p>
      <w:pPr>
        <w:pStyle w:val="16"/>
        <w:spacing w:before="0"/>
        <w:ind w:left="720" w:hanging="720"/>
        <w:rPr>
          <w:rFonts w:eastAsia="Calibri"/>
          <w:color w:val="000000"/>
          <w14:ligatures w14:val="standardContextual"/>
        </w:rPr>
      </w:pPr>
      <w:r>
        <w:rPr>
          <w:rFonts w:eastAsia="Calibri"/>
          <w:color w:val="000000"/>
          <w14:ligatures w14:val="standardContextual"/>
        </w:rPr>
        <w:t>Kamau, A. M., Olweny, T. and Muturi, W. M. (2021). Financial Performance of Insurance Firms. Does Leverage and Liquidity Matter? Evidence from Kenya. Eastern Journal of Economics and Finance, 6(1), 1-14</w:t>
      </w:r>
    </w:p>
    <w:p>
      <w:pPr>
        <w:pStyle w:val="16"/>
        <w:spacing w:before="0"/>
        <w:ind w:left="720" w:hanging="720"/>
        <w:rPr>
          <w:rFonts w:eastAsia="Calibri"/>
          <w:color w:val="000000"/>
          <w14:ligatures w14:val="standardContextual"/>
        </w:rPr>
      </w:pPr>
      <w:r>
        <w:rPr>
          <w:rFonts w:eastAsia="Calibri"/>
          <w:color w:val="000000"/>
          <w14:ligatures w14:val="standardContextual"/>
        </w:rPr>
        <w:t>Kamau, A. M., Olweny, T., &amp; Muturi, W. M. (2021). Effects of firm characteristics on financial performance of insurance firms in Kenya. The International Journal of Business &amp; Management, 9(6), 292-300.</w:t>
      </w:r>
    </w:p>
    <w:p>
      <w:pPr>
        <w:pStyle w:val="16"/>
        <w:spacing w:before="0"/>
        <w:ind w:left="720" w:hanging="720"/>
        <w:rPr>
          <w:rFonts w:eastAsia="Calibri"/>
          <w:color w:val="000000"/>
          <w14:ligatures w14:val="standardContextual"/>
        </w:rPr>
      </w:pPr>
      <w:r>
        <w:rPr>
          <w:rFonts w:eastAsia="Calibri"/>
          <w:color w:val="000000"/>
          <w14:ligatures w14:val="standardContextual"/>
        </w:rPr>
        <w:t>Kang’e, M., Senaji, T., &amp; Orero, R. (2020). Firm characteristics and performance of private health insurance sector in Kenya. Journal of Business and Strategic Management, 5(1), 15-27.</w:t>
      </w:r>
    </w:p>
    <w:p>
      <w:pPr>
        <w:pStyle w:val="16"/>
        <w:spacing w:before="0"/>
        <w:ind w:left="720" w:hanging="720"/>
        <w:rPr>
          <w:rFonts w:eastAsia="Calibri"/>
          <w:color w:val="000000"/>
          <w14:ligatures w14:val="standardContextual"/>
        </w:rPr>
      </w:pPr>
      <w:r>
        <w:rPr>
          <w:rFonts w:eastAsia="Calibri"/>
          <w:color w:val="000000"/>
          <w14:ligatures w14:val="standardContextual"/>
        </w:rPr>
        <w:t>Kang’e, M., Senaji, T., &amp; Orero, R. (2020). Firm characteristics and performance of private health insurance sector in Kenya. Journal of Business and Strategic Management, 5(1), 15-27.</w:t>
      </w:r>
    </w:p>
    <w:p>
      <w:pPr>
        <w:pStyle w:val="16"/>
        <w:spacing w:before="0"/>
        <w:ind w:left="720" w:hanging="720"/>
        <w:rPr>
          <w:rFonts w:eastAsia="Calibri"/>
          <w:color w:val="000000"/>
          <w14:ligatures w14:val="standardContextual"/>
        </w:rPr>
      </w:pPr>
      <w:r>
        <w:rPr>
          <w:rFonts w:eastAsia="Calibri"/>
          <w:color w:val="000000"/>
          <w14:ligatures w14:val="standardContextual"/>
        </w:rPr>
        <w:t>Keynes, J. M. (1964). Liquidity preference.</w:t>
      </w:r>
    </w:p>
    <w:p>
      <w:pPr>
        <w:pStyle w:val="16"/>
        <w:spacing w:before="0"/>
        <w:ind w:left="720" w:hanging="720"/>
        <w:rPr>
          <w:rFonts w:eastAsia="Calibri"/>
          <w:color w:val="000000"/>
          <w14:ligatures w14:val="standardContextual"/>
        </w:rPr>
      </w:pPr>
      <w:r>
        <w:rPr>
          <w:rFonts w:eastAsia="Calibri"/>
          <w:color w:val="000000"/>
          <w14:ligatures w14:val="standardContextual"/>
        </w:rPr>
        <w:t>Kiptoo, I., Kariuki, S., &amp; Ocharo, K. (2021). Risk management and financial performance of insurance firms in Kenya. Cogent Business &amp; Management, 8(1), 1-7.</w:t>
      </w:r>
    </w:p>
    <w:p>
      <w:pPr>
        <w:pStyle w:val="16"/>
        <w:spacing w:before="0"/>
        <w:ind w:left="720" w:hanging="720"/>
        <w:rPr>
          <w:rFonts w:eastAsia="Calibri"/>
          <w:color w:val="000000"/>
          <w14:ligatures w14:val="standardContextual"/>
        </w:rPr>
      </w:pPr>
      <w:r>
        <w:rPr>
          <w:rFonts w:eastAsia="Calibri"/>
          <w:color w:val="000000"/>
          <w14:ligatures w14:val="standardContextual"/>
        </w:rPr>
        <w:t>Maduabuchi, M. C. and Ndubuisi, A. N. (2021). Effect of firm characteristics on capital structure of insurance companies listed on nigeria stock exchange. International Journal of Management Studies and Social Science Research, 5(3), 217-228</w:t>
      </w:r>
    </w:p>
    <w:p>
      <w:pPr>
        <w:pStyle w:val="16"/>
        <w:spacing w:before="0"/>
        <w:ind w:left="720" w:hanging="720"/>
        <w:rPr>
          <w:rFonts w:eastAsia="Calibri"/>
          <w:color w:val="000000"/>
          <w14:ligatures w14:val="standardContextual"/>
        </w:rPr>
      </w:pPr>
      <w:r>
        <w:rPr>
          <w:rFonts w:eastAsia="Calibri"/>
          <w:color w:val="000000"/>
          <w14:ligatures w14:val="standardContextual"/>
        </w:rPr>
        <w:t>Mahoney, J. T. &amp; Pandian, J. R. (1992), “The resource-based view within the conversation of strategic management”, Strategic Management Journal, 13(5); 363-380.</w:t>
      </w:r>
    </w:p>
    <w:p>
      <w:pPr>
        <w:pStyle w:val="16"/>
        <w:spacing w:before="0"/>
        <w:ind w:left="720" w:hanging="720"/>
        <w:rPr>
          <w:rFonts w:eastAsia="Calibri"/>
          <w:color w:val="000000"/>
          <w14:ligatures w14:val="standardContextual"/>
        </w:rPr>
      </w:pPr>
      <w:r>
        <w:rPr>
          <w:rFonts w:eastAsia="Calibri"/>
          <w:color w:val="000000"/>
          <w14:ligatures w14:val="standardContextual"/>
        </w:rPr>
        <w:t>Mehari, T., &amp; Aemiro, K. (2020). The Influence of Positioning Strategies on Competitive Advantage of the Insurance Firms in Kenya. Unpublished MBA Thesis, University of Nairobi.</w:t>
      </w:r>
    </w:p>
    <w:p>
      <w:pPr>
        <w:pStyle w:val="16"/>
        <w:spacing w:before="0"/>
        <w:ind w:left="720" w:hanging="720"/>
        <w:rPr>
          <w:rFonts w:eastAsia="Calibri"/>
          <w:color w:val="000000"/>
          <w14:ligatures w14:val="standardContextual"/>
        </w:rPr>
      </w:pPr>
      <w:r>
        <w:rPr>
          <w:rFonts w:eastAsia="Calibri"/>
          <w:color w:val="000000"/>
          <w14:ligatures w14:val="standardContextual"/>
        </w:rPr>
        <w:t>Meyer, J. W., &amp; Rowan, B. (1977). Institutionalized organizations: Formal structure as myth and ceremony. American Journal of Sociology, 83(2), 340-363</w:t>
      </w:r>
    </w:p>
    <w:p>
      <w:pPr>
        <w:pStyle w:val="16"/>
        <w:spacing w:before="0"/>
        <w:ind w:left="720" w:hanging="720"/>
        <w:rPr>
          <w:rFonts w:eastAsia="Calibri"/>
          <w:color w:val="000000"/>
          <w14:ligatures w14:val="standardContextual"/>
        </w:rPr>
      </w:pPr>
      <w:r>
        <w:rPr>
          <w:rFonts w:eastAsia="Calibri"/>
          <w:color w:val="000000"/>
          <w14:ligatures w14:val="standardContextual"/>
        </w:rPr>
        <w:t>Morara, K., &amp; Sibindi, B. (2021). Determinants of financial performance of insurance companies: Empirical evidence using Kenyan data. Journal of Risk and financial management, 14(1), 2-13.</w:t>
      </w:r>
    </w:p>
    <w:p>
      <w:pPr>
        <w:pStyle w:val="16"/>
        <w:spacing w:before="0"/>
        <w:ind w:left="720" w:hanging="720"/>
        <w:rPr>
          <w:rFonts w:eastAsia="Calibri"/>
          <w:color w:val="000000"/>
          <w14:ligatures w14:val="standardContextual"/>
        </w:rPr>
      </w:pPr>
      <w:r>
        <w:rPr>
          <w:rFonts w:eastAsia="Calibri"/>
          <w:color w:val="000000"/>
          <w14:ligatures w14:val="standardContextual"/>
        </w:rPr>
        <w:t>Msomi, T., &amp; Nyide, C. (2021). Nexus of firm characteristics and financial performance of nonlife insurance companies in southern African development community. Investment Management and Financial Innovations, 18(4), 95-110.</w:t>
      </w:r>
    </w:p>
    <w:p>
      <w:pPr>
        <w:pStyle w:val="16"/>
        <w:spacing w:before="0"/>
        <w:ind w:left="720" w:hanging="720"/>
        <w:rPr>
          <w:rFonts w:eastAsia="Calibri"/>
          <w:color w:val="000000"/>
          <w14:ligatures w14:val="standardContextual"/>
        </w:rPr>
      </w:pPr>
      <w:r>
        <w:rPr>
          <w:rFonts w:eastAsia="Calibri"/>
          <w:color w:val="000000"/>
          <w14:ligatures w14:val="standardContextual"/>
        </w:rPr>
        <w:t>Mwenda, B., Ngollo, M., &amp; Mwasota, A. (2023). An Empirical Study on the Effects of managerial Competence on Firm Profitability. Ilomata International Journal of Tax and Accounting, 4(3), 491-507.</w:t>
      </w:r>
    </w:p>
    <w:p>
      <w:pPr>
        <w:pStyle w:val="16"/>
        <w:spacing w:before="0"/>
        <w:ind w:left="720" w:hanging="720"/>
        <w:rPr>
          <w:rFonts w:eastAsia="Calibri"/>
          <w:color w:val="000000"/>
          <w14:ligatures w14:val="standardContextual"/>
        </w:rPr>
      </w:pPr>
      <w:r>
        <w:rPr>
          <w:rFonts w:eastAsia="Calibri"/>
          <w:color w:val="000000"/>
          <w14:ligatures w14:val="standardContextual"/>
        </w:rPr>
        <w:t>Ngugi, N. S. (2021). Competitive Strategies and Organizational Performance: A Case of Insurance Companies in Nyeri County, Kenya. Unpublished MBA Thesis, Kenyatta University</w:t>
      </w:r>
    </w:p>
    <w:p>
      <w:pPr>
        <w:pStyle w:val="16"/>
        <w:spacing w:before="0"/>
        <w:ind w:left="720" w:hanging="720"/>
        <w:rPr>
          <w:rFonts w:eastAsia="Calibri"/>
          <w:color w:val="000000"/>
          <w14:ligatures w14:val="standardContextual"/>
        </w:rPr>
      </w:pPr>
      <w:r>
        <w:rPr>
          <w:rFonts w:eastAsia="Calibri"/>
          <w:color w:val="000000"/>
          <w14:ligatures w14:val="standardContextual"/>
        </w:rPr>
        <w:t>Ngunguni, J., Misango, S., &amp; Osiro, M. (2020). Examining the effects of financial factors on profitability of general insurance companies in Kenya. International Journal of Finance and Accounting, 5(1), 1-18.</w:t>
      </w:r>
    </w:p>
    <w:p>
      <w:pPr>
        <w:pStyle w:val="16"/>
        <w:spacing w:before="0"/>
        <w:ind w:left="720" w:hanging="720"/>
        <w:rPr>
          <w:rFonts w:eastAsia="Calibri"/>
          <w:color w:val="000000"/>
          <w14:ligatures w14:val="standardContextual"/>
        </w:rPr>
      </w:pPr>
      <w:r>
        <w:rPr>
          <w:rFonts w:eastAsia="Calibri"/>
          <w:color w:val="000000"/>
          <w14:ligatures w14:val="standardContextual"/>
        </w:rPr>
        <w:t>Nugraha, R. S., Banani, A., &amp; Shaferi, I. (2022). The Influence of Firm Size, Leverage, Liquidity, and Sales Growth on Financial Performance (Study on Agriculture Companies in Indonesia Stock Exchange Over the Period 2014- 2018). Sustainable Competitive Advantage (SCA), 11(1).</w:t>
      </w:r>
    </w:p>
    <w:p>
      <w:pPr>
        <w:pStyle w:val="16"/>
        <w:spacing w:before="0"/>
        <w:ind w:left="720" w:hanging="720"/>
        <w:rPr>
          <w:rFonts w:eastAsia="Calibri"/>
          <w:color w:val="000000"/>
          <w14:ligatures w14:val="standardContextual"/>
        </w:rPr>
      </w:pPr>
      <w:r>
        <w:rPr>
          <w:rFonts w:eastAsia="Calibri"/>
          <w:color w:val="000000"/>
          <w14:ligatures w14:val="standardContextual"/>
        </w:rPr>
        <w:t>Nyabaga, R. M. &amp; Matanda, J. W. (2020). Effect of firm characteristics on financial performance of listed commercial banks in Kenya. International Journal of Economics and Financial Issues, 10(3), 255-262.</w:t>
      </w:r>
    </w:p>
    <w:p>
      <w:pPr>
        <w:pStyle w:val="16"/>
        <w:spacing w:before="0"/>
        <w:ind w:left="720" w:hanging="720"/>
        <w:rPr>
          <w:rFonts w:eastAsia="Calibri"/>
          <w:color w:val="000000"/>
          <w14:ligatures w14:val="standardContextual"/>
        </w:rPr>
      </w:pPr>
      <w:r>
        <w:rPr>
          <w:rFonts w:eastAsia="Calibri"/>
          <w:color w:val="000000"/>
          <w14:ligatures w14:val="standardContextual"/>
        </w:rPr>
        <w:t xml:space="preserve">Nyangor, B. M. (2020). Effect of Gross Domestic Product on Financial Performance of Collective Investment Schemes in Kenya. Research Project, University of Nairobi, Kenya. </w:t>
      </w:r>
    </w:p>
    <w:p>
      <w:pPr>
        <w:pStyle w:val="16"/>
        <w:spacing w:before="0"/>
        <w:ind w:left="720" w:hanging="720"/>
        <w:rPr>
          <w:rFonts w:eastAsia="Calibri"/>
          <w:color w:val="000000"/>
          <w14:ligatures w14:val="standardContextual"/>
        </w:rPr>
      </w:pPr>
      <w:r>
        <w:rPr>
          <w:rFonts w:eastAsia="Calibri"/>
          <w:color w:val="000000"/>
          <w14:ligatures w14:val="standardContextual"/>
        </w:rPr>
        <w:t>Odhimabo, O. A. (2020). Competitive Strategies and Performance of Insurance Companies in Kenya. Unpublished MBA Thesis, Kenyatta University</w:t>
      </w:r>
    </w:p>
    <w:p>
      <w:pPr>
        <w:pStyle w:val="16"/>
        <w:spacing w:before="0"/>
        <w:ind w:left="720" w:hanging="720"/>
        <w:rPr>
          <w:rFonts w:eastAsia="Calibri"/>
          <w:color w:val="000000"/>
          <w14:ligatures w14:val="standardContextual"/>
        </w:rPr>
      </w:pPr>
      <w:r>
        <w:rPr>
          <w:rFonts w:eastAsia="Calibri"/>
          <w:color w:val="000000"/>
          <w14:ligatures w14:val="standardContextual"/>
        </w:rPr>
        <w:t>OECD. (2019). Global insurance market trends. Retrieved from: https://www.oecd.org/finance/</w:t>
      </w:r>
    </w:p>
    <w:p>
      <w:pPr>
        <w:pStyle w:val="16"/>
        <w:spacing w:before="0"/>
        <w:ind w:left="720" w:hanging="720"/>
        <w:rPr>
          <w:rFonts w:eastAsia="Calibri"/>
          <w:color w:val="000000"/>
          <w14:ligatures w14:val="standardContextual"/>
        </w:rPr>
      </w:pPr>
      <w:r>
        <w:rPr>
          <w:rFonts w:eastAsia="Calibri"/>
          <w:color w:val="000000"/>
          <w14:ligatures w14:val="standardContextual"/>
        </w:rPr>
        <w:t>Oliver, C. (1991). Strategic responses to institutional processes. Academy of Management Review. 16(1), 145-179</w:t>
      </w:r>
    </w:p>
    <w:p>
      <w:pPr>
        <w:pStyle w:val="16"/>
        <w:spacing w:before="0"/>
        <w:ind w:left="720" w:hanging="720"/>
        <w:rPr>
          <w:rFonts w:eastAsia="Calibri"/>
          <w:color w:val="000000"/>
          <w14:ligatures w14:val="standardContextual"/>
        </w:rPr>
      </w:pPr>
      <w:r>
        <w:rPr>
          <w:rFonts w:eastAsia="Calibri"/>
          <w:color w:val="000000"/>
          <w14:ligatures w14:val="standardContextual"/>
        </w:rPr>
        <w:t>Olugbenga, A. F.,  Olamide, A. A., Olajide, O. P., Ayodele, A. Y. And  Iyabo, S. S. (2022). An Evaluation of Firm Characteristics and Financial Performance of Listed Oil and Gas Companies in Nigeria. AUDOE, 18(5), 198- 208.</w:t>
      </w:r>
    </w:p>
    <w:p>
      <w:pPr>
        <w:pStyle w:val="16"/>
        <w:spacing w:before="0"/>
        <w:ind w:left="720" w:hanging="720"/>
        <w:rPr>
          <w:rFonts w:eastAsia="Calibri"/>
          <w:color w:val="000000"/>
          <w14:ligatures w14:val="standardContextual"/>
        </w:rPr>
      </w:pPr>
      <w:r>
        <w:rPr>
          <w:rFonts w:eastAsia="Calibri"/>
          <w:color w:val="000000"/>
          <w14:ligatures w14:val="standardContextual"/>
        </w:rPr>
        <w:t>Ongore, V. O., &amp; Kusa, G. B. (2019). Determinants of financial performance of commercial banks in Kenya. International Journal of Economics and Financial Issues, 3(1), 237-252.</w:t>
      </w:r>
    </w:p>
    <w:p>
      <w:pPr>
        <w:pStyle w:val="16"/>
        <w:spacing w:before="0"/>
        <w:ind w:left="720" w:hanging="720"/>
        <w:rPr>
          <w:rFonts w:eastAsia="Calibri"/>
          <w:color w:val="000000"/>
          <w14:ligatures w14:val="standardContextual"/>
        </w:rPr>
      </w:pPr>
      <w:r>
        <w:rPr>
          <w:rFonts w:eastAsia="Calibri"/>
          <w:color w:val="000000"/>
          <w14:ligatures w14:val="standardContextual"/>
        </w:rPr>
        <w:t>Otola, I. (2020). An Insight into the Key Resources in Business Models. What We Can Learn from High-Growth Enterprises. Retrieved 9th February from https://www.researchgate.net/publication/346497927_An_Insight_into_the_Key_Resources_in_Business_Models_What_We_Can_Learn_from_High-Growth_Enterprises</w:t>
      </w:r>
    </w:p>
    <w:p>
      <w:pPr>
        <w:pStyle w:val="16"/>
        <w:spacing w:before="0"/>
        <w:ind w:left="720" w:hanging="720"/>
        <w:rPr>
          <w:rFonts w:eastAsia="Calibri"/>
          <w:color w:val="000000"/>
          <w14:ligatures w14:val="standardContextual"/>
        </w:rPr>
      </w:pPr>
      <w:r>
        <w:rPr>
          <w:rFonts w:eastAsia="Calibri"/>
          <w:color w:val="000000"/>
          <w14:ligatures w14:val="standardContextual"/>
        </w:rPr>
        <w:t>Ouma, S. O., Obonyo, P. &amp; Yabs, J. (2019). The Role of Competitive Strategies in the Relationship between Organizational Learning and Performance of Insurance Firms in Kenya. International Journal of Scientific Research &amp; Management Studies, 5 (7), 5775-5799</w:t>
      </w:r>
    </w:p>
    <w:p>
      <w:pPr>
        <w:pStyle w:val="16"/>
        <w:spacing w:before="0"/>
        <w:ind w:left="720" w:hanging="720"/>
        <w:rPr>
          <w:rFonts w:eastAsia="Calibri"/>
          <w:color w:val="000000"/>
          <w14:ligatures w14:val="standardContextual"/>
        </w:rPr>
      </w:pPr>
      <w:r>
        <w:rPr>
          <w:rFonts w:eastAsia="Calibri"/>
          <w:color w:val="000000"/>
          <w14:ligatures w14:val="standardContextual"/>
        </w:rPr>
        <w:t>Penrose, E. T. (1959). The Theory of the Growth of the Firm. England, Oxford University Press, Oxford.</w:t>
      </w:r>
    </w:p>
    <w:p>
      <w:pPr>
        <w:pStyle w:val="16"/>
        <w:spacing w:before="0"/>
        <w:ind w:left="720" w:hanging="720"/>
        <w:rPr>
          <w:rFonts w:eastAsia="Calibri"/>
          <w:color w:val="000000"/>
          <w14:ligatures w14:val="standardContextual"/>
        </w:rPr>
      </w:pPr>
      <w:r>
        <w:rPr>
          <w:rFonts w:eastAsia="Calibri"/>
          <w:color w:val="000000"/>
          <w14:ligatures w14:val="standardContextual"/>
        </w:rPr>
        <w:t>Peteraf, M. A., &amp; Bergen, M. E. (2003). Scanning dynamic competitive landscapes: a market-based and resource based framework. Strategic Management Journal, 24(10): 1027–1041.</w:t>
      </w:r>
    </w:p>
    <w:p>
      <w:pPr>
        <w:pStyle w:val="16"/>
        <w:spacing w:before="0"/>
        <w:ind w:left="720" w:hanging="720"/>
        <w:rPr>
          <w:rFonts w:eastAsia="Calibri"/>
          <w:color w:val="000000"/>
          <w14:ligatures w14:val="standardContextual"/>
        </w:rPr>
      </w:pPr>
      <w:r>
        <w:rPr>
          <w:rFonts w:eastAsia="Calibri"/>
          <w:color w:val="000000"/>
          <w14:ligatures w14:val="standardContextual"/>
        </w:rPr>
        <w:t>Poudel, B. (2019). Impact of ownership structure on the profitability of Nepalese insurance companies. Nepalese Journal of Business, 6(3), 52-65.</w:t>
      </w:r>
    </w:p>
    <w:p>
      <w:pPr>
        <w:pStyle w:val="16"/>
        <w:spacing w:before="0"/>
        <w:ind w:left="720" w:hanging="720"/>
        <w:rPr>
          <w:rFonts w:eastAsia="Calibri"/>
          <w:color w:val="000000"/>
          <w14:ligatures w14:val="standardContextual"/>
        </w:rPr>
      </w:pPr>
      <w:r>
        <w:rPr>
          <w:rFonts w:eastAsia="Calibri"/>
          <w:color w:val="000000"/>
          <w14:ligatures w14:val="standardContextual"/>
        </w:rPr>
        <w:t>Sadiq, M., Alajlani, S., Hussain, M. S., Ahmad, R., Bashir, F., &amp; Chupradit, S. (2022). Impact of credit, liquidity, and systematic risk on financial structure: comparative investigation from sustainable production. Environmental Science and Pollution Research, 29(14), 20963-20975.</w:t>
      </w:r>
    </w:p>
    <w:p>
      <w:pPr>
        <w:pStyle w:val="16"/>
        <w:spacing w:before="0"/>
        <w:ind w:left="720" w:hanging="720"/>
        <w:rPr>
          <w:rFonts w:eastAsia="Calibri"/>
          <w:color w:val="000000"/>
          <w14:ligatures w14:val="standardContextual"/>
        </w:rPr>
      </w:pPr>
      <w:r>
        <w:rPr>
          <w:rFonts w:eastAsia="Calibri"/>
          <w:color w:val="000000"/>
          <w14:ligatures w14:val="standardContextual"/>
        </w:rPr>
        <w:t>Sanvasibam, C., &amp; Ayele. A. (2019). Strategic Positioning and Performance of Insurance Firms in Kenya. Unpublished MBA Thesis, University of Nairobi</w:t>
      </w:r>
    </w:p>
    <w:p>
      <w:pPr>
        <w:pStyle w:val="16"/>
        <w:spacing w:before="0"/>
        <w:ind w:left="720" w:hanging="720"/>
        <w:rPr>
          <w:rFonts w:eastAsia="Calibri"/>
          <w:color w:val="000000"/>
          <w14:ligatures w14:val="standardContextual"/>
        </w:rPr>
      </w:pPr>
      <w:r>
        <w:rPr>
          <w:rFonts w:eastAsia="Calibri"/>
          <w:color w:val="000000"/>
          <w14:ligatures w14:val="standardContextual"/>
        </w:rPr>
        <w:t>Scott, W. R. (1987). The adolescence of institutional theory. Administrative Science Quarterly, 32(1), 493- 511.</w:t>
      </w:r>
    </w:p>
    <w:p>
      <w:pPr>
        <w:pStyle w:val="16"/>
        <w:spacing w:before="0"/>
        <w:ind w:left="720" w:hanging="720"/>
        <w:rPr>
          <w:rFonts w:eastAsia="Calibri"/>
          <w:color w:val="000000"/>
          <w14:ligatures w14:val="standardContextual"/>
        </w:rPr>
      </w:pPr>
      <w:r>
        <w:rPr>
          <w:rFonts w:eastAsia="Calibri"/>
          <w:color w:val="000000"/>
          <w14:ligatures w14:val="standardContextual"/>
        </w:rPr>
        <w:t>Shawar, K., &amp; Danish, A. (2019). Factors affecting financial performance of insurance industry in Pakistan. Research Journal of Finance and Accounting, 10(5), 29-41.</w:t>
      </w:r>
    </w:p>
    <w:p>
      <w:pPr>
        <w:pStyle w:val="16"/>
        <w:spacing w:before="0"/>
        <w:ind w:left="720" w:hanging="720"/>
        <w:rPr>
          <w:rFonts w:eastAsia="Calibri"/>
          <w:color w:val="000000"/>
          <w14:ligatures w14:val="standardContextual"/>
        </w:rPr>
      </w:pPr>
      <w:r>
        <w:rPr>
          <w:rFonts w:eastAsia="Calibri"/>
          <w:color w:val="000000"/>
          <w14:ligatures w14:val="standardContextual"/>
        </w:rPr>
        <w:t>Singh, S. K., Basuki, B. &amp; Setiawan, R. (2021). The Effect of Non-Performing Loan on Profitability: Empirical Evidence from Nepalese Commercial banks. Journal of Asian Finance, Economics and Business, 8 (4), 2021</w:t>
      </w:r>
    </w:p>
    <w:p>
      <w:pPr>
        <w:pStyle w:val="16"/>
        <w:spacing w:before="0"/>
        <w:ind w:left="720" w:hanging="720"/>
        <w:rPr>
          <w:rFonts w:eastAsia="Calibri"/>
          <w:color w:val="000000"/>
          <w14:ligatures w14:val="standardContextual"/>
        </w:rPr>
      </w:pPr>
      <w:r>
        <w:rPr>
          <w:rFonts w:eastAsia="Calibri"/>
          <w:color w:val="000000"/>
          <w14:ligatures w14:val="standardContextual"/>
        </w:rPr>
        <w:t>Study.Com (2024). Growth &amp; Development | Overview, Difference &amp; Examples. Retrieved 9th February from https://study.com/learn/lesson/growth-development-overview-examples.html</w:t>
      </w:r>
    </w:p>
    <w:p>
      <w:pPr>
        <w:pStyle w:val="16"/>
        <w:spacing w:before="0"/>
        <w:ind w:left="720" w:hanging="720"/>
        <w:rPr>
          <w:rFonts w:eastAsia="Calibri"/>
          <w:color w:val="000000"/>
          <w14:ligatures w14:val="standardContextual"/>
        </w:rPr>
      </w:pPr>
      <w:r>
        <w:rPr>
          <w:rFonts w:eastAsia="Calibri"/>
          <w:color w:val="000000"/>
          <w14:ligatures w14:val="standardContextual"/>
        </w:rPr>
        <w:t>Tarsono, O., Ardheta, P. A. and Amriyan, R. (2020). The Influence of Net Premium Growth, Claim Ratio and Risk-Based Capital on the Financial Performance of Life Insurance Companies. Advances in Economics, Business and Management Research, 127(1), 65-68</w:t>
      </w:r>
    </w:p>
    <w:p>
      <w:pPr>
        <w:pStyle w:val="16"/>
        <w:spacing w:before="0"/>
        <w:ind w:left="720" w:hanging="720"/>
        <w:rPr>
          <w:rFonts w:eastAsia="Calibri"/>
          <w:color w:val="000000"/>
          <w14:ligatures w14:val="standardContextual"/>
        </w:rPr>
      </w:pPr>
      <w:r>
        <w:rPr>
          <w:rFonts w:eastAsia="Calibri"/>
          <w:color w:val="000000"/>
          <w14:ligatures w14:val="standardContextual"/>
        </w:rPr>
        <w:t>Vithessonthi, C., &amp; Tongurai, J. (2015). The effect of firm size on the leverage- performance relationship during the financial crisis of 2007-2009. Journal of Multinational Financial Management, 29(1), 1–29.</w:t>
      </w:r>
    </w:p>
    <w:p>
      <w:pPr>
        <w:pStyle w:val="16"/>
        <w:spacing w:before="0"/>
        <w:ind w:left="720" w:hanging="720"/>
        <w:rPr>
          <w:rFonts w:eastAsia="Calibri"/>
          <w:color w:val="000000"/>
          <w14:ligatures w14:val="standardContextual"/>
        </w:rPr>
      </w:pPr>
      <w:r>
        <w:rPr>
          <w:rFonts w:eastAsia="Calibri"/>
          <w:color w:val="000000"/>
          <w14:ligatures w14:val="standardContextual"/>
        </w:rPr>
        <w:t>Wafula, N. W. (2020). Firm Characteristics and Financial Stability of Commercial Banks in Kenya. Doctoral Dissertation. University of Kenyatta.</w:t>
      </w:r>
    </w:p>
    <w:p>
      <w:pPr>
        <w:pStyle w:val="16"/>
        <w:spacing w:before="0"/>
        <w:ind w:left="720" w:hanging="720"/>
        <w:rPr>
          <w:rFonts w:eastAsia="Calibri"/>
          <w:color w:val="000000"/>
          <w14:ligatures w14:val="standardContextual"/>
        </w:rPr>
      </w:pPr>
      <w:r>
        <w:rPr>
          <w:rFonts w:eastAsia="Calibri"/>
          <w:color w:val="000000"/>
          <w14:ligatures w14:val="standardContextual"/>
        </w:rPr>
        <w:t>Zogning, F. (2017). Agency theory: A critical review. European journal of business and management, 9(2), 1-8.</w:t>
      </w:r>
    </w:p>
    <w:p>
      <w:pPr>
        <w:pStyle w:val="16"/>
        <w:spacing w:before="0" w:beforeAutospacing="0"/>
        <w:ind w:left="720" w:hanging="720"/>
        <w:rPr>
          <w:color w:val="000000" w:themeColor="text1"/>
          <w14:textFill>
            <w14:solidFill>
              <w14:schemeClr w14:val="tx1"/>
            </w14:solidFill>
          </w14:textFill>
        </w:rPr>
      </w:pPr>
      <w:r>
        <w:rPr>
          <w:rFonts w:eastAsia="Calibri"/>
          <w:color w:val="000000"/>
          <w14:ligatures w14:val="standardContextual"/>
        </w:rPr>
        <w:t>Zucker, L. G. (1988). Where do institutional patterns come from? Organizations as actors in social systems. Cambridge, MA Ballinger</w:t>
      </w:r>
    </w:p>
    <w:sectPr>
      <w:headerReference r:id="rId9" w:type="first"/>
      <w:footerReference r:id="rId12" w:type="first"/>
      <w:headerReference r:id="rId7" w:type="default"/>
      <w:footerReference r:id="rId10" w:type="default"/>
      <w:headerReference r:id="rId8" w:type="even"/>
      <w:footerReference r:id="rId11" w:type="even"/>
      <w:pgSz w:w="12240" w:h="15840"/>
      <w:pgMar w:top="1094" w:right="605" w:bottom="605" w:left="605" w:header="346" w:footer="403"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R KOLA FIJABI" w:date="2025-11-21T18:57:31Z" w:initials="M">
    <w:p w14:paraId="364F1D75">
      <w:pPr>
        <w:pStyle w:val="11"/>
        <w:rPr>
          <w:rFonts w:hint="default"/>
          <w:lang w:val="en-US"/>
        </w:rPr>
      </w:pPr>
      <w:r>
        <w:rPr>
          <w:rFonts w:hint="default"/>
          <w:lang w:val="en-US"/>
        </w:rPr>
        <w:t>examined</w:t>
      </w:r>
    </w:p>
  </w:comment>
  <w:comment w:id="1" w:author="MR KOLA FIJABI" w:date="2025-11-21T18:59:32Z" w:initials="M">
    <w:p w14:paraId="0DA86AFF">
      <w:pPr>
        <w:pStyle w:val="11"/>
        <w:rPr>
          <w:rFonts w:hint="default"/>
          <w:lang w:val="en-US"/>
        </w:rPr>
      </w:pPr>
      <w:r>
        <w:rPr>
          <w:rFonts w:hint="default"/>
          <w:lang w:val="en-US"/>
        </w:rPr>
        <w:t>Not required in an abstract</w:t>
      </w:r>
    </w:p>
  </w:comment>
  <w:comment w:id="2" w:author="MR KOLA FIJABI" w:date="2025-11-21T19:00:37Z" w:initials="M">
    <w:p w14:paraId="42FB6831">
      <w:pPr>
        <w:pStyle w:val="11"/>
        <w:rPr>
          <w:rFonts w:hint="default"/>
          <w:lang w:val="en-US"/>
        </w:rPr>
      </w:pPr>
      <w:r>
        <w:rPr>
          <w:rFonts w:hint="default"/>
          <w:lang w:val="en-US"/>
        </w:rPr>
        <w:t>indicated</w:t>
      </w:r>
    </w:p>
  </w:comment>
  <w:comment w:id="3" w:author="MR KOLA FIJABI" w:date="2025-11-21T19:01:02Z" w:initials="M">
    <w:p w14:paraId="0E201D9E">
      <w:pPr>
        <w:pStyle w:val="11"/>
        <w:rPr>
          <w:rFonts w:hint="default"/>
          <w:lang w:val="en-US"/>
        </w:rPr>
      </w:pPr>
      <w:r>
        <w:rPr>
          <w:rFonts w:hint="default"/>
          <w:lang w:val="en-US"/>
        </w:rPr>
        <w:t>exerted</w:t>
      </w:r>
    </w:p>
  </w:comment>
  <w:comment w:id="4" w:author="MR KOLA FIJABI" w:date="2025-11-21T19:02:02Z" w:initials="M">
    <w:p w14:paraId="19F73708">
      <w:pPr>
        <w:pStyle w:val="11"/>
        <w:rPr>
          <w:rFonts w:hint="default"/>
          <w:lang w:val="en-US"/>
        </w:rPr>
      </w:pPr>
      <w:r>
        <w:rPr>
          <w:rFonts w:hint="default"/>
          <w:lang w:val="en-US"/>
        </w:rPr>
        <w:t>moderated</w:t>
      </w:r>
    </w:p>
  </w:comment>
  <w:comment w:id="5" w:author="MR KOLA FIJABI" w:date="2025-11-21T19:05:21Z" w:initials="M">
    <w:p w14:paraId="5EB5316C">
      <w:pPr>
        <w:pStyle w:val="11"/>
        <w:rPr>
          <w:rFonts w:hint="default"/>
          <w:lang w:val="en-US"/>
        </w:rPr>
      </w:pPr>
      <w:r>
        <w:rPr>
          <w:rFonts w:hint="default"/>
          <w:lang w:val="en-US"/>
        </w:rPr>
        <w:t>Not necessary</w:t>
      </w:r>
    </w:p>
    <w:p w14:paraId="5FD51E8E">
      <w:pPr>
        <w:pStyle w:val="11"/>
        <w:rPr>
          <w:rFonts w:hint="default"/>
          <w:lang w:val="en-US"/>
        </w:rPr>
      </w:pPr>
      <w:r>
        <w:rPr>
          <w:rFonts w:hint="default"/>
          <w:lang w:val="en-US"/>
        </w:rPr>
        <w:t xml:space="preserve">The word length is 262 words. Conform with the maximum word length of the journal </w:t>
      </w:r>
    </w:p>
  </w:comment>
  <w:comment w:id="6" w:author="MR KOLA FIJABI" w:date="2025-11-21T19:07:14Z" w:initials="M">
    <w:p w14:paraId="723251BF">
      <w:pPr>
        <w:pStyle w:val="11"/>
        <w:rPr>
          <w:rFonts w:hint="default"/>
          <w:lang w:val="en-US"/>
        </w:rPr>
      </w:pPr>
      <w:r>
        <w:rPr>
          <w:rFonts w:hint="default"/>
          <w:lang w:val="en-US"/>
        </w:rPr>
        <w:t>Arrange them alphabetically</w:t>
      </w:r>
    </w:p>
  </w:comment>
  <w:comment w:id="7" w:author="MR KOLA FIJABI" w:date="2025-11-21T19:09:12Z" w:initials="M">
    <w:p w14:paraId="145927F2">
      <w:pPr>
        <w:pStyle w:val="11"/>
        <w:rPr>
          <w:rFonts w:hint="default"/>
          <w:lang w:val="en-US"/>
        </w:rPr>
      </w:pPr>
      <w:r>
        <w:rPr>
          <w:rFonts w:hint="default"/>
          <w:lang w:val="en-US"/>
        </w:rPr>
        <w:t>Use fist author et al and, publication year for authors more than two</w:t>
      </w:r>
    </w:p>
  </w:comment>
  <w:comment w:id="8" w:author="MR KOLA FIJABI" w:date="2025-11-21T19:14:06Z" w:initials="M">
    <w:p w14:paraId="721C6D5C">
      <w:pPr>
        <w:pStyle w:val="11"/>
        <w:rPr>
          <w:rFonts w:hint="default"/>
          <w:lang w:val="en-US"/>
        </w:rPr>
      </w:pPr>
      <w:r>
        <w:rPr>
          <w:rFonts w:hint="default"/>
          <w:lang w:val="en-US"/>
        </w:rPr>
        <w:t>Use et al</w:t>
      </w:r>
    </w:p>
  </w:comment>
  <w:comment w:id="9" w:author="MR KOLA FIJABI" w:date="2025-11-21T19:18:13Z" w:initials="M">
    <w:p w14:paraId="35DE3532">
      <w:pPr>
        <w:pStyle w:val="11"/>
        <w:rPr>
          <w:rFonts w:hint="default"/>
          <w:lang w:val="en-US"/>
        </w:rPr>
      </w:pPr>
      <w:r>
        <w:rPr>
          <w:rFonts w:hint="default"/>
          <w:lang w:val="en-US"/>
        </w:rPr>
        <w:t>See previous comment</w:t>
      </w:r>
    </w:p>
  </w:comment>
  <w:comment w:id="10" w:author="MR KOLA FIJABI" w:date="2025-11-21T19:52:08Z" w:initials="M">
    <w:p w14:paraId="1D3B5C45">
      <w:pPr>
        <w:pStyle w:val="11"/>
        <w:rPr>
          <w:rFonts w:hint="default"/>
          <w:lang w:val="en-US"/>
        </w:rPr>
      </w:pPr>
      <w:r>
        <w:rPr>
          <w:rFonts w:hint="default"/>
          <w:lang w:val="en-US"/>
        </w:rPr>
        <w:t>See previous comment</w:t>
      </w:r>
    </w:p>
  </w:comment>
  <w:comment w:id="11" w:author="MR KOLA FIJABI" w:date="2025-11-21T19:54:58Z" w:initials="M">
    <w:p w14:paraId="33F6758B">
      <w:pPr>
        <w:pStyle w:val="11"/>
        <w:rPr>
          <w:rFonts w:hint="default"/>
          <w:lang w:val="en-US"/>
        </w:rPr>
      </w:pPr>
      <w:r>
        <w:rPr>
          <w:rFonts w:hint="default"/>
          <w:lang w:val="en-US"/>
        </w:rPr>
        <w:t>See previous comments</w:t>
      </w:r>
    </w:p>
  </w:comment>
  <w:comment w:id="12" w:author="MR KOLA FIJABI" w:date="2025-11-21T19:59:31Z" w:initials="M">
    <w:p w14:paraId="6F5517D2">
      <w:pPr>
        <w:pStyle w:val="11"/>
        <w:rPr>
          <w:rFonts w:hint="default"/>
          <w:lang w:val="en-US"/>
        </w:rPr>
      </w:pPr>
      <w:r>
        <w:rPr>
          <w:rFonts w:hint="default"/>
          <w:lang w:val="en-US"/>
        </w:rPr>
        <w:t>See previous comments</w:t>
      </w:r>
    </w:p>
  </w:comment>
  <w:comment w:id="13" w:author="MR KOLA FIJABI" w:date="2025-11-21T20:00:40Z" w:initials="M">
    <w:p w14:paraId="75517E34">
      <w:pPr>
        <w:pStyle w:val="11"/>
        <w:rPr>
          <w:rFonts w:hint="default"/>
          <w:lang w:val="en-US"/>
        </w:rPr>
      </w:pPr>
      <w:r>
        <w:rPr>
          <w:rFonts w:hint="default"/>
          <w:lang w:val="en-US"/>
        </w:rPr>
        <w:t>See previous comments</w:t>
      </w:r>
    </w:p>
  </w:comment>
  <w:comment w:id="14" w:author="MR KOLA FIJABI" w:date="2025-11-21T20:10:25Z" w:initials="M">
    <w:p w14:paraId="763D3903">
      <w:pPr>
        <w:pStyle w:val="11"/>
        <w:rPr>
          <w:rFonts w:hint="default"/>
          <w:lang w:val="en-US"/>
        </w:rPr>
      </w:pPr>
      <w:r>
        <w:rPr>
          <w:rFonts w:hint="default"/>
          <w:lang w:val="en-US"/>
        </w:rPr>
        <w:t>What is the current situation after 2020?</w:t>
      </w:r>
    </w:p>
  </w:comment>
  <w:comment w:id="15" w:author="MR KOLA FIJABI" w:date="2025-11-21T20:12:25Z" w:initials="M">
    <w:p w14:paraId="74E05B4B">
      <w:pPr>
        <w:pStyle w:val="11"/>
        <w:rPr>
          <w:rFonts w:hint="default"/>
          <w:lang w:val="en-US"/>
        </w:rPr>
      </w:pPr>
      <w:r>
        <w:rPr>
          <w:rFonts w:hint="default"/>
          <w:lang w:val="en-US"/>
        </w:rPr>
        <w:t>Research problem, ovjectives and significance can be part of introduction</w:t>
      </w:r>
    </w:p>
  </w:comment>
  <w:comment w:id="16" w:author="MR KOLA FIJABI" w:date="2025-11-21T20:21:10Z" w:initials="M">
    <w:p w14:paraId="780D3115">
      <w:pPr>
        <w:pStyle w:val="11"/>
        <w:rPr>
          <w:rFonts w:hint="default"/>
          <w:lang w:val="en-US"/>
        </w:rPr>
      </w:pPr>
      <w:r>
        <w:rPr>
          <w:rFonts w:hint="default"/>
          <w:lang w:val="en-US"/>
        </w:rPr>
        <w:t>Provide conceptual review</w:t>
      </w:r>
    </w:p>
    <w:p w14:paraId="3A392D10">
      <w:pPr>
        <w:pStyle w:val="11"/>
        <w:rPr>
          <w:rFonts w:hint="default"/>
          <w:lang w:val="en-US"/>
        </w:rPr>
      </w:pPr>
      <w:r>
        <w:rPr>
          <w:rFonts w:hint="default"/>
          <w:lang w:val="en-US"/>
        </w:rPr>
        <w:t>Bring them from introduction</w:t>
      </w:r>
    </w:p>
  </w:comment>
  <w:comment w:id="17" w:author="MR KOLA FIJABI" w:date="2025-11-21T20:19:44Z" w:initials="M">
    <w:p w14:paraId="4EAF7053">
      <w:pPr>
        <w:pStyle w:val="11"/>
        <w:rPr>
          <w:rFonts w:hint="default"/>
          <w:lang w:val="en-US"/>
        </w:rPr>
      </w:pPr>
      <w:r>
        <w:rPr>
          <w:rFonts w:hint="default"/>
          <w:lang w:val="en-US"/>
        </w:rPr>
        <w:t>Number the theories for appropriate identification</w:t>
      </w:r>
    </w:p>
  </w:comment>
  <w:comment w:id="18" w:author="MR KOLA FIJABI" w:date="2025-11-21T20:18:40Z" w:initials="M">
    <w:p w14:paraId="313E2551">
      <w:pPr>
        <w:pStyle w:val="11"/>
        <w:rPr>
          <w:rFonts w:hint="default"/>
          <w:lang w:val="en-US"/>
        </w:rPr>
      </w:pPr>
      <w:r>
        <w:rPr>
          <w:rFonts w:hint="default"/>
          <w:lang w:val="en-US"/>
        </w:rPr>
        <w:t>Organize the reviews according to the objectives</w:t>
      </w:r>
    </w:p>
  </w:comment>
  <w:comment w:id="19" w:author="MR KOLA FIJABI" w:date="2025-11-21T20:42:32Z" w:initials="M">
    <w:p w14:paraId="1CA26F2F">
      <w:pPr>
        <w:pStyle w:val="11"/>
        <w:rPr>
          <w:rFonts w:hint="default"/>
          <w:lang w:val="en-US"/>
        </w:rPr>
      </w:pPr>
      <w:r>
        <w:rPr>
          <w:rFonts w:hint="default"/>
          <w:lang w:val="en-US"/>
        </w:rPr>
        <w:t>What gaps are being filled by the study?</w:t>
      </w:r>
    </w:p>
  </w:comment>
  <w:comment w:id="20" w:author="MR KOLA FIJABI" w:date="2025-11-21T20:35:38Z" w:initials="M">
    <w:p w14:paraId="24F97925">
      <w:pPr>
        <w:pStyle w:val="11"/>
        <w:rPr>
          <w:rFonts w:hint="default"/>
          <w:lang w:val="en-US"/>
        </w:rPr>
      </w:pPr>
      <w:r>
        <w:rPr>
          <w:rFonts w:hint="default"/>
          <w:lang w:val="en-US"/>
        </w:rPr>
        <w:t>31 Research design</w:t>
      </w:r>
    </w:p>
    <w:p w14:paraId="3EFA4D91">
      <w:pPr>
        <w:pStyle w:val="11"/>
        <w:rPr>
          <w:rFonts w:hint="default"/>
          <w:lang w:val="en-US"/>
        </w:rPr>
      </w:pPr>
      <w:r>
        <w:rPr>
          <w:rFonts w:hint="default"/>
          <w:lang w:val="en-US"/>
        </w:rPr>
        <w:t>3.2 Population</w:t>
      </w:r>
    </w:p>
    <w:p w14:paraId="61CB1ADD">
      <w:pPr>
        <w:pStyle w:val="11"/>
        <w:rPr>
          <w:rFonts w:hint="default"/>
          <w:lang w:val="en-US"/>
        </w:rPr>
      </w:pPr>
      <w:r>
        <w:rPr>
          <w:rFonts w:hint="default"/>
          <w:lang w:val="en-US"/>
        </w:rPr>
        <w:t>3.3 Sample size and sampling technique</w:t>
      </w:r>
    </w:p>
    <w:p w14:paraId="20A97C6F">
      <w:pPr>
        <w:pStyle w:val="11"/>
        <w:rPr>
          <w:rFonts w:hint="default"/>
          <w:lang w:val="en-US"/>
        </w:rPr>
      </w:pPr>
      <w:r>
        <w:rPr>
          <w:rFonts w:hint="default"/>
          <w:lang w:val="en-US"/>
        </w:rPr>
        <w:t>3.4 Mrthod of data collection</w:t>
      </w:r>
    </w:p>
    <w:p w14:paraId="42C65038">
      <w:pPr>
        <w:pStyle w:val="11"/>
        <w:rPr>
          <w:rFonts w:hint="default"/>
          <w:lang w:val="en-US"/>
        </w:rPr>
      </w:pPr>
      <w:r>
        <w:rPr>
          <w:rFonts w:hint="default"/>
          <w:lang w:val="en-US"/>
        </w:rPr>
        <w:t>3.5 Method of data analysis</w:t>
      </w:r>
    </w:p>
    <w:p w14:paraId="52FE259E">
      <w:pPr>
        <w:pStyle w:val="11"/>
        <w:rPr>
          <w:rFonts w:hint="default"/>
          <w:lang w:val="en-US"/>
        </w:rPr>
      </w:pPr>
      <w:r>
        <w:rPr>
          <w:rFonts w:hint="default"/>
          <w:lang w:val="en-US"/>
        </w:rPr>
        <w:t>3.6 Model specification</w:t>
      </w:r>
    </w:p>
    <w:p w14:paraId="2E5778D6">
      <w:pPr>
        <w:pStyle w:val="11"/>
        <w:rPr>
          <w:rFonts w:hint="default"/>
          <w:lang w:val="en-US"/>
        </w:rPr>
      </w:pPr>
      <w:r>
        <w:rPr>
          <w:rFonts w:hint="default"/>
          <w:lang w:val="en-US"/>
        </w:rPr>
        <w:t>3.7 Variable measurements</w:t>
      </w:r>
    </w:p>
  </w:comment>
  <w:comment w:id="21" w:author="MR KOLA FIJABI" w:date="2025-11-21T20:41:24Z" w:initials="M">
    <w:p w14:paraId="0F6B45E8">
      <w:pPr>
        <w:pStyle w:val="11"/>
        <w:rPr>
          <w:rFonts w:hint="default"/>
          <w:lang w:val="en-US"/>
        </w:rPr>
      </w:pPr>
      <w:r>
        <w:rPr>
          <w:rFonts w:hint="default"/>
          <w:lang w:val="en-US"/>
        </w:rPr>
        <w:t>No model specification was provided</w:t>
      </w:r>
    </w:p>
    <w:p w14:paraId="462818EF">
      <w:pPr>
        <w:pStyle w:val="11"/>
        <w:rPr>
          <w:rFonts w:hint="default"/>
          <w:lang w:val="en-US"/>
        </w:rPr>
      </w:pPr>
      <w:r>
        <w:rPr>
          <w:rFonts w:hint="default"/>
          <w:lang w:val="en-US"/>
        </w:rPr>
        <w:t xml:space="preserve">The model should reflect the objectives of the study </w:t>
      </w:r>
    </w:p>
  </w:comment>
  <w:comment w:id="22" w:author="MR KOLA FIJABI" w:date="2025-11-21T20:44:46Z" w:initials="M">
    <w:p w14:paraId="068B2D5E">
      <w:pPr>
        <w:pStyle w:val="11"/>
        <w:rPr>
          <w:rFonts w:hint="default"/>
          <w:lang w:val="en-US"/>
        </w:rPr>
      </w:pPr>
      <w:r>
        <w:rPr>
          <w:rFonts w:hint="default"/>
          <w:lang w:val="en-US"/>
        </w:rPr>
        <w:t>No table was provided to confirm the figures unsed in descriptive statistics. This is a major gap</w:t>
      </w:r>
    </w:p>
  </w:comment>
  <w:comment w:id="23" w:author="MR KOLA FIJABI" w:date="2025-11-21T20:54:30Z" w:initials="M">
    <w:p w14:paraId="4E447C45">
      <w:pPr>
        <w:pStyle w:val="11"/>
        <w:rPr>
          <w:rFonts w:hint="default"/>
          <w:lang w:val="en-US"/>
        </w:rPr>
      </w:pPr>
      <w:r>
        <w:rPr>
          <w:rFonts w:hint="default"/>
          <w:lang w:val="en-US"/>
        </w:rPr>
        <w:t>No regression table was provided to see the results of the tests carried out. It becomes difficult to confirm the figures used in the analysis and follow the results..</w:t>
      </w:r>
    </w:p>
  </w:comment>
  <w:comment w:id="24" w:author="MR KOLA FIJABI" w:date="2025-11-21T20:57:33Z" w:initials="M">
    <w:p w14:paraId="206359EF">
      <w:pPr>
        <w:pStyle w:val="11"/>
        <w:rPr>
          <w:rFonts w:hint="default"/>
          <w:lang w:val="en-US"/>
        </w:rPr>
      </w:pPr>
      <w:r>
        <w:rPr>
          <w:rFonts w:hint="default"/>
          <w:lang w:val="en-US"/>
        </w:rPr>
        <w:t>&amp; RECOMMENDATIONS</w:t>
      </w:r>
    </w:p>
  </w:comment>
  <w:comment w:id="25" w:author="MR KOLA FIJABI" w:date="2025-11-21T20:58:18Z" w:initials="M">
    <w:p w14:paraId="0F7D0557">
      <w:pPr>
        <w:pStyle w:val="11"/>
        <w:rPr>
          <w:rFonts w:hint="default"/>
          <w:lang w:val="en-US"/>
        </w:rPr>
      </w:pPr>
      <w:r>
        <w:rPr>
          <w:rFonts w:hint="default"/>
          <w:lang w:val="en-US"/>
        </w:rPr>
        <w:t>5.1 CONCLUSION</w:t>
      </w:r>
    </w:p>
  </w:comment>
  <w:comment w:id="26" w:author="MR KOLA FIJABI" w:date="2025-11-21T20:58:48Z" w:initials="M">
    <w:p w14:paraId="11E9603A">
      <w:pPr>
        <w:pStyle w:val="11"/>
        <w:rPr>
          <w:rFonts w:hint="default"/>
          <w:lang w:val="en-US"/>
        </w:rPr>
      </w:pPr>
      <w:r>
        <w:rPr>
          <w:rFonts w:hint="default"/>
          <w:lang w:val="en-US"/>
        </w:rPr>
        <w:t>5.2</w:t>
      </w:r>
    </w:p>
  </w:comment>
  <w:comment w:id="27" w:author="MR KOLA FIJABI" w:date="2025-11-21T21:10:54Z" w:initials="M">
    <w:p w14:paraId="390B7CD8">
      <w:pPr>
        <w:pStyle w:val="11"/>
        <w:rPr>
          <w:rFonts w:hint="default"/>
          <w:lang w:val="en-US"/>
        </w:rPr>
      </w:pPr>
      <w:r>
        <w:rPr>
          <w:rFonts w:hint="default"/>
          <w:lang w:val="en-US"/>
        </w:rPr>
        <w:t>Ensure all references are cited in the body of this work</w:t>
      </w:r>
      <w:bookmarkStart w:id="3" w:name="_GoBack"/>
      <w:bookmarkEnd w:id="3"/>
    </w:p>
  </w:comment>
  <w:comment w:id="28" w:author="MR KOLA FIJABI" w:date="2025-11-21T21:00:03Z" w:initials="M">
    <w:p w14:paraId="6BC256A1">
      <w:pPr>
        <w:pStyle w:val="11"/>
        <w:rPr>
          <w:rFonts w:hint="default"/>
          <w:lang w:val="en-US"/>
        </w:rPr>
      </w:pPr>
      <w:r>
        <w:rPr>
          <w:rFonts w:hint="default"/>
          <w:lang w:val="en-US"/>
        </w:rPr>
        <w:t>Are they not the same?</w:t>
      </w:r>
    </w:p>
    <w:p w14:paraId="0575755F">
      <w:pPr>
        <w:pStyle w:val="11"/>
        <w:rPr>
          <w:rFonts w:hint="default"/>
          <w:lang w:val="en-US"/>
        </w:rPr>
      </w:pPr>
      <w:r>
        <w:rPr>
          <w:rFonts w:hint="default"/>
          <w:lang w:val="en-US"/>
        </w:rPr>
        <w:t>Take one and remove the other</w:t>
      </w:r>
    </w:p>
  </w:comment>
  <w:comment w:id="29" w:author="MR KOLA FIJABI" w:date="2025-11-21T21:02:46Z" w:initials="M">
    <w:p w14:paraId="0650769F">
      <w:pPr>
        <w:pStyle w:val="11"/>
        <w:rPr>
          <w:rFonts w:hint="default"/>
          <w:lang w:val="en-US"/>
        </w:rPr>
      </w:pPr>
      <w:r>
        <w:rPr>
          <w:rFonts w:hint="default"/>
          <w:lang w:val="en-US"/>
        </w:rPr>
        <w:t>Not cited</w:t>
      </w:r>
    </w:p>
  </w:comment>
  <w:comment w:id="30" w:author="MR KOLA FIJABI" w:date="2025-11-21T21:06:26Z" w:initials="M">
    <w:p w14:paraId="26B51760">
      <w:pPr>
        <w:pStyle w:val="11"/>
        <w:rPr>
          <w:rFonts w:hint="default"/>
          <w:lang w:val="en-US"/>
        </w:rPr>
      </w:pPr>
      <w:r>
        <w:rPr>
          <w:rFonts w:hint="default"/>
          <w:lang w:val="en-US"/>
        </w:rPr>
        <w:t>Not cited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4F1D75" w15:done="0"/>
  <w15:commentEx w15:paraId="0DA86AFF" w15:done="0"/>
  <w15:commentEx w15:paraId="42FB6831" w15:done="0"/>
  <w15:commentEx w15:paraId="0E201D9E" w15:done="0"/>
  <w15:commentEx w15:paraId="19F73708" w15:done="0"/>
  <w15:commentEx w15:paraId="5FD51E8E" w15:done="0"/>
  <w15:commentEx w15:paraId="723251BF" w15:done="0"/>
  <w15:commentEx w15:paraId="145927F2" w15:done="0"/>
  <w15:commentEx w15:paraId="721C6D5C" w15:done="0"/>
  <w15:commentEx w15:paraId="35DE3532" w15:done="0"/>
  <w15:commentEx w15:paraId="1D3B5C45" w15:done="0"/>
  <w15:commentEx w15:paraId="33F6758B" w15:done="0"/>
  <w15:commentEx w15:paraId="6F5517D2" w15:done="0"/>
  <w15:commentEx w15:paraId="75517E34" w15:done="0"/>
  <w15:commentEx w15:paraId="763D3903" w15:done="0"/>
  <w15:commentEx w15:paraId="74E05B4B" w15:done="0"/>
  <w15:commentEx w15:paraId="3A392D10" w15:done="0"/>
  <w15:commentEx w15:paraId="4EAF7053" w15:done="0"/>
  <w15:commentEx w15:paraId="313E2551" w15:done="0"/>
  <w15:commentEx w15:paraId="1CA26F2F" w15:done="0"/>
  <w15:commentEx w15:paraId="2E5778D6" w15:done="0"/>
  <w15:commentEx w15:paraId="462818EF" w15:done="0"/>
  <w15:commentEx w15:paraId="068B2D5E" w15:done="0"/>
  <w15:commentEx w15:paraId="4E447C45" w15:done="0"/>
  <w15:commentEx w15:paraId="206359EF" w15:done="0"/>
  <w15:commentEx w15:paraId="0F7D0557" w15:done="0"/>
  <w15:commentEx w15:paraId="11E9603A" w15:done="0"/>
  <w15:commentEx w15:paraId="390B7CD8" w15:done="0"/>
  <w15:commentEx w15:paraId="0575755F" w15:done="0"/>
  <w15:commentEx w15:paraId="0650769F" w15:done="0"/>
  <w15:commentEx w15:paraId="26B517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36679"/>
      <w:docPartObj>
        <w:docPartGallery w:val="AutoText"/>
      </w:docPartObj>
    </w:sdtPr>
    <w:sdtEndPr>
      <w:rPr>
        <w:sz w:val="20"/>
        <w:szCs w:val="18"/>
      </w:rPr>
    </w:sdtEndPr>
    <w:sdtContent>
      <w:p>
        <w:pPr>
          <w:pStyle w:val="13"/>
          <w:jc w:val="center"/>
          <w:rPr>
            <w:sz w:val="20"/>
            <w:szCs w:val="18"/>
          </w:rPr>
        </w:pPr>
        <w:r>
          <w:rPr>
            <w:sz w:val="20"/>
            <w:szCs w:val="18"/>
          </w:rPr>
          <w:fldChar w:fldCharType="begin"/>
        </w:r>
        <w:r>
          <w:rPr>
            <w:sz w:val="20"/>
            <w:szCs w:val="18"/>
          </w:rPr>
          <w:instrText xml:space="preserve"> PAGE   \* MERGEFORMAT </w:instrText>
        </w:r>
        <w:r>
          <w:rPr>
            <w:sz w:val="20"/>
            <w:szCs w:val="18"/>
          </w:rPr>
          <w:fldChar w:fldCharType="separate"/>
        </w:r>
        <w:r>
          <w:rPr>
            <w:sz w:val="20"/>
            <w:szCs w:val="18"/>
          </w:rPr>
          <w:t>17</w:t>
        </w:r>
        <w:r>
          <w:rPr>
            <w:sz w:val="20"/>
            <w:szCs w:val="18"/>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32797658" o:spid="_x0000_s2051" o:spt="136" type="#_x0000_t136" style="position:absolute;left:0pt;height:77.75pt;width:699.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32797657" o:spid="_x0000_s2050" o:spt="136" type="#_x0000_t136" style="position:absolute;left:0pt;height:77.75pt;width:699.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32797656" o:spid="_x0000_s2049" o:spt="136" type="#_x0000_t136" style="position:absolute;left:0pt;height:77.75pt;width:699.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20DB1"/>
    <w:multiLevelType w:val="multilevel"/>
    <w:tmpl w:val="71120DB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R KOLA FIJABI">
    <w15:presenceInfo w15:providerId="None" w15:userId="MR KOLA FIJAB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83"/>
    <w:rsid w:val="00005286"/>
    <w:rsid w:val="00014726"/>
    <w:rsid w:val="0001490C"/>
    <w:rsid w:val="00036654"/>
    <w:rsid w:val="000410EC"/>
    <w:rsid w:val="000443AB"/>
    <w:rsid w:val="000446E8"/>
    <w:rsid w:val="00047D61"/>
    <w:rsid w:val="0005136B"/>
    <w:rsid w:val="00055D83"/>
    <w:rsid w:val="00057744"/>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D075E"/>
    <w:rsid w:val="000D0F56"/>
    <w:rsid w:val="000D1B44"/>
    <w:rsid w:val="000D7152"/>
    <w:rsid w:val="000D7DAA"/>
    <w:rsid w:val="000E11E7"/>
    <w:rsid w:val="000E2349"/>
    <w:rsid w:val="00111B62"/>
    <w:rsid w:val="001163C7"/>
    <w:rsid w:val="00130874"/>
    <w:rsid w:val="00131EAA"/>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2C98"/>
    <w:rsid w:val="001937CB"/>
    <w:rsid w:val="001938DE"/>
    <w:rsid w:val="001A1E1C"/>
    <w:rsid w:val="001A5880"/>
    <w:rsid w:val="001C0412"/>
    <w:rsid w:val="001C35CA"/>
    <w:rsid w:val="001C4B7D"/>
    <w:rsid w:val="001D23A9"/>
    <w:rsid w:val="001D4A55"/>
    <w:rsid w:val="001D4CB5"/>
    <w:rsid w:val="001D6A60"/>
    <w:rsid w:val="001E0043"/>
    <w:rsid w:val="001E21F0"/>
    <w:rsid w:val="001E5289"/>
    <w:rsid w:val="001E649F"/>
    <w:rsid w:val="001F024F"/>
    <w:rsid w:val="001F27A6"/>
    <w:rsid w:val="001F2B0E"/>
    <w:rsid w:val="001F39EA"/>
    <w:rsid w:val="001F51C1"/>
    <w:rsid w:val="001F7468"/>
    <w:rsid w:val="00204AAD"/>
    <w:rsid w:val="0021142D"/>
    <w:rsid w:val="002151BA"/>
    <w:rsid w:val="0022048F"/>
    <w:rsid w:val="0022156B"/>
    <w:rsid w:val="00223099"/>
    <w:rsid w:val="00223A1A"/>
    <w:rsid w:val="0022500A"/>
    <w:rsid w:val="00243C69"/>
    <w:rsid w:val="0024737A"/>
    <w:rsid w:val="0025131C"/>
    <w:rsid w:val="0025160E"/>
    <w:rsid w:val="0025635B"/>
    <w:rsid w:val="00260B2D"/>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4259"/>
    <w:rsid w:val="002D7340"/>
    <w:rsid w:val="002E3874"/>
    <w:rsid w:val="002E784F"/>
    <w:rsid w:val="002F03DA"/>
    <w:rsid w:val="002F3573"/>
    <w:rsid w:val="002F4817"/>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A2387"/>
    <w:rsid w:val="003C4227"/>
    <w:rsid w:val="003C54DA"/>
    <w:rsid w:val="003C581F"/>
    <w:rsid w:val="003C59BB"/>
    <w:rsid w:val="003C67DD"/>
    <w:rsid w:val="003C7107"/>
    <w:rsid w:val="003D2541"/>
    <w:rsid w:val="003D39AB"/>
    <w:rsid w:val="003D4D6F"/>
    <w:rsid w:val="003D7198"/>
    <w:rsid w:val="003E0D69"/>
    <w:rsid w:val="003E0FAD"/>
    <w:rsid w:val="003F01AE"/>
    <w:rsid w:val="003F72A0"/>
    <w:rsid w:val="00406845"/>
    <w:rsid w:val="004071F4"/>
    <w:rsid w:val="00407977"/>
    <w:rsid w:val="00412A96"/>
    <w:rsid w:val="0041566F"/>
    <w:rsid w:val="00415ABE"/>
    <w:rsid w:val="004165B3"/>
    <w:rsid w:val="00416E73"/>
    <w:rsid w:val="00421CF2"/>
    <w:rsid w:val="0042251A"/>
    <w:rsid w:val="00426617"/>
    <w:rsid w:val="00426CDB"/>
    <w:rsid w:val="00437393"/>
    <w:rsid w:val="00440EF7"/>
    <w:rsid w:val="00462B59"/>
    <w:rsid w:val="00466181"/>
    <w:rsid w:val="004737A8"/>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4010"/>
    <w:rsid w:val="004F5A5D"/>
    <w:rsid w:val="00500683"/>
    <w:rsid w:val="00505972"/>
    <w:rsid w:val="0051495F"/>
    <w:rsid w:val="0052143B"/>
    <w:rsid w:val="00525F21"/>
    <w:rsid w:val="00526412"/>
    <w:rsid w:val="0052667E"/>
    <w:rsid w:val="00531B5F"/>
    <w:rsid w:val="005417F4"/>
    <w:rsid w:val="0054398C"/>
    <w:rsid w:val="00546369"/>
    <w:rsid w:val="00547CE2"/>
    <w:rsid w:val="00556C7C"/>
    <w:rsid w:val="00561737"/>
    <w:rsid w:val="00563CE7"/>
    <w:rsid w:val="005666F9"/>
    <w:rsid w:val="00571717"/>
    <w:rsid w:val="00571F99"/>
    <w:rsid w:val="005740B5"/>
    <w:rsid w:val="00575F00"/>
    <w:rsid w:val="00591DBD"/>
    <w:rsid w:val="005926C9"/>
    <w:rsid w:val="00594F68"/>
    <w:rsid w:val="005A1956"/>
    <w:rsid w:val="005A7A36"/>
    <w:rsid w:val="005B04D7"/>
    <w:rsid w:val="005B0558"/>
    <w:rsid w:val="005D3FE1"/>
    <w:rsid w:val="005D72F4"/>
    <w:rsid w:val="005E3D2C"/>
    <w:rsid w:val="005E7EAB"/>
    <w:rsid w:val="005F1DA5"/>
    <w:rsid w:val="005F2F50"/>
    <w:rsid w:val="0060683F"/>
    <w:rsid w:val="00610BEF"/>
    <w:rsid w:val="0061111A"/>
    <w:rsid w:val="00615B2D"/>
    <w:rsid w:val="00616E93"/>
    <w:rsid w:val="006177C4"/>
    <w:rsid w:val="006211E5"/>
    <w:rsid w:val="00622E5D"/>
    <w:rsid w:val="00623C02"/>
    <w:rsid w:val="00632E53"/>
    <w:rsid w:val="00652189"/>
    <w:rsid w:val="0065654C"/>
    <w:rsid w:val="00661AAF"/>
    <w:rsid w:val="00675C16"/>
    <w:rsid w:val="006826A1"/>
    <w:rsid w:val="00683F32"/>
    <w:rsid w:val="00685621"/>
    <w:rsid w:val="00685965"/>
    <w:rsid w:val="0068692A"/>
    <w:rsid w:val="006A0520"/>
    <w:rsid w:val="006B1220"/>
    <w:rsid w:val="006B3C88"/>
    <w:rsid w:val="006B5A8E"/>
    <w:rsid w:val="006B5CA2"/>
    <w:rsid w:val="006C3DFD"/>
    <w:rsid w:val="006C41A9"/>
    <w:rsid w:val="006C4D79"/>
    <w:rsid w:val="006D16E8"/>
    <w:rsid w:val="006E1D74"/>
    <w:rsid w:val="006E3F3F"/>
    <w:rsid w:val="006E526B"/>
    <w:rsid w:val="0070085D"/>
    <w:rsid w:val="00711AB4"/>
    <w:rsid w:val="00714562"/>
    <w:rsid w:val="0071731F"/>
    <w:rsid w:val="007173FC"/>
    <w:rsid w:val="00717F18"/>
    <w:rsid w:val="007205CE"/>
    <w:rsid w:val="00722A32"/>
    <w:rsid w:val="00723B81"/>
    <w:rsid w:val="007313ED"/>
    <w:rsid w:val="0073222F"/>
    <w:rsid w:val="00750F50"/>
    <w:rsid w:val="007614D9"/>
    <w:rsid w:val="0076188C"/>
    <w:rsid w:val="00762807"/>
    <w:rsid w:val="007656A9"/>
    <w:rsid w:val="0077042C"/>
    <w:rsid w:val="00772A04"/>
    <w:rsid w:val="00774F84"/>
    <w:rsid w:val="007769D0"/>
    <w:rsid w:val="00777615"/>
    <w:rsid w:val="007846B3"/>
    <w:rsid w:val="00784B96"/>
    <w:rsid w:val="00785F6F"/>
    <w:rsid w:val="007902E4"/>
    <w:rsid w:val="00790BF9"/>
    <w:rsid w:val="00795B86"/>
    <w:rsid w:val="00797B58"/>
    <w:rsid w:val="007A0442"/>
    <w:rsid w:val="007A2567"/>
    <w:rsid w:val="007A48D9"/>
    <w:rsid w:val="007A56B8"/>
    <w:rsid w:val="007A602B"/>
    <w:rsid w:val="007A6B64"/>
    <w:rsid w:val="007A7328"/>
    <w:rsid w:val="007A784F"/>
    <w:rsid w:val="007A7BFC"/>
    <w:rsid w:val="007B3AE1"/>
    <w:rsid w:val="007B75C6"/>
    <w:rsid w:val="007C3182"/>
    <w:rsid w:val="007C6929"/>
    <w:rsid w:val="007D08AC"/>
    <w:rsid w:val="007D4F35"/>
    <w:rsid w:val="007E3458"/>
    <w:rsid w:val="007E5A6C"/>
    <w:rsid w:val="007F1318"/>
    <w:rsid w:val="007F4F3C"/>
    <w:rsid w:val="008003E7"/>
    <w:rsid w:val="0081762C"/>
    <w:rsid w:val="008209F0"/>
    <w:rsid w:val="00822A7E"/>
    <w:rsid w:val="008263C5"/>
    <w:rsid w:val="008456FF"/>
    <w:rsid w:val="00854FF7"/>
    <w:rsid w:val="00857BF9"/>
    <w:rsid w:val="00860F17"/>
    <w:rsid w:val="00870B4E"/>
    <w:rsid w:val="008718EE"/>
    <w:rsid w:val="00872612"/>
    <w:rsid w:val="00876501"/>
    <w:rsid w:val="00880213"/>
    <w:rsid w:val="00895281"/>
    <w:rsid w:val="008A5E87"/>
    <w:rsid w:val="008B0097"/>
    <w:rsid w:val="008B4F87"/>
    <w:rsid w:val="008B511B"/>
    <w:rsid w:val="008B630B"/>
    <w:rsid w:val="008B7836"/>
    <w:rsid w:val="008B7D65"/>
    <w:rsid w:val="008C2098"/>
    <w:rsid w:val="008D43EA"/>
    <w:rsid w:val="008D472A"/>
    <w:rsid w:val="008E2312"/>
    <w:rsid w:val="008F4E62"/>
    <w:rsid w:val="00906288"/>
    <w:rsid w:val="00912F66"/>
    <w:rsid w:val="0092006B"/>
    <w:rsid w:val="00925466"/>
    <w:rsid w:val="0092720B"/>
    <w:rsid w:val="00935ABF"/>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632"/>
    <w:rsid w:val="009F6D2D"/>
    <w:rsid w:val="00A00A05"/>
    <w:rsid w:val="00A0120F"/>
    <w:rsid w:val="00A01B25"/>
    <w:rsid w:val="00A01E19"/>
    <w:rsid w:val="00A22EB7"/>
    <w:rsid w:val="00A27439"/>
    <w:rsid w:val="00A31119"/>
    <w:rsid w:val="00A40F08"/>
    <w:rsid w:val="00A52C12"/>
    <w:rsid w:val="00A53CB4"/>
    <w:rsid w:val="00A57832"/>
    <w:rsid w:val="00A616A9"/>
    <w:rsid w:val="00A6679B"/>
    <w:rsid w:val="00A67F40"/>
    <w:rsid w:val="00A73EDF"/>
    <w:rsid w:val="00A75341"/>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D67CF"/>
    <w:rsid w:val="00AE3911"/>
    <w:rsid w:val="00AE4AA5"/>
    <w:rsid w:val="00AE69E8"/>
    <w:rsid w:val="00AF253B"/>
    <w:rsid w:val="00AF38F9"/>
    <w:rsid w:val="00AF46F3"/>
    <w:rsid w:val="00B00FCB"/>
    <w:rsid w:val="00B03327"/>
    <w:rsid w:val="00B04E6C"/>
    <w:rsid w:val="00B108BB"/>
    <w:rsid w:val="00B14EAC"/>
    <w:rsid w:val="00B2188D"/>
    <w:rsid w:val="00B21AF4"/>
    <w:rsid w:val="00B22173"/>
    <w:rsid w:val="00B40B7A"/>
    <w:rsid w:val="00B40DD3"/>
    <w:rsid w:val="00B449E1"/>
    <w:rsid w:val="00B44B78"/>
    <w:rsid w:val="00B55CEF"/>
    <w:rsid w:val="00B55DC9"/>
    <w:rsid w:val="00B67158"/>
    <w:rsid w:val="00B717D1"/>
    <w:rsid w:val="00B71D77"/>
    <w:rsid w:val="00B836B4"/>
    <w:rsid w:val="00B85E42"/>
    <w:rsid w:val="00B87A83"/>
    <w:rsid w:val="00B93488"/>
    <w:rsid w:val="00B943F4"/>
    <w:rsid w:val="00B9497F"/>
    <w:rsid w:val="00BA58DB"/>
    <w:rsid w:val="00BA790C"/>
    <w:rsid w:val="00BB1899"/>
    <w:rsid w:val="00BB3A83"/>
    <w:rsid w:val="00BC2524"/>
    <w:rsid w:val="00BC6A0A"/>
    <w:rsid w:val="00BC7830"/>
    <w:rsid w:val="00BD0E33"/>
    <w:rsid w:val="00BD15A0"/>
    <w:rsid w:val="00BD64EB"/>
    <w:rsid w:val="00BD7BE1"/>
    <w:rsid w:val="00BE1869"/>
    <w:rsid w:val="00BE24E1"/>
    <w:rsid w:val="00BE5008"/>
    <w:rsid w:val="00BF3C23"/>
    <w:rsid w:val="00BF6F97"/>
    <w:rsid w:val="00C01423"/>
    <w:rsid w:val="00C0320B"/>
    <w:rsid w:val="00C03297"/>
    <w:rsid w:val="00C053F5"/>
    <w:rsid w:val="00C06731"/>
    <w:rsid w:val="00C10FCA"/>
    <w:rsid w:val="00C1335A"/>
    <w:rsid w:val="00C237CE"/>
    <w:rsid w:val="00C25488"/>
    <w:rsid w:val="00C32AB8"/>
    <w:rsid w:val="00C35625"/>
    <w:rsid w:val="00C371B8"/>
    <w:rsid w:val="00C4118B"/>
    <w:rsid w:val="00C54577"/>
    <w:rsid w:val="00C67694"/>
    <w:rsid w:val="00C809BE"/>
    <w:rsid w:val="00C864EE"/>
    <w:rsid w:val="00C9348C"/>
    <w:rsid w:val="00C95979"/>
    <w:rsid w:val="00CA2418"/>
    <w:rsid w:val="00CA37C0"/>
    <w:rsid w:val="00CA6BD4"/>
    <w:rsid w:val="00CB6E82"/>
    <w:rsid w:val="00CE4C91"/>
    <w:rsid w:val="00CE7EED"/>
    <w:rsid w:val="00CF7125"/>
    <w:rsid w:val="00CF7422"/>
    <w:rsid w:val="00D15E77"/>
    <w:rsid w:val="00D16476"/>
    <w:rsid w:val="00D20B1E"/>
    <w:rsid w:val="00D21679"/>
    <w:rsid w:val="00D242AA"/>
    <w:rsid w:val="00D257C4"/>
    <w:rsid w:val="00D257F6"/>
    <w:rsid w:val="00D26C8B"/>
    <w:rsid w:val="00D309F6"/>
    <w:rsid w:val="00D352C1"/>
    <w:rsid w:val="00D35C0E"/>
    <w:rsid w:val="00D36322"/>
    <w:rsid w:val="00D4525C"/>
    <w:rsid w:val="00D530BF"/>
    <w:rsid w:val="00D54CAA"/>
    <w:rsid w:val="00D56393"/>
    <w:rsid w:val="00D56DAA"/>
    <w:rsid w:val="00D656A4"/>
    <w:rsid w:val="00D665A0"/>
    <w:rsid w:val="00D73F27"/>
    <w:rsid w:val="00D74259"/>
    <w:rsid w:val="00D7477F"/>
    <w:rsid w:val="00D7785F"/>
    <w:rsid w:val="00D916BC"/>
    <w:rsid w:val="00D94638"/>
    <w:rsid w:val="00DA0813"/>
    <w:rsid w:val="00DB266B"/>
    <w:rsid w:val="00DB408B"/>
    <w:rsid w:val="00DC406B"/>
    <w:rsid w:val="00DC4076"/>
    <w:rsid w:val="00DC411F"/>
    <w:rsid w:val="00DC6ECC"/>
    <w:rsid w:val="00DD21C0"/>
    <w:rsid w:val="00DD507F"/>
    <w:rsid w:val="00DE2430"/>
    <w:rsid w:val="00DE5974"/>
    <w:rsid w:val="00DF126E"/>
    <w:rsid w:val="00E05059"/>
    <w:rsid w:val="00E0554F"/>
    <w:rsid w:val="00E07021"/>
    <w:rsid w:val="00E1065F"/>
    <w:rsid w:val="00E1453F"/>
    <w:rsid w:val="00E160F3"/>
    <w:rsid w:val="00E17890"/>
    <w:rsid w:val="00E22B03"/>
    <w:rsid w:val="00E22FC8"/>
    <w:rsid w:val="00E236F2"/>
    <w:rsid w:val="00E24AB2"/>
    <w:rsid w:val="00E31A3E"/>
    <w:rsid w:val="00E3230A"/>
    <w:rsid w:val="00E3709F"/>
    <w:rsid w:val="00E41E2F"/>
    <w:rsid w:val="00E442D1"/>
    <w:rsid w:val="00E448DE"/>
    <w:rsid w:val="00E468EC"/>
    <w:rsid w:val="00E5141C"/>
    <w:rsid w:val="00E518FD"/>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C5319"/>
    <w:rsid w:val="00EC58C5"/>
    <w:rsid w:val="00ED008A"/>
    <w:rsid w:val="00EE0214"/>
    <w:rsid w:val="00F00D01"/>
    <w:rsid w:val="00F01BA4"/>
    <w:rsid w:val="00F02225"/>
    <w:rsid w:val="00F05D67"/>
    <w:rsid w:val="00F111A2"/>
    <w:rsid w:val="00F14915"/>
    <w:rsid w:val="00F16858"/>
    <w:rsid w:val="00F23691"/>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E0F"/>
    <w:rsid w:val="00FB3030"/>
    <w:rsid w:val="00FB4E25"/>
    <w:rsid w:val="00FC34D0"/>
    <w:rsid w:val="00FC4A1C"/>
    <w:rsid w:val="00FD3DAC"/>
    <w:rsid w:val="00FD4A02"/>
    <w:rsid w:val="00FD6FD6"/>
    <w:rsid w:val="00FE5B93"/>
    <w:rsid w:val="00FE6B26"/>
    <w:rsid w:val="00FE7703"/>
    <w:rsid w:val="5BFF3487"/>
    <w:rsid w:val="74811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after="0" w:line="480" w:lineRule="auto"/>
      <w:jc w:val="both"/>
    </w:pPr>
    <w:rPr>
      <w:rFonts w:ascii="Times New Roman" w:hAnsi="Times New Roman" w:eastAsia="Calibri" w:cs="SimSun"/>
      <w:color w:val="000000"/>
      <w:kern w:val="0"/>
      <w:sz w:val="24"/>
      <w:szCs w:val="22"/>
      <w:lang w:val="en-US" w:eastAsia="en-US" w:bidi="ar-SA"/>
      <w14:ligatures w14:val="standardContextual"/>
    </w:rPr>
  </w:style>
  <w:style w:type="paragraph" w:styleId="2">
    <w:name w:val="heading 1"/>
    <w:basedOn w:val="1"/>
    <w:next w:val="1"/>
    <w:link w:val="19"/>
    <w:qFormat/>
    <w:uiPriority w:val="9"/>
    <w:pPr>
      <w:keepNext/>
      <w:keepLines/>
      <w:spacing w:before="600" w:after="120" w:line="240" w:lineRule="auto"/>
      <w:outlineLvl w:val="0"/>
    </w:pPr>
    <w:rPr>
      <w:rFonts w:eastAsia="Times New Roman" w:cs="Times New Roman"/>
      <w:b/>
      <w:color w:val="000000" w:themeColor="text1"/>
      <w:kern w:val="2"/>
      <w:sz w:val="28"/>
      <w:szCs w:val="28"/>
      <w:u w:val="single"/>
      <w14:textFill>
        <w14:solidFill>
          <w14:schemeClr w14:val="tx1"/>
        </w14:solidFill>
      </w14:textFill>
    </w:rPr>
  </w:style>
  <w:style w:type="paragraph" w:styleId="3">
    <w:name w:val="heading 2"/>
    <w:basedOn w:val="1"/>
    <w:next w:val="1"/>
    <w:link w:val="28"/>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0"/>
    <w:semiHidden/>
    <w:unhideWhenUsed/>
    <w:qFormat/>
    <w:uiPriority w:val="9"/>
    <w:pPr>
      <w:keepNext/>
      <w:keepLines/>
      <w:spacing w:before="40"/>
      <w:outlineLvl w:val="2"/>
    </w:pPr>
    <w:rPr>
      <w:rFonts w:asciiTheme="majorHAnsi" w:hAnsiTheme="majorHAnsi" w:eastAsiaTheme="majorEastAsia" w:cstheme="majorBidi"/>
      <w:color w:val="203864" w:themeColor="accent1" w:themeShade="80"/>
      <w:szCs w:val="24"/>
    </w:rPr>
  </w:style>
  <w:style w:type="paragraph" w:styleId="5">
    <w:name w:val="heading 4"/>
    <w:basedOn w:val="1"/>
    <w:next w:val="1"/>
    <w:link w:val="29"/>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40"/>
      <w:outlineLvl w:val="4"/>
    </w:pPr>
    <w:rPr>
      <w:rFonts w:asciiTheme="majorHAnsi" w:hAnsiTheme="majorHAnsi" w:eastAsiaTheme="majorEastAsia" w:cstheme="majorBidi"/>
      <w:color w:val="2F5597" w:themeColor="accent1" w:themeShade="B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ody Text"/>
    <w:basedOn w:val="1"/>
    <w:link w:val="24"/>
    <w:qFormat/>
    <w:uiPriority w:val="1"/>
    <w:pPr>
      <w:widowControl w:val="0"/>
      <w:autoSpaceDE w:val="0"/>
      <w:autoSpaceDN w:val="0"/>
      <w:spacing w:before="0" w:line="240" w:lineRule="auto"/>
      <w:jc w:val="left"/>
    </w:pPr>
    <w:rPr>
      <w:rFonts w:eastAsia="Times New Roman" w:cs="Times New Roman"/>
      <w:color w:val="auto"/>
      <w:szCs w:val="24"/>
      <w:lang w:val="en-GB"/>
      <w14:ligatures w14:val="none"/>
    </w:rPr>
  </w:style>
  <w:style w:type="paragraph" w:styleId="10">
    <w:name w:val="caption"/>
    <w:basedOn w:val="1"/>
    <w:next w:val="1"/>
    <w:unhideWhenUsed/>
    <w:qFormat/>
    <w:uiPriority w:val="35"/>
    <w:pPr>
      <w:spacing w:before="0" w:after="200" w:line="240" w:lineRule="auto"/>
    </w:pPr>
    <w:rPr>
      <w:rFonts w:eastAsia="Times New Roman" w:cs="Times New Roman"/>
      <w:b/>
      <w:bCs/>
      <w:color w:val="4472C4" w:themeColor="accent1"/>
      <w:sz w:val="18"/>
      <w:szCs w:val="18"/>
      <w14:textFill>
        <w14:solidFill>
          <w14:schemeClr w14:val="accent1"/>
        </w14:solidFill>
      </w14:textFill>
      <w14:ligatures w14:val="none"/>
    </w:rPr>
  </w:style>
  <w:style w:type="paragraph" w:styleId="11">
    <w:name w:val="annotation text"/>
    <w:basedOn w:val="1"/>
    <w:semiHidden/>
    <w:unhideWhenUsed/>
    <w:uiPriority w:val="99"/>
    <w:pPr>
      <w:jc w:val="left"/>
    </w:pPr>
  </w:style>
  <w:style w:type="character" w:styleId="12">
    <w:name w:val="Emphasis"/>
    <w:qFormat/>
    <w:uiPriority w:val="0"/>
    <w:rPr>
      <w:i/>
      <w:iCs/>
    </w:rPr>
  </w:style>
  <w:style w:type="paragraph" w:styleId="13">
    <w:name w:val="footer"/>
    <w:basedOn w:val="1"/>
    <w:link w:val="23"/>
    <w:unhideWhenUsed/>
    <w:qFormat/>
    <w:uiPriority w:val="99"/>
    <w:pPr>
      <w:tabs>
        <w:tab w:val="center" w:pos="4680"/>
        <w:tab w:val="right" w:pos="9360"/>
      </w:tabs>
      <w:spacing w:before="0" w:line="240" w:lineRule="auto"/>
    </w:pPr>
  </w:style>
  <w:style w:type="paragraph" w:styleId="14">
    <w:name w:val="header"/>
    <w:basedOn w:val="1"/>
    <w:link w:val="46"/>
    <w:unhideWhenUsed/>
    <w:qFormat/>
    <w:uiPriority w:val="99"/>
    <w:pPr>
      <w:tabs>
        <w:tab w:val="center" w:pos="4680"/>
        <w:tab w:val="right" w:pos="9360"/>
      </w:tabs>
      <w:spacing w:before="0" w:line="240" w:lineRule="auto"/>
    </w:pPr>
  </w:style>
  <w:style w:type="character" w:styleId="15">
    <w:name w:val="Hyperlink"/>
    <w:basedOn w:val="7"/>
    <w:unhideWhenUsed/>
    <w:qFormat/>
    <w:uiPriority w:val="99"/>
    <w:rPr>
      <w:color w:val="0563C1" w:themeColor="hyperlink"/>
      <w:u w:val="single"/>
      <w14:textFill>
        <w14:solidFill>
          <w14:schemeClr w14:val="hlink"/>
        </w14:solidFill>
      </w14:textFill>
    </w:rPr>
  </w:style>
  <w:style w:type="paragraph" w:styleId="16">
    <w:name w:val="Normal (Web)"/>
    <w:basedOn w:val="1"/>
    <w:unhideWhenUsed/>
    <w:uiPriority w:val="99"/>
    <w:pPr>
      <w:spacing w:before="100" w:beforeAutospacing="1" w:after="100" w:afterAutospacing="1" w:line="240" w:lineRule="auto"/>
      <w:jc w:val="left"/>
    </w:pPr>
    <w:rPr>
      <w:rFonts w:eastAsia="Times New Roman" w:cs="Times New Roman"/>
      <w:color w:val="auto"/>
      <w:szCs w:val="24"/>
      <w14:ligatures w14:val="none"/>
    </w:rPr>
  </w:style>
  <w:style w:type="character" w:styleId="17">
    <w:name w:val="Strong"/>
    <w:basedOn w:val="7"/>
    <w:qFormat/>
    <w:uiPriority w:val="22"/>
    <w:rPr>
      <w:b/>
      <w:bCs/>
    </w:rPr>
  </w:style>
  <w:style w:type="table" w:styleId="18">
    <w:name w:val="Table Grid"/>
    <w:basedOn w:val="8"/>
    <w:qFormat/>
    <w:uiPriority w:val="5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Heading 1 Char"/>
    <w:basedOn w:val="7"/>
    <w:link w:val="2"/>
    <w:qFormat/>
    <w:uiPriority w:val="9"/>
    <w:rPr>
      <w:rFonts w:ascii="Times New Roman" w:hAnsi="Times New Roman" w:eastAsia="Times New Roman" w:cs="Times New Roman"/>
      <w:b/>
      <w:color w:val="000000" w:themeColor="text1"/>
      <w:sz w:val="28"/>
      <w:szCs w:val="28"/>
      <w:u w:val="single"/>
      <w14:textFill>
        <w14:solidFill>
          <w14:schemeClr w14:val="tx1"/>
        </w14:solidFill>
      </w14:textFill>
    </w:rPr>
  </w:style>
  <w:style w:type="character" w:customStyle="1" w:styleId="20">
    <w:name w:val="Heading 5 Char"/>
    <w:basedOn w:val="7"/>
    <w:link w:val="6"/>
    <w:qFormat/>
    <w:uiPriority w:val="9"/>
    <w:rPr>
      <w:rFonts w:asciiTheme="majorHAnsi" w:hAnsiTheme="majorHAnsi" w:eastAsiaTheme="majorEastAsia" w:cstheme="majorBidi"/>
      <w:color w:val="2F5597" w:themeColor="accent1" w:themeShade="BF"/>
      <w:kern w:val="0"/>
      <w:sz w:val="24"/>
    </w:rPr>
  </w:style>
  <w:style w:type="character" w:customStyle="1" w:styleId="21">
    <w:name w:val="List Paragraph Char"/>
    <w:link w:val="22"/>
    <w:qFormat/>
    <w:uiPriority w:val="34"/>
    <w:rPr>
      <w:rFonts w:ascii="Calibri" w:hAnsi="Calibri" w:eastAsia="Calibri" w:cs="Times New Roman"/>
    </w:rPr>
  </w:style>
  <w:style w:type="paragraph" w:styleId="22">
    <w:name w:val="List Paragraph"/>
    <w:basedOn w:val="1"/>
    <w:link w:val="21"/>
    <w:qFormat/>
    <w:uiPriority w:val="34"/>
    <w:pPr>
      <w:spacing w:before="120" w:after="200"/>
      <w:ind w:left="720"/>
      <w:contextualSpacing/>
    </w:pPr>
    <w:rPr>
      <w:rFonts w:ascii="Calibri" w:hAnsi="Calibri" w:cs="Times New Roman"/>
      <w:color w:val="auto"/>
      <w:kern w:val="2"/>
      <w:sz w:val="22"/>
    </w:rPr>
  </w:style>
  <w:style w:type="character" w:customStyle="1" w:styleId="23">
    <w:name w:val="Footer Char"/>
    <w:basedOn w:val="7"/>
    <w:link w:val="13"/>
    <w:qFormat/>
    <w:uiPriority w:val="99"/>
    <w:rPr>
      <w:rFonts w:ascii="Times New Roman" w:hAnsi="Times New Roman" w:eastAsia="Calibri" w:cs="SimSun"/>
      <w:color w:val="000000"/>
      <w:kern w:val="0"/>
      <w:sz w:val="24"/>
    </w:rPr>
  </w:style>
  <w:style w:type="character" w:customStyle="1" w:styleId="24">
    <w:name w:val="Body Text Char"/>
    <w:basedOn w:val="7"/>
    <w:link w:val="9"/>
    <w:qFormat/>
    <w:uiPriority w:val="1"/>
    <w:rPr>
      <w:rFonts w:ascii="Times New Roman" w:hAnsi="Times New Roman" w:eastAsia="Times New Roman" w:cs="Times New Roman"/>
      <w:kern w:val="0"/>
      <w:sz w:val="24"/>
      <w:szCs w:val="24"/>
      <w:lang w:val="en-GB"/>
      <w14:ligatures w14:val="none"/>
    </w:rPr>
  </w:style>
  <w:style w:type="paragraph" w:customStyle="1" w:styleId="25">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GB" w:eastAsia="en-US" w:bidi="ar-SA"/>
      <w14:ligatures w14:val="none"/>
    </w:rPr>
  </w:style>
  <w:style w:type="character" w:customStyle="1" w:styleId="26">
    <w:name w:val="apple-converted-space"/>
    <w:basedOn w:val="7"/>
    <w:qFormat/>
    <w:uiPriority w:val="0"/>
  </w:style>
  <w:style w:type="paragraph" w:customStyle="1" w:styleId="27">
    <w:name w:val="Table Paragraph"/>
    <w:basedOn w:val="1"/>
    <w:qFormat/>
    <w:uiPriority w:val="1"/>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28">
    <w:name w:val="Heading 2 Char"/>
    <w:basedOn w:val="7"/>
    <w:link w:val="3"/>
    <w:semiHidden/>
    <w:qFormat/>
    <w:uiPriority w:val="9"/>
    <w:rPr>
      <w:rFonts w:asciiTheme="majorHAnsi" w:hAnsiTheme="majorHAnsi" w:eastAsiaTheme="majorEastAsia" w:cstheme="majorBidi"/>
      <w:color w:val="2F5597" w:themeColor="accent1" w:themeShade="BF"/>
      <w:kern w:val="0"/>
      <w:sz w:val="26"/>
      <w:szCs w:val="26"/>
    </w:rPr>
  </w:style>
  <w:style w:type="character" w:customStyle="1" w:styleId="29">
    <w:name w:val="Heading 4 Char"/>
    <w:basedOn w:val="7"/>
    <w:link w:val="5"/>
    <w:qFormat/>
    <w:uiPriority w:val="9"/>
    <w:rPr>
      <w:rFonts w:asciiTheme="majorHAnsi" w:hAnsiTheme="majorHAnsi" w:eastAsiaTheme="majorEastAsia" w:cstheme="majorBidi"/>
      <w:i/>
      <w:iCs/>
      <w:color w:val="2F5597" w:themeColor="accent1" w:themeShade="BF"/>
      <w:kern w:val="0"/>
      <w:sz w:val="24"/>
    </w:rPr>
  </w:style>
  <w:style w:type="character" w:customStyle="1" w:styleId="30">
    <w:name w:val="Heading 3 Char"/>
    <w:basedOn w:val="7"/>
    <w:link w:val="4"/>
    <w:qFormat/>
    <w:uiPriority w:val="9"/>
    <w:rPr>
      <w:rFonts w:asciiTheme="majorHAnsi" w:hAnsiTheme="majorHAnsi" w:eastAsiaTheme="majorEastAsia" w:cstheme="majorBidi"/>
      <w:color w:val="203864" w:themeColor="accent1" w:themeShade="80"/>
      <w:kern w:val="0"/>
      <w:sz w:val="24"/>
      <w:szCs w:val="24"/>
    </w:rPr>
  </w:style>
  <w:style w:type="paragraph" w:styleId="31">
    <w:name w:val="No Spacing"/>
    <w:qFormat/>
    <w:uiPriority w:val="1"/>
    <w:pPr>
      <w:spacing w:after="0" w:line="240" w:lineRule="auto"/>
      <w:jc w:val="center"/>
    </w:pPr>
    <w:rPr>
      <w:rFonts w:ascii="Times New Roman" w:hAnsi="Times New Roman" w:eastAsiaTheme="minorHAnsi" w:cstheme="minorBidi"/>
      <w:b/>
      <w:i/>
      <w:color w:val="000000" w:themeColor="text1"/>
      <w:kern w:val="0"/>
      <w:sz w:val="24"/>
      <w:szCs w:val="22"/>
      <w:lang w:val="en-US" w:eastAsia="en-US" w:bidi="ar-SA"/>
      <w14:textFill>
        <w14:solidFill>
          <w14:schemeClr w14:val="tx1"/>
        </w14:solidFill>
      </w14:textFill>
      <w14:ligatures w14:val="none"/>
    </w:rPr>
  </w:style>
  <w:style w:type="character" w:customStyle="1" w:styleId="32">
    <w:name w:val="markedcontent"/>
    <w:basedOn w:val="7"/>
    <w:qFormat/>
    <w:uiPriority w:val="0"/>
  </w:style>
  <w:style w:type="paragraph" w:customStyle="1" w:styleId="33">
    <w:name w:val="Tables"/>
    <w:basedOn w:val="1"/>
    <w:link w:val="34"/>
    <w:qFormat/>
    <w:uiPriority w:val="0"/>
    <w:pPr>
      <w:spacing w:before="0" w:line="240" w:lineRule="auto"/>
      <w:jc w:val="left"/>
    </w:pPr>
    <w:rPr>
      <w:rFonts w:cs="Times New Roman" w:eastAsiaTheme="minorHAnsi"/>
      <w:b/>
      <w:color w:val="auto"/>
      <w:szCs w:val="24"/>
      <w14:ligatures w14:val="none"/>
    </w:rPr>
  </w:style>
  <w:style w:type="character" w:customStyle="1" w:styleId="34">
    <w:name w:val="Tables Char"/>
    <w:basedOn w:val="7"/>
    <w:link w:val="33"/>
    <w:qFormat/>
    <w:uiPriority w:val="0"/>
    <w:rPr>
      <w:rFonts w:ascii="Times New Roman" w:hAnsi="Times New Roman" w:cs="Times New Roman"/>
      <w:b/>
      <w:kern w:val="0"/>
      <w:sz w:val="24"/>
      <w:szCs w:val="24"/>
      <w14:ligatures w14:val="none"/>
    </w:rPr>
  </w:style>
  <w:style w:type="character" w:customStyle="1" w:styleId="35">
    <w:name w:val="Unresolved Mention1"/>
    <w:basedOn w:val="7"/>
    <w:semiHidden/>
    <w:unhideWhenUsed/>
    <w:qFormat/>
    <w:uiPriority w:val="99"/>
    <w:rPr>
      <w:color w:val="605E5C"/>
      <w:shd w:val="clear" w:color="auto" w:fill="E1DFDD"/>
    </w:rPr>
  </w:style>
  <w:style w:type="paragraph" w:customStyle="1" w:styleId="36">
    <w:name w:val="TABLES"/>
    <w:basedOn w:val="1"/>
    <w:qFormat/>
    <w:uiPriority w:val="0"/>
    <w:pPr>
      <w:spacing w:before="120" w:after="120"/>
    </w:pPr>
    <w:rPr>
      <w:rFonts w:cs="Times New Roman"/>
      <w:b/>
      <w:color w:val="auto"/>
      <w14:ligatures w14:val="none"/>
    </w:rPr>
  </w:style>
  <w:style w:type="table" w:customStyle="1" w:styleId="37">
    <w:name w:val="Plain Table 5"/>
    <w:basedOn w:val="8"/>
    <w:uiPriority w:val="45"/>
    <w:pPr>
      <w:spacing w:after="0" w:line="240" w:lineRule="auto"/>
      <w:jc w:val="both"/>
    </w:pPr>
    <w:rPr>
      <w:kern w:val="0"/>
      <w14:ligatures w14:val="none"/>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38">
    <w:name w:val="List of Tables"/>
    <w:basedOn w:val="10"/>
    <w:next w:val="10"/>
    <w:qFormat/>
    <w:uiPriority w:val="0"/>
    <w:pPr>
      <w:keepNext/>
      <w:jc w:val="left"/>
    </w:pPr>
    <w:rPr>
      <w:rFonts w:eastAsia="Calibri"/>
      <w:color w:val="auto"/>
      <w:kern w:val="2"/>
      <w:sz w:val="24"/>
      <w:szCs w:val="24"/>
      <w14:ligatures w14:val="standardContextual"/>
    </w:rPr>
  </w:style>
  <w:style w:type="character" w:customStyle="1" w:styleId="39">
    <w:name w:val="Unresolved Mention2"/>
    <w:basedOn w:val="7"/>
    <w:semiHidden/>
    <w:unhideWhenUsed/>
    <w:qFormat/>
    <w:uiPriority w:val="99"/>
    <w:rPr>
      <w:color w:val="605E5C"/>
      <w:shd w:val="clear" w:color="auto" w:fill="E1DFDD"/>
    </w:rPr>
  </w:style>
  <w:style w:type="table" w:customStyle="1" w:styleId="40">
    <w:name w:val="Table Grid1"/>
    <w:basedOn w:val="8"/>
    <w:qFormat/>
    <w:uiPriority w:val="39"/>
    <w:pPr>
      <w:spacing w:after="0" w:line="240" w:lineRule="auto"/>
    </w:pPr>
    <w:rPr>
      <w:rFonts w:ascii="Calibri" w:hAnsi="Calibri"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Plain Table 2"/>
    <w:basedOn w:val="8"/>
    <w:qFormat/>
    <w:uiPriority w:val="42"/>
    <w:pPr>
      <w:widowControl w:val="0"/>
      <w:autoSpaceDE w:val="0"/>
      <w:autoSpaceDN w:val="0"/>
      <w:spacing w:after="0" w:line="240" w:lineRule="auto"/>
    </w:pPr>
    <w:rPr>
      <w:kern w:val="0"/>
      <w14:ligatures w14:val="none"/>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2">
    <w:name w:val="Plain Table 21"/>
    <w:basedOn w:val="8"/>
    <w:uiPriority w:val="42"/>
    <w:pPr>
      <w:spacing w:after="0" w:line="240" w:lineRule="auto"/>
    </w:pPr>
    <w:rPr>
      <w:rFonts w:ascii="Calibri" w:hAnsi="Calibri" w:eastAsia="Calibri" w:cs="SimSun"/>
      <w:kern w:val="0"/>
      <w14:ligatures w14:val="none"/>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43">
    <w:name w:val="page_range"/>
    <w:basedOn w:val="7"/>
    <w:qFormat/>
    <w:uiPriority w:val="0"/>
  </w:style>
  <w:style w:type="table" w:customStyle="1" w:styleId="44">
    <w:name w:val="TableGrid"/>
    <w:qFormat/>
    <w:uiPriority w:val="0"/>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45">
    <w:name w:val="Unresolved Mention"/>
    <w:basedOn w:val="7"/>
    <w:semiHidden/>
    <w:unhideWhenUsed/>
    <w:uiPriority w:val="99"/>
    <w:rPr>
      <w:color w:val="605E5C"/>
      <w:shd w:val="clear" w:color="auto" w:fill="E1DFDD"/>
    </w:rPr>
  </w:style>
  <w:style w:type="character" w:customStyle="1" w:styleId="46">
    <w:name w:val="Header Char"/>
    <w:basedOn w:val="7"/>
    <w:link w:val="14"/>
    <w:uiPriority w:val="99"/>
    <w:rPr>
      <w:rFonts w:ascii="Times New Roman" w:hAnsi="Times New Roman" w:eastAsia="Calibri" w:cs="SimSun"/>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9044</Words>
  <Characters>51556</Characters>
  <Lines>429</Lines>
  <Paragraphs>120</Paragraphs>
  <TotalTime>182</TotalTime>
  <ScaleCrop>false</ScaleCrop>
  <LinksUpToDate>false</LinksUpToDate>
  <CharactersWithSpaces>60480</CharactersWithSpaces>
  <Application>WPS Office_11.2.0.10426_F1E327BC-269C-435d-A152-05C5408002CA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2025-11-16T08:06:00Z</dcterms:created>
  <dc:creator>WUCHERERIA BANCROFTI</dc:creator>
  <cp:lastModifiedBy>MR KOLA FIJABI</cp:lastModifiedBy>
  <dcterms:modified xsi:type="dcterms:W3CDTF">2025-11-21T20:11:22Z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F4B355FFE44F4E09A5692077959468ED</vt:lpwstr>
  </property>
</Properties>
</file>