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8FA7" w14:textId="001A73C5" w:rsidR="00D33CC3" w:rsidRDefault="005C77F8" w:rsidP="005C77F8">
      <w:pPr>
        <w:pStyle w:val="Heading1"/>
        <w:jc w:val="center"/>
        <w:rPr>
          <w:rFonts w:asciiTheme="majorBidi" w:hAnsiTheme="majorBidi"/>
          <w:b/>
          <w:bCs/>
          <w:color w:val="auto"/>
          <w:sz w:val="28"/>
          <w:szCs w:val="28"/>
          <w:lang w:val="en-IN"/>
        </w:rPr>
      </w:pPr>
      <w:r w:rsidRPr="005C77F8">
        <w:rPr>
          <w:rFonts w:asciiTheme="majorBidi" w:hAnsiTheme="majorBidi"/>
          <w:b/>
          <w:bCs/>
          <w:color w:val="auto"/>
          <w:sz w:val="28"/>
          <w:szCs w:val="28"/>
        </w:rPr>
        <w:t>Capital Structure Choices and Shareholder Value Creation in High-Cost Borrowing Environments: Evidence from Listed Manufacturing Firms in Nigeria</w:t>
      </w:r>
    </w:p>
    <w:p w14:paraId="17D86EB5" w14:textId="77777777" w:rsidR="001171E1" w:rsidRPr="001171E1" w:rsidRDefault="001171E1" w:rsidP="001171E1">
      <w:pPr>
        <w:rPr>
          <w:lang w:val="en-IN"/>
        </w:rPr>
      </w:pPr>
    </w:p>
    <w:p w14:paraId="6D338CBF" w14:textId="77777777" w:rsidR="00F94D5E" w:rsidRDefault="00F94D5E" w:rsidP="00D83FEE">
      <w:pPr>
        <w:jc w:val="center"/>
        <w:rPr>
          <w:rFonts w:ascii="Times New Roman" w:hAnsi="Times New Roman" w:cs="Times New Roman"/>
          <w:b/>
          <w:sz w:val="24"/>
          <w:szCs w:val="24"/>
        </w:rPr>
      </w:pPr>
    </w:p>
    <w:p w14:paraId="1BA8340B" w14:textId="5CC0D837" w:rsidR="00E14F99" w:rsidRPr="00E14F99" w:rsidRDefault="00E14F99" w:rsidP="00D83FEE">
      <w:pPr>
        <w:jc w:val="center"/>
        <w:rPr>
          <w:rFonts w:asciiTheme="majorBidi" w:hAnsiTheme="majorBidi" w:cstheme="majorBidi"/>
          <w:b/>
          <w:bCs/>
        </w:rPr>
      </w:pPr>
      <w:bookmarkStart w:id="0" w:name="_GoBack"/>
      <w:bookmarkEnd w:id="0"/>
      <w:r w:rsidRPr="00E14F99">
        <w:rPr>
          <w:rFonts w:asciiTheme="majorBidi" w:hAnsiTheme="majorBidi" w:cstheme="majorBidi"/>
          <w:b/>
          <w:bCs/>
        </w:rPr>
        <w:t>Abstract</w:t>
      </w:r>
    </w:p>
    <w:p w14:paraId="4833AA7B" w14:textId="40B6A749" w:rsidR="00E14F99" w:rsidRDefault="00E14F99" w:rsidP="00E14F99">
      <w:pPr>
        <w:jc w:val="both"/>
        <w:rPr>
          <w:rFonts w:asciiTheme="majorBidi" w:hAnsiTheme="majorBidi" w:cstheme="majorBidi"/>
          <w:i/>
          <w:iCs/>
        </w:rPr>
      </w:pPr>
      <w:r w:rsidRPr="00E14F99">
        <w:rPr>
          <w:rFonts w:asciiTheme="majorBidi" w:hAnsiTheme="majorBidi" w:cstheme="majorBidi"/>
          <w:i/>
          <w:iCs/>
        </w:rPr>
        <w:t>This paper examines how capital structure choices relate to shareholders’ wealth in a high-cost borrowing environment, using panel data for 43 listed Nigerian manufacturing firms over 2013 to 2023 (473 firm-year observations). Shareholders’ wealth is proxied by market capitalisation, with short-term and long-term interest-bearing debt as the principal regressors, cost of debt as a conditioning variable, and profitability and firm size as controls. The empirical strategy relies on pooled Ordinary Least Squares with year effects and firm fixed effects with year effects, with standard errors clustered at the firm level. Interaction terms are constructed from mean-centred debt ratios to aid interpretation and reduce collinearity. The results show that short-term debt is positively and significantly associated with shareholders’ wealth in both estimators, whereas long-term debt is negatively and significantly associated with shareholders’ wealth. The direct effect of the cost of debt is negative and statistically significant in the pooled specification but not in fixed effects. In the fixed-effects framework, the cost of debt significantly moderates the debt–wealth relationship, with a positive interaction with short-term debt and a negative interaction with long-term debt. Overall explanatory power is high in OLS with year effects and, as expected, more modest for within-firm variation. The findings highlight the joint importance of tenor mix and borrowing costs for value creation, with practical implications for treasury policy, investor screening, and credit-market interventions in emerging economies.</w:t>
      </w:r>
    </w:p>
    <w:p w14:paraId="5DF07077" w14:textId="019AEE12" w:rsidR="00E14F99" w:rsidRPr="00E14F99" w:rsidRDefault="00E14F99" w:rsidP="00E14F99">
      <w:pPr>
        <w:jc w:val="both"/>
        <w:rPr>
          <w:rFonts w:asciiTheme="majorBidi" w:hAnsiTheme="majorBidi" w:cstheme="majorBidi"/>
          <w:b/>
          <w:bCs/>
          <w:i/>
          <w:iCs/>
        </w:rPr>
      </w:pPr>
      <w:r>
        <w:rPr>
          <w:rFonts w:asciiTheme="majorBidi" w:hAnsiTheme="majorBidi" w:cstheme="majorBidi"/>
          <w:b/>
          <w:bCs/>
          <w:i/>
          <w:iCs/>
        </w:rPr>
        <w:t xml:space="preserve">Keywords: </w:t>
      </w:r>
      <w:r w:rsidRPr="00E14F99">
        <w:rPr>
          <w:rFonts w:asciiTheme="majorBidi" w:hAnsiTheme="majorBidi" w:cstheme="majorBidi"/>
          <w:b/>
          <w:bCs/>
          <w:i/>
          <w:iCs/>
        </w:rPr>
        <w:t>Capital structure; Shareholders’ wealth; Cost of debt; Short-term debt; Long-term debt; Debt maturity structure; Fixed effects panel; Emerging markets; Nigeria; Manufacturing firms</w:t>
      </w:r>
    </w:p>
    <w:p w14:paraId="284A667C" w14:textId="77777777" w:rsidR="00E14F99" w:rsidRPr="00E14F99" w:rsidRDefault="00E14F99" w:rsidP="005C77F8">
      <w:pPr>
        <w:rPr>
          <w:rFonts w:asciiTheme="majorBidi" w:hAnsiTheme="majorBidi" w:cstheme="majorBidi"/>
          <w:b/>
          <w:bCs/>
        </w:rPr>
      </w:pPr>
    </w:p>
    <w:p w14:paraId="0142BC71" w14:textId="77777777" w:rsidR="005C77F8" w:rsidRPr="005C77F8" w:rsidRDefault="005C77F8" w:rsidP="005C77F8">
      <w:pPr>
        <w:pStyle w:val="Heading2"/>
        <w:rPr>
          <w:rFonts w:asciiTheme="majorBidi" w:hAnsiTheme="majorBidi"/>
          <w:color w:val="auto"/>
          <w:sz w:val="24"/>
          <w:szCs w:val="24"/>
        </w:rPr>
      </w:pPr>
      <w:r w:rsidRPr="005C77F8">
        <w:rPr>
          <w:rFonts w:asciiTheme="majorBidi" w:hAnsiTheme="majorBidi"/>
          <w:b/>
          <w:bCs/>
          <w:color w:val="auto"/>
          <w:sz w:val="24"/>
          <w:szCs w:val="24"/>
        </w:rPr>
        <w:t>Introduction</w:t>
      </w:r>
    </w:p>
    <w:p w14:paraId="7843E8FB"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The choice of capital structure remains a fundamental concern in corporate finance because it directly influences firm valuation and the wealth of shareholders. In emerging economies, particularly those characterised by high interest rates and unstable macroeconomic conditions, financing decisions take on an even more critical role. For firms in Nigeria’s manufacturing sector, where borrowing costs are persistently high and access to long-term financing is constrained, the ability to structure debt efficiently is not merely a theoretical consideration but a practical necessity for survival and competitiveness. Understanding how capital structure choices affect shareholder value in such high-cost borrowing environments is therefore of paramount importance to corporate managers, policymakers, and investors.</w:t>
      </w:r>
    </w:p>
    <w:p w14:paraId="604DCC49"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 xml:space="preserve">Shareholder wealth is generally defined as the market value of a firm’s equity, which is most commonly proxied by market capitalisation, dividend returns, and stock price appreciation (Farooq, Su, &amp; Haque, 2016). Capital structure, on the other hand, refers to the mix of debt and equity used to finance a firm’s activities (Modigliani &amp; Miller, 1958). Within this framework, short-term debt provides flexibility and lower financing costs but exposes firms to refinancing risk, while long-term debt offers stability but can exacerbate financial distress in environments where interest rates are high (Smith &amp; Brown, 2015). The cost of debt, which represents the </w:t>
      </w:r>
      <w:r w:rsidRPr="005C77F8">
        <w:rPr>
          <w:rFonts w:asciiTheme="majorBidi" w:hAnsiTheme="majorBidi" w:cstheme="majorBidi"/>
          <w:sz w:val="24"/>
          <w:szCs w:val="24"/>
        </w:rPr>
        <w:lastRenderedPageBreak/>
        <w:t>effective interest rate a firm pays on its borrowings, is a decisive factor that shapes the value outcomes of these financing choices (Damodaran, 2024).</w:t>
      </w:r>
    </w:p>
    <w:p w14:paraId="23A2EF80"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Extant literature has offered significant insights into the capital structure–firm value relationship. Studies in developed economies tend to find that debt can enhance firm value through tax shields until the risk of financial distress outweighs such benefits (Kraus &amp; Litzenberger, 1973; Jensen &amp; Meckling, 1976). Research in emerging markets, however, has produced less consistent results. For instance, Chen and Wang (2017) report that short-term debt depresses market value in China’s manufacturing firms, whereas Froko (2017) finds that short-term financial leverage enhances shareholder wealth in Ghanaian banks. Recent studies also indicate that high borrowing costs can erode the positive effects of debt financing, particularly long-term debt, in contexts characterised by volatile interest rates and currency fluctuations (Bakri, Sufian, &amp; Chin, 2022; Uwuigbe, Otekunrin, &amp; Otekunrin, 2023).</w:t>
      </w:r>
    </w:p>
    <w:p w14:paraId="3CCAD951"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Despite these contributions, gaps remain in the literature. First, most studies emphasise the direct effects of debt financing on firm value but neglect to account for the moderating role of borrowing costs in high-interest environments. Second, research in African contexts has disproportionately focused on financial institutions, leaving the manufacturing sector underexplored. Third, prior studies often apply single-method regression models, which may fail to fully capture unobserved heterogeneity and temporal shocks inherent in volatile markets. Consequently, there is insufficient evidence on how the interaction between debt maturity choices and cost of borrowing influences shareholder wealth in Nigeria’s manufacturing sector.</w:t>
      </w:r>
    </w:p>
    <w:p w14:paraId="4CFFCDC5"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This study aims to address these gaps by examining the extent to which short-term and long-term debt affect shareholder wealth, and how the cost of debt moderates these relationships in the Nigerian manufacturing sector.</w:t>
      </w:r>
    </w:p>
    <w:p w14:paraId="0C85D423" w14:textId="77777777" w:rsidR="005C77F8" w:rsidRP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Methodologically, the study employs panel data from 43 listed manufacturing firms covering the period 2013 to 2023. Ordinary Least Squares (OLS) with year effects and firm Fixed Effects (FE) with year effects are used to estimate the relationships. By incorporating interaction terms between debt structure and borrowing costs, the analysis isolates the contextual impact of high interest rates on shareholder wealth.</w:t>
      </w:r>
    </w:p>
    <w:p w14:paraId="052806D4" w14:textId="77777777" w:rsidR="005C77F8" w:rsidRDefault="005C77F8" w:rsidP="005C77F8">
      <w:pPr>
        <w:jc w:val="both"/>
        <w:rPr>
          <w:rFonts w:asciiTheme="majorBidi" w:hAnsiTheme="majorBidi" w:cstheme="majorBidi"/>
          <w:sz w:val="24"/>
          <w:szCs w:val="24"/>
        </w:rPr>
      </w:pPr>
      <w:r w:rsidRPr="005C77F8">
        <w:rPr>
          <w:rFonts w:asciiTheme="majorBidi" w:hAnsiTheme="majorBidi" w:cstheme="majorBidi"/>
          <w:sz w:val="24"/>
          <w:szCs w:val="24"/>
        </w:rPr>
        <w:t>The main contribution of this study is threefold. First, it extends capital structure theory by showing how the traditional benefits of debt are conditioned by borrowing costs in emerging markets. Second, it provides empirical evidence from Nigeria’s manufacturing firms, a sector largely overlooked in prior research. Third, it offers practical guidance to managers and policymakers, highlighting the need for cost-efficient debt management strategies to enhance shareholder value in high-cost borrowing environments.</w:t>
      </w:r>
    </w:p>
    <w:p w14:paraId="080B59B2"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 Literature Review</w:t>
      </w:r>
    </w:p>
    <w:p w14:paraId="367CAFF8"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2.1 Theoretical Framework</w:t>
      </w:r>
    </w:p>
    <w:p w14:paraId="6877A0AC"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relationship between capital structure and shareholder wealth has been explained by several key theories of corporate finance. The most influential among these are the </w:t>
      </w:r>
      <w:r w:rsidRPr="006022F8">
        <w:rPr>
          <w:rFonts w:asciiTheme="majorBidi" w:hAnsiTheme="majorBidi" w:cstheme="majorBidi"/>
          <w:b/>
          <w:bCs/>
          <w:sz w:val="24"/>
          <w:szCs w:val="24"/>
        </w:rPr>
        <w:t>Trade-off Theory</w:t>
      </w:r>
      <w:r w:rsidRPr="006022F8">
        <w:rPr>
          <w:rFonts w:asciiTheme="majorBidi" w:hAnsiTheme="majorBidi" w:cstheme="majorBidi"/>
          <w:sz w:val="24"/>
          <w:szCs w:val="24"/>
        </w:rPr>
        <w:t xml:space="preserve">, the </w:t>
      </w:r>
      <w:r w:rsidRPr="006022F8">
        <w:rPr>
          <w:rFonts w:asciiTheme="majorBidi" w:hAnsiTheme="majorBidi" w:cstheme="majorBidi"/>
          <w:b/>
          <w:bCs/>
          <w:sz w:val="24"/>
          <w:szCs w:val="24"/>
        </w:rPr>
        <w:t>Pecking Order Theory</w:t>
      </w:r>
      <w:r w:rsidRPr="006022F8">
        <w:rPr>
          <w:rFonts w:asciiTheme="majorBidi" w:hAnsiTheme="majorBidi" w:cstheme="majorBidi"/>
          <w:sz w:val="24"/>
          <w:szCs w:val="24"/>
        </w:rPr>
        <w:t xml:space="preserve">, and </w:t>
      </w:r>
      <w:r w:rsidRPr="006022F8">
        <w:rPr>
          <w:rFonts w:asciiTheme="majorBidi" w:hAnsiTheme="majorBidi" w:cstheme="majorBidi"/>
          <w:b/>
          <w:bCs/>
          <w:sz w:val="24"/>
          <w:szCs w:val="24"/>
        </w:rPr>
        <w:t>Agency Theory</w:t>
      </w:r>
      <w:r w:rsidRPr="006022F8">
        <w:rPr>
          <w:rFonts w:asciiTheme="majorBidi" w:hAnsiTheme="majorBidi" w:cstheme="majorBidi"/>
          <w:sz w:val="24"/>
          <w:szCs w:val="24"/>
        </w:rPr>
        <w:t>.</w:t>
      </w:r>
    </w:p>
    <w:p w14:paraId="505BCFA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w:t>
      </w:r>
      <w:r w:rsidRPr="006022F8">
        <w:rPr>
          <w:rFonts w:asciiTheme="majorBidi" w:hAnsiTheme="majorBidi" w:cstheme="majorBidi"/>
          <w:b/>
          <w:bCs/>
          <w:sz w:val="24"/>
          <w:szCs w:val="24"/>
        </w:rPr>
        <w:t>Trade-off Theory</w:t>
      </w:r>
      <w:r w:rsidRPr="006022F8">
        <w:rPr>
          <w:rFonts w:asciiTheme="majorBidi" w:hAnsiTheme="majorBidi" w:cstheme="majorBidi"/>
          <w:sz w:val="24"/>
          <w:szCs w:val="24"/>
        </w:rPr>
        <w:t xml:space="preserve"> posits that firms balance the benefits of debt, particularly the tax shield provided by interest deductibility, against the costs of financial distress and bankruptcy (Kraus &amp; Litzenberger, 1973). Under this framework, firms maximise value by choosing an optimal </w:t>
      </w:r>
      <w:r w:rsidRPr="006022F8">
        <w:rPr>
          <w:rFonts w:asciiTheme="majorBidi" w:hAnsiTheme="majorBidi" w:cstheme="majorBidi"/>
          <w:sz w:val="24"/>
          <w:szCs w:val="24"/>
        </w:rPr>
        <w:lastRenderedPageBreak/>
        <w:t>debt level where marginal tax benefits equal marginal distress costs. However, in high-cost borrowing environments, the benefits of debt may be offset more quickly, reducing the likelihood of value creation.</w:t>
      </w:r>
    </w:p>
    <w:p w14:paraId="6D3B474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w:t>
      </w:r>
      <w:r w:rsidRPr="006022F8">
        <w:rPr>
          <w:rFonts w:asciiTheme="majorBidi" w:hAnsiTheme="majorBidi" w:cstheme="majorBidi"/>
          <w:b/>
          <w:bCs/>
          <w:sz w:val="24"/>
          <w:szCs w:val="24"/>
        </w:rPr>
        <w:t>Pecking Order Theory</w:t>
      </w:r>
      <w:r w:rsidRPr="006022F8">
        <w:rPr>
          <w:rFonts w:asciiTheme="majorBidi" w:hAnsiTheme="majorBidi" w:cstheme="majorBidi"/>
          <w:sz w:val="24"/>
          <w:szCs w:val="24"/>
        </w:rPr>
        <w:t xml:space="preserve"> (Myers, 1984) suggests that firms prefer internal financing through retained earnings, followed by debt, and only resort to equity as a last option. This hierarchy arises due to information asymmetries between managers and investors, which make external equity more expensive. In contexts such as Nigeria, where borrowing costs are high, this theory predicts an even stronger reliance on internal financing, with debt used cautiously.</w:t>
      </w:r>
    </w:p>
    <w:p w14:paraId="162BA0A1"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b/>
          <w:bCs/>
          <w:sz w:val="24"/>
          <w:szCs w:val="24"/>
        </w:rPr>
        <w:t>Agency Theory</w:t>
      </w:r>
      <w:r w:rsidRPr="006022F8">
        <w:rPr>
          <w:rFonts w:asciiTheme="majorBidi" w:hAnsiTheme="majorBidi" w:cstheme="majorBidi"/>
          <w:sz w:val="24"/>
          <w:szCs w:val="24"/>
        </w:rPr>
        <w:t xml:space="preserve"> (Jensen &amp; Meckling, 1976) explains how debt can discipline managers by limiting free cash flow available for discretionary projects. However, high interest obligations can also increase the likelihood of financial distress, shifting risk from shareholders to debt holders and eroding firm value. The theory thus highlights both the disciplining and constraining roles of debt.</w:t>
      </w:r>
    </w:p>
    <w:p w14:paraId="704FEDD8" w14:textId="2AC81D8A"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Collectively, these theories underscore the contingent nature of capital structure decisions. The extent to which debt enhances or reduces shareholder wealth depends not only on the maturity structure of debt but also on the prevailing cost of borrowing.</w:t>
      </w:r>
    </w:p>
    <w:p w14:paraId="45645D72"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 Empirical Review and Hypotheses Development</w:t>
      </w:r>
    </w:p>
    <w:p w14:paraId="3661C07F"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2.2.1 Short-Term Debt and Shareholders’ Wealth</w:t>
      </w:r>
    </w:p>
    <w:p w14:paraId="5F22990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Short-term debt provides firms with liquidity and flexibility, enabling them to meet working capital needs without committing to long-term obligations. Empirical evidence, however, remains mixed. Smith and Brown (2015) reported a negative association between short-term debt and market capitalisation in United States technology firms, suggesting refinancing risks diminish value. Similarly, Chen and Wang (2017) observed that Chinese manufacturing firms with high short-term debt experienced lower firm valuation.</w:t>
      </w:r>
    </w:p>
    <w:p w14:paraId="4D56B4E2"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contrast, Froko (2017) found that higher levels of short-term financial leverage increased shareholder wealth in Ghanaian banks, reflecting the benefits of flexibility in emerging markets. Altaf and Ahmad (2019) also argued that short-term credit can improve firm performance by adjusting quickly to financial needs. However, Baños-Caballero, García-Teruel, and Martínez-Solano (2016) cautioned that excessive reliance on short-term financing heightens refinancing and liquidity risks, which may undermine value.</w:t>
      </w:r>
    </w:p>
    <w:p w14:paraId="1266132D"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Nigeria, studies are limited but indicate similar dynamics. Oke and Adebayo (2020) found that short-term debt negatively influenced firm valuation in the agricultural sector, emphasising the risks of liquidity shocks in volatile financial environments. Against this backdrop, the study proposes the following hypothesis:</w:t>
      </w:r>
    </w:p>
    <w:p w14:paraId="524204E3" w14:textId="65B02C1F"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b/>
          <w:bCs/>
          <w:sz w:val="24"/>
          <w:szCs w:val="24"/>
        </w:rPr>
        <w:t>H1:</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Short-term debt has a significant effect on shareholders’ wealth in high-cost borrowing environments.</w:t>
      </w:r>
    </w:p>
    <w:p w14:paraId="49C26795"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2.2.2 Long-Term Debt and Shareholders’ Wealth</w:t>
      </w:r>
    </w:p>
    <w:p w14:paraId="420CA748"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Long-term debt is commonly used to finance capital expenditures and strategic growth initiatives. Theoretically, it provides stability and reduces refinancing pressure. However, empirical studies often show adverse effects on shareholder wealth in developing economies. Shubita and Alsawalhah (2012) documented that excessive long-term debt increased </w:t>
      </w:r>
      <w:r w:rsidRPr="006022F8">
        <w:rPr>
          <w:rFonts w:asciiTheme="majorBidi" w:hAnsiTheme="majorBidi" w:cstheme="majorBidi"/>
          <w:sz w:val="24"/>
          <w:szCs w:val="24"/>
        </w:rPr>
        <w:lastRenderedPageBreak/>
        <w:t>bankruptcy risks and reduced profitability among Jordanian firms. Li, Meng, and Sun (2022) highlighted that long-term debt can improve value only when borrowing costs remain manageable.</w:t>
      </w:r>
    </w:p>
    <w:p w14:paraId="7A7A3B10"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emerging markets, Martinez and Lopez (2016) found that long-term borrowing in Brazil’s energy sector eroded firm valuation when interest rates were high. Similarly, Caragnano, Giacosa, and Mazzoleni (2020) concluded that while long-term debt can limit managerial discretion and overinvestment, its value-enhancing potential declines in environments of financial instability.</w:t>
      </w:r>
    </w:p>
    <w:p w14:paraId="3E38C0B6"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Evidence from Nigeria underscores this trend. Ogundajo and Nwaobia (2021) reported that long-term debt had a negative association with shareholder wealth among listed firms, primarily due to high servicing costs. The findings suggest that reliance on long-term borrowing in volatile environments may constrain investment opportunities and diminish market confidence. Accordingly, the study hypothesises that:</w:t>
      </w:r>
    </w:p>
    <w:p w14:paraId="6B29A8A4" w14:textId="486A1FB5" w:rsidR="006022F8" w:rsidRPr="006022F8" w:rsidRDefault="006022F8" w:rsidP="006022F8">
      <w:pPr>
        <w:jc w:val="both"/>
        <w:rPr>
          <w:rFonts w:asciiTheme="majorBidi" w:hAnsiTheme="majorBidi" w:cstheme="majorBidi"/>
          <w:i/>
          <w:iCs/>
          <w:sz w:val="24"/>
          <w:szCs w:val="24"/>
        </w:rPr>
      </w:pPr>
      <w:r w:rsidRPr="006022F8">
        <w:rPr>
          <w:rFonts w:asciiTheme="majorBidi" w:hAnsiTheme="majorBidi" w:cstheme="majorBidi"/>
          <w:b/>
          <w:bCs/>
          <w:sz w:val="24"/>
          <w:szCs w:val="24"/>
        </w:rPr>
        <w:t>H2:</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Long-term debt has a significant effect on shareholders’ wealth in high-cost borrowing environments.</w:t>
      </w:r>
    </w:p>
    <w:p w14:paraId="38379DBB"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2.2.3 Cost of Debt, Debt Structure, and Shareholders’ Wealth</w:t>
      </w:r>
    </w:p>
    <w:p w14:paraId="48AAD60A"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The cost of debt represents the effective rate a firm pays on its borrowings, reflecting both explicit interest expenses and implicit risks of financial distress. It is a critical determinant of whether debt financing enhances or erodes shareholder wealth. Fama and French (2002) argue that high borrowing costs can neutralise the tax benefits of debt, thereby reducing firm value. Empirical evidence confirms that borrowing costs play a moderating role. Borio and Zabai (2020) demonstrated that rising interest rates increase debt servicing burdens, weakening firm performance.</w:t>
      </w:r>
    </w:p>
    <w:p w14:paraId="5CE225EE"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the Nigerian context, where interest rates often fluctuate between 10 and 20 per cent (Central Bank of Nigeria, 2023), the moderating role of borrowing costs is particularly pronounced. Ogundipe, Osho, and Adebayo (2022) showed that during the COVID-19 period, rising borrowing costs amplified financial distress in manufacturing firms, diminishing market valuation. Similarly, Uwuigbe et al. (2023) concluded that firms exposed to high cost of debt experienced reduced capacity to generate shareholder wealth, irrespective of their debt maturity structure.</w:t>
      </w:r>
    </w:p>
    <w:p w14:paraId="6AD615AB" w14:textId="77777777" w:rsid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Integrating these findings suggests that borrowing costs not only directly affect shareholder wealth but also shape the impact of short- and long-term debt on firm value. Consequently, the following hypotheses are proposed:</w:t>
      </w:r>
    </w:p>
    <w:p w14:paraId="38117924" w14:textId="53288ED6" w:rsidR="00A0105B" w:rsidRPr="006022F8" w:rsidRDefault="00A0105B" w:rsidP="00096213">
      <w:pPr>
        <w:jc w:val="both"/>
        <w:rPr>
          <w:rFonts w:asciiTheme="majorBidi" w:hAnsiTheme="majorBidi" w:cstheme="majorBidi"/>
          <w:sz w:val="24"/>
          <w:szCs w:val="24"/>
        </w:rPr>
      </w:pPr>
      <w:r w:rsidRPr="006022F8">
        <w:rPr>
          <w:rFonts w:asciiTheme="majorBidi" w:hAnsiTheme="majorBidi" w:cstheme="majorBidi"/>
          <w:b/>
          <w:bCs/>
          <w:sz w:val="24"/>
          <w:szCs w:val="24"/>
        </w:rPr>
        <w:t>H3:</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 xml:space="preserve">The cost of debt </w:t>
      </w:r>
      <w:r w:rsidR="00CE64CC">
        <w:rPr>
          <w:rFonts w:asciiTheme="majorBidi" w:hAnsiTheme="majorBidi" w:cstheme="majorBidi"/>
          <w:i/>
          <w:iCs/>
          <w:sz w:val="24"/>
          <w:szCs w:val="24"/>
        </w:rPr>
        <w:t xml:space="preserve">is negatively </w:t>
      </w:r>
      <w:r w:rsidR="007A079F">
        <w:rPr>
          <w:rFonts w:asciiTheme="majorBidi" w:hAnsiTheme="majorBidi" w:cstheme="majorBidi"/>
          <w:i/>
          <w:iCs/>
          <w:sz w:val="24"/>
          <w:szCs w:val="24"/>
        </w:rPr>
        <w:t xml:space="preserve">associated with </w:t>
      </w:r>
      <w:r w:rsidRPr="006022F8">
        <w:rPr>
          <w:rFonts w:asciiTheme="majorBidi" w:hAnsiTheme="majorBidi" w:cstheme="majorBidi"/>
          <w:i/>
          <w:iCs/>
          <w:sz w:val="24"/>
          <w:szCs w:val="24"/>
        </w:rPr>
        <w:t xml:space="preserve"> shareholders’ wealth.</w:t>
      </w:r>
    </w:p>
    <w:p w14:paraId="4A31B03F" w14:textId="6A806968" w:rsidR="006022F8" w:rsidRPr="006022F8" w:rsidRDefault="006022F8" w:rsidP="00C44228">
      <w:pPr>
        <w:jc w:val="both"/>
        <w:rPr>
          <w:rFonts w:asciiTheme="majorBidi" w:hAnsiTheme="majorBidi" w:cstheme="majorBidi"/>
          <w:sz w:val="24"/>
          <w:szCs w:val="24"/>
        </w:rPr>
      </w:pPr>
      <w:r w:rsidRPr="006022F8">
        <w:rPr>
          <w:rFonts w:asciiTheme="majorBidi" w:hAnsiTheme="majorBidi" w:cstheme="majorBidi"/>
          <w:b/>
          <w:bCs/>
          <w:sz w:val="24"/>
          <w:szCs w:val="24"/>
        </w:rPr>
        <w:t>H</w:t>
      </w:r>
      <w:r w:rsidR="00096213">
        <w:rPr>
          <w:rFonts w:asciiTheme="majorBidi" w:hAnsiTheme="majorBidi" w:cstheme="majorBidi"/>
          <w:b/>
          <w:bCs/>
          <w:sz w:val="24"/>
          <w:szCs w:val="24"/>
        </w:rPr>
        <w:t>4</w:t>
      </w:r>
      <w:r w:rsidRPr="006022F8">
        <w:rPr>
          <w:rFonts w:asciiTheme="majorBidi" w:hAnsiTheme="majorBidi" w:cstheme="majorBidi"/>
          <w:b/>
          <w:bCs/>
          <w:sz w:val="24"/>
          <w:szCs w:val="24"/>
        </w:rPr>
        <w:t>:</w:t>
      </w:r>
      <w:r w:rsidRPr="006022F8">
        <w:rPr>
          <w:rFonts w:asciiTheme="majorBidi" w:hAnsiTheme="majorBidi" w:cstheme="majorBidi"/>
          <w:sz w:val="24"/>
          <w:szCs w:val="24"/>
        </w:rPr>
        <w:t xml:space="preserve"> </w:t>
      </w:r>
      <w:r w:rsidR="00C44228" w:rsidRPr="00C44228">
        <w:rPr>
          <w:rFonts w:asciiTheme="majorBidi" w:hAnsiTheme="majorBidi" w:cstheme="majorBidi"/>
          <w:i/>
          <w:iCs/>
          <w:sz w:val="24"/>
          <w:szCs w:val="24"/>
        </w:rPr>
        <w:t>The cost of debt does not significantly moderate the relationship between short-term debt and shareholders’ wealth</w:t>
      </w:r>
      <w:r w:rsidRPr="006022F8">
        <w:rPr>
          <w:rFonts w:asciiTheme="majorBidi" w:hAnsiTheme="majorBidi" w:cstheme="majorBidi"/>
          <w:i/>
          <w:iCs/>
          <w:sz w:val="24"/>
          <w:szCs w:val="24"/>
        </w:rPr>
        <w:t>.</w:t>
      </w:r>
    </w:p>
    <w:p w14:paraId="6F434570" w14:textId="5753E45D" w:rsidR="006022F8" w:rsidRPr="006022F8" w:rsidRDefault="006022F8" w:rsidP="008D7637">
      <w:pPr>
        <w:jc w:val="both"/>
        <w:rPr>
          <w:rFonts w:asciiTheme="majorBidi" w:hAnsiTheme="majorBidi" w:cstheme="majorBidi"/>
          <w:sz w:val="24"/>
          <w:szCs w:val="24"/>
        </w:rPr>
      </w:pPr>
      <w:r w:rsidRPr="006022F8">
        <w:rPr>
          <w:rFonts w:asciiTheme="majorBidi" w:hAnsiTheme="majorBidi" w:cstheme="majorBidi"/>
          <w:b/>
          <w:bCs/>
          <w:sz w:val="24"/>
          <w:szCs w:val="24"/>
        </w:rPr>
        <w:t>H</w:t>
      </w:r>
      <w:r w:rsidR="00096213">
        <w:rPr>
          <w:rFonts w:asciiTheme="majorBidi" w:hAnsiTheme="majorBidi" w:cstheme="majorBidi"/>
          <w:b/>
          <w:bCs/>
          <w:sz w:val="24"/>
          <w:szCs w:val="24"/>
        </w:rPr>
        <w:t>5</w:t>
      </w:r>
      <w:r w:rsidRPr="006022F8">
        <w:rPr>
          <w:rFonts w:asciiTheme="majorBidi" w:hAnsiTheme="majorBidi" w:cstheme="majorBidi"/>
          <w:b/>
          <w:bCs/>
          <w:sz w:val="24"/>
          <w:szCs w:val="24"/>
        </w:rPr>
        <w:t>:</w:t>
      </w:r>
      <w:r w:rsidRPr="006022F8">
        <w:rPr>
          <w:rFonts w:asciiTheme="majorBidi" w:hAnsiTheme="majorBidi" w:cstheme="majorBidi"/>
          <w:sz w:val="24"/>
          <w:szCs w:val="24"/>
        </w:rPr>
        <w:t xml:space="preserve"> </w:t>
      </w:r>
      <w:r w:rsidR="008D7637" w:rsidRPr="008D7637">
        <w:rPr>
          <w:rFonts w:asciiTheme="majorBidi" w:hAnsiTheme="majorBidi" w:cstheme="majorBidi"/>
          <w:i/>
          <w:iCs/>
          <w:sz w:val="24"/>
          <w:szCs w:val="24"/>
        </w:rPr>
        <w:t>The cost of debt does not significantly moderate the relationship between long-term debt and shareholders’ wealth.</w:t>
      </w:r>
    </w:p>
    <w:p w14:paraId="24E9EC7F" w14:textId="77777777" w:rsidR="006022F8" w:rsidRPr="006022F8" w:rsidRDefault="006022F8" w:rsidP="006022F8">
      <w:pPr>
        <w:pStyle w:val="Heading2"/>
        <w:rPr>
          <w:rFonts w:asciiTheme="majorBidi" w:hAnsiTheme="majorBidi"/>
          <w:b/>
          <w:bCs/>
          <w:color w:val="auto"/>
          <w:sz w:val="24"/>
          <w:szCs w:val="24"/>
        </w:rPr>
      </w:pPr>
      <w:r w:rsidRPr="006022F8">
        <w:rPr>
          <w:rFonts w:asciiTheme="majorBidi" w:hAnsiTheme="majorBidi"/>
          <w:b/>
          <w:bCs/>
          <w:color w:val="auto"/>
          <w:sz w:val="24"/>
          <w:szCs w:val="24"/>
        </w:rPr>
        <w:lastRenderedPageBreak/>
        <w:t>3. Methodology</w:t>
      </w:r>
    </w:p>
    <w:p w14:paraId="3D22821A"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This study adopts an ex post facto research design, which is appropriate because the data under investigation already exist in the audited annual reports of firms and cannot be manipulated by the researcher. The population consists of 50 manufacturing firms listed on the Nigerian Exchange Group as at December 2023. A purposive sampling approach was applied to select 43 firms based on the completeness of their annual reports and financial statements for the period 2013 to 2023, yielding an eleven-year balanced panel. Secondary data were obtained from published financial statements, the NGX Factbook, and relevant reports of the Central Bank of Nigeria.</w:t>
      </w:r>
    </w:p>
    <w:p w14:paraId="6FE60199"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The dependent variable is shareholders’ wealth, proxied by market capitalisation, measured as the share price multiplied by the number of outstanding shares. The key explanatory variables are short-term debt, measured as the ratio of current liabilities to total assets, and long-term debt, measured as the ratio of long-term liabilities to total assets. The moderating variable is the cost of debt, calculated as interest expenses divided by total debt. Two control variables are introduced to isolate firm-specific effects: firm size, proxied by the natural logarithm of total assets, and profitability, proxied by return on assets.</w:t>
      </w:r>
    </w:p>
    <w:p w14:paraId="65D848D6"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Panel regression techniques were employed to estimate the specified relationships. Two models were used: pooled Ordinary Least Squares (OLS) with year dummies to control for time-specific shocks such as inflation, exchange rate volatility, and the COVID-19 pandemic, and the Fixed Effects (FE) estimator with year dummies to account for unobserved heterogeneity across firms. The models are expressed as follows:</w:t>
      </w:r>
    </w:p>
    <w:p w14:paraId="356F1621" w14:textId="08D6D7ED" w:rsidR="006022F8" w:rsidRPr="00560FFC" w:rsidRDefault="006022F8" w:rsidP="00560FFC">
      <w:pPr>
        <w:jc w:val="both"/>
        <w:rPr>
          <w:rFonts w:asciiTheme="majorBidi" w:hAnsiTheme="majorBidi" w:cstheme="majorBidi"/>
          <w:sz w:val="24"/>
          <w:szCs w:val="24"/>
        </w:rPr>
      </w:pPr>
      <w:r w:rsidRPr="006022F8">
        <w:rPr>
          <w:rFonts w:asciiTheme="majorBidi" w:hAnsiTheme="majorBidi" w:cstheme="majorBidi"/>
          <w:sz w:val="24"/>
          <w:szCs w:val="24"/>
        </w:rPr>
        <w:t>ln(SW</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0</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1</w:t>
      </w:r>
      <w:r w:rsidRPr="006022F8">
        <w:rPr>
          <w:rFonts w:asciiTheme="majorBidi" w:hAnsiTheme="majorBidi" w:cstheme="majorBidi"/>
          <w:sz w:val="24"/>
          <w:szCs w:val="24"/>
        </w:rPr>
        <w:t>STIBD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2</w:t>
      </w:r>
      <w:r w:rsidRPr="006022F8">
        <w:rPr>
          <w:rFonts w:asciiTheme="majorBidi" w:hAnsiTheme="majorBidi" w:cstheme="majorBidi"/>
          <w:sz w:val="24"/>
          <w:szCs w:val="24"/>
        </w:rPr>
        <w:t>LTIBD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3</w:t>
      </w:r>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4</w:t>
      </w:r>
      <w:r w:rsidRPr="006022F8">
        <w:rPr>
          <w:rFonts w:asciiTheme="majorBidi" w:hAnsiTheme="majorBidi" w:cstheme="majorBidi"/>
          <w:sz w:val="24"/>
          <w:szCs w:val="24"/>
        </w:rPr>
        <w:t>(STIBD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5</w:t>
      </w:r>
      <w:r w:rsidRPr="006022F8">
        <w:rPr>
          <w:rFonts w:asciiTheme="majorBidi" w:hAnsiTheme="majorBidi" w:cstheme="majorBidi"/>
          <w:sz w:val="24"/>
          <w:szCs w:val="24"/>
        </w:rPr>
        <w:t>(LTIBD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w:t>
      </w:r>
      <w:r w:rsidR="00560FFC">
        <w:rPr>
          <w:rFonts w:asciiTheme="majorBidi" w:hAnsiTheme="majorBidi" w:cstheme="majorBidi"/>
          <w:sz w:val="24"/>
          <w:szCs w:val="24"/>
        </w:rPr>
        <w:t xml:space="preserve"> </w:t>
      </w:r>
      <w:r w:rsidRPr="006022F8">
        <w:rPr>
          <w:rFonts w:asciiTheme="majorBidi" w:hAnsiTheme="majorBidi" w:cstheme="majorBidi"/>
          <w:sz w:val="24"/>
          <w:szCs w:val="24"/>
        </w:rPr>
        <w:t>γ</w:t>
      </w:r>
      <w:r w:rsidRPr="006022F8">
        <w:rPr>
          <w:rFonts w:asciiTheme="majorBidi" w:hAnsiTheme="majorBidi" w:cstheme="majorBidi"/>
          <w:sz w:val="24"/>
          <w:szCs w:val="24"/>
          <w:vertAlign w:val="subscript"/>
        </w:rPr>
        <w:t>1</w:t>
      </w:r>
      <w:r w:rsidRPr="006022F8">
        <w:rPr>
          <w:rFonts w:asciiTheme="majorBidi" w:hAnsiTheme="majorBidi" w:cstheme="majorBidi"/>
          <w:sz w:val="24"/>
          <w:szCs w:val="24"/>
        </w:rPr>
        <w:t>FSIZE</w:t>
      </w:r>
      <w:r w:rsidRPr="006022F8">
        <w:rPr>
          <w:rFonts w:asciiTheme="majorBidi" w:hAnsiTheme="majorBidi" w:cstheme="majorBidi"/>
          <w:sz w:val="24"/>
          <w:szCs w:val="24"/>
          <w:vertAlign w:val="subscript"/>
        </w:rPr>
        <w:t>it</w:t>
      </w:r>
      <w:r w:rsidR="00560FFC">
        <w:rPr>
          <w:rFonts w:asciiTheme="majorBidi" w:hAnsiTheme="majorBidi" w:cstheme="majorBidi"/>
          <w:sz w:val="24"/>
          <w:szCs w:val="24"/>
          <w:vertAlign w:val="subscript"/>
        </w:rPr>
        <w:t xml:space="preserve"> </w:t>
      </w:r>
      <w:r w:rsidRPr="006022F8">
        <w:rPr>
          <w:rFonts w:asciiTheme="majorBidi" w:hAnsiTheme="majorBidi" w:cstheme="majorBidi"/>
          <w:sz w:val="24"/>
          <w:szCs w:val="24"/>
        </w:rPr>
        <w:t>+γ</w:t>
      </w:r>
      <w:r w:rsidRPr="006022F8">
        <w:rPr>
          <w:rFonts w:asciiTheme="majorBidi" w:hAnsiTheme="majorBidi" w:cstheme="majorBidi"/>
          <w:sz w:val="24"/>
          <w:szCs w:val="24"/>
          <w:vertAlign w:val="subscript"/>
        </w:rPr>
        <w:t>2</w:t>
      </w:r>
      <w:r w:rsidRPr="006022F8">
        <w:rPr>
          <w:rFonts w:asciiTheme="majorBidi" w:hAnsiTheme="majorBidi" w:cstheme="majorBidi"/>
          <w:sz w:val="24"/>
          <w:szCs w:val="24"/>
        </w:rPr>
        <w:t>ROA</w:t>
      </w:r>
      <w:r w:rsidRPr="006022F8">
        <w:rPr>
          <w:rFonts w:asciiTheme="majorBidi" w:hAnsiTheme="majorBidi" w:cstheme="majorBidi"/>
          <w:sz w:val="24"/>
          <w:szCs w:val="24"/>
          <w:vertAlign w:val="subscript"/>
        </w:rPr>
        <w:t>it</w:t>
      </w:r>
      <m:oMath>
        <m:r>
          <w:rPr>
            <w:rFonts w:ascii="Cambria Math" w:hAnsi="Cambria Math" w:cstheme="majorBidi"/>
            <w:sz w:val="24"/>
            <w:szCs w:val="24"/>
            <w:vertAlign w:val="subscript"/>
          </w:rPr>
          <m:t>+</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2014</m:t>
            </m:r>
          </m:sub>
          <m:sup>
            <m:r>
              <w:rPr>
                <w:rFonts w:ascii="Cambria Math" w:hAnsi="Cambria Math" w:cstheme="majorBidi"/>
                <w:sz w:val="24"/>
                <w:szCs w:val="24"/>
              </w:rPr>
              <m:t>2023</m:t>
            </m:r>
          </m:sup>
          <m:e>
            <m:r>
              <w:rPr>
                <w:rFonts w:ascii="Cambria Math" w:hAnsi="Cambria Math" w:cstheme="majorBidi"/>
                <w:sz w:val="24"/>
                <w:szCs w:val="24"/>
              </w:rPr>
              <m:t>δyDy</m:t>
            </m:r>
          </m:e>
        </m:nary>
      </m:oMath>
      <w:r w:rsidR="0095293B">
        <w:rPr>
          <w:rFonts w:asciiTheme="majorBidi" w:hAnsiTheme="majorBidi" w:cstheme="majorBidi"/>
          <w:sz w:val="24"/>
          <w:szCs w:val="24"/>
        </w:rPr>
        <w:t xml:space="preserve"> </w:t>
      </w:r>
      <w:r w:rsidRPr="006022F8">
        <w:rPr>
          <w:rFonts w:asciiTheme="majorBidi" w:hAnsiTheme="majorBidi" w:cstheme="majorBidi"/>
          <w:sz w:val="24"/>
          <w:szCs w:val="24"/>
        </w:rPr>
        <w:t>+ε</w:t>
      </w:r>
      <w:r w:rsidRPr="006022F8">
        <w:rPr>
          <w:rFonts w:asciiTheme="majorBidi" w:hAnsiTheme="majorBidi" w:cstheme="majorBidi"/>
          <w:sz w:val="24"/>
          <w:szCs w:val="24"/>
          <w:vertAlign w:val="subscript"/>
        </w:rPr>
        <w:t>it</w:t>
      </w:r>
      <w:r w:rsidR="00560FFC">
        <w:rPr>
          <w:rFonts w:asciiTheme="majorBidi" w:hAnsiTheme="majorBidi" w:cstheme="majorBidi"/>
          <w:sz w:val="24"/>
          <w:szCs w:val="24"/>
          <w:vertAlign w:val="subscript"/>
        </w:rPr>
        <w:t xml:space="preserve">                                             </w:t>
      </w:r>
      <w:r w:rsidR="00560FFC">
        <w:rPr>
          <w:rFonts w:asciiTheme="majorBidi" w:hAnsiTheme="majorBidi" w:cstheme="majorBidi"/>
          <w:sz w:val="24"/>
          <w:szCs w:val="24"/>
        </w:rPr>
        <w:t>(1)</w:t>
      </w:r>
    </w:p>
    <w:p w14:paraId="3B9D6D7A" w14:textId="3804ED37" w:rsidR="00560FFC" w:rsidRPr="006022F8" w:rsidRDefault="00560FFC" w:rsidP="00560FFC">
      <w:pPr>
        <w:jc w:val="both"/>
        <w:rPr>
          <w:rFonts w:asciiTheme="majorBidi" w:hAnsiTheme="majorBidi" w:cstheme="majorBidi"/>
          <w:sz w:val="24"/>
          <w:szCs w:val="24"/>
        </w:rPr>
      </w:pPr>
      <w:r w:rsidRPr="00560FFC">
        <w:rPr>
          <w:rFonts w:asciiTheme="majorBidi" w:hAnsiTheme="majorBidi" w:cstheme="majorBidi"/>
          <w:sz w:val="24"/>
          <w:szCs w:val="24"/>
        </w:rPr>
        <w:t>ln(SW</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​)=α</w:t>
      </w:r>
      <w:r w:rsidRPr="00560FFC">
        <w:rPr>
          <w:rFonts w:asciiTheme="majorBidi" w:hAnsiTheme="majorBidi" w:cstheme="majorBidi"/>
          <w:sz w:val="24"/>
          <w:szCs w:val="24"/>
          <w:vertAlign w:val="subscript"/>
        </w:rPr>
        <w:t>i</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1</w:t>
      </w:r>
      <w:r w:rsidRPr="00560FFC">
        <w:rPr>
          <w:rFonts w:asciiTheme="majorBidi" w:hAnsiTheme="majorBidi" w:cstheme="majorBidi"/>
          <w:sz w:val="24"/>
          <w:szCs w:val="24"/>
        </w:rPr>
        <w:t>​STIBD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2</w:t>
      </w:r>
      <w:r w:rsidRPr="00560FFC">
        <w:rPr>
          <w:rFonts w:asciiTheme="majorBidi" w:hAnsiTheme="majorBidi" w:cstheme="majorBidi"/>
          <w:sz w:val="24"/>
          <w:szCs w:val="24"/>
        </w:rPr>
        <w:t>​LTIBD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3</w:t>
      </w:r>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4​</w:t>
      </w:r>
      <w:r w:rsidRPr="00560FFC">
        <w:rPr>
          <w:rFonts w:asciiTheme="majorBidi" w:hAnsiTheme="majorBidi" w:cstheme="majorBidi"/>
          <w:sz w:val="24"/>
          <w:szCs w:val="24"/>
        </w:rPr>
        <w:t>(STIBD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5</w:t>
      </w:r>
      <w:r w:rsidRPr="00560FFC">
        <w:rPr>
          <w:rFonts w:asciiTheme="majorBidi" w:hAnsiTheme="majorBidi" w:cstheme="majorBidi"/>
          <w:sz w:val="24"/>
          <w:szCs w:val="24"/>
        </w:rPr>
        <w:t>​(LTIBD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​)+γ</w:t>
      </w:r>
      <w:r w:rsidRPr="00560FFC">
        <w:rPr>
          <w:rFonts w:asciiTheme="majorBidi" w:hAnsiTheme="majorBidi" w:cstheme="majorBidi"/>
          <w:sz w:val="24"/>
          <w:szCs w:val="24"/>
          <w:vertAlign w:val="subscript"/>
        </w:rPr>
        <w:t>1</w:t>
      </w:r>
      <w:r w:rsidRPr="00560FFC">
        <w:rPr>
          <w:rFonts w:asciiTheme="majorBidi" w:hAnsiTheme="majorBidi" w:cstheme="majorBidi"/>
          <w:sz w:val="24"/>
          <w:szCs w:val="24"/>
        </w:rPr>
        <w:t>​FSIZE</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​+γ</w:t>
      </w:r>
      <w:r w:rsidRPr="00560FFC">
        <w:rPr>
          <w:rFonts w:asciiTheme="majorBidi" w:hAnsiTheme="majorBidi" w:cstheme="majorBidi"/>
          <w:sz w:val="24"/>
          <w:szCs w:val="24"/>
          <w:vertAlign w:val="subscript"/>
        </w:rPr>
        <w:t>2</w:t>
      </w:r>
      <w:r w:rsidRPr="00560FFC">
        <w:rPr>
          <w:rFonts w:asciiTheme="majorBidi" w:hAnsiTheme="majorBidi" w:cstheme="majorBidi"/>
          <w:sz w:val="24"/>
          <w:szCs w:val="24"/>
        </w:rPr>
        <w:t>​ROA</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r>
        <w:rPr>
          <w:rFonts w:asciiTheme="majorBidi" w:hAnsiTheme="majorBidi" w:cstheme="majorBidi"/>
          <w:sz w:val="24"/>
          <w:szCs w:val="24"/>
        </w:rPr>
        <w:t xml:space="preserve"> </w:t>
      </w:r>
      <m:oMath>
        <m:r>
          <w:rPr>
            <w:rFonts w:ascii="Cambria Math" w:hAnsi="Cambria Math" w:cstheme="majorBidi"/>
            <w:sz w:val="24"/>
            <w:szCs w:val="24"/>
            <w:vertAlign w:val="subscript"/>
          </w:rPr>
          <m:t>+</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2014</m:t>
            </m:r>
          </m:sub>
          <m:sup>
            <m:r>
              <w:rPr>
                <w:rFonts w:ascii="Cambria Math" w:hAnsi="Cambria Math" w:cstheme="majorBidi"/>
                <w:sz w:val="24"/>
                <w:szCs w:val="24"/>
              </w:rPr>
              <m:t>2023</m:t>
            </m:r>
          </m:sup>
          <m:e>
            <m:r>
              <w:rPr>
                <w:rFonts w:ascii="Cambria Math" w:hAnsi="Cambria Math" w:cstheme="majorBidi"/>
                <w:sz w:val="24"/>
                <w:szCs w:val="24"/>
              </w:rPr>
              <m:t>δyDy</m:t>
            </m:r>
          </m:e>
        </m:nary>
      </m:oMath>
      <w:r w:rsidRPr="00560FFC">
        <w:rPr>
          <w:rFonts w:asciiTheme="majorBidi" w:hAnsiTheme="majorBidi" w:cstheme="majorBidi"/>
          <w:sz w:val="24"/>
          <w:szCs w:val="24"/>
        </w:rPr>
        <w:t>​+</w:t>
      </w:r>
      <w:r w:rsidRPr="00560FFC">
        <w:rPr>
          <w:rFonts w:asciiTheme="majorBidi" w:hAnsiTheme="majorBidi" w:cstheme="majorBidi"/>
          <w:i/>
          <w:iCs/>
          <w:sz w:val="24"/>
          <w:szCs w:val="24"/>
        </w:rPr>
        <w:t>u</w:t>
      </w:r>
      <w:r>
        <w:rPr>
          <w:rFonts w:asciiTheme="majorBidi" w:hAnsiTheme="majorBidi" w:cstheme="majorBidi"/>
          <w:i/>
          <w:iCs/>
          <w:sz w:val="24"/>
          <w:szCs w:val="24"/>
        </w:rPr>
        <w:t xml:space="preserve">                                 </w:t>
      </w:r>
      <w:r>
        <w:rPr>
          <w:rFonts w:asciiTheme="majorBidi" w:hAnsiTheme="majorBidi" w:cstheme="majorBidi"/>
          <w:sz w:val="24"/>
          <w:szCs w:val="24"/>
        </w:rPr>
        <w:t>(2)</w:t>
      </w:r>
    </w:p>
    <w:p w14:paraId="56333FD4" w14:textId="72D0B2B6" w:rsidR="00037485" w:rsidRPr="00037485" w:rsidRDefault="00037485" w:rsidP="00037485">
      <w:pPr>
        <w:jc w:val="both"/>
        <w:rPr>
          <w:rFonts w:asciiTheme="majorBidi" w:hAnsiTheme="majorBidi" w:cstheme="majorBidi"/>
          <w:sz w:val="24"/>
          <w:szCs w:val="24"/>
        </w:rPr>
      </w:pPr>
      <w:r w:rsidRPr="00037485">
        <w:rPr>
          <w:rFonts w:asciiTheme="majorBidi" w:hAnsiTheme="majorBidi" w:cstheme="majorBidi"/>
          <w:sz w:val="24"/>
          <w:szCs w:val="24"/>
        </w:rPr>
        <w:t>SW</w:t>
      </w:r>
      <w:r w:rsidRPr="00037485">
        <w:rPr>
          <w:rFonts w:asciiTheme="majorBidi" w:hAnsiTheme="majorBidi" w:cstheme="majorBidi"/>
          <w:sz w:val="24"/>
          <w:szCs w:val="24"/>
          <w:vertAlign w:val="subscript"/>
        </w:rPr>
        <w:t>it​</w:t>
      </w:r>
      <w:r w:rsidRPr="00037485">
        <w:rPr>
          <w:rFonts w:asciiTheme="majorBidi" w:hAnsiTheme="majorBidi" w:cstheme="majorBidi"/>
          <w:sz w:val="24"/>
          <w:szCs w:val="24"/>
        </w:rPr>
        <w:t xml:space="preserve"> denotes shareholders’ wealth for firm i at time t. α</w:t>
      </w:r>
      <w:r w:rsidRPr="00037485">
        <w:rPr>
          <w:rFonts w:asciiTheme="majorBidi" w:hAnsiTheme="majorBidi" w:cstheme="majorBidi"/>
          <w:sz w:val="24"/>
          <w:szCs w:val="24"/>
          <w:vertAlign w:val="subscript"/>
        </w:rPr>
        <w:t>i</w:t>
      </w:r>
      <w:r w:rsidRPr="00037485">
        <w:rPr>
          <w:rFonts w:asciiTheme="majorBidi" w:hAnsiTheme="majorBidi" w:cstheme="majorBidi"/>
          <w:sz w:val="24"/>
          <w:szCs w:val="24"/>
        </w:rPr>
        <w:t xml:space="preserve"> captures time-invariant firm-specific effects in the fixed-effects specification. </w:t>
      </w:r>
      <m:oMath>
        <m:r>
          <w:rPr>
            <w:rFonts w:ascii="Cambria Math" w:hAnsi="Cambria Math" w:cstheme="majorBidi"/>
            <w:sz w:val="24"/>
            <w:szCs w:val="24"/>
          </w:rPr>
          <m:t>δyDy</m:t>
        </m:r>
      </m:oMath>
      <w:r w:rsidRPr="00037485">
        <w:rPr>
          <w:rFonts w:asciiTheme="majorBidi" w:hAnsiTheme="majorBidi" w:cstheme="majorBidi"/>
          <w:sz w:val="24"/>
          <w:szCs w:val="24"/>
        </w:rPr>
        <w:t xml:space="preserve"> represents a full set of year indicator variables for y=2014,</w:t>
      </w:r>
      <w:r>
        <w:rPr>
          <w:rFonts w:asciiTheme="majorBidi" w:hAnsiTheme="majorBidi" w:cstheme="majorBidi"/>
          <w:sz w:val="24"/>
          <w:szCs w:val="24"/>
        </w:rPr>
        <w:t>.....</w:t>
      </w:r>
      <w:r w:rsidRPr="00037485">
        <w:rPr>
          <w:rFonts w:asciiTheme="majorBidi" w:hAnsiTheme="majorBidi" w:cstheme="majorBidi"/>
          <w:sz w:val="24"/>
          <w:szCs w:val="24"/>
        </w:rPr>
        <w:t>2023, with 2013 omitted as the reference year. β</w:t>
      </w:r>
      <w:r w:rsidRPr="00037485">
        <w:rPr>
          <w:rFonts w:asciiTheme="majorBidi" w:hAnsiTheme="majorBidi" w:cstheme="majorBidi"/>
          <w:sz w:val="24"/>
          <w:szCs w:val="24"/>
          <w:vertAlign w:val="subscript"/>
        </w:rPr>
        <w:t>0</w:t>
      </w:r>
      <w:r w:rsidRPr="00037485">
        <w:rPr>
          <w:rFonts w:asciiTheme="majorBidi" w:hAnsiTheme="majorBidi" w:cstheme="majorBidi"/>
          <w:sz w:val="24"/>
          <w:szCs w:val="24"/>
        </w:rPr>
        <w:t xml:space="preserve"> is the intercept. β</w:t>
      </w:r>
      <w:r w:rsidRPr="00037485">
        <w:rPr>
          <w:rFonts w:asciiTheme="majorBidi" w:hAnsiTheme="majorBidi" w:cstheme="majorBidi"/>
          <w:sz w:val="24"/>
          <w:szCs w:val="24"/>
          <w:vertAlign w:val="subscript"/>
        </w:rPr>
        <w:t>1​</w:t>
      </w:r>
      <w:r w:rsidRPr="00037485">
        <w:rPr>
          <w:rFonts w:asciiTheme="majorBidi" w:hAnsiTheme="majorBidi" w:cstheme="majorBidi"/>
          <w:sz w:val="24"/>
          <w:szCs w:val="24"/>
        </w:rPr>
        <w:t xml:space="preserve"> and β</w:t>
      </w:r>
      <w:r w:rsidRPr="00037485">
        <w:rPr>
          <w:rFonts w:asciiTheme="majorBidi" w:hAnsiTheme="majorBidi" w:cstheme="majorBidi"/>
          <w:sz w:val="24"/>
          <w:szCs w:val="24"/>
          <w:vertAlign w:val="subscript"/>
        </w:rPr>
        <w:t>2</w:t>
      </w:r>
      <w:r w:rsidRPr="00037485">
        <w:rPr>
          <w:rFonts w:asciiTheme="majorBidi" w:hAnsiTheme="majorBidi" w:cstheme="majorBidi"/>
          <w:sz w:val="24"/>
          <w:szCs w:val="24"/>
        </w:rPr>
        <w:t xml:space="preserve"> measure the partial effects of short-term debt and long-term debt, respectively. β</w:t>
      </w:r>
      <w:r w:rsidRPr="00037485">
        <w:rPr>
          <w:rFonts w:asciiTheme="majorBidi" w:hAnsiTheme="majorBidi" w:cstheme="majorBidi"/>
          <w:sz w:val="24"/>
          <w:szCs w:val="24"/>
          <w:vertAlign w:val="subscript"/>
        </w:rPr>
        <w:t>3</w:t>
      </w:r>
      <w:r w:rsidRPr="00037485">
        <w:rPr>
          <w:rFonts w:asciiTheme="majorBidi" w:hAnsiTheme="majorBidi" w:cstheme="majorBidi"/>
          <w:sz w:val="24"/>
          <w:szCs w:val="24"/>
        </w:rPr>
        <w:t xml:space="preserve"> measures the effect of the cost of debt. β</w:t>
      </w:r>
      <w:r w:rsidRPr="00037485">
        <w:rPr>
          <w:rFonts w:asciiTheme="majorBidi" w:hAnsiTheme="majorBidi" w:cstheme="majorBidi"/>
          <w:sz w:val="24"/>
          <w:szCs w:val="24"/>
          <w:vertAlign w:val="subscript"/>
        </w:rPr>
        <w:t>4</w:t>
      </w:r>
      <w:r w:rsidRPr="00037485">
        <w:rPr>
          <w:rFonts w:asciiTheme="majorBidi" w:hAnsiTheme="majorBidi" w:cstheme="majorBidi"/>
          <w:sz w:val="24"/>
          <w:szCs w:val="24"/>
        </w:rPr>
        <w:t xml:space="preserve"> and β</w:t>
      </w:r>
      <w:r>
        <w:rPr>
          <w:rFonts w:asciiTheme="majorBidi" w:hAnsiTheme="majorBidi" w:cstheme="majorBidi"/>
          <w:sz w:val="24"/>
          <w:szCs w:val="24"/>
          <w:vertAlign w:val="subscript"/>
        </w:rPr>
        <w:t>5</w:t>
      </w:r>
      <w:r w:rsidRPr="00037485">
        <w:rPr>
          <w:rFonts w:asciiTheme="majorBidi" w:hAnsiTheme="majorBidi" w:cstheme="majorBidi"/>
          <w:sz w:val="24"/>
          <w:szCs w:val="24"/>
        </w:rPr>
        <w:t xml:space="preserve"> are the moderation coefficients on the interaction terms between the cost of debt and, respectively, short-term and long-term debt. γ</w:t>
      </w:r>
      <w:r w:rsidRPr="00037485">
        <w:rPr>
          <w:rFonts w:asciiTheme="majorBidi" w:hAnsiTheme="majorBidi" w:cstheme="majorBidi"/>
          <w:sz w:val="24"/>
          <w:szCs w:val="24"/>
          <w:vertAlign w:val="subscript"/>
        </w:rPr>
        <w:t>1</w:t>
      </w:r>
      <w:r w:rsidRPr="00037485">
        <w:rPr>
          <w:rFonts w:asciiTheme="majorBidi" w:hAnsiTheme="majorBidi" w:cstheme="majorBidi"/>
          <w:sz w:val="24"/>
          <w:szCs w:val="24"/>
        </w:rPr>
        <w:t xml:space="preserve"> and “γ</w:t>
      </w:r>
      <w:r>
        <w:rPr>
          <w:rFonts w:asciiTheme="majorBidi" w:hAnsiTheme="majorBidi" w:cstheme="majorBidi"/>
          <w:sz w:val="24"/>
          <w:szCs w:val="24"/>
          <w:vertAlign w:val="subscript"/>
        </w:rPr>
        <w:t>2</w:t>
      </w:r>
      <w:r w:rsidRPr="00037485">
        <w:rPr>
          <w:rFonts w:asciiTheme="majorBidi" w:hAnsiTheme="majorBidi" w:cstheme="majorBidi"/>
          <w:sz w:val="24"/>
          <w:szCs w:val="24"/>
        </w:rPr>
        <w:t xml:space="preserve"> are the coefficients on the control variables. ε</w:t>
      </w:r>
      <w:r w:rsidRPr="00037485">
        <w:rPr>
          <w:rFonts w:asciiTheme="majorBidi" w:hAnsiTheme="majorBidi" w:cstheme="majorBidi"/>
          <w:sz w:val="24"/>
          <w:szCs w:val="24"/>
          <w:vertAlign w:val="subscript"/>
        </w:rPr>
        <w:t>it</w:t>
      </w:r>
      <w:r w:rsidRPr="00037485">
        <w:rPr>
          <w:rFonts w:asciiTheme="majorBidi" w:hAnsiTheme="majorBidi" w:cstheme="majorBidi"/>
          <w:sz w:val="24"/>
          <w:szCs w:val="24"/>
        </w:rPr>
        <w:t xml:space="preserve"> and u</w:t>
      </w:r>
      <w:r>
        <w:rPr>
          <w:rFonts w:asciiTheme="majorBidi" w:hAnsiTheme="majorBidi" w:cstheme="majorBidi"/>
          <w:sz w:val="24"/>
          <w:szCs w:val="24"/>
          <w:vertAlign w:val="subscript"/>
        </w:rPr>
        <w:t>i</w:t>
      </w:r>
      <w:r w:rsidRPr="00037485">
        <w:rPr>
          <w:rFonts w:asciiTheme="majorBidi" w:hAnsiTheme="majorBidi" w:cstheme="majorBidi"/>
          <w:sz w:val="24"/>
          <w:szCs w:val="24"/>
        </w:rPr>
        <w:t xml:space="preserve"> are idiosyncratic error terms in the pooled OLS and fixed-effects models, respectively.</w:t>
      </w:r>
    </w:p>
    <w:p w14:paraId="158F0C78" w14:textId="39CB4EA6" w:rsidR="00265493" w:rsidRPr="00444344" w:rsidRDefault="00265493" w:rsidP="00265493">
      <w:pPr>
        <w:pStyle w:val="NormalWeb"/>
        <w:spacing w:beforeAutospacing="0" w:afterAutospacing="0" w:line="480" w:lineRule="auto"/>
        <w:jc w:val="both"/>
      </w:pPr>
      <w:r w:rsidRPr="00444344">
        <w:t xml:space="preserve">The key variables, their definitions, and measurement approaches are outlined in Table </w:t>
      </w:r>
      <w:r w:rsidR="00823680">
        <w:t>1</w:t>
      </w:r>
      <w:r w:rsidRPr="00444344">
        <w:t>.</w:t>
      </w:r>
    </w:p>
    <w:p w14:paraId="2BDE0EBE" w14:textId="3AFB3FBD" w:rsidR="00265493" w:rsidRPr="00444344" w:rsidRDefault="00265493" w:rsidP="00265493">
      <w:pPr>
        <w:pStyle w:val="NormalWeb"/>
        <w:spacing w:beforeAutospacing="0" w:afterAutospacing="0"/>
        <w:contextualSpacing/>
        <w:jc w:val="both"/>
      </w:pPr>
      <w:r w:rsidRPr="00444344">
        <w:t xml:space="preserve">Table </w:t>
      </w:r>
      <w:r w:rsidR="00823680">
        <w:t>1</w:t>
      </w:r>
      <w:r w:rsidRPr="00444344">
        <w:t>: Variable Measurement and Description</w:t>
      </w:r>
    </w:p>
    <w:tbl>
      <w:tblPr>
        <w:tblW w:w="0" w:type="auto"/>
        <w:tblLook w:val="04A0" w:firstRow="1" w:lastRow="0" w:firstColumn="1" w:lastColumn="0" w:noHBand="0" w:noVBand="1"/>
      </w:tblPr>
      <w:tblGrid>
        <w:gridCol w:w="1790"/>
        <w:gridCol w:w="2494"/>
        <w:gridCol w:w="2973"/>
        <w:gridCol w:w="1769"/>
      </w:tblGrid>
      <w:tr w:rsidR="00265493" w:rsidRPr="00444344" w14:paraId="7F99C709" w14:textId="77777777" w:rsidTr="00FD303A">
        <w:tc>
          <w:tcPr>
            <w:tcW w:w="0" w:type="auto"/>
            <w:tcBorders>
              <w:top w:val="single" w:sz="4" w:space="0" w:color="auto"/>
              <w:bottom w:val="single" w:sz="4" w:space="0" w:color="auto"/>
            </w:tcBorders>
            <w:hideMark/>
          </w:tcPr>
          <w:p w14:paraId="00E85CE1" w14:textId="77777777" w:rsidR="00265493" w:rsidRPr="00444344" w:rsidRDefault="00265493" w:rsidP="00FD303A">
            <w:pPr>
              <w:pStyle w:val="NormalWeb"/>
              <w:contextualSpacing/>
              <w:jc w:val="both"/>
            </w:pPr>
            <w:r w:rsidRPr="00444344">
              <w:rPr>
                <w:b/>
                <w:bCs/>
              </w:rPr>
              <w:t>Variable</w:t>
            </w:r>
          </w:p>
        </w:tc>
        <w:tc>
          <w:tcPr>
            <w:tcW w:w="0" w:type="auto"/>
            <w:tcBorders>
              <w:top w:val="single" w:sz="4" w:space="0" w:color="auto"/>
              <w:bottom w:val="single" w:sz="4" w:space="0" w:color="auto"/>
            </w:tcBorders>
            <w:hideMark/>
          </w:tcPr>
          <w:p w14:paraId="6D3FCCA6" w14:textId="77777777" w:rsidR="00265493" w:rsidRPr="00444344" w:rsidRDefault="00265493" w:rsidP="00FD303A">
            <w:pPr>
              <w:pStyle w:val="NormalWeb"/>
              <w:contextualSpacing/>
              <w:jc w:val="both"/>
            </w:pPr>
            <w:r w:rsidRPr="00444344">
              <w:rPr>
                <w:b/>
                <w:bCs/>
              </w:rPr>
              <w:t>Description</w:t>
            </w:r>
          </w:p>
        </w:tc>
        <w:tc>
          <w:tcPr>
            <w:tcW w:w="0" w:type="auto"/>
            <w:tcBorders>
              <w:top w:val="single" w:sz="4" w:space="0" w:color="auto"/>
              <w:bottom w:val="single" w:sz="4" w:space="0" w:color="auto"/>
            </w:tcBorders>
            <w:hideMark/>
          </w:tcPr>
          <w:p w14:paraId="439ADCE3" w14:textId="77777777" w:rsidR="00265493" w:rsidRPr="00444344" w:rsidRDefault="00265493" w:rsidP="00FD303A">
            <w:pPr>
              <w:pStyle w:val="NormalWeb"/>
              <w:contextualSpacing/>
              <w:jc w:val="both"/>
            </w:pPr>
            <w:r w:rsidRPr="00444344">
              <w:rPr>
                <w:b/>
                <w:bCs/>
              </w:rPr>
              <w:t>Measurement/Proxy</w:t>
            </w:r>
          </w:p>
        </w:tc>
        <w:tc>
          <w:tcPr>
            <w:tcW w:w="0" w:type="auto"/>
            <w:tcBorders>
              <w:top w:val="single" w:sz="4" w:space="0" w:color="auto"/>
              <w:bottom w:val="single" w:sz="4" w:space="0" w:color="auto"/>
            </w:tcBorders>
            <w:hideMark/>
          </w:tcPr>
          <w:p w14:paraId="2718DB17" w14:textId="77777777" w:rsidR="00265493" w:rsidRPr="00444344" w:rsidRDefault="00265493" w:rsidP="00FD303A">
            <w:pPr>
              <w:pStyle w:val="NormalWeb"/>
              <w:contextualSpacing/>
              <w:jc w:val="both"/>
            </w:pPr>
            <w:r w:rsidRPr="00444344">
              <w:rPr>
                <w:b/>
                <w:bCs/>
              </w:rPr>
              <w:t>Source</w:t>
            </w:r>
          </w:p>
        </w:tc>
      </w:tr>
      <w:tr w:rsidR="00265493" w:rsidRPr="00444344" w14:paraId="19989CAB" w14:textId="77777777" w:rsidTr="00FD303A">
        <w:tc>
          <w:tcPr>
            <w:tcW w:w="0" w:type="auto"/>
            <w:tcBorders>
              <w:top w:val="single" w:sz="4" w:space="0" w:color="auto"/>
            </w:tcBorders>
            <w:hideMark/>
          </w:tcPr>
          <w:p w14:paraId="4975A1A0" w14:textId="77777777" w:rsidR="00265493" w:rsidRPr="00444344" w:rsidRDefault="00265493" w:rsidP="00FD303A">
            <w:pPr>
              <w:pStyle w:val="NormalWeb"/>
              <w:contextualSpacing/>
              <w:jc w:val="both"/>
            </w:pPr>
            <w:r w:rsidRPr="00444344">
              <w:t>Dependent Variable</w:t>
            </w:r>
          </w:p>
        </w:tc>
        <w:tc>
          <w:tcPr>
            <w:tcW w:w="0" w:type="auto"/>
            <w:tcBorders>
              <w:top w:val="single" w:sz="4" w:space="0" w:color="auto"/>
            </w:tcBorders>
            <w:hideMark/>
          </w:tcPr>
          <w:p w14:paraId="40C64C9E" w14:textId="77777777" w:rsidR="00265493" w:rsidRPr="00444344" w:rsidRDefault="00265493" w:rsidP="00FD303A">
            <w:pPr>
              <w:pStyle w:val="NormalWeb"/>
              <w:contextualSpacing/>
              <w:jc w:val="both"/>
            </w:pPr>
          </w:p>
        </w:tc>
        <w:tc>
          <w:tcPr>
            <w:tcW w:w="0" w:type="auto"/>
            <w:tcBorders>
              <w:top w:val="single" w:sz="4" w:space="0" w:color="auto"/>
            </w:tcBorders>
            <w:hideMark/>
          </w:tcPr>
          <w:p w14:paraId="12762CE8" w14:textId="77777777" w:rsidR="00265493" w:rsidRPr="00444344" w:rsidRDefault="00265493" w:rsidP="00FD303A">
            <w:pPr>
              <w:pStyle w:val="NormalWeb"/>
              <w:contextualSpacing/>
              <w:jc w:val="both"/>
            </w:pPr>
          </w:p>
        </w:tc>
        <w:tc>
          <w:tcPr>
            <w:tcW w:w="0" w:type="auto"/>
            <w:tcBorders>
              <w:top w:val="single" w:sz="4" w:space="0" w:color="auto"/>
            </w:tcBorders>
            <w:hideMark/>
          </w:tcPr>
          <w:p w14:paraId="5AA57C26" w14:textId="77777777" w:rsidR="00265493" w:rsidRPr="00444344" w:rsidRDefault="00265493" w:rsidP="00FD303A">
            <w:pPr>
              <w:pStyle w:val="NormalWeb"/>
              <w:contextualSpacing/>
              <w:jc w:val="both"/>
            </w:pPr>
          </w:p>
        </w:tc>
      </w:tr>
      <w:tr w:rsidR="00265493" w:rsidRPr="00444344" w14:paraId="08E7077E" w14:textId="77777777" w:rsidTr="00FD303A">
        <w:tc>
          <w:tcPr>
            <w:tcW w:w="0" w:type="auto"/>
            <w:hideMark/>
          </w:tcPr>
          <w:p w14:paraId="0EBEFDF4" w14:textId="77777777" w:rsidR="00265493" w:rsidRPr="00444344" w:rsidRDefault="00265493" w:rsidP="00FD303A">
            <w:pPr>
              <w:pStyle w:val="NormalWeb"/>
              <w:contextualSpacing/>
              <w:jc w:val="both"/>
            </w:pPr>
            <w:r w:rsidRPr="00444344">
              <w:t>Shareholders' Wealth (SHW)</w:t>
            </w:r>
          </w:p>
        </w:tc>
        <w:tc>
          <w:tcPr>
            <w:tcW w:w="0" w:type="auto"/>
            <w:hideMark/>
          </w:tcPr>
          <w:p w14:paraId="50212519" w14:textId="77777777" w:rsidR="00265493" w:rsidRPr="00444344" w:rsidRDefault="00265493" w:rsidP="00FD303A">
            <w:pPr>
              <w:pStyle w:val="NormalWeb"/>
              <w:contextualSpacing/>
              <w:jc w:val="both"/>
            </w:pPr>
            <w:r w:rsidRPr="00444344">
              <w:t>Financial valuation of shareholders’ stake in the firm.</w:t>
            </w:r>
          </w:p>
        </w:tc>
        <w:tc>
          <w:tcPr>
            <w:tcW w:w="0" w:type="auto"/>
            <w:hideMark/>
          </w:tcPr>
          <w:p w14:paraId="22991769" w14:textId="77777777" w:rsidR="00265493" w:rsidRPr="00444344" w:rsidRDefault="00265493" w:rsidP="00FD303A">
            <w:pPr>
              <w:pStyle w:val="NormalWeb"/>
              <w:contextualSpacing/>
              <w:jc w:val="both"/>
            </w:pPr>
            <w:r w:rsidRPr="00444344">
              <w:t>Market Capitalization (Share Price × Outstanding Shares)</w:t>
            </w:r>
          </w:p>
        </w:tc>
        <w:tc>
          <w:tcPr>
            <w:tcW w:w="0" w:type="auto"/>
            <w:hideMark/>
          </w:tcPr>
          <w:p w14:paraId="6623DD20" w14:textId="77777777" w:rsidR="00265493" w:rsidRPr="00444344" w:rsidRDefault="00265493" w:rsidP="00FD303A">
            <w:pPr>
              <w:pStyle w:val="NormalWeb"/>
              <w:contextualSpacing/>
              <w:jc w:val="both"/>
            </w:pPr>
            <w:r w:rsidRPr="00444344">
              <w:t>Farooq et al. (2016)</w:t>
            </w:r>
          </w:p>
        </w:tc>
      </w:tr>
      <w:tr w:rsidR="00265493" w:rsidRPr="00444344" w14:paraId="739927AA" w14:textId="77777777" w:rsidTr="00FD303A">
        <w:tc>
          <w:tcPr>
            <w:tcW w:w="0" w:type="auto"/>
            <w:hideMark/>
          </w:tcPr>
          <w:p w14:paraId="221731B6" w14:textId="77777777" w:rsidR="00265493" w:rsidRPr="00444344" w:rsidRDefault="00265493" w:rsidP="00FD303A">
            <w:pPr>
              <w:pStyle w:val="NormalWeb"/>
              <w:contextualSpacing/>
              <w:jc w:val="both"/>
            </w:pPr>
            <w:r w:rsidRPr="00444344">
              <w:t>Independent Variables</w:t>
            </w:r>
          </w:p>
        </w:tc>
        <w:tc>
          <w:tcPr>
            <w:tcW w:w="0" w:type="auto"/>
            <w:hideMark/>
          </w:tcPr>
          <w:p w14:paraId="6EDACAC9" w14:textId="77777777" w:rsidR="00265493" w:rsidRPr="00444344" w:rsidRDefault="00265493" w:rsidP="00FD303A">
            <w:pPr>
              <w:pStyle w:val="NormalWeb"/>
              <w:contextualSpacing/>
              <w:jc w:val="both"/>
            </w:pPr>
          </w:p>
        </w:tc>
        <w:tc>
          <w:tcPr>
            <w:tcW w:w="0" w:type="auto"/>
            <w:hideMark/>
          </w:tcPr>
          <w:p w14:paraId="5AA27FA6" w14:textId="77777777" w:rsidR="00265493" w:rsidRPr="00444344" w:rsidRDefault="00265493" w:rsidP="00FD303A">
            <w:pPr>
              <w:pStyle w:val="NormalWeb"/>
              <w:contextualSpacing/>
              <w:jc w:val="both"/>
            </w:pPr>
          </w:p>
        </w:tc>
        <w:tc>
          <w:tcPr>
            <w:tcW w:w="0" w:type="auto"/>
            <w:hideMark/>
          </w:tcPr>
          <w:p w14:paraId="2707DC3F" w14:textId="77777777" w:rsidR="00265493" w:rsidRPr="00444344" w:rsidRDefault="00265493" w:rsidP="00FD303A">
            <w:pPr>
              <w:pStyle w:val="NormalWeb"/>
              <w:contextualSpacing/>
              <w:jc w:val="both"/>
            </w:pPr>
          </w:p>
        </w:tc>
      </w:tr>
      <w:tr w:rsidR="00265493" w:rsidRPr="00444344" w14:paraId="7DD1FF34" w14:textId="77777777" w:rsidTr="00FD303A">
        <w:tc>
          <w:tcPr>
            <w:tcW w:w="0" w:type="auto"/>
            <w:hideMark/>
          </w:tcPr>
          <w:p w14:paraId="5593893C" w14:textId="77777777" w:rsidR="00265493" w:rsidRPr="00444344" w:rsidRDefault="00265493" w:rsidP="00FD303A">
            <w:pPr>
              <w:pStyle w:val="NormalWeb"/>
              <w:contextualSpacing/>
              <w:jc w:val="both"/>
            </w:pPr>
            <w:r w:rsidRPr="00444344">
              <w:lastRenderedPageBreak/>
              <w:t>Short-Term Debt (STD)</w:t>
            </w:r>
          </w:p>
        </w:tc>
        <w:tc>
          <w:tcPr>
            <w:tcW w:w="0" w:type="auto"/>
            <w:hideMark/>
          </w:tcPr>
          <w:p w14:paraId="1804B2F8" w14:textId="77777777" w:rsidR="00265493" w:rsidRPr="00444344" w:rsidRDefault="00265493" w:rsidP="00FD303A">
            <w:pPr>
              <w:pStyle w:val="NormalWeb"/>
              <w:contextualSpacing/>
              <w:jc w:val="both"/>
            </w:pPr>
            <w:r w:rsidRPr="00444344">
              <w:t>Proportion of short-term borrowings in total assets.</w:t>
            </w:r>
          </w:p>
        </w:tc>
        <w:tc>
          <w:tcPr>
            <w:tcW w:w="0" w:type="auto"/>
            <w:hideMark/>
          </w:tcPr>
          <w:p w14:paraId="0752845A" w14:textId="77777777" w:rsidR="00265493" w:rsidRPr="00444344" w:rsidRDefault="00265493" w:rsidP="00FD303A">
            <w:pPr>
              <w:pStyle w:val="NormalWeb"/>
              <w:contextualSpacing/>
              <w:jc w:val="both"/>
            </w:pPr>
            <w:r w:rsidRPr="00444344">
              <w:t>Ratio of Current Liabilities to Total Assets</w:t>
            </w:r>
          </w:p>
        </w:tc>
        <w:tc>
          <w:tcPr>
            <w:tcW w:w="0" w:type="auto"/>
            <w:hideMark/>
          </w:tcPr>
          <w:p w14:paraId="03AC2347" w14:textId="77777777" w:rsidR="00265493" w:rsidRPr="00444344" w:rsidRDefault="00265493" w:rsidP="00FD303A">
            <w:pPr>
              <w:pStyle w:val="NormalWeb"/>
              <w:contextualSpacing/>
              <w:jc w:val="both"/>
            </w:pPr>
            <w:proofErr w:type="spellStart"/>
            <w:r w:rsidRPr="00444344">
              <w:t>Shikumo</w:t>
            </w:r>
            <w:proofErr w:type="spellEnd"/>
            <w:r w:rsidRPr="00444344">
              <w:t xml:space="preserve"> (2020)</w:t>
            </w:r>
          </w:p>
        </w:tc>
      </w:tr>
      <w:tr w:rsidR="00265493" w:rsidRPr="00444344" w14:paraId="6C7C08C8" w14:textId="77777777" w:rsidTr="00FD303A">
        <w:tc>
          <w:tcPr>
            <w:tcW w:w="0" w:type="auto"/>
            <w:hideMark/>
          </w:tcPr>
          <w:p w14:paraId="7C3878BB" w14:textId="77777777" w:rsidR="00265493" w:rsidRPr="00444344" w:rsidRDefault="00265493" w:rsidP="00FD303A">
            <w:pPr>
              <w:pStyle w:val="NormalWeb"/>
              <w:contextualSpacing/>
              <w:jc w:val="both"/>
            </w:pPr>
            <w:r w:rsidRPr="00444344">
              <w:t>Long-Term Debt (LTD)</w:t>
            </w:r>
          </w:p>
        </w:tc>
        <w:tc>
          <w:tcPr>
            <w:tcW w:w="0" w:type="auto"/>
            <w:hideMark/>
          </w:tcPr>
          <w:p w14:paraId="1D7C8E1B" w14:textId="77777777" w:rsidR="00265493" w:rsidRPr="00444344" w:rsidRDefault="00265493" w:rsidP="00FD303A">
            <w:pPr>
              <w:pStyle w:val="NormalWeb"/>
              <w:contextualSpacing/>
              <w:jc w:val="both"/>
            </w:pPr>
            <w:r w:rsidRPr="00444344">
              <w:t>Proportion of long-term debt in total assets.</w:t>
            </w:r>
          </w:p>
        </w:tc>
        <w:tc>
          <w:tcPr>
            <w:tcW w:w="0" w:type="auto"/>
            <w:hideMark/>
          </w:tcPr>
          <w:p w14:paraId="4E645223" w14:textId="77777777" w:rsidR="00265493" w:rsidRPr="00444344" w:rsidRDefault="00265493" w:rsidP="00FD303A">
            <w:pPr>
              <w:pStyle w:val="NormalWeb"/>
              <w:contextualSpacing/>
              <w:jc w:val="both"/>
            </w:pPr>
            <w:r w:rsidRPr="00444344">
              <w:t>Total Long-Term Liabilities divided by Total Assets</w:t>
            </w:r>
          </w:p>
        </w:tc>
        <w:tc>
          <w:tcPr>
            <w:tcW w:w="0" w:type="auto"/>
            <w:hideMark/>
          </w:tcPr>
          <w:p w14:paraId="79AFE89F" w14:textId="77777777" w:rsidR="00265493" w:rsidRPr="00444344" w:rsidRDefault="00265493" w:rsidP="00FD303A">
            <w:pPr>
              <w:pStyle w:val="NormalWeb"/>
              <w:contextualSpacing/>
              <w:jc w:val="both"/>
            </w:pPr>
            <w:r w:rsidRPr="00444344">
              <w:t>Muchiri et al. (2016)</w:t>
            </w:r>
          </w:p>
        </w:tc>
      </w:tr>
      <w:tr w:rsidR="00265493" w:rsidRPr="00444344" w14:paraId="3390B64E" w14:textId="77777777" w:rsidTr="00FD303A">
        <w:tc>
          <w:tcPr>
            <w:tcW w:w="0" w:type="auto"/>
            <w:hideMark/>
          </w:tcPr>
          <w:p w14:paraId="6D69C595" w14:textId="77777777" w:rsidR="00265493" w:rsidRPr="00444344" w:rsidRDefault="00265493" w:rsidP="00FD303A">
            <w:pPr>
              <w:pStyle w:val="NormalWeb"/>
              <w:contextualSpacing/>
              <w:jc w:val="both"/>
            </w:pPr>
            <w:r w:rsidRPr="00444344">
              <w:t>Cost of Debt (COD)</w:t>
            </w:r>
          </w:p>
        </w:tc>
        <w:tc>
          <w:tcPr>
            <w:tcW w:w="0" w:type="auto"/>
            <w:hideMark/>
          </w:tcPr>
          <w:p w14:paraId="0DCDD8BF" w14:textId="77777777" w:rsidR="00265493" w:rsidRPr="00444344" w:rsidRDefault="00265493" w:rsidP="00FD303A">
            <w:pPr>
              <w:pStyle w:val="NormalWeb"/>
              <w:contextualSpacing/>
              <w:jc w:val="both"/>
            </w:pPr>
            <w:r w:rsidRPr="00444344">
              <w:t xml:space="preserve">The </w:t>
            </w:r>
            <w:proofErr w:type="gramStart"/>
            <w:r w:rsidRPr="00444344">
              <w:t>after tax</w:t>
            </w:r>
            <w:proofErr w:type="gramEnd"/>
            <w:r w:rsidRPr="00444344">
              <w:t xml:space="preserve"> weighted cost of borrowed capital.</w:t>
            </w:r>
          </w:p>
        </w:tc>
        <w:tc>
          <w:tcPr>
            <w:tcW w:w="0" w:type="auto"/>
            <w:hideMark/>
          </w:tcPr>
          <w:p w14:paraId="2D00D55B" w14:textId="77777777" w:rsidR="00265493" w:rsidRPr="00444344" w:rsidRDefault="00265493" w:rsidP="00FD303A">
            <w:pPr>
              <w:pStyle w:val="NormalWeb"/>
              <w:contextualSpacing/>
              <w:jc w:val="both"/>
            </w:pPr>
            <w:r w:rsidRPr="00444344">
              <w:t>COD</w:t>
            </w:r>
            <w:r w:rsidRPr="00444344">
              <w:rPr>
                <w:vertAlign w:val="subscript"/>
              </w:rPr>
              <w:t>After tax</w:t>
            </w:r>
            <w:r w:rsidRPr="00444344">
              <w:t xml:space="preserve"> =Interest Expense / Total Interest-Bearing Debt </w:t>
            </w:r>
          </w:p>
          <w:p w14:paraId="1405BFDB" w14:textId="77777777" w:rsidR="00265493" w:rsidRPr="00444344" w:rsidRDefault="00265493" w:rsidP="00FD303A">
            <w:pPr>
              <w:pStyle w:val="NormalWeb"/>
              <w:contextualSpacing/>
              <w:jc w:val="both"/>
            </w:pPr>
          </w:p>
        </w:tc>
        <w:tc>
          <w:tcPr>
            <w:tcW w:w="0" w:type="auto"/>
            <w:hideMark/>
          </w:tcPr>
          <w:p w14:paraId="3B9DE616" w14:textId="77777777" w:rsidR="00265493" w:rsidRPr="00444344" w:rsidRDefault="00265493" w:rsidP="00FD303A">
            <w:pPr>
              <w:pStyle w:val="NormalWeb"/>
              <w:contextualSpacing/>
              <w:jc w:val="both"/>
            </w:pPr>
            <w:r w:rsidRPr="00444344">
              <w:t>Friede et al. (2019)</w:t>
            </w:r>
          </w:p>
        </w:tc>
      </w:tr>
      <w:tr w:rsidR="00265493" w:rsidRPr="00444344" w14:paraId="03577D1D" w14:textId="77777777" w:rsidTr="00FD303A">
        <w:tc>
          <w:tcPr>
            <w:tcW w:w="0" w:type="auto"/>
            <w:hideMark/>
          </w:tcPr>
          <w:p w14:paraId="51AE9FC8" w14:textId="77777777" w:rsidR="00265493" w:rsidRPr="00444344" w:rsidRDefault="00265493" w:rsidP="00FD303A">
            <w:pPr>
              <w:pStyle w:val="NormalWeb"/>
              <w:contextualSpacing/>
              <w:jc w:val="both"/>
            </w:pPr>
            <w:r w:rsidRPr="00444344">
              <w:t>Profitability (PROF)</w:t>
            </w:r>
          </w:p>
        </w:tc>
        <w:tc>
          <w:tcPr>
            <w:tcW w:w="0" w:type="auto"/>
            <w:hideMark/>
          </w:tcPr>
          <w:p w14:paraId="3334A681" w14:textId="77777777" w:rsidR="00265493" w:rsidRPr="00444344" w:rsidRDefault="00265493" w:rsidP="00FD303A">
            <w:pPr>
              <w:pStyle w:val="NormalWeb"/>
              <w:contextualSpacing/>
              <w:jc w:val="both"/>
            </w:pPr>
            <w:r w:rsidRPr="00444344">
              <w:t>Firm’s efficiency in generating earnings from assets.</w:t>
            </w:r>
          </w:p>
        </w:tc>
        <w:tc>
          <w:tcPr>
            <w:tcW w:w="0" w:type="auto"/>
            <w:hideMark/>
          </w:tcPr>
          <w:p w14:paraId="05E47D75" w14:textId="77777777" w:rsidR="00265493" w:rsidRPr="00444344" w:rsidRDefault="00265493" w:rsidP="00FD303A">
            <w:pPr>
              <w:pStyle w:val="NormalWeb"/>
              <w:contextualSpacing/>
              <w:jc w:val="both"/>
            </w:pPr>
            <w:r w:rsidRPr="00444344">
              <w:t>Profit After Tax divided by Total Assets</w:t>
            </w:r>
          </w:p>
        </w:tc>
        <w:tc>
          <w:tcPr>
            <w:tcW w:w="0" w:type="auto"/>
            <w:hideMark/>
          </w:tcPr>
          <w:p w14:paraId="29AD95C5" w14:textId="77777777" w:rsidR="00265493" w:rsidRPr="00444344" w:rsidRDefault="00265493" w:rsidP="00FD303A">
            <w:pPr>
              <w:pStyle w:val="NormalWeb"/>
              <w:contextualSpacing/>
              <w:jc w:val="both"/>
            </w:pPr>
            <w:proofErr w:type="spellStart"/>
            <w:r w:rsidRPr="00444344">
              <w:t>Onumoh</w:t>
            </w:r>
            <w:proofErr w:type="spellEnd"/>
            <w:r w:rsidRPr="00444344">
              <w:t xml:space="preserve"> (2021)</w:t>
            </w:r>
          </w:p>
        </w:tc>
      </w:tr>
      <w:tr w:rsidR="00265493" w:rsidRPr="00444344" w14:paraId="74C6B566" w14:textId="77777777" w:rsidTr="00FD303A">
        <w:tc>
          <w:tcPr>
            <w:tcW w:w="0" w:type="auto"/>
            <w:hideMark/>
          </w:tcPr>
          <w:p w14:paraId="4E676D25" w14:textId="77777777" w:rsidR="00265493" w:rsidRPr="00444344" w:rsidRDefault="00265493" w:rsidP="00FD303A">
            <w:pPr>
              <w:pStyle w:val="NormalWeb"/>
              <w:contextualSpacing/>
              <w:jc w:val="both"/>
            </w:pPr>
            <w:r w:rsidRPr="00444344">
              <w:t>Firm Size (FSIZE)</w:t>
            </w:r>
          </w:p>
        </w:tc>
        <w:tc>
          <w:tcPr>
            <w:tcW w:w="0" w:type="auto"/>
            <w:hideMark/>
          </w:tcPr>
          <w:p w14:paraId="70D2F357" w14:textId="77777777" w:rsidR="00265493" w:rsidRPr="00444344" w:rsidRDefault="00265493" w:rsidP="00FD303A">
            <w:pPr>
              <w:pStyle w:val="NormalWeb"/>
              <w:contextualSpacing/>
              <w:jc w:val="both"/>
            </w:pPr>
            <w:r w:rsidRPr="00444344">
              <w:t>Logarithm of total assets, representing firm scale.</w:t>
            </w:r>
          </w:p>
        </w:tc>
        <w:tc>
          <w:tcPr>
            <w:tcW w:w="0" w:type="auto"/>
            <w:hideMark/>
          </w:tcPr>
          <w:p w14:paraId="67CE34B5" w14:textId="77777777" w:rsidR="00265493" w:rsidRPr="00444344" w:rsidRDefault="00265493" w:rsidP="00FD303A">
            <w:pPr>
              <w:pStyle w:val="NormalWeb"/>
              <w:contextualSpacing/>
              <w:jc w:val="both"/>
            </w:pPr>
            <w:r w:rsidRPr="00444344">
              <w:t>Natural Logarithm of Total Assets</w:t>
            </w:r>
          </w:p>
        </w:tc>
        <w:tc>
          <w:tcPr>
            <w:tcW w:w="0" w:type="auto"/>
            <w:hideMark/>
          </w:tcPr>
          <w:p w14:paraId="6CC8F75E" w14:textId="77777777" w:rsidR="00265493" w:rsidRPr="00444344" w:rsidRDefault="00265493" w:rsidP="00FD303A">
            <w:pPr>
              <w:pStyle w:val="NormalWeb"/>
              <w:contextualSpacing/>
              <w:jc w:val="both"/>
            </w:pPr>
            <w:r w:rsidRPr="00444344">
              <w:t>Orekhova et al. (2019)</w:t>
            </w:r>
          </w:p>
        </w:tc>
      </w:tr>
      <w:tr w:rsidR="00265493" w:rsidRPr="00444344" w14:paraId="33E4602A" w14:textId="77777777" w:rsidTr="00FD303A">
        <w:tc>
          <w:tcPr>
            <w:tcW w:w="0" w:type="auto"/>
            <w:tcBorders>
              <w:bottom w:val="single" w:sz="4" w:space="0" w:color="auto"/>
            </w:tcBorders>
            <w:hideMark/>
          </w:tcPr>
          <w:p w14:paraId="062A0BC2" w14:textId="77777777" w:rsidR="00265493" w:rsidRPr="00444344" w:rsidRDefault="00265493" w:rsidP="00FD303A">
            <w:pPr>
              <w:pStyle w:val="NormalWeb"/>
              <w:contextualSpacing/>
              <w:jc w:val="both"/>
            </w:pPr>
            <w:r w:rsidRPr="00444344">
              <w:t>Year Dummies</w:t>
            </w:r>
          </w:p>
        </w:tc>
        <w:tc>
          <w:tcPr>
            <w:tcW w:w="0" w:type="auto"/>
            <w:tcBorders>
              <w:bottom w:val="single" w:sz="4" w:space="0" w:color="auto"/>
            </w:tcBorders>
            <w:hideMark/>
          </w:tcPr>
          <w:p w14:paraId="1611D524" w14:textId="77777777" w:rsidR="00265493" w:rsidRPr="00444344" w:rsidRDefault="00265493" w:rsidP="00FD303A">
            <w:pPr>
              <w:pStyle w:val="NormalWeb"/>
              <w:contextualSpacing/>
              <w:jc w:val="both"/>
            </w:pPr>
            <w:r w:rsidRPr="00444344">
              <w:t>Control for macroeconomic shocks and firm performance.</w:t>
            </w:r>
          </w:p>
        </w:tc>
        <w:tc>
          <w:tcPr>
            <w:tcW w:w="0" w:type="auto"/>
            <w:tcBorders>
              <w:bottom w:val="single" w:sz="4" w:space="0" w:color="auto"/>
            </w:tcBorders>
            <w:hideMark/>
          </w:tcPr>
          <w:p w14:paraId="452A7A61" w14:textId="77777777" w:rsidR="00265493" w:rsidRPr="00444344" w:rsidRDefault="00265493" w:rsidP="00FD303A">
            <w:pPr>
              <w:pStyle w:val="NormalWeb"/>
              <w:contextualSpacing/>
              <w:jc w:val="both"/>
            </w:pPr>
            <w:r w:rsidRPr="00444344">
              <w:t>Dummy variables for each year from 2013 to 2023</w:t>
            </w:r>
          </w:p>
        </w:tc>
        <w:tc>
          <w:tcPr>
            <w:tcW w:w="0" w:type="auto"/>
            <w:tcBorders>
              <w:bottom w:val="single" w:sz="4" w:space="0" w:color="auto"/>
            </w:tcBorders>
            <w:hideMark/>
          </w:tcPr>
          <w:p w14:paraId="09A5ACD7" w14:textId="77777777" w:rsidR="00265493" w:rsidRPr="00444344" w:rsidRDefault="00265493" w:rsidP="00FD303A">
            <w:pPr>
              <w:pStyle w:val="NormalWeb"/>
              <w:contextualSpacing/>
              <w:jc w:val="both"/>
            </w:pPr>
            <w:r w:rsidRPr="00444344">
              <w:t xml:space="preserve">Wooldridge (2010), </w:t>
            </w:r>
            <w:proofErr w:type="spellStart"/>
            <w:r w:rsidRPr="00444344">
              <w:t>Baltagi</w:t>
            </w:r>
            <w:proofErr w:type="spellEnd"/>
            <w:r w:rsidRPr="00444344">
              <w:t xml:space="preserve"> (2021)</w:t>
            </w:r>
          </w:p>
        </w:tc>
      </w:tr>
    </w:tbl>
    <w:p w14:paraId="07249EEE" w14:textId="3813C83E" w:rsidR="00037485" w:rsidRPr="00037485" w:rsidRDefault="00265493" w:rsidP="00265493">
      <w:pPr>
        <w:pStyle w:val="NormalWeb"/>
        <w:spacing w:beforeAutospacing="0" w:afterAutospacing="0" w:line="480" w:lineRule="auto"/>
        <w:jc w:val="both"/>
        <w:rPr>
          <w:lang w:val="en-GB"/>
        </w:rPr>
      </w:pPr>
      <w:r w:rsidRPr="00444344">
        <w:rPr>
          <w:lang w:val="en-GB"/>
        </w:rPr>
        <w:t>Source: Author’s compilation, 2025</w:t>
      </w:r>
    </w:p>
    <w:p w14:paraId="0185C983"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 Results and Discussion</w:t>
      </w:r>
    </w:p>
    <w:p w14:paraId="049056B3"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4.1 Descriptive statistics</w:t>
      </w:r>
    </w:p>
    <w:p w14:paraId="305AB5AB" w14:textId="6045571F" w:rsidR="00E52205" w:rsidRPr="00E52205" w:rsidRDefault="003B5C28" w:rsidP="003B5C28">
      <w:pPr>
        <w:jc w:val="both"/>
        <w:rPr>
          <w:rFonts w:asciiTheme="majorBidi" w:hAnsiTheme="majorBidi" w:cstheme="majorBidi"/>
          <w:sz w:val="24"/>
          <w:szCs w:val="24"/>
        </w:rPr>
      </w:pPr>
      <w:r w:rsidRPr="003B5C28">
        <w:rPr>
          <w:rFonts w:asciiTheme="majorBidi" w:hAnsiTheme="majorBidi" w:cstheme="majorBidi"/>
          <w:sz w:val="24"/>
          <w:szCs w:val="24"/>
        </w:rPr>
        <w:t xml:space="preserve">This section summarises the key characteristics of the variables used in the analysis and sets the stage for the correlation, diagnostics, and regression results that follow. Table </w:t>
      </w:r>
      <w:r w:rsidR="00823680">
        <w:rPr>
          <w:rFonts w:asciiTheme="majorBidi" w:hAnsiTheme="majorBidi" w:cstheme="majorBidi"/>
          <w:sz w:val="24"/>
          <w:szCs w:val="24"/>
          <w:lang w:val="en-IN"/>
        </w:rPr>
        <w:t>2</w:t>
      </w:r>
      <w:r w:rsidRPr="003B5C28">
        <w:rPr>
          <w:rFonts w:asciiTheme="majorBidi" w:hAnsiTheme="majorBidi" w:cstheme="majorBidi"/>
          <w:sz w:val="24"/>
          <w:szCs w:val="24"/>
        </w:rPr>
        <w:t xml:space="preserve"> reports the number of observations, means, standard deviations, and ranges for shareholders’ wealth (SHW), short-term debt (STD), long-term debt (LTD), cost of debt (COD), profitability (PROF), and firm size (FSIZE). The sample comprises 473 firm-year observations. SHW averages 0.1595 with a standard deviation of 0.0248 and spans 0.1083 to 0.2221, indicating moderate dispersion in market valuation across listed manufacturers. Both leverage measures have low means, with STD at 0.0104 and LTD at 0.0056, which is consistent with restrained use of interest-bearing debt. COD averages 0.0343, implying an average borrowing cost of about 3.43 per cent, although the dispersion (0.0387) and upper bound (0.2287) suggest meaningful variation in financing conditions across firms and over time. PROF has a mean of 0.0055 but a relatively large standard deviation of 0.0748, and the minimum of −0.9894 indicates loss-making years for some firms. FSIZE averages 0.1645 and ranges from 0.1096 to 0.2168, reflecting a mix of smaller and larger issuers in the sample.</w:t>
      </w:r>
      <w:r w:rsidR="00E52205" w:rsidRPr="00E52205">
        <w:rPr>
          <w:rFonts w:asciiTheme="majorBidi" w:hAnsiTheme="majorBidi" w:cstheme="majorBidi"/>
          <w:sz w:val="24"/>
          <w:szCs w:val="24"/>
        </w:rPr>
        <w:t>.</w:t>
      </w:r>
    </w:p>
    <w:p w14:paraId="28AE3AF4" w14:textId="6A0C959D" w:rsidR="00E52205" w:rsidRPr="00E52205" w:rsidRDefault="00E52205" w:rsidP="003B5C28">
      <w:pPr>
        <w:jc w:val="both"/>
        <w:rPr>
          <w:rFonts w:asciiTheme="majorBidi" w:hAnsiTheme="majorBidi" w:cstheme="majorBidi"/>
          <w:b/>
          <w:bCs/>
          <w:sz w:val="24"/>
          <w:szCs w:val="24"/>
        </w:rPr>
      </w:pPr>
      <w:r w:rsidRPr="00E52205">
        <w:rPr>
          <w:rFonts w:asciiTheme="majorBidi" w:hAnsiTheme="majorBidi" w:cstheme="majorBidi"/>
          <w:b/>
          <w:bCs/>
          <w:sz w:val="24"/>
          <w:szCs w:val="24"/>
        </w:rPr>
        <w:t xml:space="preserve">Table </w:t>
      </w:r>
      <w:r w:rsidR="00823680">
        <w:rPr>
          <w:rFonts w:asciiTheme="majorBidi" w:hAnsiTheme="majorBidi" w:cstheme="majorBidi"/>
          <w:b/>
          <w:bCs/>
          <w:sz w:val="24"/>
          <w:szCs w:val="24"/>
          <w:lang w:val="en-IN"/>
        </w:rPr>
        <w:t>2-</w:t>
      </w:r>
      <w:r w:rsidRPr="00E52205">
        <w:rPr>
          <w:rFonts w:asciiTheme="majorBidi" w:hAnsiTheme="majorBidi" w:cstheme="majorBidi"/>
          <w:b/>
          <w:bCs/>
          <w:sz w:val="24"/>
          <w:szCs w:val="24"/>
        </w:rPr>
        <w:t xml:space="preserve"> Descriptive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630"/>
        <w:gridCol w:w="876"/>
        <w:gridCol w:w="1130"/>
        <w:gridCol w:w="956"/>
        <w:gridCol w:w="876"/>
      </w:tblGrid>
      <w:tr w:rsidR="00E52205" w:rsidRPr="00E52205" w14:paraId="15D33067" w14:textId="77777777" w:rsidTr="003B5C28">
        <w:tc>
          <w:tcPr>
            <w:tcW w:w="0" w:type="auto"/>
            <w:tcBorders>
              <w:top w:val="single" w:sz="4" w:space="0" w:color="auto"/>
              <w:bottom w:val="single" w:sz="4" w:space="0" w:color="auto"/>
            </w:tcBorders>
            <w:hideMark/>
          </w:tcPr>
          <w:p w14:paraId="3F185F98"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25182E36"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Obs</w:t>
            </w:r>
          </w:p>
        </w:tc>
        <w:tc>
          <w:tcPr>
            <w:tcW w:w="0" w:type="auto"/>
            <w:tcBorders>
              <w:top w:val="single" w:sz="4" w:space="0" w:color="auto"/>
              <w:bottom w:val="single" w:sz="4" w:space="0" w:color="auto"/>
            </w:tcBorders>
            <w:hideMark/>
          </w:tcPr>
          <w:p w14:paraId="2BB1A3A3"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Mean</w:t>
            </w:r>
          </w:p>
        </w:tc>
        <w:tc>
          <w:tcPr>
            <w:tcW w:w="0" w:type="auto"/>
            <w:tcBorders>
              <w:top w:val="single" w:sz="4" w:space="0" w:color="auto"/>
              <w:bottom w:val="single" w:sz="4" w:space="0" w:color="auto"/>
            </w:tcBorders>
            <w:hideMark/>
          </w:tcPr>
          <w:p w14:paraId="58DF6BC5"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Std. Dev.</w:t>
            </w:r>
          </w:p>
        </w:tc>
        <w:tc>
          <w:tcPr>
            <w:tcW w:w="0" w:type="auto"/>
            <w:tcBorders>
              <w:top w:val="single" w:sz="4" w:space="0" w:color="auto"/>
              <w:bottom w:val="single" w:sz="4" w:space="0" w:color="auto"/>
            </w:tcBorders>
            <w:hideMark/>
          </w:tcPr>
          <w:p w14:paraId="0E36505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Min</w:t>
            </w:r>
          </w:p>
        </w:tc>
        <w:tc>
          <w:tcPr>
            <w:tcW w:w="0" w:type="auto"/>
            <w:tcBorders>
              <w:top w:val="single" w:sz="4" w:space="0" w:color="auto"/>
              <w:bottom w:val="single" w:sz="4" w:space="0" w:color="auto"/>
            </w:tcBorders>
            <w:hideMark/>
          </w:tcPr>
          <w:p w14:paraId="54B3EE8B"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Max</w:t>
            </w:r>
          </w:p>
        </w:tc>
      </w:tr>
      <w:tr w:rsidR="00E52205" w:rsidRPr="00E52205" w14:paraId="75A0C348" w14:textId="77777777" w:rsidTr="003B5C28">
        <w:tc>
          <w:tcPr>
            <w:tcW w:w="0" w:type="auto"/>
            <w:tcBorders>
              <w:top w:val="single" w:sz="4" w:space="0" w:color="auto"/>
            </w:tcBorders>
            <w:hideMark/>
          </w:tcPr>
          <w:p w14:paraId="61F49417"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SHW</w:t>
            </w:r>
          </w:p>
        </w:tc>
        <w:tc>
          <w:tcPr>
            <w:tcW w:w="0" w:type="auto"/>
            <w:tcBorders>
              <w:top w:val="single" w:sz="4" w:space="0" w:color="auto"/>
            </w:tcBorders>
            <w:hideMark/>
          </w:tcPr>
          <w:p w14:paraId="7EE22AC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tcBorders>
              <w:top w:val="single" w:sz="4" w:space="0" w:color="auto"/>
            </w:tcBorders>
            <w:hideMark/>
          </w:tcPr>
          <w:p w14:paraId="459091E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0.1595</w:t>
            </w:r>
          </w:p>
        </w:tc>
        <w:tc>
          <w:tcPr>
            <w:tcW w:w="0" w:type="auto"/>
            <w:tcBorders>
              <w:top w:val="single" w:sz="4" w:space="0" w:color="auto"/>
            </w:tcBorders>
            <w:hideMark/>
          </w:tcPr>
          <w:p w14:paraId="563B056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0.0248</w:t>
            </w:r>
          </w:p>
        </w:tc>
        <w:tc>
          <w:tcPr>
            <w:tcW w:w="0" w:type="auto"/>
            <w:tcBorders>
              <w:top w:val="single" w:sz="4" w:space="0" w:color="auto"/>
            </w:tcBorders>
            <w:hideMark/>
          </w:tcPr>
          <w:p w14:paraId="314AB46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0.1083</w:t>
            </w:r>
          </w:p>
        </w:tc>
        <w:tc>
          <w:tcPr>
            <w:tcW w:w="0" w:type="auto"/>
            <w:tcBorders>
              <w:top w:val="single" w:sz="4" w:space="0" w:color="auto"/>
            </w:tcBorders>
            <w:hideMark/>
          </w:tcPr>
          <w:p w14:paraId="19F8B76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0.2221</w:t>
            </w:r>
          </w:p>
        </w:tc>
      </w:tr>
      <w:tr w:rsidR="00E52205" w:rsidRPr="00E52205" w14:paraId="3691899E" w14:textId="77777777" w:rsidTr="003B5C28">
        <w:tc>
          <w:tcPr>
            <w:tcW w:w="0" w:type="auto"/>
            <w:hideMark/>
          </w:tcPr>
          <w:p w14:paraId="33708B5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w:t>
            </w:r>
          </w:p>
        </w:tc>
        <w:tc>
          <w:tcPr>
            <w:tcW w:w="0" w:type="auto"/>
            <w:hideMark/>
          </w:tcPr>
          <w:p w14:paraId="7F9DFE30"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6B2D6E1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0.0104</w:t>
            </w:r>
          </w:p>
        </w:tc>
        <w:tc>
          <w:tcPr>
            <w:tcW w:w="0" w:type="auto"/>
            <w:hideMark/>
          </w:tcPr>
          <w:p w14:paraId="48E690A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0.0289</w:t>
            </w:r>
          </w:p>
        </w:tc>
        <w:tc>
          <w:tcPr>
            <w:tcW w:w="0" w:type="auto"/>
            <w:hideMark/>
          </w:tcPr>
          <w:p w14:paraId="50490899"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0.0002</w:t>
            </w:r>
          </w:p>
        </w:tc>
        <w:tc>
          <w:tcPr>
            <w:tcW w:w="0" w:type="auto"/>
            <w:hideMark/>
          </w:tcPr>
          <w:p w14:paraId="1CDBC7E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0.1699</w:t>
            </w:r>
          </w:p>
        </w:tc>
      </w:tr>
      <w:tr w:rsidR="00E52205" w:rsidRPr="00E52205" w14:paraId="1F6CBF3D" w14:textId="77777777" w:rsidTr="003B5C28">
        <w:tc>
          <w:tcPr>
            <w:tcW w:w="0" w:type="auto"/>
            <w:hideMark/>
          </w:tcPr>
          <w:p w14:paraId="085946E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w:t>
            </w:r>
          </w:p>
        </w:tc>
        <w:tc>
          <w:tcPr>
            <w:tcW w:w="0" w:type="auto"/>
            <w:hideMark/>
          </w:tcPr>
          <w:p w14:paraId="64027B0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4E36138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0.0056</w:t>
            </w:r>
          </w:p>
        </w:tc>
        <w:tc>
          <w:tcPr>
            <w:tcW w:w="0" w:type="auto"/>
            <w:hideMark/>
          </w:tcPr>
          <w:p w14:paraId="0B98226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0.0247</w:t>
            </w:r>
          </w:p>
        </w:tc>
        <w:tc>
          <w:tcPr>
            <w:tcW w:w="0" w:type="auto"/>
            <w:hideMark/>
          </w:tcPr>
          <w:p w14:paraId="666C5C4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0.0000</w:t>
            </w:r>
          </w:p>
        </w:tc>
        <w:tc>
          <w:tcPr>
            <w:tcW w:w="0" w:type="auto"/>
            <w:hideMark/>
          </w:tcPr>
          <w:p w14:paraId="661DC71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0.1649</w:t>
            </w:r>
          </w:p>
        </w:tc>
      </w:tr>
      <w:tr w:rsidR="00E52205" w:rsidRPr="00E52205" w14:paraId="3359D5B1" w14:textId="77777777" w:rsidTr="003B5C28">
        <w:tc>
          <w:tcPr>
            <w:tcW w:w="0" w:type="auto"/>
            <w:hideMark/>
          </w:tcPr>
          <w:p w14:paraId="29F14BD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28F8732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5E6610B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0.0343</w:t>
            </w:r>
          </w:p>
        </w:tc>
        <w:tc>
          <w:tcPr>
            <w:tcW w:w="0" w:type="auto"/>
            <w:hideMark/>
          </w:tcPr>
          <w:p w14:paraId="0C9BC76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0.0387</w:t>
            </w:r>
          </w:p>
        </w:tc>
        <w:tc>
          <w:tcPr>
            <w:tcW w:w="0" w:type="auto"/>
            <w:hideMark/>
          </w:tcPr>
          <w:p w14:paraId="4F3E41A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0.0000</w:t>
            </w:r>
          </w:p>
        </w:tc>
        <w:tc>
          <w:tcPr>
            <w:tcW w:w="0" w:type="auto"/>
            <w:hideMark/>
          </w:tcPr>
          <w:p w14:paraId="22690E6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0.2287</w:t>
            </w:r>
          </w:p>
        </w:tc>
      </w:tr>
      <w:tr w:rsidR="00E52205" w:rsidRPr="00E52205" w14:paraId="52532D00" w14:textId="77777777" w:rsidTr="003B5C28">
        <w:tc>
          <w:tcPr>
            <w:tcW w:w="0" w:type="auto"/>
            <w:hideMark/>
          </w:tcPr>
          <w:p w14:paraId="1867A61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5B5BA26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6573739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0.0055</w:t>
            </w:r>
          </w:p>
        </w:tc>
        <w:tc>
          <w:tcPr>
            <w:tcW w:w="0" w:type="auto"/>
            <w:hideMark/>
          </w:tcPr>
          <w:p w14:paraId="1927081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0.0748</w:t>
            </w:r>
          </w:p>
        </w:tc>
        <w:tc>
          <w:tcPr>
            <w:tcW w:w="0" w:type="auto"/>
            <w:hideMark/>
          </w:tcPr>
          <w:p w14:paraId="096EC4E2" w14:textId="4E16C045"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0.9894</w:t>
            </w:r>
          </w:p>
        </w:tc>
        <w:tc>
          <w:tcPr>
            <w:tcW w:w="0" w:type="auto"/>
            <w:hideMark/>
          </w:tcPr>
          <w:p w14:paraId="7983DA1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0.2557</w:t>
            </w:r>
          </w:p>
        </w:tc>
      </w:tr>
      <w:tr w:rsidR="00E52205" w:rsidRPr="00E52205" w14:paraId="3BCD2B63" w14:textId="77777777" w:rsidTr="003B5C28">
        <w:tc>
          <w:tcPr>
            <w:tcW w:w="0" w:type="auto"/>
            <w:hideMark/>
          </w:tcPr>
          <w:p w14:paraId="5BF2481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lastRenderedPageBreak/>
              <w:t>FSIZE</w:t>
            </w:r>
          </w:p>
        </w:tc>
        <w:tc>
          <w:tcPr>
            <w:tcW w:w="0" w:type="auto"/>
            <w:hideMark/>
          </w:tcPr>
          <w:p w14:paraId="78C58F0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4E0DABA1"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0.1645</w:t>
            </w:r>
          </w:p>
        </w:tc>
        <w:tc>
          <w:tcPr>
            <w:tcW w:w="0" w:type="auto"/>
            <w:hideMark/>
          </w:tcPr>
          <w:p w14:paraId="7D7E2B7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0.0221</w:t>
            </w:r>
          </w:p>
        </w:tc>
        <w:tc>
          <w:tcPr>
            <w:tcW w:w="0" w:type="auto"/>
            <w:hideMark/>
          </w:tcPr>
          <w:p w14:paraId="6C561DE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0.1096</w:t>
            </w:r>
          </w:p>
        </w:tc>
        <w:tc>
          <w:tcPr>
            <w:tcW w:w="0" w:type="auto"/>
            <w:hideMark/>
          </w:tcPr>
          <w:p w14:paraId="3EC58D5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0.2168</w:t>
            </w:r>
          </w:p>
        </w:tc>
      </w:tr>
    </w:tbl>
    <w:p w14:paraId="5143EA88" w14:textId="70A8E001" w:rsidR="003B5C28" w:rsidRDefault="003B5C28" w:rsidP="00E52205">
      <w:pPr>
        <w:jc w:val="both"/>
        <w:rPr>
          <w:rFonts w:asciiTheme="majorBidi" w:hAnsiTheme="majorBidi" w:cstheme="majorBidi"/>
          <w:i/>
          <w:iCs/>
          <w:sz w:val="24"/>
          <w:szCs w:val="24"/>
        </w:rPr>
      </w:pPr>
      <w:r w:rsidRPr="00E52205">
        <w:rPr>
          <w:rFonts w:asciiTheme="majorBidi" w:hAnsiTheme="majorBidi" w:cstheme="majorBidi"/>
          <w:i/>
          <w:iCs/>
          <w:sz w:val="24"/>
          <w:szCs w:val="24"/>
        </w:rPr>
        <w:t>Source: Processed in Stata 1</w:t>
      </w:r>
      <w:r>
        <w:rPr>
          <w:rFonts w:asciiTheme="majorBidi" w:hAnsiTheme="majorBidi" w:cstheme="majorBidi"/>
          <w:i/>
          <w:iCs/>
          <w:sz w:val="24"/>
          <w:szCs w:val="24"/>
        </w:rPr>
        <w:t>9</w:t>
      </w:r>
      <w:r w:rsidRPr="00E52205">
        <w:rPr>
          <w:rFonts w:asciiTheme="majorBidi" w:hAnsiTheme="majorBidi" w:cstheme="majorBidi"/>
          <w:i/>
          <w:iCs/>
          <w:sz w:val="24"/>
          <w:szCs w:val="24"/>
        </w:rPr>
        <w:t>.5 (2025)</w:t>
      </w:r>
    </w:p>
    <w:p w14:paraId="7DAC4DD1" w14:textId="1D7ACF20" w:rsidR="003B5C28" w:rsidRPr="003B5C28" w:rsidRDefault="003B5C28" w:rsidP="003B5C28">
      <w:pPr>
        <w:jc w:val="both"/>
        <w:rPr>
          <w:rFonts w:asciiTheme="majorBidi" w:hAnsiTheme="majorBidi" w:cstheme="majorBidi"/>
          <w:sz w:val="24"/>
          <w:szCs w:val="24"/>
        </w:rPr>
      </w:pPr>
      <w:r>
        <w:rPr>
          <w:rFonts w:asciiTheme="majorBidi" w:hAnsiTheme="majorBidi" w:cstheme="majorBidi"/>
          <w:sz w:val="24"/>
          <w:szCs w:val="24"/>
        </w:rPr>
        <w:t>T</w:t>
      </w:r>
      <w:r w:rsidRPr="003B5C28">
        <w:rPr>
          <w:rFonts w:asciiTheme="majorBidi" w:hAnsiTheme="majorBidi" w:cstheme="majorBidi"/>
          <w:sz w:val="24"/>
          <w:szCs w:val="24"/>
        </w:rPr>
        <w:t>he combination of low average leverage, non-trivial borrowing costs, and wide dispersion in profitability is consistent with a high-cost financing environment in which firms rely more on internal funds and equity while using debt selectively. The breadth of firm size suggests that the subsequent analyses capture behaviour across a representative cross-section of listed manufacturers</w:t>
      </w:r>
      <w:r>
        <w:rPr>
          <w:rFonts w:asciiTheme="majorBidi" w:hAnsiTheme="majorBidi" w:cstheme="majorBidi"/>
          <w:sz w:val="24"/>
          <w:szCs w:val="24"/>
        </w:rPr>
        <w:t>.</w:t>
      </w:r>
    </w:p>
    <w:p w14:paraId="5745B707"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4.2 Correlation matrix</w:t>
      </w:r>
    </w:p>
    <w:p w14:paraId="6A4D9DB7" w14:textId="1C04E0CF" w:rsidR="003B5C28" w:rsidRDefault="003B5C28" w:rsidP="003B5C28">
      <w:pPr>
        <w:jc w:val="both"/>
        <w:rPr>
          <w:rFonts w:asciiTheme="majorBidi" w:hAnsiTheme="majorBidi" w:cstheme="majorBidi"/>
          <w:sz w:val="24"/>
          <w:szCs w:val="24"/>
        </w:rPr>
      </w:pPr>
      <w:r w:rsidRPr="003B5C28">
        <w:rPr>
          <w:rFonts w:asciiTheme="majorBidi" w:hAnsiTheme="majorBidi" w:cstheme="majorBidi"/>
          <w:sz w:val="24"/>
          <w:szCs w:val="24"/>
        </w:rPr>
        <w:t xml:space="preserve">This section provides an initial view of linear associations among the study variables and a preliminary screen for potential multicollinearity before regression analysis. Table </w:t>
      </w:r>
      <w:r w:rsidR="00823680">
        <w:rPr>
          <w:rFonts w:asciiTheme="majorBidi" w:hAnsiTheme="majorBidi" w:cstheme="majorBidi"/>
          <w:sz w:val="24"/>
          <w:szCs w:val="24"/>
          <w:lang w:val="en-IN"/>
        </w:rPr>
        <w:t>3</w:t>
      </w:r>
      <w:r w:rsidRPr="003B5C28">
        <w:rPr>
          <w:rFonts w:asciiTheme="majorBidi" w:hAnsiTheme="majorBidi" w:cstheme="majorBidi"/>
          <w:sz w:val="24"/>
          <w:szCs w:val="24"/>
        </w:rPr>
        <w:t xml:space="preserve"> presents the pairwise correlation coefficients. Shareholders’ wealth (SHW) is strongly and positively associated with firm size (FSIZE) at 0.844, consistent with larger firms attracting higher market valuation. Short-term debt (STD) and long-term debt (LTD) are highly correlated at 0.860, which signals possible multicollinearity when both appear in the same specification. Correlations between the two debt measures and SHW are small and negative, while the cost of debt (COD) shows near-zero association with most variables. These patterns motivate formal multicollinearity checks and justify the mean-centring of interacted regressors implemented in the regression section.</w:t>
      </w:r>
    </w:p>
    <w:p w14:paraId="00DC054D" w14:textId="77777777" w:rsidR="003B5C28" w:rsidRDefault="003B5C28" w:rsidP="003B5C28">
      <w:pPr>
        <w:jc w:val="both"/>
        <w:rPr>
          <w:rFonts w:asciiTheme="majorBidi" w:hAnsiTheme="majorBidi" w:cstheme="majorBidi"/>
          <w:b/>
          <w:bCs/>
          <w:sz w:val="24"/>
          <w:szCs w:val="24"/>
        </w:rPr>
      </w:pPr>
    </w:p>
    <w:p w14:paraId="62994CE4" w14:textId="77777777" w:rsidR="003B5C28" w:rsidRDefault="003B5C28" w:rsidP="003B5C28">
      <w:pPr>
        <w:jc w:val="both"/>
        <w:rPr>
          <w:rFonts w:asciiTheme="majorBidi" w:hAnsiTheme="majorBidi" w:cstheme="majorBidi"/>
          <w:b/>
          <w:bCs/>
          <w:sz w:val="24"/>
          <w:szCs w:val="24"/>
        </w:rPr>
      </w:pPr>
    </w:p>
    <w:p w14:paraId="420AB928" w14:textId="77777777" w:rsidR="003B5C28" w:rsidRDefault="003B5C28" w:rsidP="003B5C28">
      <w:pPr>
        <w:jc w:val="both"/>
        <w:rPr>
          <w:rFonts w:asciiTheme="majorBidi" w:hAnsiTheme="majorBidi" w:cstheme="majorBidi"/>
          <w:b/>
          <w:bCs/>
          <w:sz w:val="24"/>
          <w:szCs w:val="24"/>
        </w:rPr>
      </w:pPr>
    </w:p>
    <w:p w14:paraId="7E329DE4" w14:textId="395AE5D6" w:rsidR="00E52205" w:rsidRPr="00E52205" w:rsidRDefault="00E52205" w:rsidP="003B5C28">
      <w:pPr>
        <w:jc w:val="both"/>
        <w:rPr>
          <w:rFonts w:asciiTheme="majorBidi" w:hAnsiTheme="majorBidi" w:cstheme="majorBidi"/>
          <w:b/>
          <w:bCs/>
          <w:sz w:val="24"/>
          <w:szCs w:val="24"/>
        </w:rPr>
      </w:pPr>
      <w:r w:rsidRPr="00E52205">
        <w:rPr>
          <w:rFonts w:asciiTheme="majorBidi" w:hAnsiTheme="majorBidi" w:cstheme="majorBidi"/>
          <w:b/>
          <w:bCs/>
          <w:sz w:val="24"/>
          <w:szCs w:val="24"/>
        </w:rPr>
        <w:t xml:space="preserve">Table </w:t>
      </w:r>
      <w:r w:rsidR="00823680">
        <w:rPr>
          <w:rFonts w:asciiTheme="majorBidi" w:hAnsiTheme="majorBidi" w:cstheme="majorBidi"/>
          <w:b/>
          <w:bCs/>
          <w:sz w:val="24"/>
          <w:szCs w:val="24"/>
          <w:lang w:val="en-IN"/>
        </w:rPr>
        <w:t>3</w:t>
      </w:r>
      <w:r w:rsidRPr="00E52205">
        <w:rPr>
          <w:rFonts w:asciiTheme="majorBidi" w:hAnsiTheme="majorBidi" w:cstheme="majorBidi"/>
          <w:b/>
          <w:bCs/>
          <w:sz w:val="24"/>
          <w:szCs w:val="24"/>
        </w:rPr>
        <w:t>. Correlation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836"/>
        <w:gridCol w:w="836"/>
        <w:gridCol w:w="836"/>
        <w:gridCol w:w="836"/>
        <w:gridCol w:w="870"/>
        <w:gridCol w:w="910"/>
      </w:tblGrid>
      <w:tr w:rsidR="00E52205" w:rsidRPr="00E52205" w14:paraId="35AD478F" w14:textId="77777777" w:rsidTr="003B5C28">
        <w:tc>
          <w:tcPr>
            <w:tcW w:w="0" w:type="auto"/>
            <w:tcBorders>
              <w:top w:val="single" w:sz="4" w:space="0" w:color="auto"/>
              <w:bottom w:val="single" w:sz="4" w:space="0" w:color="auto"/>
            </w:tcBorders>
            <w:hideMark/>
          </w:tcPr>
          <w:p w14:paraId="76E03AB2"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1338BD12"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SHW</w:t>
            </w:r>
          </w:p>
        </w:tc>
        <w:tc>
          <w:tcPr>
            <w:tcW w:w="0" w:type="auto"/>
            <w:tcBorders>
              <w:top w:val="single" w:sz="4" w:space="0" w:color="auto"/>
              <w:bottom w:val="single" w:sz="4" w:space="0" w:color="auto"/>
            </w:tcBorders>
            <w:hideMark/>
          </w:tcPr>
          <w:p w14:paraId="02BA1F8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STD</w:t>
            </w:r>
          </w:p>
        </w:tc>
        <w:tc>
          <w:tcPr>
            <w:tcW w:w="0" w:type="auto"/>
            <w:tcBorders>
              <w:top w:val="single" w:sz="4" w:space="0" w:color="auto"/>
              <w:bottom w:val="single" w:sz="4" w:space="0" w:color="auto"/>
            </w:tcBorders>
            <w:hideMark/>
          </w:tcPr>
          <w:p w14:paraId="395741AD"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LTD</w:t>
            </w:r>
          </w:p>
        </w:tc>
        <w:tc>
          <w:tcPr>
            <w:tcW w:w="0" w:type="auto"/>
            <w:tcBorders>
              <w:top w:val="single" w:sz="4" w:space="0" w:color="auto"/>
              <w:bottom w:val="single" w:sz="4" w:space="0" w:color="auto"/>
            </w:tcBorders>
            <w:hideMark/>
          </w:tcPr>
          <w:p w14:paraId="637F4AF6"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COD</w:t>
            </w:r>
          </w:p>
        </w:tc>
        <w:tc>
          <w:tcPr>
            <w:tcW w:w="0" w:type="auto"/>
            <w:tcBorders>
              <w:top w:val="single" w:sz="4" w:space="0" w:color="auto"/>
              <w:bottom w:val="single" w:sz="4" w:space="0" w:color="auto"/>
            </w:tcBorders>
            <w:hideMark/>
          </w:tcPr>
          <w:p w14:paraId="256BAA4B"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PROF</w:t>
            </w:r>
          </w:p>
        </w:tc>
        <w:tc>
          <w:tcPr>
            <w:tcW w:w="0" w:type="auto"/>
            <w:tcBorders>
              <w:top w:val="single" w:sz="4" w:space="0" w:color="auto"/>
              <w:bottom w:val="single" w:sz="4" w:space="0" w:color="auto"/>
            </w:tcBorders>
            <w:hideMark/>
          </w:tcPr>
          <w:p w14:paraId="2E70BA7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FSIZE</w:t>
            </w:r>
          </w:p>
        </w:tc>
      </w:tr>
      <w:tr w:rsidR="00E52205" w:rsidRPr="00E52205" w14:paraId="1C65B5FA" w14:textId="77777777" w:rsidTr="003B5C28">
        <w:tc>
          <w:tcPr>
            <w:tcW w:w="0" w:type="auto"/>
            <w:tcBorders>
              <w:top w:val="single" w:sz="4" w:space="0" w:color="auto"/>
            </w:tcBorders>
            <w:hideMark/>
          </w:tcPr>
          <w:p w14:paraId="539F0FD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SHW</w:t>
            </w:r>
          </w:p>
        </w:tc>
        <w:tc>
          <w:tcPr>
            <w:tcW w:w="0" w:type="auto"/>
            <w:tcBorders>
              <w:top w:val="single" w:sz="4" w:space="0" w:color="auto"/>
            </w:tcBorders>
            <w:hideMark/>
          </w:tcPr>
          <w:p w14:paraId="1830861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tcBorders>
              <w:top w:val="single" w:sz="4" w:space="0" w:color="auto"/>
            </w:tcBorders>
            <w:hideMark/>
          </w:tcPr>
          <w:p w14:paraId="18954DBE"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32D431A4"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1811C39"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212480AA"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068B7F4"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1A71C2F6" w14:textId="77777777" w:rsidTr="003B5C28">
        <w:tc>
          <w:tcPr>
            <w:tcW w:w="0" w:type="auto"/>
            <w:hideMark/>
          </w:tcPr>
          <w:p w14:paraId="0503035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w:t>
            </w:r>
          </w:p>
        </w:tc>
        <w:tc>
          <w:tcPr>
            <w:tcW w:w="0" w:type="auto"/>
            <w:hideMark/>
          </w:tcPr>
          <w:p w14:paraId="5FA44AC4" w14:textId="41A32B92"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0.056</w:t>
            </w:r>
          </w:p>
        </w:tc>
        <w:tc>
          <w:tcPr>
            <w:tcW w:w="0" w:type="auto"/>
            <w:hideMark/>
          </w:tcPr>
          <w:p w14:paraId="3CD52E7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5963C52C"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3900931"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27BD7F55"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2BCAB440"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719AF4F6" w14:textId="77777777" w:rsidTr="003B5C28">
        <w:tc>
          <w:tcPr>
            <w:tcW w:w="0" w:type="auto"/>
            <w:hideMark/>
          </w:tcPr>
          <w:p w14:paraId="1951045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w:t>
            </w:r>
          </w:p>
        </w:tc>
        <w:tc>
          <w:tcPr>
            <w:tcW w:w="0" w:type="auto"/>
            <w:hideMark/>
          </w:tcPr>
          <w:p w14:paraId="541FBD64" w14:textId="33B1197F"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0.040</w:t>
            </w:r>
          </w:p>
        </w:tc>
        <w:tc>
          <w:tcPr>
            <w:tcW w:w="0" w:type="auto"/>
            <w:hideMark/>
          </w:tcPr>
          <w:p w14:paraId="60B18BF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0.860</w:t>
            </w:r>
          </w:p>
        </w:tc>
        <w:tc>
          <w:tcPr>
            <w:tcW w:w="0" w:type="auto"/>
            <w:hideMark/>
          </w:tcPr>
          <w:p w14:paraId="1653F02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2D31DFF1"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D68E21C"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BB749E6"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63A07C89" w14:textId="77777777" w:rsidTr="003B5C28">
        <w:tc>
          <w:tcPr>
            <w:tcW w:w="0" w:type="auto"/>
            <w:hideMark/>
          </w:tcPr>
          <w:p w14:paraId="60B47DA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07461684" w14:textId="2D24ACB4"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0.055</w:t>
            </w:r>
          </w:p>
        </w:tc>
        <w:tc>
          <w:tcPr>
            <w:tcW w:w="0" w:type="auto"/>
            <w:hideMark/>
          </w:tcPr>
          <w:p w14:paraId="26DA7011" w14:textId="35BB54C0"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0.062</w:t>
            </w:r>
          </w:p>
        </w:tc>
        <w:tc>
          <w:tcPr>
            <w:tcW w:w="0" w:type="auto"/>
            <w:hideMark/>
          </w:tcPr>
          <w:p w14:paraId="2509F2CD" w14:textId="502EA6F1"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0.001</w:t>
            </w:r>
          </w:p>
        </w:tc>
        <w:tc>
          <w:tcPr>
            <w:tcW w:w="0" w:type="auto"/>
            <w:hideMark/>
          </w:tcPr>
          <w:p w14:paraId="09B465E9"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68B66167"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37C38A61"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5CDD010C" w14:textId="77777777" w:rsidTr="003B5C28">
        <w:tc>
          <w:tcPr>
            <w:tcW w:w="0" w:type="auto"/>
            <w:hideMark/>
          </w:tcPr>
          <w:p w14:paraId="1ED670A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23ADA60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0.163</w:t>
            </w:r>
          </w:p>
        </w:tc>
        <w:tc>
          <w:tcPr>
            <w:tcW w:w="0" w:type="auto"/>
            <w:hideMark/>
          </w:tcPr>
          <w:p w14:paraId="57C7BDE0" w14:textId="7ED7E958"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0.009</w:t>
            </w:r>
          </w:p>
        </w:tc>
        <w:tc>
          <w:tcPr>
            <w:tcW w:w="0" w:type="auto"/>
            <w:hideMark/>
          </w:tcPr>
          <w:p w14:paraId="24CC17F6" w14:textId="29DAA669"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0.006</w:t>
            </w:r>
          </w:p>
        </w:tc>
        <w:tc>
          <w:tcPr>
            <w:tcW w:w="0" w:type="auto"/>
            <w:hideMark/>
          </w:tcPr>
          <w:p w14:paraId="44C00D30" w14:textId="511623F5"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0.056</w:t>
            </w:r>
          </w:p>
        </w:tc>
        <w:tc>
          <w:tcPr>
            <w:tcW w:w="0" w:type="auto"/>
            <w:hideMark/>
          </w:tcPr>
          <w:p w14:paraId="16C6B59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603142D0"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38DF0AB3" w14:textId="77777777" w:rsidTr="003B5C28">
        <w:tc>
          <w:tcPr>
            <w:tcW w:w="0" w:type="auto"/>
            <w:hideMark/>
          </w:tcPr>
          <w:p w14:paraId="257E213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FSIZE</w:t>
            </w:r>
          </w:p>
        </w:tc>
        <w:tc>
          <w:tcPr>
            <w:tcW w:w="0" w:type="auto"/>
            <w:hideMark/>
          </w:tcPr>
          <w:p w14:paraId="72CE395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0.844</w:t>
            </w:r>
          </w:p>
        </w:tc>
        <w:tc>
          <w:tcPr>
            <w:tcW w:w="0" w:type="auto"/>
            <w:hideMark/>
          </w:tcPr>
          <w:p w14:paraId="6C7A9512" w14:textId="786D8820"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0.186</w:t>
            </w:r>
          </w:p>
        </w:tc>
        <w:tc>
          <w:tcPr>
            <w:tcW w:w="0" w:type="auto"/>
            <w:hideMark/>
          </w:tcPr>
          <w:p w14:paraId="35B5C50E" w14:textId="794F709F"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0.019</w:t>
            </w:r>
          </w:p>
        </w:tc>
        <w:tc>
          <w:tcPr>
            <w:tcW w:w="0" w:type="auto"/>
            <w:hideMark/>
          </w:tcPr>
          <w:p w14:paraId="19558B1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0.052</w:t>
            </w:r>
          </w:p>
        </w:tc>
        <w:tc>
          <w:tcPr>
            <w:tcW w:w="0" w:type="auto"/>
            <w:hideMark/>
          </w:tcPr>
          <w:p w14:paraId="01C6E05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0.092</w:t>
            </w:r>
          </w:p>
        </w:tc>
        <w:tc>
          <w:tcPr>
            <w:tcW w:w="0" w:type="auto"/>
            <w:hideMark/>
          </w:tcPr>
          <w:p w14:paraId="4599D07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r>
    </w:tbl>
    <w:p w14:paraId="0FC77652" w14:textId="7212E90D" w:rsidR="003B5C28" w:rsidRPr="003B5C28" w:rsidRDefault="003B5C28" w:rsidP="00E52205">
      <w:pPr>
        <w:jc w:val="both"/>
        <w:rPr>
          <w:rFonts w:asciiTheme="majorBidi" w:hAnsiTheme="majorBidi" w:cstheme="majorBidi"/>
          <w:sz w:val="24"/>
          <w:szCs w:val="24"/>
        </w:rPr>
      </w:pPr>
      <w:r w:rsidRPr="00E52205">
        <w:rPr>
          <w:rFonts w:asciiTheme="majorBidi" w:hAnsiTheme="majorBidi" w:cstheme="majorBidi"/>
          <w:i/>
          <w:iCs/>
          <w:sz w:val="24"/>
          <w:szCs w:val="24"/>
        </w:rPr>
        <w:t>Source: Author’s compilation (2025)</w:t>
      </w:r>
    </w:p>
    <w:p w14:paraId="204AB2BB" w14:textId="3A785CCE" w:rsidR="00E52205" w:rsidRPr="00E52205" w:rsidRDefault="003B5C28" w:rsidP="003B5C28">
      <w:pPr>
        <w:jc w:val="both"/>
        <w:rPr>
          <w:rFonts w:asciiTheme="majorBidi" w:hAnsiTheme="majorBidi" w:cstheme="majorBidi"/>
          <w:sz w:val="24"/>
          <w:szCs w:val="24"/>
        </w:rPr>
      </w:pPr>
      <w:r>
        <w:rPr>
          <w:rFonts w:asciiTheme="majorBidi" w:hAnsiTheme="majorBidi" w:cstheme="majorBidi"/>
          <w:sz w:val="24"/>
          <w:szCs w:val="24"/>
        </w:rPr>
        <w:t>T</w:t>
      </w:r>
      <w:r w:rsidRPr="003B5C28">
        <w:rPr>
          <w:rFonts w:asciiTheme="majorBidi" w:hAnsiTheme="majorBidi" w:cstheme="majorBidi"/>
          <w:sz w:val="24"/>
          <w:szCs w:val="24"/>
        </w:rPr>
        <w:t>he matrix supports the inclusion of year effects and firm effects in subsequent models and underscores the need to assess variance inflation factors and to handle interaction terms carefully given the strong correlation between STD and LTD</w:t>
      </w:r>
      <w:r w:rsidR="00E52205" w:rsidRPr="00E52205">
        <w:rPr>
          <w:rFonts w:asciiTheme="majorBidi" w:hAnsiTheme="majorBidi" w:cstheme="majorBidi"/>
          <w:sz w:val="24"/>
          <w:szCs w:val="24"/>
        </w:rPr>
        <w:t>.</w:t>
      </w:r>
    </w:p>
    <w:p w14:paraId="6CB785A6"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4.3 Diagnostic tests</w:t>
      </w:r>
    </w:p>
    <w:p w14:paraId="578F29B7" w14:textId="488526AC" w:rsidR="00E52205" w:rsidRPr="00E52205" w:rsidRDefault="003B5C28" w:rsidP="003B5C28">
      <w:pPr>
        <w:jc w:val="both"/>
        <w:rPr>
          <w:rFonts w:asciiTheme="majorBidi" w:hAnsiTheme="majorBidi" w:cstheme="majorBidi"/>
          <w:sz w:val="24"/>
          <w:szCs w:val="24"/>
        </w:rPr>
      </w:pPr>
      <w:r w:rsidRPr="003B5C28">
        <w:rPr>
          <w:rFonts w:asciiTheme="majorBidi" w:hAnsiTheme="majorBidi" w:cstheme="majorBidi"/>
          <w:sz w:val="24"/>
          <w:szCs w:val="24"/>
        </w:rPr>
        <w:t xml:space="preserve">Variance Inflation Factors were acceptable before introducing interactions (maximum 4.36; mean 2.34). After adding interactions, VIFs increased, so the interacted regressors were mean </w:t>
      </w:r>
      <w:r w:rsidRPr="003B5C28">
        <w:rPr>
          <w:rFonts w:asciiTheme="majorBidi" w:hAnsiTheme="majorBidi" w:cstheme="majorBidi"/>
          <w:sz w:val="24"/>
          <w:szCs w:val="24"/>
        </w:rPr>
        <w:lastRenderedPageBreak/>
        <w:t>centred, which reduced collinearity and stabilised estimates. The Breusch–Pagan test did not reject homoskedasticity at conventional levels (χ² = 2.15, p = 0.1429). To be conservative, inference relies on firm-clustered robust standard errors, and year dummies are included to absorb common shocks. Model explanatory power is high in the pooled specification with year effects (R² = 0.8051) and, as expected for within-variation designs, more modest in the fixed-effects estimator (within R² = 0.2809). A Hausman specification test favoured the fixed-effects model, so the FE results are taken as the primary evidence for within-firm relationships, with OLS plus year effects serving as a complementary benchmark</w:t>
      </w:r>
      <w:r w:rsidR="00E52205" w:rsidRPr="00E52205">
        <w:rPr>
          <w:rFonts w:asciiTheme="majorBidi" w:hAnsiTheme="majorBidi" w:cstheme="majorBidi"/>
          <w:sz w:val="24"/>
          <w:szCs w:val="24"/>
        </w:rPr>
        <w:t>.</w:t>
      </w:r>
    </w:p>
    <w:p w14:paraId="2A40276D"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4.4 Regression results and discussion</w:t>
      </w:r>
    </w:p>
    <w:p w14:paraId="7A35412F" w14:textId="223B8385" w:rsidR="00E52205" w:rsidRDefault="008D28D9" w:rsidP="008D28D9">
      <w:pPr>
        <w:jc w:val="both"/>
        <w:rPr>
          <w:rFonts w:asciiTheme="majorBidi" w:hAnsiTheme="majorBidi" w:cstheme="majorBidi"/>
          <w:sz w:val="24"/>
          <w:szCs w:val="24"/>
        </w:rPr>
      </w:pPr>
      <w:r w:rsidRPr="000148CF">
        <w:rPr>
          <w:rFonts w:asciiTheme="majorBidi" w:hAnsiTheme="majorBidi" w:cstheme="majorBidi"/>
          <w:sz w:val="24"/>
          <w:szCs w:val="24"/>
        </w:rPr>
        <w:t>Table 4 reports estimates from Ordinary Least Squares with year effects and firm fixed effects with year effects. Interaction terms are specified using mean-centred debt ratios to aid interpretation and mitigate collinearity, and standard errors are clustered at the firm level. The coefficient on short-term debt is positive and statistically significant in both models, at 0.483 (s.e. 0.100, p &lt; 0.001) in OLS and 0.273 (s.e. 0.067, p &lt; 0.001) in the fixed-effects estimator. Empirically, this leads to rejection of the null for the first hypothesis and indicates that greater reliance on short-term funding is associated with higher shareholders’ wealth. Interpreting these results, the within-firm estimate suggests that, after absorbing time-invariant firm attributes and common year shocks, incremental increases in short-term debt are value-enhancing in a high-cost borrowing environment, plausibly reflecting working-capital flexibility and quicker adjustment to funding needs.</w:t>
      </w:r>
    </w:p>
    <w:p w14:paraId="4D62E152" w14:textId="77777777" w:rsidR="000148CF" w:rsidRPr="00E52205" w:rsidRDefault="000148CF" w:rsidP="00E52205">
      <w:pPr>
        <w:jc w:val="both"/>
        <w:rPr>
          <w:rFonts w:asciiTheme="majorBidi" w:hAnsiTheme="majorBidi" w:cstheme="majorBidi"/>
          <w:sz w:val="24"/>
          <w:szCs w:val="24"/>
        </w:rPr>
      </w:pPr>
    </w:p>
    <w:p w14:paraId="681297F1" w14:textId="5F6D269A"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Table 4. Regression results (dependent variable: SHW)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956"/>
        <w:gridCol w:w="1947"/>
      </w:tblGrid>
      <w:tr w:rsidR="000148CF" w:rsidRPr="00E52205" w14:paraId="3103C080" w14:textId="77777777" w:rsidTr="000148CF">
        <w:tc>
          <w:tcPr>
            <w:tcW w:w="0" w:type="auto"/>
            <w:tcBorders>
              <w:top w:val="single" w:sz="4" w:space="0" w:color="auto"/>
              <w:bottom w:val="single" w:sz="4" w:space="0" w:color="auto"/>
            </w:tcBorders>
            <w:hideMark/>
          </w:tcPr>
          <w:p w14:paraId="2C5BD9BC"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Variables</w:t>
            </w:r>
          </w:p>
        </w:tc>
        <w:tc>
          <w:tcPr>
            <w:tcW w:w="0" w:type="auto"/>
            <w:tcBorders>
              <w:top w:val="single" w:sz="4" w:space="0" w:color="auto"/>
              <w:bottom w:val="single" w:sz="4" w:space="0" w:color="auto"/>
            </w:tcBorders>
            <w:hideMark/>
          </w:tcPr>
          <w:p w14:paraId="17D11AAD"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OLS_YE</w:t>
            </w:r>
          </w:p>
        </w:tc>
        <w:tc>
          <w:tcPr>
            <w:tcW w:w="0" w:type="auto"/>
            <w:tcBorders>
              <w:top w:val="single" w:sz="4" w:space="0" w:color="auto"/>
              <w:bottom w:val="single" w:sz="4" w:space="0" w:color="auto"/>
            </w:tcBorders>
            <w:hideMark/>
          </w:tcPr>
          <w:p w14:paraId="4BF92B6D"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FE</w:t>
            </w:r>
          </w:p>
        </w:tc>
      </w:tr>
      <w:tr w:rsidR="000148CF" w:rsidRPr="00E52205" w14:paraId="1D961FFD" w14:textId="77777777" w:rsidTr="000148CF">
        <w:tc>
          <w:tcPr>
            <w:tcW w:w="0" w:type="auto"/>
            <w:tcBorders>
              <w:top w:val="single" w:sz="4" w:space="0" w:color="auto"/>
            </w:tcBorders>
            <w:hideMark/>
          </w:tcPr>
          <w:p w14:paraId="77FCC86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STD_centered</w:t>
            </w:r>
          </w:p>
        </w:tc>
        <w:tc>
          <w:tcPr>
            <w:tcW w:w="0" w:type="auto"/>
            <w:tcBorders>
              <w:top w:val="single" w:sz="4" w:space="0" w:color="auto"/>
            </w:tcBorders>
            <w:hideMark/>
          </w:tcPr>
          <w:p w14:paraId="45657E2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0.483*** (0.100)</w:t>
            </w:r>
          </w:p>
        </w:tc>
        <w:tc>
          <w:tcPr>
            <w:tcW w:w="0" w:type="auto"/>
            <w:tcBorders>
              <w:top w:val="single" w:sz="4" w:space="0" w:color="auto"/>
            </w:tcBorders>
            <w:hideMark/>
          </w:tcPr>
          <w:p w14:paraId="61A54D5F"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0.273*** (0.067)</w:t>
            </w:r>
          </w:p>
        </w:tc>
      </w:tr>
      <w:tr w:rsidR="000148CF" w:rsidRPr="00E52205" w14:paraId="0668488F" w14:textId="77777777" w:rsidTr="000148CF">
        <w:tc>
          <w:tcPr>
            <w:tcW w:w="0" w:type="auto"/>
            <w:hideMark/>
          </w:tcPr>
          <w:p w14:paraId="2355E4A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LTD_centered</w:t>
            </w:r>
          </w:p>
        </w:tc>
        <w:tc>
          <w:tcPr>
            <w:tcW w:w="0" w:type="auto"/>
            <w:hideMark/>
          </w:tcPr>
          <w:p w14:paraId="6175655F" w14:textId="37BE13ED"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0.482*** (0.099)</w:t>
            </w:r>
          </w:p>
        </w:tc>
        <w:tc>
          <w:tcPr>
            <w:tcW w:w="0" w:type="auto"/>
            <w:hideMark/>
          </w:tcPr>
          <w:p w14:paraId="6FBED117" w14:textId="64BF835E"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0.198** (0.058)</w:t>
            </w:r>
          </w:p>
        </w:tc>
      </w:tr>
      <w:tr w:rsidR="000148CF" w:rsidRPr="00E52205" w14:paraId="61B9341D" w14:textId="77777777" w:rsidTr="000148CF">
        <w:tc>
          <w:tcPr>
            <w:tcW w:w="0" w:type="auto"/>
            <w:hideMark/>
          </w:tcPr>
          <w:p w14:paraId="69B44A5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0337A326" w14:textId="1DD48289"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0.051*** (0.014)</w:t>
            </w:r>
          </w:p>
        </w:tc>
        <w:tc>
          <w:tcPr>
            <w:tcW w:w="0" w:type="auto"/>
            <w:hideMark/>
          </w:tcPr>
          <w:p w14:paraId="087A952A" w14:textId="347F2F63"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0.012 (0.018)</w:t>
            </w:r>
          </w:p>
        </w:tc>
      </w:tr>
      <w:tr w:rsidR="000148CF" w:rsidRPr="00E52205" w14:paraId="244D09E4" w14:textId="77777777" w:rsidTr="000148CF">
        <w:tc>
          <w:tcPr>
            <w:tcW w:w="0" w:type="auto"/>
            <w:hideMark/>
          </w:tcPr>
          <w:p w14:paraId="191134CA"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09460CAD"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 (0.007)</w:t>
            </w:r>
          </w:p>
        </w:tc>
        <w:tc>
          <w:tcPr>
            <w:tcW w:w="0" w:type="auto"/>
            <w:hideMark/>
          </w:tcPr>
          <w:p w14:paraId="5F60EC10"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0.004 (0.003)</w:t>
            </w:r>
          </w:p>
        </w:tc>
      </w:tr>
      <w:tr w:rsidR="000148CF" w:rsidRPr="00E52205" w14:paraId="2FD73AD6" w14:textId="77777777" w:rsidTr="000148CF">
        <w:tc>
          <w:tcPr>
            <w:tcW w:w="0" w:type="auto"/>
            <w:hideMark/>
          </w:tcPr>
          <w:p w14:paraId="3A812EC5"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FSIZE</w:t>
            </w:r>
          </w:p>
        </w:tc>
        <w:tc>
          <w:tcPr>
            <w:tcW w:w="0" w:type="auto"/>
            <w:hideMark/>
          </w:tcPr>
          <w:p w14:paraId="61912463"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1.065*** (0.025)</w:t>
            </w:r>
          </w:p>
        </w:tc>
        <w:tc>
          <w:tcPr>
            <w:tcW w:w="0" w:type="auto"/>
            <w:hideMark/>
          </w:tcPr>
          <w:p w14:paraId="182DCB2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0.377** (0.118)</w:t>
            </w:r>
          </w:p>
        </w:tc>
      </w:tr>
      <w:tr w:rsidR="000148CF" w:rsidRPr="00E52205" w14:paraId="13E6EA49" w14:textId="77777777" w:rsidTr="000148CF">
        <w:tc>
          <w:tcPr>
            <w:tcW w:w="0" w:type="auto"/>
            <w:hideMark/>
          </w:tcPr>
          <w:p w14:paraId="6EF8E8E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COD×STD_centered</w:t>
            </w:r>
          </w:p>
        </w:tc>
        <w:tc>
          <w:tcPr>
            <w:tcW w:w="0" w:type="auto"/>
            <w:hideMark/>
          </w:tcPr>
          <w:p w14:paraId="01CB7E31"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13.652 (33.093)</w:t>
            </w:r>
          </w:p>
        </w:tc>
        <w:tc>
          <w:tcPr>
            <w:tcW w:w="0" w:type="auto"/>
            <w:hideMark/>
          </w:tcPr>
          <w:p w14:paraId="76B4DF4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23.529* (11.273)</w:t>
            </w:r>
          </w:p>
        </w:tc>
      </w:tr>
      <w:tr w:rsidR="000148CF" w:rsidRPr="00E52205" w14:paraId="5672CB58" w14:textId="77777777" w:rsidTr="000148CF">
        <w:tc>
          <w:tcPr>
            <w:tcW w:w="0" w:type="auto"/>
            <w:hideMark/>
          </w:tcPr>
          <w:p w14:paraId="1CB6B92E"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COD×LTD_centered</w:t>
            </w:r>
          </w:p>
        </w:tc>
        <w:tc>
          <w:tcPr>
            <w:tcW w:w="0" w:type="auto"/>
            <w:hideMark/>
          </w:tcPr>
          <w:p w14:paraId="54750919" w14:textId="3A5C5D34"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4.477 (31.540)</w:t>
            </w:r>
          </w:p>
        </w:tc>
        <w:tc>
          <w:tcPr>
            <w:tcW w:w="0" w:type="auto"/>
            <w:hideMark/>
          </w:tcPr>
          <w:p w14:paraId="28EAE57E" w14:textId="68BE2A23"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24.225* (11.260)</w:t>
            </w:r>
          </w:p>
        </w:tc>
      </w:tr>
      <w:tr w:rsidR="000148CF" w:rsidRPr="00E52205" w14:paraId="69DE43F7" w14:textId="77777777" w:rsidTr="000148CF">
        <w:tc>
          <w:tcPr>
            <w:tcW w:w="0" w:type="auto"/>
            <w:hideMark/>
          </w:tcPr>
          <w:p w14:paraId="0CEFCE2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Year effects</w:t>
            </w:r>
          </w:p>
        </w:tc>
        <w:tc>
          <w:tcPr>
            <w:tcW w:w="0" w:type="auto"/>
            <w:hideMark/>
          </w:tcPr>
          <w:p w14:paraId="785268A3"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Segoe UI Symbol" w:hAnsi="Segoe UI Symbol" w:cs="Segoe UI Symbol"/>
                <w:sz w:val="24"/>
                <w:szCs w:val="24"/>
              </w:rPr>
              <w:t>✓</w:t>
            </w:r>
          </w:p>
        </w:tc>
        <w:tc>
          <w:tcPr>
            <w:tcW w:w="0" w:type="auto"/>
            <w:hideMark/>
          </w:tcPr>
          <w:p w14:paraId="0C851E0B"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Segoe UI Symbol" w:hAnsi="Segoe UI Symbol" w:cs="Segoe UI Symbol"/>
                <w:sz w:val="24"/>
                <w:szCs w:val="24"/>
              </w:rPr>
              <w:t>✓</w:t>
            </w:r>
          </w:p>
        </w:tc>
      </w:tr>
      <w:tr w:rsidR="000148CF" w:rsidRPr="00E52205" w14:paraId="6BEF4269" w14:textId="77777777" w:rsidTr="000148CF">
        <w:tc>
          <w:tcPr>
            <w:tcW w:w="0" w:type="auto"/>
            <w:hideMark/>
          </w:tcPr>
          <w:p w14:paraId="0EE24EDF"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Intercept</w:t>
            </w:r>
          </w:p>
        </w:tc>
        <w:tc>
          <w:tcPr>
            <w:tcW w:w="0" w:type="auto"/>
            <w:hideMark/>
          </w:tcPr>
          <w:p w14:paraId="4BB8CD21" w14:textId="1C222265"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0.010* (0.004)</w:t>
            </w:r>
          </w:p>
        </w:tc>
        <w:tc>
          <w:tcPr>
            <w:tcW w:w="0" w:type="auto"/>
            <w:hideMark/>
          </w:tcPr>
          <w:p w14:paraId="0BA249A0"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0.099*** (0.019)</w:t>
            </w:r>
          </w:p>
        </w:tc>
      </w:tr>
      <w:tr w:rsidR="000148CF" w:rsidRPr="00E52205" w14:paraId="21385B1D" w14:textId="77777777" w:rsidTr="000148CF">
        <w:tc>
          <w:tcPr>
            <w:tcW w:w="0" w:type="auto"/>
            <w:hideMark/>
          </w:tcPr>
          <w:p w14:paraId="54D39454"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R² / Within R²</w:t>
            </w:r>
          </w:p>
        </w:tc>
        <w:tc>
          <w:tcPr>
            <w:tcW w:w="0" w:type="auto"/>
            <w:hideMark/>
          </w:tcPr>
          <w:p w14:paraId="7638834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0.8051</w:t>
            </w:r>
          </w:p>
        </w:tc>
        <w:tc>
          <w:tcPr>
            <w:tcW w:w="0" w:type="auto"/>
            <w:hideMark/>
          </w:tcPr>
          <w:p w14:paraId="7110812C"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0.2809</w:t>
            </w:r>
          </w:p>
        </w:tc>
      </w:tr>
      <w:tr w:rsidR="000148CF" w:rsidRPr="00E52205" w14:paraId="06ED9660" w14:textId="77777777" w:rsidTr="000148CF">
        <w:tc>
          <w:tcPr>
            <w:tcW w:w="0" w:type="auto"/>
            <w:hideMark/>
          </w:tcPr>
          <w:p w14:paraId="0A0C3131"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Root MSE</w:t>
            </w:r>
          </w:p>
        </w:tc>
        <w:tc>
          <w:tcPr>
            <w:tcW w:w="0" w:type="auto"/>
            <w:hideMark/>
          </w:tcPr>
          <w:p w14:paraId="60EE68DD"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0.01116</w:t>
            </w:r>
          </w:p>
        </w:tc>
        <w:tc>
          <w:tcPr>
            <w:tcW w:w="0" w:type="auto"/>
            <w:hideMark/>
          </w:tcPr>
          <w:p w14:paraId="3539D6AE"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0.00534</w:t>
            </w:r>
          </w:p>
        </w:tc>
      </w:tr>
    </w:tbl>
    <w:p w14:paraId="63AE8716" w14:textId="6785AAC1" w:rsidR="00E52205" w:rsidRPr="00E52205" w:rsidRDefault="00E52205" w:rsidP="00E52205">
      <w:pPr>
        <w:jc w:val="both"/>
        <w:rPr>
          <w:rFonts w:asciiTheme="majorBidi" w:hAnsiTheme="majorBidi" w:cstheme="majorBidi"/>
          <w:sz w:val="24"/>
          <w:szCs w:val="24"/>
        </w:rPr>
      </w:pPr>
      <w:r w:rsidRPr="00E52205">
        <w:rPr>
          <w:rFonts w:asciiTheme="majorBidi" w:hAnsiTheme="majorBidi" w:cstheme="majorBidi"/>
          <w:i/>
          <w:iCs/>
          <w:sz w:val="24"/>
          <w:szCs w:val="24"/>
        </w:rPr>
        <w:t xml:space="preserve">Notes: Robust standard errors in parentheses. *** p &lt; 0.001, ** p &lt; 0.01, * p &lt; 0.05. </w:t>
      </w:r>
    </w:p>
    <w:p w14:paraId="0F1385C2" w14:textId="6295A8E6" w:rsidR="000148CF" w:rsidRPr="000148CF" w:rsidRDefault="008D28D9" w:rsidP="008D28D9">
      <w:pPr>
        <w:jc w:val="both"/>
        <w:rPr>
          <w:rFonts w:asciiTheme="majorBidi" w:hAnsiTheme="majorBidi" w:cstheme="majorBidi"/>
          <w:sz w:val="24"/>
          <w:szCs w:val="24"/>
        </w:rPr>
      </w:pPr>
      <w:r w:rsidRPr="008D28D9">
        <w:rPr>
          <w:rFonts w:asciiTheme="majorBidi" w:hAnsiTheme="majorBidi" w:cstheme="majorBidi"/>
          <w:sz w:val="24"/>
          <w:szCs w:val="24"/>
        </w:rPr>
        <w:t xml:space="preserve">Long-term debt is negative and statistically significant in both specifications, with coefficients of </w:t>
      </w:r>
      <w:r w:rsidR="00D96349">
        <w:rPr>
          <w:rFonts w:asciiTheme="majorBidi" w:hAnsiTheme="majorBidi" w:cstheme="majorBidi"/>
          <w:sz w:val="24"/>
          <w:szCs w:val="24"/>
        </w:rPr>
        <w:t>-</w:t>
      </w:r>
      <w:r w:rsidRPr="008D28D9">
        <w:rPr>
          <w:rFonts w:asciiTheme="majorBidi" w:hAnsiTheme="majorBidi" w:cstheme="majorBidi"/>
          <w:sz w:val="24"/>
          <w:szCs w:val="24"/>
        </w:rPr>
        <w:t xml:space="preserve">0.482 (s.e. 0.099, p &lt; 0.001) in OLS with year effects and </w:t>
      </w:r>
      <w:r w:rsidR="00D96349">
        <w:rPr>
          <w:rFonts w:asciiTheme="majorBidi" w:hAnsiTheme="majorBidi" w:cstheme="majorBidi"/>
          <w:sz w:val="24"/>
          <w:szCs w:val="24"/>
        </w:rPr>
        <w:t>-</w:t>
      </w:r>
      <w:r w:rsidRPr="008D28D9">
        <w:rPr>
          <w:rFonts w:asciiTheme="majorBidi" w:hAnsiTheme="majorBidi" w:cstheme="majorBidi"/>
          <w:sz w:val="24"/>
          <w:szCs w:val="24"/>
        </w:rPr>
        <w:t xml:space="preserve">0.198 (s.e. 0.058, p &lt; 0.01) in </w:t>
      </w:r>
      <w:r w:rsidRPr="008D28D9">
        <w:rPr>
          <w:rFonts w:asciiTheme="majorBidi" w:hAnsiTheme="majorBidi" w:cstheme="majorBidi"/>
          <w:sz w:val="24"/>
          <w:szCs w:val="24"/>
        </w:rPr>
        <w:lastRenderedPageBreak/>
        <w:t>fixed effects, therefore the second null hypothesis is rejected. The estimates indicate that higher long-term leverage is associated with lower shareholders’ wealth in both pooled and within-firm variation. This is consistent with a high-cost borrowing environment in which expected distress and refinancing costs on long-maturity debt outweigh any tax-shield benefits, thereby depressing market valuation</w:t>
      </w:r>
      <w:r w:rsidR="000148CF" w:rsidRPr="000148CF">
        <w:rPr>
          <w:rFonts w:asciiTheme="majorBidi" w:hAnsiTheme="majorBidi" w:cstheme="majorBidi"/>
          <w:sz w:val="24"/>
          <w:szCs w:val="24"/>
        </w:rPr>
        <w:t>.</w:t>
      </w:r>
    </w:p>
    <w:p w14:paraId="7AFF2004" w14:textId="32B7B979"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 xml:space="preserve">The effect of the cost of debt is negative and statistically significant in OLS, </w:t>
      </w:r>
      <w:r w:rsidR="00D96349">
        <w:rPr>
          <w:rFonts w:asciiTheme="majorBidi" w:hAnsiTheme="majorBidi" w:cstheme="majorBidi"/>
          <w:sz w:val="24"/>
          <w:szCs w:val="24"/>
        </w:rPr>
        <w:t>-</w:t>
      </w:r>
      <w:r w:rsidRPr="000148CF">
        <w:rPr>
          <w:rFonts w:asciiTheme="majorBidi" w:hAnsiTheme="majorBidi" w:cstheme="majorBidi"/>
          <w:sz w:val="24"/>
          <w:szCs w:val="24"/>
        </w:rPr>
        <w:t xml:space="preserve">0.051 (s.e. 0.014, p &lt; 0.001), but statistically indistinguishable from zero in the fixed-effects model, </w:t>
      </w:r>
      <w:r w:rsidR="00D96349">
        <w:rPr>
          <w:rFonts w:asciiTheme="majorBidi" w:hAnsiTheme="majorBidi" w:cstheme="majorBidi"/>
          <w:sz w:val="24"/>
          <w:szCs w:val="24"/>
        </w:rPr>
        <w:t>-</w:t>
      </w:r>
      <w:r w:rsidRPr="000148CF">
        <w:rPr>
          <w:rFonts w:asciiTheme="majorBidi" w:hAnsiTheme="majorBidi" w:cstheme="majorBidi"/>
          <w:sz w:val="24"/>
          <w:szCs w:val="24"/>
        </w:rPr>
        <w:t>0.012 (s.e. 0.018). Accordingly, the third null is rejected under the pooled specification but not under the within-firm specification. As a matter of inference, this mixed result implies that part of the negative association between borrowing costs and valuation reflects cross-sectional differences across firms, whereas within-firm movements in borrowing costs do not display a uniform contemporaneous effect once time-invariant characteristics are absorbed. In our judgement, the fixed-effects evidence is the more conservative benchmark for making within-firm statements.</w:t>
      </w:r>
    </w:p>
    <w:p w14:paraId="287C30AA" w14:textId="0BAC11F9"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 xml:space="preserve">The interaction between the cost of debt and short-term debt is positive and statistically significant in the fixed-effects model, 23.529 (s.e. 11.273, p &lt; 0.05), but not significant in OLS, 13.652 (s.e. 33.093). Given mean-centred construction, the main short-term debt effect reflects the association at the sample-mean borrowing cost, while the interaction captures how that association varies with the cost of funds. Empirically, this supports rejection of the fourth null: within firms, the value contribution of short-term debt is higher at lower borrowing costs and attenuates as costs rise. Likewise, the interaction between the cost of debt and long-term debt is negative and significant in fixed effects, </w:t>
      </w:r>
      <w:r w:rsidR="00D96349">
        <w:rPr>
          <w:rFonts w:asciiTheme="majorBidi" w:hAnsiTheme="majorBidi" w:cstheme="majorBidi"/>
          <w:sz w:val="24"/>
          <w:szCs w:val="24"/>
        </w:rPr>
        <w:t>-</w:t>
      </w:r>
      <w:r w:rsidRPr="000148CF">
        <w:rPr>
          <w:rFonts w:asciiTheme="majorBidi" w:hAnsiTheme="majorBidi" w:cstheme="majorBidi"/>
          <w:sz w:val="24"/>
          <w:szCs w:val="24"/>
        </w:rPr>
        <w:t xml:space="preserve">24.225 (s.e. 11.260, p &lt; 0.05), and not significant in OLS, </w:t>
      </w:r>
      <w:r w:rsidR="00D96349">
        <w:rPr>
          <w:rFonts w:asciiTheme="majorBidi" w:hAnsiTheme="majorBidi" w:cstheme="majorBidi"/>
          <w:sz w:val="24"/>
          <w:szCs w:val="24"/>
        </w:rPr>
        <w:t>-</w:t>
      </w:r>
      <w:r w:rsidRPr="000148CF">
        <w:rPr>
          <w:rFonts w:asciiTheme="majorBidi" w:hAnsiTheme="majorBidi" w:cstheme="majorBidi"/>
          <w:sz w:val="24"/>
          <w:szCs w:val="24"/>
        </w:rPr>
        <w:t>4.477 (s.e. 31.540). This leads to rejection of the fifth null on within-firm evidence: higher borrowing costs exacerbate the value-eroding impact of long-term leverage. These moderated effects emphasise that tenor choices and borrowing costs are jointly consequential for valuation.</w:t>
      </w:r>
    </w:p>
    <w:p w14:paraId="3F63C34C" w14:textId="77777777"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Control variables behave as expected. Profitability is positive and significant in OLS with year effects, 0.024 (s.e. 0.007, p &lt; 0.001), but not significant in fixed effects, 0.004 (s.e. 0.003), indicating that cross-sectional profitability differences are priced but within-firm changes are not uniformly associated with valuation once firm heterogeneity is absorbed. Firm size is strongly positive in both specifications, 1.065 (s.e. 0.025, p &lt; 0.001) in OLS with year effects and 0.377 (s.e. 0.118, p &lt; 0.05) in fixed effects, consistent with scale advantages and investor recognition. Model fit is high in OLS with year effects (R² = 0.8051; Root MSE = 0.01116) and, as is typical for within-variation designs, lower in fixed effects (within R² = 0.2809; Root MSE = 0.00534). Overall, the evidence confirms that, in a high-cost borrowing environment, short-term debt is associated with higher shareholders’ wealth, long-term debt is associated with lower shareholders’ wealth, and the cost of debt materially conditions both relations in the within-firm dimension.</w:t>
      </w:r>
    </w:p>
    <w:p w14:paraId="0CF04554" w14:textId="77777777" w:rsidR="00D96349" w:rsidRPr="00D96349" w:rsidRDefault="00D96349" w:rsidP="00D96349">
      <w:pPr>
        <w:pStyle w:val="Heading2"/>
        <w:rPr>
          <w:rFonts w:asciiTheme="majorBidi" w:hAnsiTheme="majorBidi"/>
          <w:b/>
          <w:bCs/>
          <w:color w:val="auto"/>
          <w:sz w:val="24"/>
          <w:szCs w:val="24"/>
        </w:rPr>
      </w:pPr>
      <w:r w:rsidRPr="00D96349">
        <w:rPr>
          <w:rFonts w:asciiTheme="majorBidi" w:hAnsiTheme="majorBidi"/>
          <w:b/>
          <w:bCs/>
          <w:color w:val="auto"/>
          <w:sz w:val="24"/>
          <w:szCs w:val="24"/>
        </w:rPr>
        <w:t>5. Conclusion and Recommendations</w:t>
      </w:r>
    </w:p>
    <w:p w14:paraId="78A05A3D"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 xml:space="preserve">This study examined how capital structure choices relate to shareholders’ wealth in a high-cost borrowing environment using panel data for 43 listed Nigerian manufacturing firms over 2013 to 2023. Two estimators were implemented, Ordinary Least Squares with year effects and firm fixed effects with year effects, with standard errors clustered at the firm level and interaction terms constructed from mean-centred regressors. The results show a consistent positive association between short-term debt and shareholders’ wealth across both estimators, and a </w:t>
      </w:r>
      <w:r w:rsidRPr="00D96349">
        <w:rPr>
          <w:rFonts w:asciiTheme="majorBidi" w:hAnsiTheme="majorBidi" w:cstheme="majorBidi"/>
          <w:sz w:val="24"/>
          <w:szCs w:val="24"/>
        </w:rPr>
        <w:lastRenderedPageBreak/>
        <w:t>consistent negative association between long-term debt and shareholders’ wealth. The direct effect of the cost of debt is negative and statistically significant in the pooled specification with year effects, but not significant in the fixed-effects model, which indicates that cross-sectional differences account for much of the pooled relationship. Importantly, the cost of debt significantly moderates the debt–wealth nexus in the fixed-effects framework, with the interaction between cost of debt and long-term debt being negative, and the interaction between cost of debt and short-term debt being statistically significant. Together, these findings indicate that tenor mix and borrowing costs jointly shape valuation outcomes in this setting. These conclusions are consistent with core predictions of trade-off theory and pecking order reasoning in environments where distress costs and financing frictions are material, and where internal funding and flexible debt are relatively preferred to costly long-term leverage (Kraus &amp; Litzenberger, 1973; Myers, 1984; Modigliani &amp; Miller, 1963; Jensen &amp; Meckling, 1976).</w:t>
      </w:r>
    </w:p>
    <w:p w14:paraId="3AB2D53D"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Recommendations for corporate financial policy follow from these results. First, firms should prioritise disciplined use of short-term interest-bearing debt to support working capital and operational flexibility, with explicit monitoring of exposure to rollover and liquidity risk. The positive association observed in both estimators indicates that, conditional on prudent risk management, short-maturity funding is consistent with higher market valuation in this context. Second, firms should adopt conservative targets for long-term leverage, particularly when borrowing costs are elevated. The negative association between long-term debt and shareholders’ wealth, together with the adverse moderation by the cost of debt, suggests that heavy reliance on long-dated borrowing can erode value through higher expected distress costs and tighter financial covenants.</w:t>
      </w:r>
    </w:p>
    <w:p w14:paraId="79AB6165"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Third, cost of debt management should be treated as a strategic lever. Treasury policies that improve the effective interest rate, for example through improved credit quality, stronger disclosure, better banking relationships, or selective use of collateral, can alter the valuation impact of a given tenor mix. Where feasible, firms should explore refinancing at lower spreads, stagger maturities to reduce concentration, and consider instruments that share risk with investors without imposing rigid servicing burdens. Fourth, profitability and scale remain important correlates of valuation. Strengthening operating margins and maintaining credible growth in asset base can reinforce the positive effects identified for firm size and profitability, which were significant in at least one of the specifications.</w:t>
      </w:r>
    </w:p>
    <w:p w14:paraId="3EC45089"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Recommendations for investors and analysts relate to screening and engagement. First, monitor the tenor composition of leverage together with the effective cost of debt, since these jointly influence valuation. Firms that rely excessively on costly long-term borrowing should be expected to face valuation discounts unless offset by strong cash generation or credible growth prospects. Second, incorporate sensitivity analysis in valuation to reflect how changes in borrowing costs could alter the marginal effect of both short-term and long-term debt. This is particularly relevant when market rates are volatile, since the moderating terms indicate that valuation responses vary with the cost of funds.</w:t>
      </w:r>
    </w:p>
    <w:p w14:paraId="0C526087"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 xml:space="preserve">Policy recommendations focus on credit market conditions. First, measures that reduce effective borrowing costs for creditworthy manufacturers, such as risk-sharing facilities, targeted credit guarantees, or improved market microstructure that narrows spreads, are likely to support value creation by relaxing financing frictions. Second, improving disclosure quality and creditor rights can lower information asymmetry and agency costs, which theory identifies </w:t>
      </w:r>
      <w:r w:rsidRPr="00D96349">
        <w:rPr>
          <w:rFonts w:asciiTheme="majorBidi" w:hAnsiTheme="majorBidi" w:cstheme="majorBidi"/>
          <w:sz w:val="24"/>
          <w:szCs w:val="24"/>
        </w:rPr>
        <w:lastRenderedPageBreak/>
        <w:t>as key drivers of financing choices and pricing of debt (Jensen &amp; Meckling, 1976; Myers, 1984). Third, development finance that is conditional on transparent governance and measurable performance can expand access to appropriately priced term funding, which would lessen the need for value-eroding long-term borrowing at high coupon rates.</w:t>
      </w:r>
    </w:p>
    <w:p w14:paraId="4F4DDCD4"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Two caveats frame interpretation. Although year effects and firm fixed effects absorb common shocks and time-invariant firm traits, the estimators do not fully resolve simultaneity between capital structure and valuation. Lagging regressors and conservative inference mitigate but do not eliminate endogeneity concerns. Further, results speak to within-sample firms and the 2013 to 2023 period, therefore external validity to other sectors and regimes should be established empirically. Future research could incorporate granular measures of debt composition, for example bank loans versus bonds, floating versus fixed rates, and covenant intensity, and could explore quasi-experimental variation in borrowing costs that arises from policy changes or credit market reforms. Dynamic specifications, alternative proxies for shareholders’ wealth such as Tobin’s Q, and richer governance controls would also strengthen causal interpretation and broaden applicability.</w:t>
      </w:r>
    </w:p>
    <w:p w14:paraId="0FEB148F" w14:textId="77777777" w:rsidR="00D171CC" w:rsidRPr="00D171CC" w:rsidRDefault="00D171CC" w:rsidP="00D171CC">
      <w:pPr>
        <w:jc w:val="both"/>
        <w:rPr>
          <w:rFonts w:asciiTheme="majorBidi" w:hAnsiTheme="majorBidi" w:cstheme="majorBidi"/>
          <w:sz w:val="24"/>
          <w:szCs w:val="24"/>
        </w:rPr>
      </w:pPr>
      <w:r w:rsidRPr="00D171CC">
        <w:rPr>
          <w:rFonts w:asciiTheme="majorBidi" w:hAnsiTheme="majorBidi" w:cstheme="majorBidi"/>
          <w:b/>
          <w:bCs/>
          <w:sz w:val="24"/>
          <w:szCs w:val="24"/>
        </w:rPr>
        <w:t>References</w:t>
      </w:r>
    </w:p>
    <w:p w14:paraId="23059D05" w14:textId="132152A0"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Aiken, L. S., &amp; West, S. G. (1991). Multiple regression: Testing and interpreting interactions. Sage. </w:t>
      </w:r>
      <w:hyperlink r:id="rId7" w:history="1">
        <w:r w:rsidRPr="00D1170B">
          <w:rPr>
            <w:rStyle w:val="Hyperlink"/>
            <w:rFonts w:asciiTheme="majorBidi" w:hAnsiTheme="majorBidi" w:cstheme="majorBidi"/>
            <w:sz w:val="24"/>
            <w:szCs w:val="24"/>
          </w:rPr>
          <w:t>https://us.sagepub.com/en-us/nam/multiple-regression/book204060</w:t>
        </w:r>
      </w:hyperlink>
    </w:p>
    <w:p w14:paraId="2C60C2F6" w14:textId="144BBFB0"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Breusch, T. S., &amp; Pagan, A. R. (1979). A simple test for heteroscedasticity and random coefficient variation. </w:t>
      </w:r>
      <w:proofErr w:type="spellStart"/>
      <w:r w:rsidRPr="00D1170B">
        <w:rPr>
          <w:rFonts w:asciiTheme="majorBidi" w:hAnsiTheme="majorBidi" w:cstheme="majorBidi"/>
          <w:sz w:val="24"/>
          <w:szCs w:val="24"/>
        </w:rPr>
        <w:t>Econometrica</w:t>
      </w:r>
      <w:proofErr w:type="spellEnd"/>
      <w:r w:rsidRPr="00D1170B">
        <w:rPr>
          <w:rFonts w:asciiTheme="majorBidi" w:hAnsiTheme="majorBidi" w:cstheme="majorBidi"/>
          <w:sz w:val="24"/>
          <w:szCs w:val="24"/>
        </w:rPr>
        <w:t xml:space="preserve">, 47(5), 1287–1294. </w:t>
      </w:r>
      <w:hyperlink r:id="rId8" w:history="1">
        <w:r w:rsidRPr="00D1170B">
          <w:rPr>
            <w:rStyle w:val="Hyperlink"/>
            <w:rFonts w:asciiTheme="majorBidi" w:hAnsiTheme="majorBidi" w:cstheme="majorBidi"/>
            <w:sz w:val="24"/>
            <w:szCs w:val="24"/>
          </w:rPr>
          <w:t>https://doi.org/10.2307/1911963</w:t>
        </w:r>
      </w:hyperlink>
    </w:p>
    <w:p w14:paraId="77195AFD" w14:textId="0CF6BFA2"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Cameron, A. C., &amp; Miller, D. L. (2015). A practitioner’s guide to cluster-robust inference. Journal of Human Resources, 50(2), 317–372. </w:t>
      </w:r>
      <w:hyperlink r:id="rId9" w:history="1">
        <w:r w:rsidRPr="00D1170B">
          <w:rPr>
            <w:rStyle w:val="Hyperlink"/>
            <w:rFonts w:asciiTheme="majorBidi" w:hAnsiTheme="majorBidi" w:cstheme="majorBidi"/>
            <w:sz w:val="24"/>
            <w:szCs w:val="24"/>
          </w:rPr>
          <w:t>https://doi.org/10.3368/jhr.50.2.317</w:t>
        </w:r>
      </w:hyperlink>
    </w:p>
    <w:p w14:paraId="5D68004C" w14:textId="128D234E"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Driscoll, J. C., &amp; Kraay, A. C. (1998). Consistent covariance matrix estimation with spatially dependent panel data. Review of Economics and Statistics, 80(4), 549–560. </w:t>
      </w:r>
      <w:hyperlink r:id="rId10" w:history="1">
        <w:r w:rsidRPr="00D1170B">
          <w:rPr>
            <w:rStyle w:val="Hyperlink"/>
            <w:rFonts w:asciiTheme="majorBidi" w:hAnsiTheme="majorBidi" w:cstheme="majorBidi"/>
            <w:sz w:val="24"/>
            <w:szCs w:val="24"/>
          </w:rPr>
          <w:t>https://doi.org/10.1162/003465398557825</w:t>
        </w:r>
      </w:hyperlink>
    </w:p>
    <w:p w14:paraId="21EA51AB" w14:textId="0428F063"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Greene, W. H. (2018). Econometric analysis (8th ed.). Pearson. </w:t>
      </w:r>
      <w:hyperlink r:id="rId11" w:history="1">
        <w:r w:rsidRPr="00D1170B">
          <w:rPr>
            <w:rStyle w:val="Hyperlink"/>
            <w:rFonts w:asciiTheme="majorBidi" w:hAnsiTheme="majorBidi" w:cstheme="majorBidi"/>
            <w:sz w:val="24"/>
            <w:szCs w:val="24"/>
          </w:rPr>
          <w:t>https://www.pearson.com/us/higher-education/program/Greene-Econometric-Analysis-8th-Edition/PGM10799.html</w:t>
        </w:r>
      </w:hyperlink>
    </w:p>
    <w:p w14:paraId="7566700C" w14:textId="71B3E1ED"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Hausman, J. A. (1978). Specification tests in econometrics. </w:t>
      </w:r>
      <w:proofErr w:type="spellStart"/>
      <w:r w:rsidRPr="00D1170B">
        <w:rPr>
          <w:rFonts w:asciiTheme="majorBidi" w:hAnsiTheme="majorBidi" w:cstheme="majorBidi"/>
          <w:sz w:val="24"/>
          <w:szCs w:val="24"/>
        </w:rPr>
        <w:t>Econometrica</w:t>
      </w:r>
      <w:proofErr w:type="spellEnd"/>
      <w:r w:rsidRPr="00D1170B">
        <w:rPr>
          <w:rFonts w:asciiTheme="majorBidi" w:hAnsiTheme="majorBidi" w:cstheme="majorBidi"/>
          <w:sz w:val="24"/>
          <w:szCs w:val="24"/>
        </w:rPr>
        <w:t xml:space="preserve">, 46(6), 1251–1271. </w:t>
      </w:r>
      <w:hyperlink r:id="rId12" w:history="1">
        <w:r w:rsidRPr="00D1170B">
          <w:rPr>
            <w:rStyle w:val="Hyperlink"/>
            <w:rFonts w:asciiTheme="majorBidi" w:hAnsiTheme="majorBidi" w:cstheme="majorBidi"/>
            <w:sz w:val="24"/>
            <w:szCs w:val="24"/>
          </w:rPr>
          <w:t>https://doi.org/10.2307/1913827</w:t>
        </w:r>
      </w:hyperlink>
    </w:p>
    <w:p w14:paraId="2402CAB5" w14:textId="24AFBAE2"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Jensen, M. C. (1986). Agency costs of free cash flow, corporate finance, and takeovers. American Economic Review, 76(2), 323–329. </w:t>
      </w:r>
      <w:hyperlink r:id="rId13" w:history="1">
        <w:r w:rsidRPr="00D1170B">
          <w:rPr>
            <w:rStyle w:val="Hyperlink"/>
            <w:rFonts w:asciiTheme="majorBidi" w:hAnsiTheme="majorBidi" w:cstheme="majorBidi"/>
            <w:sz w:val="24"/>
            <w:szCs w:val="24"/>
          </w:rPr>
          <w:t>http://links.jstor.org/sici?sici=0002-8282%28198605%2976%3A2%3C323%3AACOFCF%3E2.0.CO%3B2-M&amp;origin=repec</w:t>
        </w:r>
      </w:hyperlink>
    </w:p>
    <w:p w14:paraId="491A6AF7" w14:textId="3704166D"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Jensen, M. C., &amp; Meckling, W. H. (1976). Theory of the firm: Managerial behavior, agency costs and ownership structure. Journal of Financial Economics, 3(4), 305–360. </w:t>
      </w:r>
      <w:hyperlink r:id="rId14" w:history="1">
        <w:r w:rsidRPr="00D1170B">
          <w:rPr>
            <w:rStyle w:val="Hyperlink"/>
            <w:rFonts w:asciiTheme="majorBidi" w:hAnsiTheme="majorBidi" w:cstheme="majorBidi"/>
            <w:sz w:val="24"/>
            <w:szCs w:val="24"/>
          </w:rPr>
          <w:t>https://doi.org/10.1016/0304-405X(76)90026-X</w:t>
        </w:r>
      </w:hyperlink>
    </w:p>
    <w:p w14:paraId="2295972D" w14:textId="7E5FE2C6"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Kraus, A., &amp; Litzenberger, R. H. (1973). A state-preference model of optimal financial leverage. Journal of Finance, 28(4), 911–922. </w:t>
      </w:r>
      <w:hyperlink r:id="rId15" w:history="1">
        <w:r w:rsidRPr="00D1170B">
          <w:rPr>
            <w:rStyle w:val="Hyperlink"/>
            <w:rFonts w:asciiTheme="majorBidi" w:hAnsiTheme="majorBidi" w:cstheme="majorBidi"/>
            <w:sz w:val="24"/>
            <w:szCs w:val="24"/>
          </w:rPr>
          <w:t>https://doi.org/10.1111/j.1540-6261.1973.tb01415.x</w:t>
        </w:r>
      </w:hyperlink>
    </w:p>
    <w:p w14:paraId="3C46FFBC" w14:textId="4C6A1D0F"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Modigliani, F., &amp; Miller, M. H. (1958). The cost of capital, corporation finance and the theory of investment. American Economic Review, 48(3), 261–297. </w:t>
      </w:r>
      <w:hyperlink r:id="rId16" w:history="1">
        <w:r w:rsidRPr="00D1170B">
          <w:rPr>
            <w:rStyle w:val="Hyperlink"/>
            <w:rFonts w:asciiTheme="majorBidi" w:hAnsiTheme="majorBidi" w:cstheme="majorBidi"/>
            <w:sz w:val="24"/>
            <w:szCs w:val="24"/>
          </w:rPr>
          <w:t>http://www.jstor.org/stable/1809766</w:t>
        </w:r>
      </w:hyperlink>
    </w:p>
    <w:p w14:paraId="1CEC8EFA" w14:textId="79F3277A"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lastRenderedPageBreak/>
        <w:t xml:space="preserve">Modigliani, F., &amp; Miller, M. H. (1963). Corporate income taxes and the cost of capital: A correction. American Economic Review, 53(3), 433–443. </w:t>
      </w:r>
      <w:hyperlink r:id="rId17" w:history="1">
        <w:r w:rsidRPr="00D1170B">
          <w:rPr>
            <w:rStyle w:val="Hyperlink"/>
            <w:rFonts w:asciiTheme="majorBidi" w:hAnsiTheme="majorBidi" w:cstheme="majorBidi"/>
            <w:sz w:val="24"/>
            <w:szCs w:val="24"/>
          </w:rPr>
          <w:t>https://doi.org/10.2307/1809167</w:t>
        </w:r>
      </w:hyperlink>
    </w:p>
    <w:p w14:paraId="07C7D637" w14:textId="0E858069"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Myers, S. C. (1984). The capital structure puzzle. The Journal of Finance, 39(3), 575–592. </w:t>
      </w:r>
      <w:hyperlink r:id="rId18" w:history="1">
        <w:r w:rsidRPr="00D1170B">
          <w:rPr>
            <w:rStyle w:val="Hyperlink"/>
            <w:rFonts w:asciiTheme="majorBidi" w:hAnsiTheme="majorBidi" w:cstheme="majorBidi"/>
            <w:sz w:val="24"/>
            <w:szCs w:val="24"/>
          </w:rPr>
          <w:t>https://doi.org/10.1111/j.1540-6261.1984.tb03646.x</w:t>
        </w:r>
      </w:hyperlink>
    </w:p>
    <w:p w14:paraId="71A0E502" w14:textId="6AB57C87" w:rsidR="007D20BA" w:rsidRPr="00D1170B" w:rsidRDefault="007D20BA" w:rsidP="00D1170B">
      <w:pPr>
        <w:spacing w:line="240" w:lineRule="auto"/>
        <w:jc w:val="both"/>
        <w:rPr>
          <w:rFonts w:asciiTheme="majorBidi" w:hAnsiTheme="majorBidi" w:cstheme="majorBidi"/>
          <w:sz w:val="24"/>
          <w:szCs w:val="24"/>
        </w:rPr>
      </w:pPr>
      <w:proofErr w:type="spellStart"/>
      <w:r w:rsidRPr="00D1170B">
        <w:rPr>
          <w:rFonts w:asciiTheme="majorBidi" w:hAnsiTheme="majorBidi" w:cstheme="majorBidi"/>
          <w:sz w:val="24"/>
          <w:szCs w:val="24"/>
        </w:rPr>
        <w:t>Pesaran</w:t>
      </w:r>
      <w:proofErr w:type="spellEnd"/>
      <w:r w:rsidRPr="00D1170B">
        <w:rPr>
          <w:rFonts w:asciiTheme="majorBidi" w:hAnsiTheme="majorBidi" w:cstheme="majorBidi"/>
          <w:sz w:val="24"/>
          <w:szCs w:val="24"/>
        </w:rPr>
        <w:t xml:space="preserve">, M. H. (2004). General diagnostic tests for cross section dependence in panels. </w:t>
      </w:r>
      <w:hyperlink r:id="rId19" w:history="1">
        <w:r w:rsidRPr="00D1170B">
          <w:rPr>
            <w:rStyle w:val="Hyperlink"/>
            <w:rFonts w:asciiTheme="majorBidi" w:hAnsiTheme="majorBidi" w:cstheme="majorBidi"/>
            <w:sz w:val="24"/>
            <w:szCs w:val="24"/>
          </w:rPr>
          <w:t>https://doi.org/10.17863/CAM.5113</w:t>
        </w:r>
      </w:hyperlink>
    </w:p>
    <w:p w14:paraId="1475436F" w14:textId="1EB94DAB" w:rsidR="007D20BA" w:rsidRPr="00D1170B" w:rsidRDefault="007D20BA" w:rsidP="00D1170B">
      <w:pPr>
        <w:spacing w:line="240" w:lineRule="auto"/>
        <w:jc w:val="both"/>
        <w:rPr>
          <w:rFonts w:asciiTheme="majorBidi" w:hAnsiTheme="majorBidi" w:cstheme="majorBidi"/>
          <w:sz w:val="24"/>
          <w:szCs w:val="24"/>
        </w:rPr>
      </w:pPr>
      <w:proofErr w:type="spellStart"/>
      <w:r w:rsidRPr="00D1170B">
        <w:rPr>
          <w:rFonts w:asciiTheme="majorBidi" w:hAnsiTheme="majorBidi" w:cstheme="majorBidi"/>
          <w:sz w:val="24"/>
          <w:szCs w:val="24"/>
        </w:rPr>
        <w:t>Pesaran</w:t>
      </w:r>
      <w:proofErr w:type="spellEnd"/>
      <w:r w:rsidRPr="00D1170B">
        <w:rPr>
          <w:rFonts w:asciiTheme="majorBidi" w:hAnsiTheme="majorBidi" w:cstheme="majorBidi"/>
          <w:sz w:val="24"/>
          <w:szCs w:val="24"/>
        </w:rPr>
        <w:t xml:space="preserve">, M. H. (2015). Testing weak cross-sectional dependence in large panels. Econometric Reviews. </w:t>
      </w:r>
      <w:hyperlink r:id="rId20" w:history="1">
        <w:r w:rsidRPr="00D1170B">
          <w:rPr>
            <w:rStyle w:val="Hyperlink"/>
            <w:rFonts w:asciiTheme="majorBidi" w:hAnsiTheme="majorBidi" w:cstheme="majorBidi"/>
            <w:sz w:val="24"/>
            <w:szCs w:val="24"/>
          </w:rPr>
          <w:t>https://doi.org/10.1080/07474938.2014.956623</w:t>
        </w:r>
      </w:hyperlink>
    </w:p>
    <w:p w14:paraId="6B640EB5" w14:textId="554D2F37"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Petersen, M. A. (2009). Estimating standard errors in finance panel data sets: Comparing approaches. The Review of Financial Studies, 22(1), 435–480. </w:t>
      </w:r>
      <w:hyperlink r:id="rId21" w:history="1">
        <w:r w:rsidRPr="00D1170B">
          <w:rPr>
            <w:rStyle w:val="Hyperlink"/>
            <w:rFonts w:asciiTheme="majorBidi" w:hAnsiTheme="majorBidi" w:cstheme="majorBidi"/>
            <w:sz w:val="24"/>
            <w:szCs w:val="24"/>
          </w:rPr>
          <w:t>https://doi.org/10.1093/rfs/hhn053</w:t>
        </w:r>
      </w:hyperlink>
    </w:p>
    <w:p w14:paraId="68D9D136" w14:textId="695FA7AD" w:rsidR="007D20BA"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 xml:space="preserve">White, H. (1980). A heteroskedasticity-consistent covariance matrix estimator and a direct test for heteroskedasticity. </w:t>
      </w:r>
      <w:proofErr w:type="spellStart"/>
      <w:r w:rsidRPr="00D1170B">
        <w:rPr>
          <w:rFonts w:asciiTheme="majorBidi" w:hAnsiTheme="majorBidi" w:cstheme="majorBidi"/>
          <w:sz w:val="24"/>
          <w:szCs w:val="24"/>
        </w:rPr>
        <w:t>Econometrica</w:t>
      </w:r>
      <w:proofErr w:type="spellEnd"/>
      <w:r w:rsidRPr="00D1170B">
        <w:rPr>
          <w:rFonts w:asciiTheme="majorBidi" w:hAnsiTheme="majorBidi" w:cstheme="majorBidi"/>
          <w:sz w:val="24"/>
          <w:szCs w:val="24"/>
        </w:rPr>
        <w:t xml:space="preserve">, 48(4), 817–838. </w:t>
      </w:r>
      <w:hyperlink r:id="rId22" w:history="1">
        <w:r w:rsidRPr="00D1170B">
          <w:rPr>
            <w:rStyle w:val="Hyperlink"/>
            <w:rFonts w:asciiTheme="majorBidi" w:hAnsiTheme="majorBidi" w:cstheme="majorBidi"/>
            <w:sz w:val="24"/>
            <w:szCs w:val="24"/>
          </w:rPr>
          <w:t>https://doi.org/10.2307/1912934</w:t>
        </w:r>
      </w:hyperlink>
    </w:p>
    <w:p w14:paraId="3242A1EC" w14:textId="555D35B4" w:rsidR="00D171CC" w:rsidRPr="00D1170B" w:rsidRDefault="007D20BA" w:rsidP="00D1170B">
      <w:pPr>
        <w:spacing w:line="240" w:lineRule="auto"/>
        <w:jc w:val="both"/>
        <w:rPr>
          <w:rFonts w:asciiTheme="majorBidi" w:hAnsiTheme="majorBidi" w:cstheme="majorBidi"/>
          <w:sz w:val="24"/>
          <w:szCs w:val="24"/>
        </w:rPr>
      </w:pPr>
      <w:r w:rsidRPr="00D1170B">
        <w:rPr>
          <w:rFonts w:asciiTheme="majorBidi" w:hAnsiTheme="majorBidi" w:cstheme="majorBidi"/>
          <w:sz w:val="24"/>
          <w:szCs w:val="24"/>
        </w:rPr>
        <w:t>Wooldridge, J. M. (2010). Econometric analysis of cross section and panel data (2nd ed.). MIT Press. https://mitpress.mit.edu/books/econometric-analysis-cross-section-and-panel-data-second-edition</w:t>
      </w:r>
    </w:p>
    <w:p w14:paraId="6C85F42F" w14:textId="77777777" w:rsidR="005C77F8" w:rsidRPr="000148CF" w:rsidRDefault="005C77F8" w:rsidP="00D171CC">
      <w:pPr>
        <w:spacing w:line="240" w:lineRule="auto"/>
        <w:ind w:left="720" w:hanging="720"/>
        <w:jc w:val="both"/>
        <w:rPr>
          <w:rFonts w:asciiTheme="majorBidi" w:hAnsiTheme="majorBidi" w:cstheme="majorBidi"/>
          <w:sz w:val="24"/>
          <w:szCs w:val="24"/>
        </w:rPr>
      </w:pPr>
    </w:p>
    <w:sectPr w:rsidR="005C77F8" w:rsidRPr="000148C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C1F3" w14:textId="77777777" w:rsidR="00A31E6A" w:rsidRDefault="00A31E6A" w:rsidP="00D23B90">
      <w:pPr>
        <w:spacing w:after="0" w:line="240" w:lineRule="auto"/>
      </w:pPr>
      <w:r>
        <w:separator/>
      </w:r>
    </w:p>
  </w:endnote>
  <w:endnote w:type="continuationSeparator" w:id="0">
    <w:p w14:paraId="327AB3E9" w14:textId="77777777" w:rsidR="00A31E6A" w:rsidRDefault="00A31E6A" w:rsidP="00D2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9AF5" w14:textId="77777777" w:rsidR="00D23B90" w:rsidRDefault="00D23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B6D1" w14:textId="77777777" w:rsidR="00D23B90" w:rsidRDefault="00D23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1A24" w14:textId="77777777" w:rsidR="00D23B90" w:rsidRDefault="00D2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0FEF" w14:textId="77777777" w:rsidR="00A31E6A" w:rsidRDefault="00A31E6A" w:rsidP="00D23B90">
      <w:pPr>
        <w:spacing w:after="0" w:line="240" w:lineRule="auto"/>
      </w:pPr>
      <w:r>
        <w:separator/>
      </w:r>
    </w:p>
  </w:footnote>
  <w:footnote w:type="continuationSeparator" w:id="0">
    <w:p w14:paraId="76733C00" w14:textId="77777777" w:rsidR="00A31E6A" w:rsidRDefault="00A31E6A" w:rsidP="00D2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8AED" w14:textId="7C041269" w:rsidR="00D23B90" w:rsidRDefault="00D23B90">
    <w:pPr>
      <w:pStyle w:val="Header"/>
    </w:pPr>
    <w:r>
      <w:rPr>
        <w:noProof/>
      </w:rPr>
      <w:pict w14:anchorId="4367B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8340" w14:textId="55C762AD" w:rsidR="00D23B90" w:rsidRDefault="00D23B90">
    <w:pPr>
      <w:pStyle w:val="Header"/>
    </w:pPr>
    <w:r>
      <w:rPr>
        <w:noProof/>
      </w:rPr>
      <w:pict w14:anchorId="3C7E5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D5F3" w14:textId="3A483068" w:rsidR="00D23B90" w:rsidRDefault="00D23B90">
    <w:pPr>
      <w:pStyle w:val="Header"/>
    </w:pPr>
    <w:r>
      <w:rPr>
        <w:noProof/>
      </w:rPr>
      <w:pict w14:anchorId="6B626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C60E4"/>
    <w:multiLevelType w:val="hybridMultilevel"/>
    <w:tmpl w:val="AC78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F8"/>
    <w:rsid w:val="00010C2A"/>
    <w:rsid w:val="000148CF"/>
    <w:rsid w:val="00037485"/>
    <w:rsid w:val="00037748"/>
    <w:rsid w:val="00092DFD"/>
    <w:rsid w:val="00096213"/>
    <w:rsid w:val="000B6389"/>
    <w:rsid w:val="000E113B"/>
    <w:rsid w:val="001171E1"/>
    <w:rsid w:val="00123793"/>
    <w:rsid w:val="00124E2C"/>
    <w:rsid w:val="0015111A"/>
    <w:rsid w:val="00162337"/>
    <w:rsid w:val="00265493"/>
    <w:rsid w:val="002D719E"/>
    <w:rsid w:val="00355AC9"/>
    <w:rsid w:val="003B5C28"/>
    <w:rsid w:val="00400B1A"/>
    <w:rsid w:val="00513CA6"/>
    <w:rsid w:val="00560FFC"/>
    <w:rsid w:val="005C77F8"/>
    <w:rsid w:val="006022F8"/>
    <w:rsid w:val="0066665A"/>
    <w:rsid w:val="00671235"/>
    <w:rsid w:val="00691820"/>
    <w:rsid w:val="006B7D73"/>
    <w:rsid w:val="006C4F19"/>
    <w:rsid w:val="006D60C2"/>
    <w:rsid w:val="006E32B4"/>
    <w:rsid w:val="00713A4F"/>
    <w:rsid w:val="00723519"/>
    <w:rsid w:val="007A079F"/>
    <w:rsid w:val="007A193B"/>
    <w:rsid w:val="007D20BA"/>
    <w:rsid w:val="007D4CAB"/>
    <w:rsid w:val="007F52F8"/>
    <w:rsid w:val="00823680"/>
    <w:rsid w:val="00855F00"/>
    <w:rsid w:val="00865B18"/>
    <w:rsid w:val="008D28D9"/>
    <w:rsid w:val="008D7637"/>
    <w:rsid w:val="0095293B"/>
    <w:rsid w:val="00992158"/>
    <w:rsid w:val="009E4451"/>
    <w:rsid w:val="009F2AFC"/>
    <w:rsid w:val="00A0105B"/>
    <w:rsid w:val="00A31E6A"/>
    <w:rsid w:val="00A64944"/>
    <w:rsid w:val="00AF1E52"/>
    <w:rsid w:val="00B31125"/>
    <w:rsid w:val="00BF303F"/>
    <w:rsid w:val="00C44228"/>
    <w:rsid w:val="00C62B0B"/>
    <w:rsid w:val="00CC416E"/>
    <w:rsid w:val="00CE64CC"/>
    <w:rsid w:val="00D1170B"/>
    <w:rsid w:val="00D171CC"/>
    <w:rsid w:val="00D23B90"/>
    <w:rsid w:val="00D33CC3"/>
    <w:rsid w:val="00D37101"/>
    <w:rsid w:val="00D83FEE"/>
    <w:rsid w:val="00D96349"/>
    <w:rsid w:val="00E14F99"/>
    <w:rsid w:val="00E33590"/>
    <w:rsid w:val="00E52205"/>
    <w:rsid w:val="00EA44E7"/>
    <w:rsid w:val="00EF0CA1"/>
    <w:rsid w:val="00F2127D"/>
    <w:rsid w:val="00F94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51C25"/>
  <w15:chartTrackingRefBased/>
  <w15:docId w15:val="{C8AF26F2-D21E-4D37-8287-68BAD42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158"/>
  </w:style>
  <w:style w:type="paragraph" w:styleId="Heading1">
    <w:name w:val="heading 1"/>
    <w:basedOn w:val="Normal"/>
    <w:next w:val="Normal"/>
    <w:link w:val="Heading1Char"/>
    <w:uiPriority w:val="9"/>
    <w:qFormat/>
    <w:rsid w:val="005C7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F8"/>
    <w:rPr>
      <w:rFonts w:eastAsiaTheme="majorEastAsia" w:cstheme="majorBidi"/>
      <w:color w:val="272727" w:themeColor="text1" w:themeTint="D8"/>
    </w:rPr>
  </w:style>
  <w:style w:type="paragraph" w:styleId="Title">
    <w:name w:val="Title"/>
    <w:basedOn w:val="Normal"/>
    <w:next w:val="Normal"/>
    <w:link w:val="TitleChar"/>
    <w:uiPriority w:val="10"/>
    <w:qFormat/>
    <w:rsid w:val="005C7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F8"/>
    <w:pPr>
      <w:spacing w:before="160"/>
      <w:jc w:val="center"/>
    </w:pPr>
    <w:rPr>
      <w:i/>
      <w:iCs/>
      <w:color w:val="404040" w:themeColor="text1" w:themeTint="BF"/>
    </w:rPr>
  </w:style>
  <w:style w:type="character" w:customStyle="1" w:styleId="QuoteChar">
    <w:name w:val="Quote Char"/>
    <w:basedOn w:val="DefaultParagraphFont"/>
    <w:link w:val="Quote"/>
    <w:uiPriority w:val="29"/>
    <w:rsid w:val="005C77F8"/>
    <w:rPr>
      <w:i/>
      <w:iCs/>
      <w:color w:val="404040" w:themeColor="text1" w:themeTint="BF"/>
    </w:rPr>
  </w:style>
  <w:style w:type="paragraph" w:styleId="ListParagraph">
    <w:name w:val="List Paragraph"/>
    <w:basedOn w:val="Normal"/>
    <w:uiPriority w:val="34"/>
    <w:qFormat/>
    <w:rsid w:val="005C77F8"/>
    <w:pPr>
      <w:ind w:left="720"/>
      <w:contextualSpacing/>
    </w:pPr>
  </w:style>
  <w:style w:type="character" w:styleId="IntenseEmphasis">
    <w:name w:val="Intense Emphasis"/>
    <w:basedOn w:val="DefaultParagraphFont"/>
    <w:uiPriority w:val="21"/>
    <w:qFormat/>
    <w:rsid w:val="005C77F8"/>
    <w:rPr>
      <w:i/>
      <w:iCs/>
      <w:color w:val="0F4761" w:themeColor="accent1" w:themeShade="BF"/>
    </w:rPr>
  </w:style>
  <w:style w:type="paragraph" w:styleId="IntenseQuote">
    <w:name w:val="Intense Quote"/>
    <w:basedOn w:val="Normal"/>
    <w:next w:val="Normal"/>
    <w:link w:val="IntenseQuoteChar"/>
    <w:uiPriority w:val="30"/>
    <w:qFormat/>
    <w:rsid w:val="005C7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F8"/>
    <w:rPr>
      <w:i/>
      <w:iCs/>
      <w:color w:val="0F4761" w:themeColor="accent1" w:themeShade="BF"/>
    </w:rPr>
  </w:style>
  <w:style w:type="character" w:styleId="IntenseReference">
    <w:name w:val="Intense Reference"/>
    <w:basedOn w:val="DefaultParagraphFont"/>
    <w:uiPriority w:val="32"/>
    <w:qFormat/>
    <w:rsid w:val="005C77F8"/>
    <w:rPr>
      <w:b/>
      <w:bCs/>
      <w:smallCaps/>
      <w:color w:val="0F4761" w:themeColor="accent1" w:themeShade="BF"/>
      <w:spacing w:val="5"/>
    </w:rPr>
  </w:style>
  <w:style w:type="table" w:styleId="TableGrid">
    <w:name w:val="Table Grid"/>
    <w:basedOn w:val="TableNormal"/>
    <w:uiPriority w:val="39"/>
    <w:rsid w:val="00E5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265493"/>
    <w:pPr>
      <w:spacing w:beforeAutospacing="1" w:after="0" w:afterAutospacing="1" w:line="240" w:lineRule="auto"/>
    </w:pPr>
    <w:rPr>
      <w:rFonts w:ascii="Times New Roman" w:eastAsia="SimSun" w:hAnsi="Times New Roman" w:cs="Times New Roman"/>
      <w:kern w:val="0"/>
      <w:sz w:val="24"/>
      <w:szCs w:val="24"/>
      <w14:ligatures w14:val="none"/>
    </w:rPr>
  </w:style>
  <w:style w:type="character" w:styleId="Hyperlink">
    <w:name w:val="Hyperlink"/>
    <w:basedOn w:val="DefaultParagraphFont"/>
    <w:uiPriority w:val="99"/>
    <w:unhideWhenUsed/>
    <w:rsid w:val="00D171CC"/>
    <w:rPr>
      <w:color w:val="467886" w:themeColor="hyperlink"/>
      <w:u w:val="single"/>
    </w:rPr>
  </w:style>
  <w:style w:type="character" w:styleId="UnresolvedMention">
    <w:name w:val="Unresolved Mention"/>
    <w:basedOn w:val="DefaultParagraphFont"/>
    <w:uiPriority w:val="99"/>
    <w:semiHidden/>
    <w:unhideWhenUsed/>
    <w:rsid w:val="00D171CC"/>
    <w:rPr>
      <w:color w:val="605E5C"/>
      <w:shd w:val="clear" w:color="auto" w:fill="E1DFDD"/>
    </w:rPr>
  </w:style>
  <w:style w:type="paragraph" w:styleId="Header">
    <w:name w:val="header"/>
    <w:basedOn w:val="Normal"/>
    <w:link w:val="HeaderChar"/>
    <w:uiPriority w:val="99"/>
    <w:unhideWhenUsed/>
    <w:rsid w:val="00D2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90"/>
  </w:style>
  <w:style w:type="paragraph" w:styleId="Footer">
    <w:name w:val="footer"/>
    <w:basedOn w:val="Normal"/>
    <w:link w:val="FooterChar"/>
    <w:uiPriority w:val="99"/>
    <w:unhideWhenUsed/>
    <w:rsid w:val="00D2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911963" TargetMode="External"/><Relationship Id="rId13" Type="http://schemas.openxmlformats.org/officeDocument/2006/relationships/hyperlink" Target="http://links.jstor.org/sici?sici=0002-8282%28198605%2976%3A2%3C323%3AACOFCF%3E2.0.CO%3B2-M&amp;origin=repec" TargetMode="External"/><Relationship Id="rId18" Type="http://schemas.openxmlformats.org/officeDocument/2006/relationships/hyperlink" Target="https://doi.org/10.1111/j.1540-6261.1984.tb03646.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3/rfs/hhn053" TargetMode="External"/><Relationship Id="rId7" Type="http://schemas.openxmlformats.org/officeDocument/2006/relationships/hyperlink" Target="https://us.sagepub.com/en-us/nam/multiple-regression/book204060" TargetMode="External"/><Relationship Id="rId12" Type="http://schemas.openxmlformats.org/officeDocument/2006/relationships/hyperlink" Target="https://doi.org/10.2307/1913827" TargetMode="External"/><Relationship Id="rId17" Type="http://schemas.openxmlformats.org/officeDocument/2006/relationships/hyperlink" Target="https://doi.org/10.2307/180916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stor.org/stable/1809766" TargetMode="External"/><Relationship Id="rId20" Type="http://schemas.openxmlformats.org/officeDocument/2006/relationships/hyperlink" Target="https://doi.org/10.1080/07474938.2014.9566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arson.com/us/higher-education/program/Greene-Econometric-Analysis-8th-Edition/PGM10799.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11/j.1540-6261.1973.tb01415.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62/003465398557825" TargetMode="External"/><Relationship Id="rId19" Type="http://schemas.openxmlformats.org/officeDocument/2006/relationships/hyperlink" Target="https://doi.org/10.17863/CAM.5113" TargetMode="External"/><Relationship Id="rId4" Type="http://schemas.openxmlformats.org/officeDocument/2006/relationships/webSettings" Target="webSettings.xml"/><Relationship Id="rId9" Type="http://schemas.openxmlformats.org/officeDocument/2006/relationships/hyperlink" Target="https://doi.org/10.3368/jhr.50.2.317" TargetMode="External"/><Relationship Id="rId14" Type="http://schemas.openxmlformats.org/officeDocument/2006/relationships/hyperlink" Target="https://doi.org/10.1016/0304-405X(76)90026-X" TargetMode="External"/><Relationship Id="rId22" Type="http://schemas.openxmlformats.org/officeDocument/2006/relationships/hyperlink" Target="https://doi.org/10.2307/191293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12</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SDI 1180</cp:lastModifiedBy>
  <cp:revision>38</cp:revision>
  <dcterms:created xsi:type="dcterms:W3CDTF">2025-09-06T13:39:00Z</dcterms:created>
  <dcterms:modified xsi:type="dcterms:W3CDTF">2025-12-20T12:18:00Z</dcterms:modified>
</cp:coreProperties>
</file>