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EEB3" w14:textId="701CCE40" w:rsidR="00462B59" w:rsidRDefault="00A53CB4" w:rsidP="00055D83">
      <w:pPr>
        <w:spacing w:before="0" w:line="240" w:lineRule="auto"/>
        <w:jc w:val="center"/>
        <w:rPr>
          <w:rFonts w:cs="Times New Roman"/>
          <w:b/>
          <w:bCs/>
          <w:color w:val="000000" w:themeColor="text1"/>
          <w:sz w:val="36"/>
          <w:szCs w:val="36"/>
        </w:rPr>
      </w:pPr>
      <w:r w:rsidRPr="00A53CB4">
        <w:rPr>
          <w:rFonts w:cs="Times New Roman"/>
          <w:b/>
          <w:bCs/>
          <w:color w:val="000000" w:themeColor="text1"/>
          <w:sz w:val="36"/>
          <w:szCs w:val="36"/>
        </w:rPr>
        <w:t>MICROFINANCE INTERVENTIONS AND FINANCIAL EMPOWERMENT OF WOMEN ENTREPRENEURS IN ELDAMA RAVINE SUB - COUNTY IN BARINGO COUNTY, KENYA</w:t>
      </w:r>
    </w:p>
    <w:p w14:paraId="41DC4703" w14:textId="77777777" w:rsidR="00462B59" w:rsidRPr="007A56B8" w:rsidRDefault="00462B59"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bookmarkStart w:id="0" w:name="_GoBack"/>
      <w:bookmarkEnd w:id="0"/>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1" w:name="_Toc488404692"/>
      <w:bookmarkStart w:id="2" w:name="_Toc102409737"/>
      <w:r w:rsidRPr="007A56B8">
        <w:rPr>
          <w:b/>
          <w:sz w:val="28"/>
        </w:rPr>
        <w:t>ABSTRACT</w:t>
      </w:r>
      <w:bookmarkEnd w:id="1"/>
      <w:bookmarkEnd w:id="2"/>
    </w:p>
    <w:p w14:paraId="397D53FD" w14:textId="0D039058" w:rsidR="00A53CB4" w:rsidRPr="00A53CB4" w:rsidRDefault="00A53CB4" w:rsidP="00A53CB4">
      <w:pPr>
        <w:spacing w:line="240" w:lineRule="auto"/>
        <w:rPr>
          <w:rFonts w:cs="Times New Roman"/>
          <w:color w:val="000000" w:themeColor="text1"/>
          <w:szCs w:val="24"/>
        </w:rPr>
      </w:pPr>
      <w:r w:rsidRPr="00A53CB4">
        <w:rPr>
          <w:rFonts w:cs="Times New Roman"/>
          <w:color w:val="000000" w:themeColor="text1"/>
          <w:szCs w:val="24"/>
        </w:rPr>
        <w:t xml:space="preserve">Women’s financial empowerment is a vital pillar of sustainable and inclusive development, as women contribute significantly to household welfare, community advancement, and national productivity. Despite the growth of microfinance operations in Kenya, women entrepreneurs in </w:t>
      </w:r>
      <w:proofErr w:type="spellStart"/>
      <w:r w:rsidRPr="00A53CB4">
        <w:rPr>
          <w:rFonts w:cs="Times New Roman"/>
          <w:color w:val="000000" w:themeColor="text1"/>
          <w:szCs w:val="24"/>
        </w:rPr>
        <w:t>Eldama</w:t>
      </w:r>
      <w:proofErr w:type="spellEnd"/>
      <w:r w:rsidRPr="00A53CB4">
        <w:rPr>
          <w:rFonts w:cs="Times New Roman"/>
          <w:color w:val="000000" w:themeColor="text1"/>
          <w:szCs w:val="24"/>
        </w:rPr>
        <w:t xml:space="preserve"> Ravine Sub-County continue to face restricted access to credit, inadequate savings facilities, and limited advisory and business development services. This study examined the effect of microfinance interventions</w:t>
      </w:r>
      <w:r w:rsidR="008D472A">
        <w:rPr>
          <w:rFonts w:cs="Times New Roman"/>
          <w:color w:val="000000" w:themeColor="text1"/>
          <w:szCs w:val="24"/>
        </w:rPr>
        <w:t xml:space="preserve"> </w:t>
      </w:r>
      <w:r w:rsidRPr="00A53CB4">
        <w:rPr>
          <w:rFonts w:cs="Times New Roman"/>
          <w:color w:val="000000" w:themeColor="text1"/>
          <w:szCs w:val="24"/>
        </w:rPr>
        <w:t xml:space="preserve">specifically microcredit, </w:t>
      </w:r>
      <w:proofErr w:type="spellStart"/>
      <w:r w:rsidRPr="00A53CB4">
        <w:rPr>
          <w:rFonts w:cs="Times New Roman"/>
          <w:color w:val="000000" w:themeColor="text1"/>
          <w:szCs w:val="24"/>
        </w:rPr>
        <w:t>microsavings</w:t>
      </w:r>
      <w:proofErr w:type="spellEnd"/>
      <w:r w:rsidRPr="00A53CB4">
        <w:rPr>
          <w:rFonts w:cs="Times New Roman"/>
          <w:color w:val="000000" w:themeColor="text1"/>
          <w:szCs w:val="24"/>
        </w:rPr>
        <w:t>, business development services (BDS), and advisory and consultancy (AC) services</w:t>
      </w:r>
      <w:r w:rsidR="008D472A">
        <w:rPr>
          <w:rFonts w:cs="Times New Roman"/>
          <w:color w:val="000000" w:themeColor="text1"/>
          <w:szCs w:val="24"/>
        </w:rPr>
        <w:t xml:space="preserve"> </w:t>
      </w:r>
      <w:r w:rsidRPr="00A53CB4">
        <w:rPr>
          <w:rFonts w:cs="Times New Roman"/>
          <w:color w:val="000000" w:themeColor="text1"/>
          <w:szCs w:val="24"/>
        </w:rPr>
        <w:t xml:space="preserve">on the financial empowerment of women entrepreneurs in </w:t>
      </w:r>
      <w:proofErr w:type="spellStart"/>
      <w:r w:rsidRPr="00A53CB4">
        <w:rPr>
          <w:rFonts w:cs="Times New Roman"/>
          <w:color w:val="000000" w:themeColor="text1"/>
          <w:szCs w:val="24"/>
        </w:rPr>
        <w:t>Eldama</w:t>
      </w:r>
      <w:proofErr w:type="spellEnd"/>
      <w:r w:rsidRPr="00A53CB4">
        <w:rPr>
          <w:rFonts w:cs="Times New Roman"/>
          <w:color w:val="000000" w:themeColor="text1"/>
          <w:szCs w:val="24"/>
        </w:rPr>
        <w:t xml:space="preserve"> Ravine Sub-County, Baringo County, Kenya. Anchored on the Social Learning, Resource-Based, and Financial Systems theories, the study adopted an explanatory research design targeting 735 registered women-owned enterprises. A sample of 144 respondents was determined using Slovin’s formula and selected through stratified random sampling. Data were collected through pre-tested structured questionnaires and analyzed using descriptive and inferential statistics. Diagnostic tests confirmed model adequacy (Durbin–Watson = 2.110; VIF within acceptable range). Results revealed that microcredit (p=0.044), </w:t>
      </w:r>
      <w:proofErr w:type="spellStart"/>
      <w:r w:rsidRPr="00A53CB4">
        <w:rPr>
          <w:rFonts w:cs="Times New Roman"/>
          <w:color w:val="000000" w:themeColor="text1"/>
          <w:szCs w:val="24"/>
        </w:rPr>
        <w:t>microsavings</w:t>
      </w:r>
      <w:proofErr w:type="spellEnd"/>
      <w:r w:rsidRPr="00A53CB4">
        <w:rPr>
          <w:rFonts w:cs="Times New Roman"/>
          <w:color w:val="000000" w:themeColor="text1"/>
          <w:szCs w:val="24"/>
        </w:rPr>
        <w:t xml:space="preserve"> (p=0.018), BDS (p=0.023), and AC services (p&lt;0.001) had significant positive effects on women’s financial empowerment, jointly explaining 51.8% of the variation (R²=0.518). Advisory and consultancy services emerged as the strongest determinant of empowerment. The study concludes that microfinance interventions substantially enhance women’s financial autonomy and business sustainability and recommends the expansion of advisory services, enhanced savings mobilization, and tailored business development programs to strengthen the economic position of rural women entrepreneurs.</w:t>
      </w:r>
    </w:p>
    <w:p w14:paraId="180BE150" w14:textId="77777777" w:rsidR="00A53CB4" w:rsidRPr="00A53CB4" w:rsidRDefault="00A53CB4" w:rsidP="00A53CB4">
      <w:pPr>
        <w:spacing w:line="240" w:lineRule="auto"/>
        <w:rPr>
          <w:rFonts w:cs="Times New Roman"/>
          <w:color w:val="000000" w:themeColor="text1"/>
          <w:szCs w:val="24"/>
        </w:rPr>
      </w:pPr>
    </w:p>
    <w:p w14:paraId="4AE32A81" w14:textId="2F54815F" w:rsidR="001C35CA" w:rsidRPr="00A53CB4" w:rsidRDefault="00A53CB4" w:rsidP="00A53CB4">
      <w:pPr>
        <w:spacing w:line="240" w:lineRule="auto"/>
        <w:rPr>
          <w:rFonts w:cs="Times New Roman"/>
          <w:i/>
          <w:color w:val="000000" w:themeColor="text1"/>
          <w:szCs w:val="24"/>
        </w:rPr>
      </w:pPr>
      <w:r w:rsidRPr="00A53CB4">
        <w:rPr>
          <w:rFonts w:cs="Times New Roman"/>
          <w:b/>
          <w:color w:val="000000" w:themeColor="text1"/>
          <w:szCs w:val="24"/>
        </w:rPr>
        <w:t>Keywords:</w:t>
      </w:r>
      <w:r w:rsidRPr="00A53CB4">
        <w:rPr>
          <w:rFonts w:cs="Times New Roman"/>
          <w:color w:val="000000" w:themeColor="text1"/>
          <w:szCs w:val="24"/>
        </w:rPr>
        <w:t xml:space="preserve"> </w:t>
      </w:r>
      <w:r w:rsidRPr="00A53CB4">
        <w:rPr>
          <w:rFonts w:cs="Times New Roman"/>
          <w:i/>
          <w:color w:val="000000" w:themeColor="text1"/>
          <w:szCs w:val="24"/>
        </w:rPr>
        <w:t xml:space="preserve">microfinance, financial empowerment, women entrepreneurs, microcredit, </w:t>
      </w:r>
      <w:proofErr w:type="spellStart"/>
      <w:r w:rsidRPr="00A53CB4">
        <w:rPr>
          <w:rFonts w:cs="Times New Roman"/>
          <w:i/>
          <w:color w:val="000000" w:themeColor="text1"/>
          <w:szCs w:val="24"/>
        </w:rPr>
        <w:t>microsavings</w:t>
      </w:r>
      <w:proofErr w:type="spellEnd"/>
      <w:r w:rsidRPr="00A53CB4">
        <w:rPr>
          <w:rFonts w:cs="Times New Roman"/>
          <w:i/>
          <w:color w:val="000000" w:themeColor="text1"/>
          <w:szCs w:val="24"/>
        </w:rPr>
        <w:t xml:space="preserve">, business development services, advisory services, </w:t>
      </w:r>
    </w:p>
    <w:p w14:paraId="07E26CA9" w14:textId="77777777" w:rsidR="001C35CA" w:rsidRPr="001C35CA" w:rsidRDefault="001C35CA" w:rsidP="001C35CA">
      <w:pPr>
        <w:spacing w:line="240" w:lineRule="auto"/>
        <w:rPr>
          <w:rFonts w:cs="Times New Roman"/>
          <w:color w:val="000000" w:themeColor="text1"/>
          <w:szCs w:val="24"/>
        </w:rPr>
      </w:pPr>
    </w:p>
    <w:p w14:paraId="3C2E1B6D" w14:textId="77777777" w:rsidR="00500683" w:rsidRPr="007A56B8" w:rsidRDefault="00500683"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65B8AAD8" w14:textId="6EBC31BF"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 xml:space="preserve">Financial empowerment of women remains central to the global agenda for inclusive and sustainable development. According to the World Bank (2023), empowering women economically enhances household welfare, promotes equitable income distribution, and drives national growth. Women constitute nearly half of the world’s population and are integral to business and productivity (UN Women, 2022). However, in developing countries, structural constraints such as limited access to credit, low resource ownership, and restrictive cultural norms continue to impede women’s participation in entrepreneurship (Kabeer &amp; Natali, 2021). Consequently, global initiatives such </w:t>
      </w:r>
      <w:r w:rsidRPr="00717F18">
        <w:rPr>
          <w:rFonts w:cs="Times New Roman"/>
          <w:color w:val="000000" w:themeColor="text1"/>
          <w:szCs w:val="24"/>
        </w:rPr>
        <w:lastRenderedPageBreak/>
        <w:t>as the United Nations Sustainable Development Goal 5 emphasize gender equality and women’s economic empowerment through inclusive financial systems and e</w:t>
      </w:r>
      <w:r w:rsidR="008D472A">
        <w:rPr>
          <w:rFonts w:cs="Times New Roman"/>
          <w:color w:val="000000" w:themeColor="text1"/>
          <w:szCs w:val="24"/>
        </w:rPr>
        <w:t>nterprise support (UNDP, 2022).</w:t>
      </w:r>
    </w:p>
    <w:p w14:paraId="3DF5F099" w14:textId="79AC596D"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 xml:space="preserve">Across Africa, microfinance has emerged as a strategic instrument for enhancing women’s economic inclusion. Empirical evidence from Ethiopia, Nigeria, and Tanzania indicates that micro-credit, micro-savings, and business development services significantly improve women’s income, autonomy, and decision-making capacity (Abebe &amp; </w:t>
      </w:r>
      <w:proofErr w:type="spellStart"/>
      <w:r w:rsidRPr="00717F18">
        <w:rPr>
          <w:rFonts w:cs="Times New Roman"/>
          <w:color w:val="000000" w:themeColor="text1"/>
          <w:szCs w:val="24"/>
        </w:rPr>
        <w:t>Kegne</w:t>
      </w:r>
      <w:proofErr w:type="spellEnd"/>
      <w:r w:rsidRPr="00717F18">
        <w:rPr>
          <w:rFonts w:cs="Times New Roman"/>
          <w:color w:val="000000" w:themeColor="text1"/>
          <w:szCs w:val="24"/>
        </w:rPr>
        <w:t xml:space="preserve">, 2023; Akpan &amp; Udo, 2022; </w:t>
      </w:r>
      <w:proofErr w:type="spellStart"/>
      <w:r w:rsidRPr="00717F18">
        <w:rPr>
          <w:rFonts w:cs="Times New Roman"/>
          <w:color w:val="000000" w:themeColor="text1"/>
          <w:szCs w:val="24"/>
        </w:rPr>
        <w:t>Mengstie</w:t>
      </w:r>
      <w:proofErr w:type="spellEnd"/>
      <w:r w:rsidRPr="00717F18">
        <w:rPr>
          <w:rFonts w:cs="Times New Roman"/>
          <w:color w:val="000000" w:themeColor="text1"/>
          <w:szCs w:val="24"/>
        </w:rPr>
        <w:t>, 2022). Microfinance institutions (MFIs) offer credit and savings services without collateral</w:t>
      </w:r>
      <w:r w:rsidR="008D472A">
        <w:rPr>
          <w:rFonts w:cs="Times New Roman"/>
          <w:color w:val="000000" w:themeColor="text1"/>
          <w:szCs w:val="24"/>
        </w:rPr>
        <w:t xml:space="preserve"> </w:t>
      </w:r>
      <w:r w:rsidRPr="00717F18">
        <w:rPr>
          <w:rFonts w:cs="Times New Roman"/>
          <w:color w:val="000000" w:themeColor="text1"/>
          <w:szCs w:val="24"/>
        </w:rPr>
        <w:t>unlike conventional banks</w:t>
      </w:r>
      <w:r w:rsidR="008D472A">
        <w:rPr>
          <w:rFonts w:cs="Times New Roman"/>
          <w:color w:val="000000" w:themeColor="text1"/>
          <w:szCs w:val="24"/>
        </w:rPr>
        <w:t xml:space="preserve"> </w:t>
      </w:r>
      <w:r w:rsidRPr="00717F18">
        <w:rPr>
          <w:rFonts w:cs="Times New Roman"/>
          <w:color w:val="000000" w:themeColor="text1"/>
          <w:szCs w:val="24"/>
        </w:rPr>
        <w:t>thereby expanding access to capital for women entrepreneurs. Many MFIs further integrate training, consultancy, and advisory services to strengthen women’s entrepreneurial skills and business sustainabilit</w:t>
      </w:r>
      <w:r w:rsidR="008D472A">
        <w:rPr>
          <w:rFonts w:cs="Times New Roman"/>
          <w:color w:val="000000" w:themeColor="text1"/>
          <w:szCs w:val="24"/>
        </w:rPr>
        <w:t>y (World Economic Forum, 2023).</w:t>
      </w:r>
    </w:p>
    <w:p w14:paraId="109EE883" w14:textId="08D17DE5"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In Kenya, microfinance has become a key driver of women’s entrepreneurship, especially in the informal sector, which contributes approximately 33% of the national GDP (KNBS, 2023). Nonetheless, challenges such as inadequate collateral, limited financial literacy, and socio-cultural restrictions hinder many women entrepreneurs from maximizing their business potential (</w:t>
      </w:r>
      <w:proofErr w:type="spellStart"/>
      <w:r w:rsidRPr="00717F18">
        <w:rPr>
          <w:rFonts w:cs="Times New Roman"/>
          <w:color w:val="000000" w:themeColor="text1"/>
          <w:szCs w:val="24"/>
        </w:rPr>
        <w:t>Riro</w:t>
      </w:r>
      <w:proofErr w:type="spellEnd"/>
      <w:r w:rsidRPr="00717F18">
        <w:rPr>
          <w:rFonts w:cs="Times New Roman"/>
          <w:color w:val="000000" w:themeColor="text1"/>
          <w:szCs w:val="24"/>
        </w:rPr>
        <w:t xml:space="preserve">, </w:t>
      </w:r>
      <w:proofErr w:type="spellStart"/>
      <w:r w:rsidRPr="00717F18">
        <w:rPr>
          <w:rFonts w:cs="Times New Roman"/>
          <w:color w:val="000000" w:themeColor="text1"/>
          <w:szCs w:val="24"/>
        </w:rPr>
        <w:t>Musau</w:t>
      </w:r>
      <w:proofErr w:type="spellEnd"/>
      <w:r w:rsidRPr="00717F18">
        <w:rPr>
          <w:rFonts w:cs="Times New Roman"/>
          <w:color w:val="000000" w:themeColor="text1"/>
          <w:szCs w:val="24"/>
        </w:rPr>
        <w:t xml:space="preserve"> &amp; </w:t>
      </w:r>
      <w:proofErr w:type="spellStart"/>
      <w:r w:rsidRPr="00717F18">
        <w:rPr>
          <w:rFonts w:cs="Times New Roman"/>
          <w:color w:val="000000" w:themeColor="text1"/>
          <w:szCs w:val="24"/>
        </w:rPr>
        <w:t>Njoka</w:t>
      </w:r>
      <w:proofErr w:type="spellEnd"/>
      <w:r w:rsidRPr="00717F18">
        <w:rPr>
          <w:rFonts w:cs="Times New Roman"/>
          <w:color w:val="000000" w:themeColor="text1"/>
          <w:szCs w:val="24"/>
        </w:rPr>
        <w:t>, 2024). Studies show that microfinance interventions, when combined with business training and capacity-building programs, have significantly boosted financial empowerment among women (</w:t>
      </w:r>
      <w:proofErr w:type="spellStart"/>
      <w:r w:rsidRPr="00717F18">
        <w:rPr>
          <w:rFonts w:cs="Times New Roman"/>
          <w:color w:val="000000" w:themeColor="text1"/>
          <w:szCs w:val="24"/>
        </w:rPr>
        <w:t>Odunga</w:t>
      </w:r>
      <w:proofErr w:type="spellEnd"/>
      <w:r w:rsidRPr="00717F18">
        <w:rPr>
          <w:rFonts w:cs="Times New Roman"/>
          <w:color w:val="000000" w:themeColor="text1"/>
          <w:szCs w:val="24"/>
        </w:rPr>
        <w:t>, 2024). Despite this, disparities persist, particularly in rural and semi-urban regions like Baringo County, where women face limited access to structured and sus</w:t>
      </w:r>
      <w:r w:rsidR="008D472A">
        <w:rPr>
          <w:rFonts w:cs="Times New Roman"/>
          <w:color w:val="000000" w:themeColor="text1"/>
          <w:szCs w:val="24"/>
        </w:rPr>
        <w:t>tainable microfinance services.</w:t>
      </w:r>
    </w:p>
    <w:p w14:paraId="37C06F20" w14:textId="74D92021" w:rsidR="00717F18" w:rsidRPr="00717F18" w:rsidRDefault="00717F18" w:rsidP="00717F18">
      <w:pPr>
        <w:shd w:val="clear" w:color="auto" w:fill="FFFFFF"/>
        <w:spacing w:line="240" w:lineRule="auto"/>
        <w:rPr>
          <w:rFonts w:cs="Times New Roman"/>
          <w:color w:val="000000" w:themeColor="text1"/>
          <w:szCs w:val="24"/>
        </w:rPr>
      </w:pP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in Baringo County provides a critical setting to examine the link between microfinance and women’s empowerment. The area hosts numerous women engaged in small-scale enterprises, agribusiness, and service ventures. However, many continue to face funding gaps, inadequate business advisory support, and weak financial management practices (Baringo County Government, 2023). Several institutions, including </w:t>
      </w:r>
      <w:proofErr w:type="spellStart"/>
      <w:r w:rsidRPr="00717F18">
        <w:rPr>
          <w:rFonts w:cs="Times New Roman"/>
          <w:color w:val="000000" w:themeColor="text1"/>
          <w:szCs w:val="24"/>
        </w:rPr>
        <w:t>Faulu</w:t>
      </w:r>
      <w:proofErr w:type="spellEnd"/>
      <w:r w:rsidRPr="00717F18">
        <w:rPr>
          <w:rFonts w:cs="Times New Roman"/>
          <w:color w:val="000000" w:themeColor="text1"/>
          <w:szCs w:val="24"/>
        </w:rPr>
        <w:t xml:space="preserve"> Kenya, Kenya Women Finance Trust (KWFT), and local SACCOs, have introduced microfinance programs in the region. Yet, little empirical evidence exists regarding their actual impact on women’s financial empowerment. Given its semi-urban setting with distinct socio-economic characteristics,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offers a valuable context for assessing how microfinance interventions influence wo</w:t>
      </w:r>
      <w:r w:rsidR="008D472A">
        <w:rPr>
          <w:rFonts w:cs="Times New Roman"/>
          <w:color w:val="000000" w:themeColor="text1"/>
          <w:szCs w:val="24"/>
        </w:rPr>
        <w:t>men’s entrepreneurial outcomes.</w:t>
      </w:r>
    </w:p>
    <w:p w14:paraId="374687F5" w14:textId="15995BDC"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This study aims to bridge this gap by investigating the effect of microfinance interventions</w:t>
      </w:r>
      <w:r w:rsidR="008D472A">
        <w:rPr>
          <w:rFonts w:cs="Times New Roman"/>
          <w:color w:val="000000" w:themeColor="text1"/>
          <w:szCs w:val="24"/>
        </w:rPr>
        <w:t xml:space="preserve"> </w:t>
      </w:r>
      <w:r w:rsidRPr="00717F18">
        <w:rPr>
          <w:rFonts w:cs="Times New Roman"/>
          <w:color w:val="000000" w:themeColor="text1"/>
          <w:szCs w:val="24"/>
        </w:rPr>
        <w:t>specifically micro-credit, micro-savings, business development services (BDS), and advisory and consultancy (AC) services</w:t>
      </w:r>
      <w:r w:rsidR="008D472A">
        <w:rPr>
          <w:rFonts w:cs="Times New Roman"/>
          <w:color w:val="000000" w:themeColor="text1"/>
          <w:szCs w:val="24"/>
        </w:rPr>
        <w:t xml:space="preserve"> </w:t>
      </w:r>
      <w:r w:rsidRPr="00717F18">
        <w:rPr>
          <w:rFonts w:cs="Times New Roman"/>
          <w:color w:val="000000" w:themeColor="text1"/>
          <w:szCs w:val="24"/>
        </w:rPr>
        <w:t xml:space="preserve">on the financial empowerment of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The research draws on the Resource-Based Theory, Social Learning Theory, and the Financial Systems Model to explain how both financial and non-financial services contribute to entrepreneurial capacity and empowerment. Theoretically, the study will deepen understanding of how microfinance components interact to strengthen women’s economic positions. Practically, it will inform policymakers, MFIs, and development partners on designing gender-sensitive financial programs aligned with Kenya’s Vision 2030 and the</w:t>
      </w:r>
      <w:r w:rsidR="008D472A">
        <w:rPr>
          <w:rFonts w:cs="Times New Roman"/>
          <w:color w:val="000000" w:themeColor="text1"/>
          <w:szCs w:val="24"/>
        </w:rPr>
        <w:t xml:space="preserve"> Sustainable Development Goals.</w:t>
      </w:r>
    </w:p>
    <w:p w14:paraId="05C51FBC" w14:textId="6A52061D"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 xml:space="preserve">Economic empowerment extends beyond income generation to include access to resources, decision-making autonomy, property ownership, and participation in economic and social processes (Shettar, 2020). For women, it entails greater control over household spending, savings, and investment decisions, as well as a stronger voice in community development (World Bank, 2022).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women entrepreneurs are vital in sustaining household livelihoods through diverse enterprises, yet their growth remains limited by credit constraints, poor savings culture, and minimal access to business developm</w:t>
      </w:r>
      <w:r w:rsidR="008D472A">
        <w:rPr>
          <w:rFonts w:cs="Times New Roman"/>
          <w:color w:val="000000" w:themeColor="text1"/>
          <w:szCs w:val="24"/>
        </w:rPr>
        <w:t>ent support (</w:t>
      </w:r>
      <w:proofErr w:type="spellStart"/>
      <w:r w:rsidR="008D472A">
        <w:rPr>
          <w:rFonts w:cs="Times New Roman"/>
          <w:color w:val="000000" w:themeColor="text1"/>
          <w:szCs w:val="24"/>
        </w:rPr>
        <w:t>Kamberidou</w:t>
      </w:r>
      <w:proofErr w:type="spellEnd"/>
      <w:r w:rsidR="008D472A">
        <w:rPr>
          <w:rFonts w:cs="Times New Roman"/>
          <w:color w:val="000000" w:themeColor="text1"/>
          <w:szCs w:val="24"/>
        </w:rPr>
        <w:t>, 2020).</w:t>
      </w:r>
    </w:p>
    <w:p w14:paraId="3B1C13B9" w14:textId="1FC589CB"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Empirical research affirms that access to microfinance</w:t>
      </w:r>
      <w:r w:rsidR="008D472A">
        <w:rPr>
          <w:rFonts w:cs="Times New Roman"/>
          <w:color w:val="000000" w:themeColor="text1"/>
          <w:szCs w:val="24"/>
        </w:rPr>
        <w:t xml:space="preserve"> </w:t>
      </w:r>
      <w:r w:rsidRPr="00717F18">
        <w:rPr>
          <w:rFonts w:cs="Times New Roman"/>
          <w:color w:val="000000" w:themeColor="text1"/>
          <w:szCs w:val="24"/>
        </w:rPr>
        <w:t xml:space="preserve">microcredit, </w:t>
      </w:r>
      <w:proofErr w:type="spellStart"/>
      <w:r w:rsidRPr="00717F18">
        <w:rPr>
          <w:rFonts w:cs="Times New Roman"/>
          <w:color w:val="000000" w:themeColor="text1"/>
          <w:szCs w:val="24"/>
        </w:rPr>
        <w:t>microsavings</w:t>
      </w:r>
      <w:proofErr w:type="spellEnd"/>
      <w:r w:rsidRPr="00717F18">
        <w:rPr>
          <w:rFonts w:cs="Times New Roman"/>
          <w:color w:val="000000" w:themeColor="text1"/>
          <w:szCs w:val="24"/>
        </w:rPr>
        <w:t>, and supportive non-financial services</w:t>
      </w:r>
      <w:r w:rsidR="008D472A">
        <w:rPr>
          <w:rFonts w:cs="Times New Roman"/>
          <w:color w:val="000000" w:themeColor="text1"/>
          <w:szCs w:val="24"/>
        </w:rPr>
        <w:t xml:space="preserve"> </w:t>
      </w:r>
      <w:r w:rsidRPr="00717F18">
        <w:rPr>
          <w:rFonts w:cs="Times New Roman"/>
          <w:color w:val="000000" w:themeColor="text1"/>
          <w:szCs w:val="24"/>
        </w:rPr>
        <w:t>plays a transformative role in women’s financial empowerment (</w:t>
      </w:r>
      <w:proofErr w:type="spellStart"/>
      <w:r w:rsidRPr="00717F18">
        <w:rPr>
          <w:rFonts w:cs="Times New Roman"/>
          <w:color w:val="000000" w:themeColor="text1"/>
          <w:szCs w:val="24"/>
        </w:rPr>
        <w:t>Mwalasha</w:t>
      </w:r>
      <w:proofErr w:type="spellEnd"/>
      <w:r w:rsidRPr="00717F18">
        <w:rPr>
          <w:rFonts w:cs="Times New Roman"/>
          <w:color w:val="000000" w:themeColor="text1"/>
          <w:szCs w:val="24"/>
        </w:rPr>
        <w:t xml:space="preserve">, 2021; Mokhtar &amp; Abdullah, 2020). These interventions enable women to accumulate assets, manage finances effectively, and invest in productive ventures. Complementary training and advisory services enhance managerial competence, innovation, </w:t>
      </w:r>
      <w:r w:rsidRPr="00717F18">
        <w:rPr>
          <w:rFonts w:cs="Times New Roman"/>
          <w:color w:val="000000" w:themeColor="text1"/>
          <w:szCs w:val="24"/>
        </w:rPr>
        <w:lastRenderedPageBreak/>
        <w:t>and profitability. As financial independence rises, women gain greater control over household resources, support children’s education and healthcare, and participate actively in community leader</w:t>
      </w:r>
      <w:r w:rsidR="008D472A">
        <w:rPr>
          <w:rFonts w:cs="Times New Roman"/>
          <w:color w:val="000000" w:themeColor="text1"/>
          <w:szCs w:val="24"/>
        </w:rPr>
        <w:t>ship (Omondi &amp; Muriithi, 2022).</w:t>
      </w:r>
    </w:p>
    <w:p w14:paraId="408A58F9" w14:textId="711EECFF" w:rsidR="00416E73"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Beyond economic outcomes, women’s empowerment fosters social transformation. Financially independent women challenge traditional gender roles, participate in local governance, and advocate for equitable access to resources (Bahadur &amp; Bhandari, 2021). However, sustainable empowerment requires more than financial access</w:t>
      </w:r>
      <w:r w:rsidR="008D472A">
        <w:rPr>
          <w:rFonts w:cs="Times New Roman"/>
          <w:color w:val="000000" w:themeColor="text1"/>
          <w:szCs w:val="24"/>
        </w:rPr>
        <w:t xml:space="preserve"> </w:t>
      </w:r>
      <w:r w:rsidRPr="00717F18">
        <w:rPr>
          <w:rFonts w:cs="Times New Roman"/>
          <w:color w:val="000000" w:themeColor="text1"/>
          <w:szCs w:val="24"/>
        </w:rPr>
        <w:t>it demands supportive institutional frameworks, gender-responsive policy design, a</w:t>
      </w:r>
      <w:r>
        <w:rPr>
          <w:rFonts w:cs="Times New Roman"/>
          <w:color w:val="000000" w:themeColor="text1"/>
          <w:szCs w:val="24"/>
        </w:rPr>
        <w:t>nd continuous capacity building</w:t>
      </w:r>
      <w:r w:rsidRPr="00717F18">
        <w:rPr>
          <w:rFonts w:cs="Times New Roman"/>
          <w:color w:val="000000" w:themeColor="text1"/>
          <w:szCs w:val="24"/>
        </w:rPr>
        <w:t xml:space="preserve">, this study conceptualizes financial empowerment as a dynamic process shaped by access to microfinance interventions and mediated by social and institutional contexts. By focusing on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it aims to highlight both the opportunities and challenges of financial empowerment in rural Kenya and provide evidence to guide inclusive, sustainable, and gender-responsive economic development.</w:t>
      </w:r>
    </w:p>
    <w:p w14:paraId="712A0E46" w14:textId="2F68B4C5"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Microfinance interventions have become critical tools for promoting financial inclusion and economic empowerment, particularly among women from disadvantaged communities. These interventions offer both financial and non-financial services that facilitate access to credit, promote entrepreneurship, and enhance financial literacy (</w:t>
      </w:r>
      <w:proofErr w:type="spellStart"/>
      <w:r w:rsidRPr="00717F18">
        <w:rPr>
          <w:rFonts w:cs="Times New Roman"/>
          <w:color w:val="000000" w:themeColor="text1"/>
          <w:szCs w:val="24"/>
        </w:rPr>
        <w:t>Mwalasha</w:t>
      </w:r>
      <w:proofErr w:type="spellEnd"/>
      <w:r w:rsidRPr="00717F18">
        <w:rPr>
          <w:rFonts w:cs="Times New Roman"/>
          <w:color w:val="000000" w:themeColor="text1"/>
          <w:szCs w:val="24"/>
        </w:rPr>
        <w:t>, 2021). Despite global progress in financial inclusion, about 1.7 billion people remain excluded from formal financial systems, with women disproportionately affected (World Bank, 2022). In developing countries like Kenya, microfinance bridges this gap by offering affordable credit, saving opportunities, and capacity-building services that strengthen women’s entrepreneurial resilie</w:t>
      </w:r>
      <w:r w:rsidR="008D472A">
        <w:rPr>
          <w:rFonts w:cs="Times New Roman"/>
          <w:color w:val="000000" w:themeColor="text1"/>
          <w:szCs w:val="24"/>
        </w:rPr>
        <w:t>nce and financial independence.</w:t>
      </w:r>
    </w:p>
    <w:p w14:paraId="444F255D" w14:textId="34CBD391"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Micro-credit provides small, collateral-free loans that enable women to start or expand businesses, boost productivity, and increase household income. Studies indicate that access to micro-credit enhances women’s economic empowerment and business performance (Ouma &amp; Muriithi, 2022; Noor et al., 2021). However, high-interest rates and rigid repayment schedules often limit the full potential of these programs, highlighting the need for flexible and affordable credit structures that suit women’s busi</w:t>
      </w:r>
      <w:r w:rsidR="008D472A">
        <w:rPr>
          <w:rFonts w:cs="Times New Roman"/>
          <w:color w:val="000000" w:themeColor="text1"/>
          <w:szCs w:val="24"/>
        </w:rPr>
        <w:t>ness realities (Pokhrel, 2022).</w:t>
      </w:r>
    </w:p>
    <w:p w14:paraId="16847C52" w14:textId="31BEDE39"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Micro-savings programs promote financial discipline and independence, enabling women to accumulate assets and reduce reliance on debt. Participation in savings groups enhances social support, resilience to economic shocks, and investment in welfare activities (Trivedi &amp; Petkova, 2021; Bahadur &amp; Bhandari, 2021). Through micro-savings, women gain greater control over financial resources and improve househol</w:t>
      </w:r>
      <w:r w:rsidR="008D472A">
        <w:rPr>
          <w:rFonts w:cs="Times New Roman"/>
          <w:color w:val="000000" w:themeColor="text1"/>
          <w:szCs w:val="24"/>
        </w:rPr>
        <w:t>d security and future planning.</w:t>
      </w:r>
    </w:p>
    <w:p w14:paraId="2C3E70E0" w14:textId="1D749ED5"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Business Development Services (BDS), encompassing entrepreneurship training, market linkage, and financial literacy, are essential non-financial interventions that strengthen managerial and operational capacity. Empirical studies show that BDS improve business performance, stimulate innovation, and enhance women’s confidence and formalization of enterprises (Mokhtar &amp; Abdullah, 2020; Omondi &amp; Muriithi, 2022). These services contribute to sustainable business growth and l</w:t>
      </w:r>
      <w:r w:rsidR="008D472A">
        <w:rPr>
          <w:rFonts w:cs="Times New Roman"/>
          <w:color w:val="000000" w:themeColor="text1"/>
          <w:szCs w:val="24"/>
        </w:rPr>
        <w:t>ong-term financial empowerment.</w:t>
      </w:r>
    </w:p>
    <w:p w14:paraId="407F0D36" w14:textId="40CBECD7"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Advisory and Consultancy (AC) Services complement microfinance interventions by providing tailored business advice, strategic planning, and regulatory guidance. Such services enhance decision-making and investment strategies, reduce risks of business failure, and boost confidence among women entrepreneurs (</w:t>
      </w:r>
      <w:proofErr w:type="spellStart"/>
      <w:r w:rsidRPr="00717F18">
        <w:rPr>
          <w:rFonts w:cs="Times New Roman"/>
          <w:color w:val="000000" w:themeColor="text1"/>
          <w:szCs w:val="24"/>
        </w:rPr>
        <w:t>Samineni</w:t>
      </w:r>
      <w:proofErr w:type="spellEnd"/>
      <w:r w:rsidRPr="00717F18">
        <w:rPr>
          <w:rFonts w:cs="Times New Roman"/>
          <w:color w:val="000000" w:themeColor="text1"/>
          <w:szCs w:val="24"/>
        </w:rPr>
        <w:t xml:space="preserve"> &amp; Ramesh, 2020; Bahadur &amp; Bhandari, 2021). Together, micro-credit, micro-savings, BDS, and AC services form a holistic microfinance framework that empowers women through improved business performance and socio-economic inclusion.</w:t>
      </w:r>
    </w:p>
    <w:p w14:paraId="68571502" w14:textId="2DC32D89" w:rsidR="00717F18" w:rsidRPr="00717F1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t xml:space="preserve">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women entrepreneurs are vital agents of socio-economic transformation, engaging in agriculture, retail, tailoring, and hospitality enterprises that contribute to local development (</w:t>
      </w:r>
      <w:proofErr w:type="spellStart"/>
      <w:r w:rsidRPr="00717F18">
        <w:rPr>
          <w:rFonts w:cs="Times New Roman"/>
          <w:color w:val="000000" w:themeColor="text1"/>
          <w:szCs w:val="24"/>
        </w:rPr>
        <w:t>Isaga</w:t>
      </w:r>
      <w:proofErr w:type="spellEnd"/>
      <w:r w:rsidRPr="00717F18">
        <w:rPr>
          <w:rFonts w:cs="Times New Roman"/>
          <w:color w:val="000000" w:themeColor="text1"/>
          <w:szCs w:val="24"/>
        </w:rPr>
        <w:t>, 2019). According to the Baringo County Integrated Development Plan (CIDP, 2023–2027), women constitute about 54% of micro and small business owners, yet they control less than 30% of formal credit (Baringo County Trade and Investment Report, 2022). A 2021 MSEA baseline survey revealed that over 65% rely on informal financing, while only 18% access formal microfinance products, limiting business growth</w:t>
      </w:r>
      <w:r w:rsidR="008D472A">
        <w:rPr>
          <w:rFonts w:cs="Times New Roman"/>
          <w:color w:val="000000" w:themeColor="text1"/>
          <w:szCs w:val="24"/>
        </w:rPr>
        <w:t xml:space="preserve"> and technological advancement.</w:t>
      </w:r>
    </w:p>
    <w:p w14:paraId="6E1F4A55" w14:textId="0D8E8249" w:rsidR="00717F18" w:rsidRPr="007A56B8" w:rsidRDefault="00717F18" w:rsidP="00717F18">
      <w:pPr>
        <w:shd w:val="clear" w:color="auto" w:fill="FFFFFF"/>
        <w:spacing w:line="240" w:lineRule="auto"/>
        <w:rPr>
          <w:rFonts w:cs="Times New Roman"/>
          <w:color w:val="000000" w:themeColor="text1"/>
          <w:szCs w:val="24"/>
        </w:rPr>
      </w:pPr>
      <w:r w:rsidRPr="00717F18">
        <w:rPr>
          <w:rFonts w:cs="Times New Roman"/>
          <w:color w:val="000000" w:themeColor="text1"/>
          <w:szCs w:val="24"/>
        </w:rPr>
        <w:lastRenderedPageBreak/>
        <w:t>Persistent structural and socio-cultural barriers</w:t>
      </w:r>
      <w:r w:rsidR="008D472A">
        <w:rPr>
          <w:rFonts w:cs="Times New Roman"/>
          <w:color w:val="000000" w:themeColor="text1"/>
          <w:szCs w:val="24"/>
        </w:rPr>
        <w:t xml:space="preserve"> </w:t>
      </w:r>
      <w:r w:rsidRPr="00717F18">
        <w:rPr>
          <w:rFonts w:cs="Times New Roman"/>
          <w:color w:val="000000" w:themeColor="text1"/>
          <w:szCs w:val="24"/>
        </w:rPr>
        <w:t>such as limited collateral, financial illiteracy, and gendered domestic roles</w:t>
      </w:r>
      <w:r w:rsidR="008D472A">
        <w:rPr>
          <w:rFonts w:cs="Times New Roman"/>
          <w:color w:val="000000" w:themeColor="text1"/>
          <w:szCs w:val="24"/>
        </w:rPr>
        <w:t xml:space="preserve"> </w:t>
      </w:r>
      <w:r w:rsidRPr="00717F18">
        <w:rPr>
          <w:rFonts w:cs="Times New Roman"/>
          <w:color w:val="000000" w:themeColor="text1"/>
          <w:szCs w:val="24"/>
        </w:rPr>
        <w:t xml:space="preserve">further restrict women’s economic participation (Noor et al., 2021). Nonetheless, many women leverage social networks, self-help groups, and savings associations to sustain their enterprises. These realities underscore the urgent need for targeted microfinance interventions that enhance financial empowerment, entrepreneurial growth, and gender equity. Consequently, this study examines how micro-credit, micro-savings, business development services, and advisory and consultancy services collectively influence the financial empowerment of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Baringo County, Kenya.</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27FDC211" w14:textId="4CCE0CCE" w:rsidR="00BD15A0" w:rsidRPr="007A56B8" w:rsidRDefault="00717F18" w:rsidP="00D352C1">
      <w:pPr>
        <w:spacing w:after="240" w:line="240" w:lineRule="auto"/>
        <w:rPr>
          <w:rFonts w:cs="Times New Roman"/>
          <w:b/>
          <w:szCs w:val="24"/>
        </w:rPr>
      </w:pPr>
      <w:r w:rsidRPr="00717F18">
        <w:rPr>
          <w:rFonts w:cs="Times New Roman"/>
          <w:color w:val="000000" w:themeColor="text1"/>
          <w:szCs w:val="24"/>
        </w:rPr>
        <w:t xml:space="preserve">Despite global recognition of women’s vital role in economic growth, women entrepreneurs continue to face structural and financial barriers that constrain business performance. Worldwide, women’s entrepreneurial activity is significant, yet their ventures exhibit lower growth orientation and internationalization compared to men’s. Regionally, gender disparities persist in access to credit, internet, and digital business tools, despite improved financial inclusion. In Kenya, </w:t>
      </w:r>
      <w:proofErr w:type="spellStart"/>
      <w:r w:rsidRPr="00717F18">
        <w:rPr>
          <w:rFonts w:cs="Times New Roman"/>
          <w:color w:val="000000" w:themeColor="text1"/>
          <w:szCs w:val="24"/>
        </w:rPr>
        <w:t>FinAccess</w:t>
      </w:r>
      <w:proofErr w:type="spellEnd"/>
      <w:r w:rsidRPr="00717F18">
        <w:rPr>
          <w:rFonts w:cs="Times New Roman"/>
          <w:color w:val="000000" w:themeColor="text1"/>
          <w:szCs w:val="24"/>
        </w:rPr>
        <w:t xml:space="preserve"> surveys (2019; 2021) reveal that female-owned enterprises lag in internet use for business (37% versus 55% for men) and formal credit access, limiting market reach and productivity. At the county level, Baringo’s development plans identify inadequate access to credit, low savings culture, and insufficient business support services as major obstacles to enterprise growth. Consequently,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Sub-County experience subdued business performance. Although microfinance interventions</w:t>
      </w:r>
      <w:r w:rsidR="008D472A">
        <w:rPr>
          <w:rFonts w:cs="Times New Roman"/>
          <w:color w:val="000000" w:themeColor="text1"/>
          <w:szCs w:val="24"/>
        </w:rPr>
        <w:t xml:space="preserve"> </w:t>
      </w:r>
      <w:r w:rsidRPr="00717F18">
        <w:rPr>
          <w:rFonts w:cs="Times New Roman"/>
          <w:color w:val="000000" w:themeColor="text1"/>
          <w:szCs w:val="24"/>
        </w:rPr>
        <w:t>such as micro-credit, savings programs, business development, and advisory services</w:t>
      </w:r>
      <w:r w:rsidR="008D472A">
        <w:rPr>
          <w:rFonts w:cs="Times New Roman"/>
          <w:color w:val="000000" w:themeColor="text1"/>
          <w:szCs w:val="24"/>
        </w:rPr>
        <w:t xml:space="preserve"> </w:t>
      </w:r>
      <w:r w:rsidRPr="00717F18">
        <w:rPr>
          <w:rFonts w:cs="Times New Roman"/>
          <w:color w:val="000000" w:themeColor="text1"/>
          <w:szCs w:val="24"/>
        </w:rPr>
        <w:t xml:space="preserve">have improved household welfare and decision-making in some Kenyan studies, their impact on firm performance remains inconsistent. These mixed outcomes highlight the need to empirically assess how microfinance interventions influence the financial empowerment and performance of women entrepreneurs in </w:t>
      </w:r>
      <w:proofErr w:type="spellStart"/>
      <w:r w:rsidRPr="00717F18">
        <w:rPr>
          <w:rFonts w:cs="Times New Roman"/>
          <w:color w:val="000000" w:themeColor="text1"/>
          <w:szCs w:val="24"/>
        </w:rPr>
        <w:t>Eldama</w:t>
      </w:r>
      <w:proofErr w:type="spellEnd"/>
      <w:r w:rsidRPr="00717F18">
        <w:rPr>
          <w:rFonts w:cs="Times New Roman"/>
          <w:color w:val="000000" w:themeColor="text1"/>
          <w:szCs w:val="24"/>
        </w:rPr>
        <w:t xml:space="preserve"> Ravine, where persistent resource and capacity gaps continue to hinder inclusive and sustainable economic growth.</w:t>
      </w:r>
      <w:r w:rsidR="00BD15A0"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24D19DD1"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717F18" w:rsidRPr="00717F18">
        <w:rPr>
          <w:rFonts w:cs="Times New Roman"/>
          <w:color w:val="000000" w:themeColor="text1"/>
          <w:szCs w:val="24"/>
        </w:rPr>
        <w:t xml:space="preserve">investigate the effect of microfinance interventions on the financial empowerment of women entrepreneurs in </w:t>
      </w:r>
      <w:proofErr w:type="spellStart"/>
      <w:r w:rsidR="00717F18" w:rsidRPr="00717F18">
        <w:rPr>
          <w:rFonts w:cs="Times New Roman"/>
          <w:color w:val="000000" w:themeColor="text1"/>
          <w:szCs w:val="24"/>
        </w:rPr>
        <w:t>Eldama</w:t>
      </w:r>
      <w:proofErr w:type="spellEnd"/>
      <w:r w:rsidR="00717F18" w:rsidRPr="00717F18">
        <w:rPr>
          <w:rFonts w:cs="Times New Roman"/>
          <w:color w:val="000000" w:themeColor="text1"/>
          <w:szCs w:val="24"/>
        </w:rPr>
        <w:t xml:space="preserve"> Ravine Sub-County, Baringo County,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03D896C8" w14:textId="77777777" w:rsidR="00717F18" w:rsidRPr="00717F18"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assess the effect of micro-credit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p>
    <w:p w14:paraId="271D1EF8" w14:textId="77777777" w:rsidR="00717F18" w:rsidRPr="00717F18"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evaluate the effect of micro-savings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p>
    <w:p w14:paraId="2339DF4C" w14:textId="77777777" w:rsidR="00717F18" w:rsidRPr="00717F18"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determine the effect of business development services (BDS)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p>
    <w:p w14:paraId="25FC3AA1" w14:textId="7E3819DB" w:rsidR="00D352C1" w:rsidRPr="00D352C1" w:rsidRDefault="00717F18" w:rsidP="00717F18">
      <w:pPr>
        <w:pStyle w:val="ListParagraph"/>
        <w:numPr>
          <w:ilvl w:val="0"/>
          <w:numId w:val="22"/>
        </w:numPr>
        <w:spacing w:line="240" w:lineRule="auto"/>
        <w:rPr>
          <w:rFonts w:ascii="Times New Roman" w:hAnsi="Times New Roman"/>
          <w:sz w:val="24"/>
          <w:szCs w:val="24"/>
        </w:rPr>
      </w:pPr>
      <w:r w:rsidRPr="00717F18">
        <w:rPr>
          <w:rFonts w:ascii="Times New Roman" w:hAnsi="Times New Roman"/>
          <w:sz w:val="24"/>
          <w:szCs w:val="24"/>
        </w:rPr>
        <w:t xml:space="preserve">To establish the effect of advisory and consultancy (AC) services on the financial empowerment of women entrepreneurs in </w:t>
      </w:r>
      <w:proofErr w:type="spellStart"/>
      <w:r w:rsidRPr="00717F18">
        <w:rPr>
          <w:rFonts w:ascii="Times New Roman" w:hAnsi="Times New Roman"/>
          <w:sz w:val="24"/>
          <w:szCs w:val="24"/>
        </w:rPr>
        <w:t>Eldama</w:t>
      </w:r>
      <w:proofErr w:type="spellEnd"/>
      <w:r w:rsidRPr="00717F18">
        <w:rPr>
          <w:rFonts w:ascii="Times New Roman" w:hAnsi="Times New Roman"/>
          <w:sz w:val="24"/>
          <w:szCs w:val="24"/>
        </w:rPr>
        <w:t xml:space="preserve"> Ravine Sub-County</w:t>
      </w:r>
      <w:r w:rsidR="00D352C1" w:rsidRPr="00D352C1">
        <w:rPr>
          <w:rFonts w:ascii="Times New Roman" w:hAnsi="Times New Roman"/>
          <w:sz w:val="24"/>
          <w:szCs w:val="24"/>
        </w:rPr>
        <w:t xml:space="preserve">.  </w:t>
      </w:r>
    </w:p>
    <w:p w14:paraId="5246D8E1" w14:textId="77777777" w:rsidR="008D472A" w:rsidRDefault="008D472A" w:rsidP="00AD51A6">
      <w:pPr>
        <w:spacing w:before="0"/>
        <w:rPr>
          <w:b/>
          <w:bCs/>
          <w:i/>
          <w:iCs/>
          <w:sz w:val="28"/>
          <w:szCs w:val="24"/>
        </w:rPr>
      </w:pPr>
    </w:p>
    <w:p w14:paraId="0B5F07F3" w14:textId="00D3A3FD" w:rsidR="0052143B" w:rsidRPr="00AD51A6" w:rsidRDefault="0052143B" w:rsidP="00AD51A6">
      <w:pPr>
        <w:spacing w:before="0"/>
        <w:rPr>
          <w:b/>
          <w:bCs/>
          <w:i/>
          <w:iCs/>
          <w:sz w:val="28"/>
          <w:szCs w:val="24"/>
        </w:rPr>
      </w:pPr>
      <w:r w:rsidRPr="00AD51A6">
        <w:rPr>
          <w:b/>
          <w:bCs/>
          <w:i/>
          <w:iCs/>
          <w:sz w:val="28"/>
          <w:szCs w:val="24"/>
        </w:rPr>
        <w:t>Significance of the Study</w:t>
      </w:r>
    </w:p>
    <w:p w14:paraId="56D2C776" w14:textId="4EDBFB51" w:rsidR="0052143B" w:rsidRPr="0052143B" w:rsidRDefault="00B21AF4" w:rsidP="00AD51A6">
      <w:pPr>
        <w:spacing w:line="240" w:lineRule="auto"/>
      </w:pPr>
      <w:r w:rsidRPr="00B21AF4">
        <w:t xml:space="preserve">The study is significant to scholars, microfinance institutions, policymakers, and women entrepreneurs. It enriches academic literature on women’s economic empowerment by integrating recent empirical studies to explain how microfinance interventions enhance financial empowerment. Microfinance institutions will gain insights into effective strategies for simplifying credit, savings, and support services tailored to women entrepreneurs. </w:t>
      </w:r>
      <w:r w:rsidRPr="00B21AF4">
        <w:lastRenderedPageBreak/>
        <w:t xml:space="preserve">Policymakers and development partners will benefit from evidence-based recommendations for designing gender-responsive financial inclusion programs aligned with SDGs 5 and 8 and Kenya’s Vision 2030. Women entrepreneurs in </w:t>
      </w:r>
      <w:proofErr w:type="spellStart"/>
      <w:r w:rsidRPr="00B21AF4">
        <w:t>Eldama</w:t>
      </w:r>
      <w:proofErr w:type="spellEnd"/>
      <w:r w:rsidRPr="00B21AF4">
        <w:t xml:space="preserve"> Ravine Sub-County will directly benefit through improved access to affordable credit, savings, training, and advisory services.</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0A72FB49" w14:textId="77777777" w:rsidR="00B21AF4" w:rsidRDefault="00B21AF4" w:rsidP="0018600E">
      <w:pPr>
        <w:spacing w:before="0" w:after="160" w:line="259" w:lineRule="auto"/>
        <w:rPr>
          <w:rFonts w:cs="Times New Roman"/>
          <w:b/>
          <w:i/>
          <w:iCs/>
          <w:color w:val="000000" w:themeColor="text1"/>
          <w:kern w:val="2"/>
          <w:szCs w:val="24"/>
          <w:lang w:val="en-GB"/>
        </w:rPr>
      </w:pPr>
      <w:r w:rsidRPr="00B21AF4">
        <w:rPr>
          <w:rFonts w:cs="Times New Roman"/>
          <w:b/>
          <w:i/>
          <w:iCs/>
          <w:color w:val="000000" w:themeColor="text1"/>
          <w:kern w:val="2"/>
          <w:szCs w:val="24"/>
          <w:lang w:val="en-GB"/>
        </w:rPr>
        <w:t xml:space="preserve">The theoretical review </w:t>
      </w:r>
    </w:p>
    <w:p w14:paraId="6C213BBC" w14:textId="2D644622" w:rsidR="00B449E1" w:rsidRPr="007A56B8" w:rsidRDefault="00B21AF4" w:rsidP="0018600E">
      <w:pPr>
        <w:spacing w:before="0" w:after="160" w:line="259" w:lineRule="auto"/>
        <w:rPr>
          <w:rFonts w:cs="Times New Roman"/>
          <w:bCs/>
          <w:color w:val="000000" w:themeColor="text1"/>
          <w:szCs w:val="24"/>
        </w:rPr>
      </w:pPr>
      <w:r w:rsidRPr="00B21AF4">
        <w:rPr>
          <w:rFonts w:cs="Times New Roman"/>
          <w:bCs/>
          <w:color w:val="000000" w:themeColor="text1"/>
          <w:kern w:val="2"/>
          <w:szCs w:val="24"/>
          <w:lang w:val="en-GB"/>
        </w:rPr>
        <w:t>The theoretical review highlights key frameworks explaining how microfinance interventions enhance the financial empowerment of women entrepreneurs. The Resource-Based Theory (RBT) emphasizes that a firm’s competitive advantage depends on access to valuable resources such as finance, knowledge, and social networks. For women entrepreneurs, microfinance provides credit and training opportunities that enhance business control and financial decision-making, overcoming institutional barriers like lack of collateral (</w:t>
      </w:r>
      <w:proofErr w:type="spellStart"/>
      <w:r w:rsidRPr="00B21AF4">
        <w:rPr>
          <w:rFonts w:cs="Times New Roman"/>
          <w:bCs/>
          <w:color w:val="000000" w:themeColor="text1"/>
          <w:kern w:val="2"/>
          <w:szCs w:val="24"/>
          <w:lang w:val="en-GB"/>
        </w:rPr>
        <w:t>Riro</w:t>
      </w:r>
      <w:proofErr w:type="spellEnd"/>
      <w:r w:rsidRPr="00B21AF4">
        <w:rPr>
          <w:rFonts w:cs="Times New Roman"/>
          <w:bCs/>
          <w:color w:val="000000" w:themeColor="text1"/>
          <w:kern w:val="2"/>
          <w:szCs w:val="24"/>
          <w:lang w:val="en-GB"/>
        </w:rPr>
        <w:t xml:space="preserve">, </w:t>
      </w:r>
      <w:proofErr w:type="spellStart"/>
      <w:r w:rsidRPr="00B21AF4">
        <w:rPr>
          <w:rFonts w:cs="Times New Roman"/>
          <w:bCs/>
          <w:color w:val="000000" w:themeColor="text1"/>
          <w:kern w:val="2"/>
          <w:szCs w:val="24"/>
          <w:lang w:val="en-GB"/>
        </w:rPr>
        <w:t>Musau</w:t>
      </w:r>
      <w:proofErr w:type="spellEnd"/>
      <w:r w:rsidRPr="00B21AF4">
        <w:rPr>
          <w:rFonts w:cs="Times New Roman"/>
          <w:bCs/>
          <w:color w:val="000000" w:themeColor="text1"/>
          <w:kern w:val="2"/>
          <w:szCs w:val="24"/>
          <w:lang w:val="en-GB"/>
        </w:rPr>
        <w:t xml:space="preserve">, &amp; </w:t>
      </w:r>
      <w:proofErr w:type="spellStart"/>
      <w:r w:rsidRPr="00B21AF4">
        <w:rPr>
          <w:rFonts w:cs="Times New Roman"/>
          <w:bCs/>
          <w:color w:val="000000" w:themeColor="text1"/>
          <w:kern w:val="2"/>
          <w:szCs w:val="24"/>
          <w:lang w:val="en-GB"/>
        </w:rPr>
        <w:t>Njoka</w:t>
      </w:r>
      <w:proofErr w:type="spellEnd"/>
      <w:r w:rsidRPr="00B21AF4">
        <w:rPr>
          <w:rFonts w:cs="Times New Roman"/>
          <w:bCs/>
          <w:color w:val="000000" w:themeColor="text1"/>
          <w:kern w:val="2"/>
          <w:szCs w:val="24"/>
          <w:lang w:val="en-GB"/>
        </w:rPr>
        <w:t xml:space="preserve">, 2024; </w:t>
      </w:r>
      <w:proofErr w:type="spellStart"/>
      <w:r w:rsidRPr="00B21AF4">
        <w:rPr>
          <w:rFonts w:cs="Times New Roman"/>
          <w:bCs/>
          <w:color w:val="000000" w:themeColor="text1"/>
          <w:kern w:val="2"/>
          <w:szCs w:val="24"/>
          <w:lang w:val="en-GB"/>
        </w:rPr>
        <w:t>Mengstie</w:t>
      </w:r>
      <w:proofErr w:type="spellEnd"/>
      <w:r w:rsidRPr="00B21AF4">
        <w:rPr>
          <w:rFonts w:cs="Times New Roman"/>
          <w:bCs/>
          <w:color w:val="000000" w:themeColor="text1"/>
          <w:kern w:val="2"/>
          <w:szCs w:val="24"/>
          <w:lang w:val="en-GB"/>
        </w:rPr>
        <w:t xml:space="preserve">, 2022). The Social Learning Theory, proposed by Bandura, explains that individuals acquire entrepreneurial skills through observation and imitation. Women benefit from peer networks, mentorship, and advisory services offered through microfinance programs, which foster confidence, financial literacy, and improved business performance (Abebe &amp; </w:t>
      </w:r>
      <w:proofErr w:type="spellStart"/>
      <w:r w:rsidRPr="00B21AF4">
        <w:rPr>
          <w:rFonts w:cs="Times New Roman"/>
          <w:bCs/>
          <w:color w:val="000000" w:themeColor="text1"/>
          <w:kern w:val="2"/>
          <w:szCs w:val="24"/>
          <w:lang w:val="en-GB"/>
        </w:rPr>
        <w:t>Kegne</w:t>
      </w:r>
      <w:proofErr w:type="spellEnd"/>
      <w:r w:rsidRPr="00B21AF4">
        <w:rPr>
          <w:rFonts w:cs="Times New Roman"/>
          <w:bCs/>
          <w:color w:val="000000" w:themeColor="text1"/>
          <w:kern w:val="2"/>
          <w:szCs w:val="24"/>
          <w:lang w:val="en-GB"/>
        </w:rPr>
        <w:t>, 2023). Lastly, the Financial Systems Model advocates for sustainable, market-driven microfinance institutions (MFIs) integrating credit, savings, and training. Empirical evidence shows that such holistic approaches better empower women compared to credit-only programs (</w:t>
      </w:r>
      <w:proofErr w:type="spellStart"/>
      <w:r w:rsidRPr="00B21AF4">
        <w:rPr>
          <w:rFonts w:cs="Times New Roman"/>
          <w:bCs/>
          <w:color w:val="000000" w:themeColor="text1"/>
          <w:kern w:val="2"/>
          <w:szCs w:val="24"/>
          <w:lang w:val="en-GB"/>
        </w:rPr>
        <w:t>Odunga</w:t>
      </w:r>
      <w:proofErr w:type="spellEnd"/>
      <w:r w:rsidRPr="00B21AF4">
        <w:rPr>
          <w:rFonts w:cs="Times New Roman"/>
          <w:bCs/>
          <w:color w:val="000000" w:themeColor="text1"/>
          <w:kern w:val="2"/>
          <w:szCs w:val="24"/>
          <w:lang w:val="en-GB"/>
        </w:rPr>
        <w:t xml:space="preserve">, 2024; </w:t>
      </w:r>
      <w:proofErr w:type="spellStart"/>
      <w:r w:rsidRPr="00B21AF4">
        <w:rPr>
          <w:rFonts w:cs="Times New Roman"/>
          <w:bCs/>
          <w:color w:val="000000" w:themeColor="text1"/>
          <w:kern w:val="2"/>
          <w:szCs w:val="24"/>
          <w:lang w:val="en-GB"/>
        </w:rPr>
        <w:t>Wanjaiya</w:t>
      </w:r>
      <w:proofErr w:type="spellEnd"/>
      <w:r w:rsidRPr="00B21AF4">
        <w:rPr>
          <w:rFonts w:cs="Times New Roman"/>
          <w:bCs/>
          <w:color w:val="000000" w:themeColor="text1"/>
          <w:kern w:val="2"/>
          <w:szCs w:val="24"/>
          <w:lang w:val="en-GB"/>
        </w:rPr>
        <w:t xml:space="preserve">, </w:t>
      </w:r>
      <w:proofErr w:type="spellStart"/>
      <w:r w:rsidRPr="00B21AF4">
        <w:rPr>
          <w:rFonts w:cs="Times New Roman"/>
          <w:bCs/>
          <w:color w:val="000000" w:themeColor="text1"/>
          <w:kern w:val="2"/>
          <w:szCs w:val="24"/>
          <w:lang w:val="en-GB"/>
        </w:rPr>
        <w:t>Ondieki</w:t>
      </w:r>
      <w:proofErr w:type="spellEnd"/>
      <w:r w:rsidRPr="00B21AF4">
        <w:rPr>
          <w:rFonts w:cs="Times New Roman"/>
          <w:bCs/>
          <w:color w:val="000000" w:themeColor="text1"/>
          <w:kern w:val="2"/>
          <w:szCs w:val="24"/>
          <w:lang w:val="en-GB"/>
        </w:rPr>
        <w:t xml:space="preserve">-Mwaura, &amp; Ndwiga, 2025). Collectively, these theories underscore that sustainable, knowledge-oriented, and resource-enabling microfinance systems are instrumental in promoting women’s financial empowerment and entrepreneurial growth, particularly in low-income regions like </w:t>
      </w:r>
      <w:proofErr w:type="spellStart"/>
      <w:r w:rsidRPr="00B21AF4">
        <w:rPr>
          <w:rFonts w:cs="Times New Roman"/>
          <w:bCs/>
          <w:color w:val="000000" w:themeColor="text1"/>
          <w:kern w:val="2"/>
          <w:szCs w:val="24"/>
          <w:lang w:val="en-GB"/>
        </w:rPr>
        <w:t>Eldama</w:t>
      </w:r>
      <w:proofErr w:type="spellEnd"/>
      <w:r w:rsidRPr="00B21AF4">
        <w:rPr>
          <w:rFonts w:cs="Times New Roman"/>
          <w:bCs/>
          <w:color w:val="000000" w:themeColor="text1"/>
          <w:kern w:val="2"/>
          <w:szCs w:val="24"/>
          <w:lang w:val="en-GB"/>
        </w:rPr>
        <w:t xml:space="preserve"> Ravine Sub-County</w:t>
      </w:r>
      <w:r w:rsidR="00147E4C" w:rsidRPr="007A56B8">
        <w:rPr>
          <w:rFonts w:cs="Times New Roman"/>
          <w:bCs/>
          <w:color w:val="000000" w:themeColor="text1"/>
          <w:kern w:val="2"/>
          <w:szCs w:val="24"/>
          <w:lang w:val="en-GB"/>
        </w:rPr>
        <w:t>.</w:t>
      </w:r>
    </w:p>
    <w:p w14:paraId="34F84DFB" w14:textId="6D9FA3FA" w:rsidR="00B21AF4" w:rsidRPr="00B21AF4" w:rsidRDefault="00B21AF4" w:rsidP="00B21AF4">
      <w:pPr>
        <w:spacing w:before="0" w:after="160" w:line="259" w:lineRule="auto"/>
        <w:rPr>
          <w:rFonts w:cs="Times New Roman"/>
          <w:color w:val="000000" w:themeColor="text1"/>
          <w:szCs w:val="24"/>
        </w:rPr>
      </w:pPr>
      <w:r w:rsidRPr="00B21AF4">
        <w:rPr>
          <w:rFonts w:cs="Times New Roman"/>
          <w:b/>
          <w:bCs/>
          <w:i/>
          <w:iCs/>
          <w:color w:val="000000" w:themeColor="text1"/>
          <w:sz w:val="28"/>
          <w:szCs w:val="28"/>
        </w:rPr>
        <w:t>Empir</w:t>
      </w:r>
      <w:r>
        <w:rPr>
          <w:rFonts w:cs="Times New Roman"/>
          <w:b/>
          <w:bCs/>
          <w:i/>
          <w:iCs/>
          <w:color w:val="000000" w:themeColor="text1"/>
          <w:sz w:val="28"/>
          <w:szCs w:val="28"/>
        </w:rPr>
        <w:t>ical Literature Review</w:t>
      </w:r>
    </w:p>
    <w:p w14:paraId="522E46A1" w14:textId="7560ADC9" w:rsidR="00B21AF4" w:rsidRPr="00B21AF4"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Empirical studies on microfinance interventions</w:t>
      </w:r>
      <w:r w:rsidR="008D472A">
        <w:rPr>
          <w:rFonts w:cs="Times New Roman"/>
          <w:color w:val="000000" w:themeColor="text1"/>
          <w:szCs w:val="24"/>
        </w:rPr>
        <w:t xml:space="preserve"> </w:t>
      </w:r>
      <w:r w:rsidRPr="00B21AF4">
        <w:rPr>
          <w:rFonts w:cs="Times New Roman"/>
          <w:color w:val="000000" w:themeColor="text1"/>
          <w:szCs w:val="24"/>
        </w:rPr>
        <w:t>micro-credit, micro-savings, business development services (BDS), and advisory and consultancy</w:t>
      </w:r>
      <w:r w:rsidR="008D472A">
        <w:rPr>
          <w:rFonts w:cs="Times New Roman"/>
          <w:color w:val="000000" w:themeColor="text1"/>
          <w:szCs w:val="24"/>
        </w:rPr>
        <w:t xml:space="preserve"> </w:t>
      </w:r>
      <w:r w:rsidRPr="00B21AF4">
        <w:rPr>
          <w:rFonts w:cs="Times New Roman"/>
          <w:color w:val="000000" w:themeColor="text1"/>
          <w:szCs w:val="24"/>
        </w:rPr>
        <w:t xml:space="preserve">highlight their collective role in promoting women’s financial empowerment. Women’s economic empowerment is reflected in their capacity to access resources, manage income, and participate in decision-making. </w:t>
      </w:r>
      <w:proofErr w:type="spellStart"/>
      <w:r w:rsidRPr="00B21AF4">
        <w:rPr>
          <w:rFonts w:cs="Times New Roman"/>
          <w:color w:val="000000" w:themeColor="text1"/>
          <w:szCs w:val="24"/>
        </w:rPr>
        <w:t>Mengstie</w:t>
      </w:r>
      <w:proofErr w:type="spellEnd"/>
      <w:r w:rsidRPr="00B21AF4">
        <w:rPr>
          <w:rFonts w:cs="Times New Roman"/>
          <w:color w:val="000000" w:themeColor="text1"/>
          <w:szCs w:val="24"/>
        </w:rPr>
        <w:t xml:space="preserve"> (2022) found that microfinance exposure enhances women’s autonomy, property rights, and earnings, while </w:t>
      </w:r>
      <w:proofErr w:type="spellStart"/>
      <w:r w:rsidRPr="00B21AF4">
        <w:rPr>
          <w:rFonts w:cs="Times New Roman"/>
          <w:color w:val="000000" w:themeColor="text1"/>
          <w:szCs w:val="24"/>
        </w:rPr>
        <w:t>Wanjaiya</w:t>
      </w:r>
      <w:proofErr w:type="spellEnd"/>
      <w:r w:rsidRPr="00B21AF4">
        <w:rPr>
          <w:rFonts w:cs="Times New Roman"/>
          <w:color w:val="000000" w:themeColor="text1"/>
          <w:szCs w:val="24"/>
        </w:rPr>
        <w:t xml:space="preserve"> et al. (2025) observed that microcredit usage in Nairobi improved entrepreneurial independence. However, </w:t>
      </w:r>
      <w:proofErr w:type="spellStart"/>
      <w:r w:rsidRPr="00B21AF4">
        <w:rPr>
          <w:rFonts w:cs="Times New Roman"/>
          <w:color w:val="000000" w:themeColor="text1"/>
          <w:szCs w:val="24"/>
        </w:rPr>
        <w:t>Riro</w:t>
      </w:r>
      <w:proofErr w:type="spellEnd"/>
      <w:r w:rsidRPr="00B21AF4">
        <w:rPr>
          <w:rFonts w:cs="Times New Roman"/>
          <w:color w:val="000000" w:themeColor="text1"/>
          <w:szCs w:val="24"/>
        </w:rPr>
        <w:t xml:space="preserve"> et al. (2024) cautioned that empowerment outcomes are limited without financial li</w:t>
      </w:r>
      <w:r w:rsidR="008D472A">
        <w:rPr>
          <w:rFonts w:cs="Times New Roman"/>
          <w:color w:val="000000" w:themeColor="text1"/>
          <w:szCs w:val="24"/>
        </w:rPr>
        <w:t>teracy and supportive measures.</w:t>
      </w:r>
    </w:p>
    <w:p w14:paraId="61D78B75" w14:textId="278DD49E" w:rsidR="00B21AF4" w:rsidRPr="00B21AF4"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 xml:space="preserve">Micro-credit remains the most prevalent microfinance intervention. Studies (Abebe &amp; </w:t>
      </w:r>
      <w:proofErr w:type="spellStart"/>
      <w:r w:rsidRPr="00B21AF4">
        <w:rPr>
          <w:rFonts w:cs="Times New Roman"/>
          <w:color w:val="000000" w:themeColor="text1"/>
          <w:szCs w:val="24"/>
        </w:rPr>
        <w:t>Kegne</w:t>
      </w:r>
      <w:proofErr w:type="spellEnd"/>
      <w:r w:rsidRPr="00B21AF4">
        <w:rPr>
          <w:rFonts w:cs="Times New Roman"/>
          <w:color w:val="000000" w:themeColor="text1"/>
          <w:szCs w:val="24"/>
        </w:rPr>
        <w:t xml:space="preserve">, 2023; </w:t>
      </w:r>
      <w:proofErr w:type="spellStart"/>
      <w:r w:rsidRPr="00B21AF4">
        <w:rPr>
          <w:rFonts w:cs="Times New Roman"/>
          <w:color w:val="000000" w:themeColor="text1"/>
          <w:szCs w:val="24"/>
        </w:rPr>
        <w:t>Odunga</w:t>
      </w:r>
      <w:proofErr w:type="spellEnd"/>
      <w:r w:rsidRPr="00B21AF4">
        <w:rPr>
          <w:rFonts w:cs="Times New Roman"/>
          <w:color w:val="000000" w:themeColor="text1"/>
          <w:szCs w:val="24"/>
        </w:rPr>
        <w:t xml:space="preserve">, 2024) reveal that even small loans enhance women’s income, business performance, and social status, fostering resilience and decision-making power. Nevertheless, over-indebtedness, rigid repayment schedules, and poor market access may hinder progress (Rashid &amp; Ejaz, 2019). Hence, micro-credit is most effective when complemented by </w:t>
      </w:r>
      <w:r w:rsidR="008D472A">
        <w:rPr>
          <w:rFonts w:cs="Times New Roman"/>
          <w:color w:val="000000" w:themeColor="text1"/>
          <w:szCs w:val="24"/>
        </w:rPr>
        <w:t>training and advisory services.</w:t>
      </w:r>
    </w:p>
    <w:p w14:paraId="234DDED4" w14:textId="5FEB17CF" w:rsidR="00B21AF4" w:rsidRPr="00B21AF4"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 xml:space="preserve">Micro-savings also play a vital role in improving financial security and independence. Evidence shows that savings enable women to manage economic shocks, control household spending, and reinvest profits, leading to sustainable empowerment (Ayub et al., 2020; </w:t>
      </w:r>
      <w:proofErr w:type="spellStart"/>
      <w:r w:rsidRPr="00B21AF4">
        <w:rPr>
          <w:rFonts w:cs="Times New Roman"/>
          <w:color w:val="000000" w:themeColor="text1"/>
          <w:szCs w:val="24"/>
        </w:rPr>
        <w:t>Weerasiri</w:t>
      </w:r>
      <w:proofErr w:type="spellEnd"/>
      <w:r w:rsidRPr="00B21AF4">
        <w:rPr>
          <w:rFonts w:cs="Times New Roman"/>
          <w:color w:val="000000" w:themeColor="text1"/>
          <w:szCs w:val="24"/>
        </w:rPr>
        <w:t xml:space="preserve"> &amp; </w:t>
      </w:r>
      <w:proofErr w:type="spellStart"/>
      <w:r w:rsidRPr="00B21AF4">
        <w:rPr>
          <w:rFonts w:cs="Times New Roman"/>
          <w:color w:val="000000" w:themeColor="text1"/>
          <w:szCs w:val="24"/>
        </w:rPr>
        <w:t>Pathmini</w:t>
      </w:r>
      <w:proofErr w:type="spellEnd"/>
      <w:r w:rsidRPr="00B21AF4">
        <w:rPr>
          <w:rFonts w:cs="Times New Roman"/>
          <w:color w:val="000000" w:themeColor="text1"/>
          <w:szCs w:val="24"/>
        </w:rPr>
        <w:t xml:space="preserve">, 2020; </w:t>
      </w:r>
      <w:proofErr w:type="spellStart"/>
      <w:r w:rsidRPr="00B21AF4">
        <w:rPr>
          <w:rFonts w:cs="Times New Roman"/>
          <w:color w:val="000000" w:themeColor="text1"/>
          <w:szCs w:val="24"/>
        </w:rPr>
        <w:t>Riro</w:t>
      </w:r>
      <w:proofErr w:type="spellEnd"/>
      <w:r w:rsidRPr="00B21AF4">
        <w:rPr>
          <w:rFonts w:cs="Times New Roman"/>
          <w:color w:val="000000" w:themeColor="text1"/>
          <w:szCs w:val="24"/>
        </w:rPr>
        <w:t xml:space="preserve"> et al., 202</w:t>
      </w:r>
      <w:r w:rsidR="008D472A">
        <w:rPr>
          <w:rFonts w:cs="Times New Roman"/>
          <w:color w:val="000000" w:themeColor="text1"/>
          <w:szCs w:val="24"/>
        </w:rPr>
        <w:t>4).</w:t>
      </w:r>
    </w:p>
    <w:p w14:paraId="1211445F" w14:textId="33B6DC5E" w:rsidR="00CB6E82" w:rsidRDefault="00B21AF4" w:rsidP="00B21AF4">
      <w:pPr>
        <w:spacing w:before="0" w:after="160" w:line="259" w:lineRule="auto"/>
        <w:rPr>
          <w:rFonts w:cs="Times New Roman"/>
          <w:color w:val="000000" w:themeColor="text1"/>
          <w:szCs w:val="24"/>
        </w:rPr>
      </w:pPr>
      <w:r w:rsidRPr="00B21AF4">
        <w:rPr>
          <w:rFonts w:cs="Times New Roman"/>
          <w:color w:val="000000" w:themeColor="text1"/>
          <w:szCs w:val="24"/>
        </w:rPr>
        <w:t>Business development services, including training, mentorship, and market linkage, enhance managerial competence and business growth. Research indicates that women accessing BDS alongside credit achieve better income control and enterprise expansion (</w:t>
      </w:r>
      <w:proofErr w:type="spellStart"/>
      <w:r w:rsidRPr="00B21AF4">
        <w:rPr>
          <w:rFonts w:cs="Times New Roman"/>
          <w:color w:val="000000" w:themeColor="text1"/>
          <w:szCs w:val="24"/>
        </w:rPr>
        <w:t>Mengstie</w:t>
      </w:r>
      <w:proofErr w:type="spellEnd"/>
      <w:r w:rsidRPr="00B21AF4">
        <w:rPr>
          <w:rFonts w:cs="Times New Roman"/>
          <w:color w:val="000000" w:themeColor="text1"/>
          <w:szCs w:val="24"/>
        </w:rPr>
        <w:t xml:space="preserve">, 2022; Abebe &amp; </w:t>
      </w:r>
      <w:proofErr w:type="spellStart"/>
      <w:r w:rsidRPr="00B21AF4">
        <w:rPr>
          <w:rFonts w:cs="Times New Roman"/>
          <w:color w:val="000000" w:themeColor="text1"/>
          <w:szCs w:val="24"/>
        </w:rPr>
        <w:t>Kegne</w:t>
      </w:r>
      <w:proofErr w:type="spellEnd"/>
      <w:r w:rsidRPr="00B21AF4">
        <w:rPr>
          <w:rFonts w:cs="Times New Roman"/>
          <w:color w:val="000000" w:themeColor="text1"/>
          <w:szCs w:val="24"/>
        </w:rPr>
        <w:t>, 2023).</w:t>
      </w:r>
      <w:r>
        <w:rPr>
          <w:rFonts w:cs="Times New Roman"/>
          <w:color w:val="000000" w:themeColor="text1"/>
          <w:szCs w:val="24"/>
        </w:rPr>
        <w:t xml:space="preserve"> </w:t>
      </w:r>
      <w:r w:rsidRPr="00B21AF4">
        <w:rPr>
          <w:rFonts w:cs="Times New Roman"/>
          <w:color w:val="000000" w:themeColor="text1"/>
          <w:szCs w:val="24"/>
        </w:rPr>
        <w:t>Lastly, advisory and consultancy services</w:t>
      </w:r>
      <w:r w:rsidR="008D472A">
        <w:rPr>
          <w:rFonts w:cs="Times New Roman"/>
          <w:color w:val="000000" w:themeColor="text1"/>
          <w:szCs w:val="24"/>
        </w:rPr>
        <w:t xml:space="preserve"> </w:t>
      </w:r>
      <w:r w:rsidRPr="00B21AF4">
        <w:rPr>
          <w:rFonts w:cs="Times New Roman"/>
          <w:color w:val="000000" w:themeColor="text1"/>
          <w:szCs w:val="24"/>
        </w:rPr>
        <w:t>such as financial education and technical guidance</w:t>
      </w:r>
      <w:r w:rsidR="008D472A">
        <w:rPr>
          <w:rFonts w:cs="Times New Roman"/>
          <w:color w:val="000000" w:themeColor="text1"/>
          <w:szCs w:val="24"/>
        </w:rPr>
        <w:t xml:space="preserve"> </w:t>
      </w:r>
      <w:r w:rsidRPr="00B21AF4">
        <w:rPr>
          <w:rFonts w:cs="Times New Roman"/>
          <w:color w:val="000000" w:themeColor="text1"/>
          <w:szCs w:val="24"/>
        </w:rPr>
        <w:t>strengthen entrepreneurial skills, improve loan repayment, and foster leadership (</w:t>
      </w:r>
      <w:proofErr w:type="spellStart"/>
      <w:r w:rsidRPr="00B21AF4">
        <w:rPr>
          <w:rFonts w:cs="Times New Roman"/>
          <w:color w:val="000000" w:themeColor="text1"/>
          <w:szCs w:val="24"/>
        </w:rPr>
        <w:t>Odunga</w:t>
      </w:r>
      <w:proofErr w:type="spellEnd"/>
      <w:r w:rsidRPr="00B21AF4">
        <w:rPr>
          <w:rFonts w:cs="Times New Roman"/>
          <w:color w:val="000000" w:themeColor="text1"/>
          <w:szCs w:val="24"/>
        </w:rPr>
        <w:t xml:space="preserve">, 2024; </w:t>
      </w:r>
      <w:proofErr w:type="spellStart"/>
      <w:r w:rsidRPr="00B21AF4">
        <w:rPr>
          <w:rFonts w:cs="Times New Roman"/>
          <w:color w:val="000000" w:themeColor="text1"/>
          <w:szCs w:val="24"/>
        </w:rPr>
        <w:t>Riro</w:t>
      </w:r>
      <w:proofErr w:type="spellEnd"/>
      <w:r w:rsidRPr="00B21AF4">
        <w:rPr>
          <w:rFonts w:cs="Times New Roman"/>
          <w:color w:val="000000" w:themeColor="text1"/>
          <w:szCs w:val="24"/>
        </w:rPr>
        <w:t xml:space="preserve"> et al., 2024). Collectively, these microfinance interventions synergistically enhance women’s financial empowerment by combining access to finance with capacity-building support</w:t>
      </w:r>
      <w:r w:rsidR="00151266" w:rsidRPr="00151266">
        <w:rPr>
          <w:rFonts w:cs="Times New Roman"/>
          <w:color w:val="000000" w:themeColor="text1"/>
          <w:szCs w:val="24"/>
        </w:rPr>
        <w:t>.</w:t>
      </w:r>
    </w:p>
    <w:p w14:paraId="0930CC08" w14:textId="77777777" w:rsidR="008D472A" w:rsidRPr="007A56B8" w:rsidRDefault="008D472A" w:rsidP="00B21AF4">
      <w:pPr>
        <w:spacing w:before="0" w:after="160" w:line="259" w:lineRule="auto"/>
        <w:rPr>
          <w:rFonts w:cs="Times New Roman"/>
          <w:color w:val="000000" w:themeColor="text1"/>
          <w:szCs w:val="24"/>
        </w:rPr>
      </w:pPr>
    </w:p>
    <w:p w14:paraId="35BCEF5F" w14:textId="45B594DB"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lastRenderedPageBreak/>
        <w:t>3.0 METHODOLOGY</w:t>
      </w:r>
    </w:p>
    <w:p w14:paraId="410736A3" w14:textId="7CC2369E"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The study adopted a survey research design, which provides a structured and systematic approach to gather quantitative data from a large population. This design is suitable for identifying correlations among variables within a defined population and enables generalization of results. The survey method was preferred because it allows standardized data collection, cost-effectiveness, and statistical analysis, enhancing objectivity and comparability of findings (Creswell &amp; Creswell</w:t>
      </w:r>
      <w:r w:rsidR="008D472A">
        <w:rPr>
          <w:rFonts w:cs="Times New Roman"/>
          <w:color w:val="000000" w:themeColor="text1"/>
          <w:szCs w:val="24"/>
        </w:rPr>
        <w:t>, 2018; Saunders et al., 2019).</w:t>
      </w:r>
    </w:p>
    <w:p w14:paraId="2B633EFE" w14:textId="7790A4B8"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 xml:space="preserve">The target population comprised 735 registered women-owned businesses in </w:t>
      </w:r>
      <w:proofErr w:type="spellStart"/>
      <w:r w:rsidRPr="00B21AF4">
        <w:rPr>
          <w:rFonts w:cs="Times New Roman"/>
          <w:color w:val="000000" w:themeColor="text1"/>
          <w:szCs w:val="24"/>
        </w:rPr>
        <w:t>Eldama</w:t>
      </w:r>
      <w:proofErr w:type="spellEnd"/>
      <w:r w:rsidRPr="00B21AF4">
        <w:rPr>
          <w:rFonts w:cs="Times New Roman"/>
          <w:color w:val="000000" w:themeColor="text1"/>
          <w:szCs w:val="24"/>
        </w:rPr>
        <w:t xml:space="preserve"> Ravine Sub-County, Baringo County, as obtained from Microfinance Institution (MFI) databases (2022). These businesses included wholesale shops, beauty parlors, grocery stores, clothing and design enterprises, hair salons, restaurants, hardware shops, workshops, entertainment centers, educational institutions, and ICT firms. While the unit of observation was the business, the unit of analysis was the </w:t>
      </w:r>
      <w:r w:rsidR="008D472A">
        <w:rPr>
          <w:rFonts w:cs="Times New Roman"/>
          <w:color w:val="000000" w:themeColor="text1"/>
          <w:szCs w:val="24"/>
        </w:rPr>
        <w:t>woman entrepreneur managing it.</w:t>
      </w:r>
    </w:p>
    <w:p w14:paraId="211DCFCE" w14:textId="7051EADA"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To ensure fair representation, the study used probability sampling, specifically stratified random sampling. Business categories formed the strata, from which respondents were selected using simple random sampling to minimize bias and sampling error. Using Slovin’s formula (1960) with a 7.5% margin of error, a sample size of 144 respondents was derived from the total population of 735. Proportionate allocation ensured each stratum contributed participants relative to its population size, guaranteeing balanced represen</w:t>
      </w:r>
      <w:r w:rsidR="008D472A">
        <w:rPr>
          <w:rFonts w:cs="Times New Roman"/>
          <w:color w:val="000000" w:themeColor="text1"/>
          <w:szCs w:val="24"/>
        </w:rPr>
        <w:t>tation of all business sectors.</w:t>
      </w:r>
    </w:p>
    <w:p w14:paraId="6A28C24D" w14:textId="77EDC086"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Data were collected using structured questionnaires, which provided uniformity, reduced bias, and enhanced reliability. The instrument consisted of both closed-ended and Likert-scale questions. Section A captured demographic details such as age, education, and business experience, while subsequent sections addressed the key study variables</w:t>
      </w:r>
      <w:r w:rsidR="008D472A">
        <w:rPr>
          <w:rFonts w:cs="Times New Roman"/>
          <w:color w:val="000000" w:themeColor="text1"/>
          <w:szCs w:val="24"/>
        </w:rPr>
        <w:t xml:space="preserve"> </w:t>
      </w:r>
      <w:r w:rsidRPr="00B21AF4">
        <w:rPr>
          <w:rFonts w:cs="Times New Roman"/>
          <w:color w:val="000000" w:themeColor="text1"/>
          <w:szCs w:val="24"/>
        </w:rPr>
        <w:t>microcredit, micro-savings, business development services, advisory and consultancy, and financial empowerment. Respondents completed the questionnaires independently, with trained enumerators available</w:t>
      </w:r>
      <w:r w:rsidR="008D472A">
        <w:rPr>
          <w:rFonts w:cs="Times New Roman"/>
          <w:color w:val="000000" w:themeColor="text1"/>
          <w:szCs w:val="24"/>
        </w:rPr>
        <w:t xml:space="preserve"> for assistance when necessary.</w:t>
      </w:r>
    </w:p>
    <w:p w14:paraId="467D667A" w14:textId="0503FEA9"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A pilot study was carried out in Baringo Central Sub-County to assess the questionnaire’s clarity, reliability, and validity before the main survey. Twenty-six respondents participated, helping refine the instrument’s structure and wording. Reliability was tested using Cronbach’s alpha, and all constructs exceeded the recommended threshold of 0.70, confirming internal consistency. Specifically, the reliability coefficients were: microcredit (.964), micro-savings (.923), business development services (.992), advisory and consultancy (.703), and women’s empowerment (.839), yielding an overall alpha of .962. Content validity was ensured through expert review by academic supervisors and microfinance specialists. Experts verified the questionnaire’s alignment with the research objectives, and the Content Validity Ratio (CVR) confirmed that</w:t>
      </w:r>
      <w:r w:rsidR="008D472A">
        <w:rPr>
          <w:rFonts w:cs="Times New Roman"/>
          <w:color w:val="000000" w:themeColor="text1"/>
          <w:szCs w:val="24"/>
        </w:rPr>
        <w:t xml:space="preserve"> all retained items were valid.</w:t>
      </w:r>
    </w:p>
    <w:p w14:paraId="1B5C84A1" w14:textId="2FCE86EE"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Data were collected using a drop-and-pick method, which allowed flexibility for respondents to complete the questionnaires at their convenience, improving the response rate. Trained research assistants supported data administration, particularly where literacy levels varied. Completed questionnaires were retrieved within agreed timelines to mainta</w:t>
      </w:r>
      <w:r w:rsidR="008D472A">
        <w:rPr>
          <w:rFonts w:cs="Times New Roman"/>
          <w:color w:val="000000" w:themeColor="text1"/>
          <w:szCs w:val="24"/>
        </w:rPr>
        <w:t>in data integrity.</w:t>
      </w:r>
    </w:p>
    <w:p w14:paraId="4758D66D" w14:textId="77777777"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Data analysis involved editing, coding, classification, and tabulation to prepare for statistical evaluation. Descriptive statistics (frequencies, percentages, means, and standard deviations) summarized demographic data and business characteristics. Correlation analysis tested relationships among variables, while multiple regression analysis examined the effects of microcredit, micro-savings, business development services, and advisory and consultancy on women’s financial empowerment. The adopted regression model was:</w:t>
      </w:r>
    </w:p>
    <w:p w14:paraId="3626E771" w14:textId="77777777"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Y = β₀ + β₁X₁ + β₂X₂ + β₃X₃ + β₄X₄ + ε</w:t>
      </w:r>
    </w:p>
    <w:p w14:paraId="783F928E" w14:textId="0D696FAA"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lastRenderedPageBreak/>
        <w:t>where Y represents financial empowerment, X₁–X₄ denote the independent variables, β values are coefficients, and ε is the error term. Results were presented in tables and figures</w:t>
      </w:r>
      <w:r w:rsidR="008D472A">
        <w:rPr>
          <w:rFonts w:cs="Times New Roman"/>
          <w:color w:val="000000" w:themeColor="text1"/>
          <w:szCs w:val="24"/>
        </w:rPr>
        <w:t xml:space="preserve"> for clarity and comparability.</w:t>
      </w:r>
    </w:p>
    <w:p w14:paraId="5360E99D" w14:textId="0380B11A" w:rsidR="00B21AF4" w:rsidRPr="00B21AF4"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 xml:space="preserve">Variables were operationalized according to the research objectives. Microcredit was measured using indicators such as loan size, repayment terms, and interest rates; micro-savings by savings frequency and withdrawal flexibility; business development services by training and auditing support; and advisory services by financial literacy and management training. Financial empowerment was assessed through income growth, decision-making </w:t>
      </w:r>
      <w:r w:rsidR="008D472A">
        <w:rPr>
          <w:rFonts w:cs="Times New Roman"/>
          <w:color w:val="000000" w:themeColor="text1"/>
          <w:szCs w:val="24"/>
        </w:rPr>
        <w:t>authority, and asset ownership.</w:t>
      </w:r>
    </w:p>
    <w:p w14:paraId="68ECED9B" w14:textId="50D4F2A2" w:rsidR="009B3203" w:rsidRPr="007A56B8" w:rsidRDefault="00B21AF4" w:rsidP="00B21AF4">
      <w:pPr>
        <w:spacing w:after="160" w:line="259" w:lineRule="auto"/>
        <w:rPr>
          <w:rFonts w:cs="Times New Roman"/>
          <w:color w:val="000000" w:themeColor="text1"/>
          <w:szCs w:val="24"/>
        </w:rPr>
      </w:pPr>
      <w:r w:rsidRPr="00B21AF4">
        <w:rPr>
          <w:rFonts w:cs="Times New Roman"/>
          <w:color w:val="000000" w:themeColor="text1"/>
          <w:szCs w:val="24"/>
        </w:rPr>
        <w:t>Ethical integrity guided the entire process. Approval was obtained from the University Ethics Board and NACOSTI. Participants were informed of the study’s objectives and provided voluntary consent, with the right to withdraw at any point. Confidentiality and anonymity were ensured through coding and secure data storage. No names were recorded, and findings were used solely for academic purposes. The research adhered to international ethical principles of respect, benef</w:t>
      </w:r>
      <w:r>
        <w:rPr>
          <w:rFonts w:cs="Times New Roman"/>
          <w:color w:val="000000" w:themeColor="text1"/>
          <w:szCs w:val="24"/>
        </w:rPr>
        <w:t>icence, and justice (WHO, 2022)</w:t>
      </w:r>
      <w:r w:rsidRPr="00B21AF4">
        <w:rPr>
          <w:rFonts w:cs="Times New Roman"/>
          <w:color w:val="000000" w:themeColor="text1"/>
          <w:szCs w:val="24"/>
        </w:rPr>
        <w:t>, this study employed a robust, ethically grounded, and statistically rigorous methodology to examine how microfinance interventions</w:t>
      </w:r>
      <w:r w:rsidR="008D472A">
        <w:rPr>
          <w:rFonts w:cs="Times New Roman"/>
          <w:color w:val="000000" w:themeColor="text1"/>
          <w:szCs w:val="24"/>
        </w:rPr>
        <w:t xml:space="preserve"> </w:t>
      </w:r>
      <w:r w:rsidRPr="00B21AF4">
        <w:rPr>
          <w:rFonts w:cs="Times New Roman"/>
          <w:color w:val="000000" w:themeColor="text1"/>
          <w:szCs w:val="24"/>
        </w:rPr>
        <w:t>through credit, savings, training, and advisory services</w:t>
      </w:r>
      <w:r w:rsidR="008D472A">
        <w:rPr>
          <w:rFonts w:cs="Times New Roman"/>
          <w:color w:val="000000" w:themeColor="text1"/>
          <w:szCs w:val="24"/>
        </w:rPr>
        <w:t xml:space="preserve"> </w:t>
      </w:r>
      <w:r w:rsidRPr="00B21AF4">
        <w:rPr>
          <w:rFonts w:cs="Times New Roman"/>
          <w:color w:val="000000" w:themeColor="text1"/>
          <w:szCs w:val="24"/>
        </w:rPr>
        <w:t xml:space="preserve">affect the financial empowerment of women entrepreneurs in </w:t>
      </w:r>
      <w:proofErr w:type="spellStart"/>
      <w:r w:rsidRPr="00B21AF4">
        <w:rPr>
          <w:rFonts w:cs="Times New Roman"/>
          <w:color w:val="000000" w:themeColor="text1"/>
          <w:szCs w:val="24"/>
        </w:rPr>
        <w:t>Eldama</w:t>
      </w:r>
      <w:proofErr w:type="spellEnd"/>
      <w:r w:rsidRPr="00B21AF4">
        <w:rPr>
          <w:rFonts w:cs="Times New Roman"/>
          <w:color w:val="000000" w:themeColor="text1"/>
          <w:szCs w:val="24"/>
        </w:rPr>
        <w:t xml:space="preserve"> Ravine Sub-County.</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12B2C7C2"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r w:rsidR="00C22AD2">
        <w:rPr>
          <w:b/>
          <w:bCs/>
          <w:color w:val="000000" w:themeColor="text1"/>
          <w:sz w:val="28"/>
          <w:szCs w:val="24"/>
        </w:rPr>
        <w:t>AND DISCSUSSION</w:t>
      </w:r>
    </w:p>
    <w:p w14:paraId="49D5AEF8" w14:textId="6F208E11" w:rsidR="00711AB4" w:rsidRPr="00711AB4" w:rsidRDefault="00711AB4" w:rsidP="00711AB4">
      <w:pPr>
        <w:spacing w:before="0"/>
        <w:rPr>
          <w:b/>
          <w:bCs/>
          <w:i/>
          <w:iCs/>
          <w:color w:val="000000" w:themeColor="text1"/>
          <w:sz w:val="28"/>
          <w:szCs w:val="24"/>
        </w:rPr>
      </w:pPr>
      <w:r w:rsidRPr="00711AB4">
        <w:rPr>
          <w:b/>
          <w:bCs/>
          <w:i/>
          <w:iCs/>
          <w:color w:val="000000" w:themeColor="text1"/>
          <w:sz w:val="28"/>
          <w:szCs w:val="24"/>
        </w:rPr>
        <w:t>Response Rate</w:t>
      </w:r>
    </w:p>
    <w:p w14:paraId="4C545711" w14:textId="0F528870" w:rsidR="00711AB4" w:rsidRDefault="00D530BF" w:rsidP="00711AB4">
      <w:pPr>
        <w:spacing w:before="0" w:line="240" w:lineRule="auto"/>
      </w:pPr>
      <w:r w:rsidRPr="00D530BF">
        <w:t>A total of 144 questionnaires were distributed and all were completed and returned, achieving a 100% response rate. This exceptionally high rate eliminated non-response bias, enhanced statistical validity, and strengthened the generalizability of the findings. Although large datasets may present challenges in data management, the study ensured data integrity through systematic cleansing, double-entry validation, and standardized analysis using SPSS, thereby maintaining high data quality and reliability of the results.</w:t>
      </w:r>
    </w:p>
    <w:p w14:paraId="3D485ED2" w14:textId="77777777" w:rsidR="00711AB4" w:rsidRDefault="00711AB4" w:rsidP="00711AB4">
      <w:pPr>
        <w:spacing w:before="0" w:line="240" w:lineRule="auto"/>
      </w:pPr>
    </w:p>
    <w:p w14:paraId="3AFCC242" w14:textId="560CFFF9" w:rsidR="00711AB4" w:rsidRDefault="00711AB4" w:rsidP="00711AB4">
      <w:pPr>
        <w:spacing w:before="0" w:line="240" w:lineRule="auto"/>
        <w:rPr>
          <w:b/>
          <w:bCs/>
          <w:i/>
          <w:iCs/>
        </w:rPr>
      </w:pPr>
      <w:r w:rsidRPr="00711AB4">
        <w:rPr>
          <w:b/>
          <w:bCs/>
          <w:i/>
          <w:iCs/>
        </w:rPr>
        <w:t>Table 1: Response rate</w:t>
      </w:r>
    </w:p>
    <w:tbl>
      <w:tblPr>
        <w:tblStyle w:val="TableGrid0"/>
        <w:tblW w:w="8165" w:type="dxa"/>
        <w:tblInd w:w="34" w:type="dxa"/>
        <w:tblCellMar>
          <w:top w:w="7" w:type="dxa"/>
          <w:left w:w="115" w:type="dxa"/>
          <w:right w:w="115" w:type="dxa"/>
        </w:tblCellMar>
        <w:tblLook w:val="04A0" w:firstRow="1" w:lastRow="0" w:firstColumn="1" w:lastColumn="0" w:noHBand="0" w:noVBand="1"/>
      </w:tblPr>
      <w:tblGrid>
        <w:gridCol w:w="4674"/>
        <w:gridCol w:w="2217"/>
        <w:gridCol w:w="1274"/>
      </w:tblGrid>
      <w:tr w:rsidR="00D530BF" w:rsidRPr="008651D0" w14:paraId="21198C82"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2B354F93" w14:textId="77777777" w:rsidR="00D530BF" w:rsidRPr="008651D0" w:rsidRDefault="00D530BF" w:rsidP="00D530BF">
            <w:pPr>
              <w:spacing w:before="0" w:line="240" w:lineRule="auto"/>
              <w:ind w:right="6"/>
              <w:rPr>
                <w:szCs w:val="24"/>
              </w:rPr>
            </w:pPr>
            <w:r w:rsidRPr="008651D0">
              <w:rPr>
                <w:b/>
                <w:szCs w:val="24"/>
              </w:rPr>
              <w:t xml:space="preserve">Women Entrepreneurs by Region </w:t>
            </w:r>
          </w:p>
        </w:tc>
        <w:tc>
          <w:tcPr>
            <w:tcW w:w="2217" w:type="dxa"/>
            <w:tcBorders>
              <w:top w:val="single" w:sz="4" w:space="0" w:color="000000"/>
              <w:left w:val="single" w:sz="4" w:space="0" w:color="000000"/>
              <w:bottom w:val="single" w:sz="4" w:space="0" w:color="000000"/>
              <w:right w:val="single" w:sz="4" w:space="0" w:color="000000"/>
            </w:tcBorders>
          </w:tcPr>
          <w:p w14:paraId="373A9238" w14:textId="77777777" w:rsidR="00D530BF" w:rsidRPr="008651D0" w:rsidRDefault="00D530BF" w:rsidP="00D530BF">
            <w:pPr>
              <w:spacing w:before="0" w:line="240" w:lineRule="auto"/>
              <w:ind w:right="2"/>
              <w:rPr>
                <w:szCs w:val="24"/>
              </w:rPr>
            </w:pPr>
            <w:r w:rsidRPr="008651D0">
              <w:rPr>
                <w:b/>
                <w:szCs w:val="24"/>
              </w:rPr>
              <w:t xml:space="preserve">Number </w:t>
            </w:r>
          </w:p>
        </w:tc>
        <w:tc>
          <w:tcPr>
            <w:tcW w:w="1274" w:type="dxa"/>
            <w:tcBorders>
              <w:top w:val="single" w:sz="4" w:space="0" w:color="000000"/>
              <w:left w:val="single" w:sz="4" w:space="0" w:color="000000"/>
              <w:bottom w:val="single" w:sz="4" w:space="0" w:color="000000"/>
              <w:right w:val="single" w:sz="4" w:space="0" w:color="000000"/>
            </w:tcBorders>
          </w:tcPr>
          <w:p w14:paraId="5D0843B0" w14:textId="77777777" w:rsidR="00D530BF" w:rsidRPr="008651D0" w:rsidRDefault="00D530BF" w:rsidP="00D530BF">
            <w:pPr>
              <w:spacing w:before="0" w:line="240" w:lineRule="auto"/>
              <w:ind w:right="2"/>
              <w:rPr>
                <w:szCs w:val="24"/>
              </w:rPr>
            </w:pPr>
            <w:r w:rsidRPr="008651D0">
              <w:rPr>
                <w:b/>
                <w:szCs w:val="24"/>
              </w:rPr>
              <w:t xml:space="preserve">% </w:t>
            </w:r>
          </w:p>
        </w:tc>
      </w:tr>
      <w:tr w:rsidR="00D530BF" w:rsidRPr="008651D0" w14:paraId="1A039E22"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6C301B56" w14:textId="77777777" w:rsidR="00D530BF" w:rsidRPr="008651D0" w:rsidRDefault="00D530BF" w:rsidP="00D530BF">
            <w:pPr>
              <w:spacing w:before="0" w:line="240" w:lineRule="auto"/>
              <w:ind w:right="3"/>
              <w:rPr>
                <w:szCs w:val="24"/>
              </w:rPr>
            </w:pPr>
            <w:proofErr w:type="spellStart"/>
            <w:r w:rsidRPr="008651D0">
              <w:rPr>
                <w:szCs w:val="24"/>
              </w:rPr>
              <w:t>Koibatek</w:t>
            </w:r>
            <w:proofErr w:type="spellEnd"/>
            <w:r w:rsidRPr="008651D0">
              <w:rPr>
                <w:szCs w:val="24"/>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0C95905B" w14:textId="77777777" w:rsidR="00D530BF" w:rsidRPr="008651D0" w:rsidRDefault="00D530BF" w:rsidP="00D530BF">
            <w:pPr>
              <w:spacing w:before="0" w:line="240" w:lineRule="auto"/>
              <w:rPr>
                <w:szCs w:val="24"/>
              </w:rPr>
            </w:pPr>
            <w:r w:rsidRPr="008651D0">
              <w:rPr>
                <w:szCs w:val="24"/>
              </w:rPr>
              <w:t xml:space="preserve">30 </w:t>
            </w:r>
          </w:p>
        </w:tc>
        <w:tc>
          <w:tcPr>
            <w:tcW w:w="1274" w:type="dxa"/>
            <w:tcBorders>
              <w:top w:val="single" w:sz="4" w:space="0" w:color="000000"/>
              <w:left w:val="single" w:sz="4" w:space="0" w:color="000000"/>
              <w:bottom w:val="single" w:sz="4" w:space="0" w:color="000000"/>
              <w:right w:val="single" w:sz="4" w:space="0" w:color="000000"/>
            </w:tcBorders>
          </w:tcPr>
          <w:p w14:paraId="60CFABED" w14:textId="77777777" w:rsidR="00D530BF" w:rsidRPr="008651D0" w:rsidRDefault="00D530BF" w:rsidP="00D530BF">
            <w:pPr>
              <w:spacing w:before="0" w:line="240" w:lineRule="auto"/>
              <w:ind w:right="2"/>
              <w:rPr>
                <w:szCs w:val="24"/>
              </w:rPr>
            </w:pPr>
            <w:r w:rsidRPr="008651D0">
              <w:rPr>
                <w:szCs w:val="24"/>
              </w:rPr>
              <w:t xml:space="preserve">21 </w:t>
            </w:r>
          </w:p>
        </w:tc>
      </w:tr>
      <w:tr w:rsidR="00D530BF" w:rsidRPr="008651D0" w14:paraId="52C68F19"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17D63B92" w14:textId="77777777" w:rsidR="00D530BF" w:rsidRPr="008651D0" w:rsidRDefault="00D530BF" w:rsidP="00D530BF">
            <w:pPr>
              <w:spacing w:before="0" w:line="240" w:lineRule="auto"/>
              <w:ind w:right="6"/>
              <w:rPr>
                <w:szCs w:val="24"/>
              </w:rPr>
            </w:pPr>
            <w:proofErr w:type="spellStart"/>
            <w:r w:rsidRPr="008651D0">
              <w:rPr>
                <w:szCs w:val="24"/>
              </w:rPr>
              <w:t>Lembus</w:t>
            </w:r>
            <w:proofErr w:type="spellEnd"/>
            <w:r w:rsidRPr="008651D0">
              <w:rPr>
                <w:szCs w:val="24"/>
              </w:rPr>
              <w:t xml:space="preserve"> </w:t>
            </w:r>
            <w:proofErr w:type="spellStart"/>
            <w:r w:rsidRPr="008651D0">
              <w:rPr>
                <w:szCs w:val="24"/>
              </w:rPr>
              <w:t>Kwen</w:t>
            </w:r>
            <w:proofErr w:type="spellEnd"/>
            <w:r w:rsidRPr="008651D0">
              <w:rPr>
                <w:szCs w:val="24"/>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10B812E1" w14:textId="77777777" w:rsidR="00D530BF" w:rsidRPr="008651D0" w:rsidRDefault="00D530BF" w:rsidP="00D530BF">
            <w:pPr>
              <w:spacing w:before="0" w:line="240" w:lineRule="auto"/>
              <w:rPr>
                <w:szCs w:val="24"/>
              </w:rPr>
            </w:pPr>
            <w:r w:rsidRPr="008651D0">
              <w:rPr>
                <w:szCs w:val="24"/>
              </w:rPr>
              <w:t xml:space="preserve">25 </w:t>
            </w:r>
          </w:p>
        </w:tc>
        <w:tc>
          <w:tcPr>
            <w:tcW w:w="1274" w:type="dxa"/>
            <w:tcBorders>
              <w:top w:val="single" w:sz="4" w:space="0" w:color="000000"/>
              <w:left w:val="single" w:sz="4" w:space="0" w:color="000000"/>
              <w:bottom w:val="single" w:sz="4" w:space="0" w:color="000000"/>
              <w:right w:val="single" w:sz="4" w:space="0" w:color="000000"/>
            </w:tcBorders>
          </w:tcPr>
          <w:p w14:paraId="00B8F61E" w14:textId="77777777" w:rsidR="00D530BF" w:rsidRPr="008651D0" w:rsidRDefault="00D530BF" w:rsidP="00D530BF">
            <w:pPr>
              <w:spacing w:before="0" w:line="240" w:lineRule="auto"/>
              <w:ind w:right="2"/>
              <w:rPr>
                <w:szCs w:val="24"/>
              </w:rPr>
            </w:pPr>
            <w:r w:rsidRPr="008651D0">
              <w:rPr>
                <w:szCs w:val="24"/>
              </w:rPr>
              <w:t xml:space="preserve">17 </w:t>
            </w:r>
          </w:p>
        </w:tc>
      </w:tr>
      <w:tr w:rsidR="00D530BF" w:rsidRPr="008651D0" w14:paraId="4BEDC912" w14:textId="77777777" w:rsidTr="00C46529">
        <w:trPr>
          <w:trHeight w:val="288"/>
        </w:trPr>
        <w:tc>
          <w:tcPr>
            <w:tcW w:w="4674" w:type="dxa"/>
            <w:tcBorders>
              <w:top w:val="single" w:sz="4" w:space="0" w:color="000000"/>
              <w:left w:val="single" w:sz="4" w:space="0" w:color="000000"/>
              <w:bottom w:val="single" w:sz="4" w:space="0" w:color="000000"/>
              <w:right w:val="single" w:sz="4" w:space="0" w:color="000000"/>
            </w:tcBorders>
          </w:tcPr>
          <w:p w14:paraId="266CA6C0" w14:textId="77777777" w:rsidR="00D530BF" w:rsidRPr="008651D0" w:rsidRDefault="00D530BF" w:rsidP="00D530BF">
            <w:pPr>
              <w:spacing w:before="0" w:line="240" w:lineRule="auto"/>
              <w:rPr>
                <w:szCs w:val="24"/>
              </w:rPr>
            </w:pPr>
            <w:r w:rsidRPr="008651D0">
              <w:rPr>
                <w:szCs w:val="24"/>
              </w:rPr>
              <w:t xml:space="preserve">Ravine </w:t>
            </w:r>
          </w:p>
        </w:tc>
        <w:tc>
          <w:tcPr>
            <w:tcW w:w="2217" w:type="dxa"/>
            <w:tcBorders>
              <w:top w:val="single" w:sz="4" w:space="0" w:color="000000"/>
              <w:left w:val="single" w:sz="4" w:space="0" w:color="000000"/>
              <w:bottom w:val="single" w:sz="4" w:space="0" w:color="000000"/>
              <w:right w:val="single" w:sz="4" w:space="0" w:color="000000"/>
            </w:tcBorders>
          </w:tcPr>
          <w:p w14:paraId="3145CB93" w14:textId="77777777" w:rsidR="00D530BF" w:rsidRPr="008651D0" w:rsidRDefault="00D530BF" w:rsidP="00D530BF">
            <w:pPr>
              <w:spacing w:before="0" w:line="240" w:lineRule="auto"/>
              <w:rPr>
                <w:szCs w:val="24"/>
              </w:rPr>
            </w:pPr>
            <w:r w:rsidRPr="008651D0">
              <w:rPr>
                <w:szCs w:val="24"/>
              </w:rPr>
              <w:t xml:space="preserve">40 </w:t>
            </w:r>
          </w:p>
        </w:tc>
        <w:tc>
          <w:tcPr>
            <w:tcW w:w="1274" w:type="dxa"/>
            <w:tcBorders>
              <w:top w:val="single" w:sz="4" w:space="0" w:color="000000"/>
              <w:left w:val="single" w:sz="4" w:space="0" w:color="000000"/>
              <w:bottom w:val="single" w:sz="4" w:space="0" w:color="000000"/>
              <w:right w:val="single" w:sz="4" w:space="0" w:color="000000"/>
            </w:tcBorders>
          </w:tcPr>
          <w:p w14:paraId="5D9F863D" w14:textId="77777777" w:rsidR="00D530BF" w:rsidRPr="008651D0" w:rsidRDefault="00D530BF" w:rsidP="00D530BF">
            <w:pPr>
              <w:spacing w:before="0" w:line="240" w:lineRule="auto"/>
              <w:ind w:right="2"/>
              <w:rPr>
                <w:szCs w:val="24"/>
              </w:rPr>
            </w:pPr>
            <w:r w:rsidRPr="008651D0">
              <w:rPr>
                <w:szCs w:val="24"/>
              </w:rPr>
              <w:t xml:space="preserve">28 </w:t>
            </w:r>
          </w:p>
        </w:tc>
      </w:tr>
      <w:tr w:rsidR="00D530BF" w:rsidRPr="008651D0" w14:paraId="495B05BD"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7C479B7D" w14:textId="77777777" w:rsidR="00D530BF" w:rsidRPr="008651D0" w:rsidRDefault="00D530BF" w:rsidP="00D530BF">
            <w:pPr>
              <w:spacing w:before="0" w:line="240" w:lineRule="auto"/>
              <w:ind w:right="1"/>
              <w:rPr>
                <w:szCs w:val="24"/>
              </w:rPr>
            </w:pPr>
            <w:r w:rsidRPr="008651D0">
              <w:rPr>
                <w:szCs w:val="24"/>
              </w:rPr>
              <w:t xml:space="preserve">Maji Mazuri </w:t>
            </w:r>
          </w:p>
        </w:tc>
        <w:tc>
          <w:tcPr>
            <w:tcW w:w="2217" w:type="dxa"/>
            <w:tcBorders>
              <w:top w:val="single" w:sz="4" w:space="0" w:color="000000"/>
              <w:left w:val="single" w:sz="4" w:space="0" w:color="000000"/>
              <w:bottom w:val="single" w:sz="4" w:space="0" w:color="000000"/>
              <w:right w:val="single" w:sz="4" w:space="0" w:color="000000"/>
            </w:tcBorders>
          </w:tcPr>
          <w:p w14:paraId="62251673" w14:textId="77777777" w:rsidR="00D530BF" w:rsidRPr="008651D0" w:rsidRDefault="00D530BF" w:rsidP="00D530BF">
            <w:pPr>
              <w:spacing w:before="0" w:line="240" w:lineRule="auto"/>
              <w:rPr>
                <w:szCs w:val="24"/>
              </w:rPr>
            </w:pPr>
            <w:r w:rsidRPr="008651D0">
              <w:rPr>
                <w:szCs w:val="24"/>
              </w:rPr>
              <w:t xml:space="preserve">24 </w:t>
            </w:r>
          </w:p>
        </w:tc>
        <w:tc>
          <w:tcPr>
            <w:tcW w:w="1274" w:type="dxa"/>
            <w:tcBorders>
              <w:top w:val="single" w:sz="4" w:space="0" w:color="000000"/>
              <w:left w:val="single" w:sz="4" w:space="0" w:color="000000"/>
              <w:bottom w:val="single" w:sz="4" w:space="0" w:color="000000"/>
              <w:right w:val="single" w:sz="4" w:space="0" w:color="000000"/>
            </w:tcBorders>
          </w:tcPr>
          <w:p w14:paraId="43DB2659" w14:textId="77777777" w:rsidR="00D530BF" w:rsidRPr="008651D0" w:rsidRDefault="00D530BF" w:rsidP="00D530BF">
            <w:pPr>
              <w:spacing w:before="0" w:line="240" w:lineRule="auto"/>
              <w:ind w:right="2"/>
              <w:rPr>
                <w:szCs w:val="24"/>
              </w:rPr>
            </w:pPr>
            <w:r w:rsidRPr="008651D0">
              <w:rPr>
                <w:szCs w:val="24"/>
              </w:rPr>
              <w:t xml:space="preserve">17 </w:t>
            </w:r>
          </w:p>
        </w:tc>
      </w:tr>
      <w:tr w:rsidR="00D530BF" w:rsidRPr="008651D0" w14:paraId="38D67CE4"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43F80298" w14:textId="77777777" w:rsidR="00D530BF" w:rsidRPr="008651D0" w:rsidRDefault="00D530BF" w:rsidP="00D530BF">
            <w:pPr>
              <w:spacing w:before="0" w:line="240" w:lineRule="auto"/>
              <w:rPr>
                <w:szCs w:val="24"/>
              </w:rPr>
            </w:pPr>
            <w:proofErr w:type="spellStart"/>
            <w:r w:rsidRPr="008651D0">
              <w:rPr>
                <w:szCs w:val="24"/>
              </w:rPr>
              <w:t>Lembus</w:t>
            </w:r>
            <w:proofErr w:type="spellEnd"/>
            <w:r w:rsidRPr="008651D0">
              <w:rPr>
                <w:szCs w:val="24"/>
              </w:rPr>
              <w:t xml:space="preserve"> </w:t>
            </w:r>
            <w:proofErr w:type="spellStart"/>
            <w:r w:rsidRPr="008651D0">
              <w:rPr>
                <w:szCs w:val="24"/>
              </w:rPr>
              <w:t>Perkerra</w:t>
            </w:r>
            <w:proofErr w:type="spellEnd"/>
            <w:r w:rsidRPr="008651D0">
              <w:rPr>
                <w:szCs w:val="24"/>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1C886061" w14:textId="77777777" w:rsidR="00D530BF" w:rsidRPr="008651D0" w:rsidRDefault="00D530BF" w:rsidP="00D530BF">
            <w:pPr>
              <w:spacing w:before="0" w:line="240" w:lineRule="auto"/>
              <w:rPr>
                <w:szCs w:val="24"/>
              </w:rPr>
            </w:pPr>
            <w:r w:rsidRPr="008651D0">
              <w:rPr>
                <w:szCs w:val="24"/>
              </w:rPr>
              <w:t xml:space="preserve">25 </w:t>
            </w:r>
          </w:p>
        </w:tc>
        <w:tc>
          <w:tcPr>
            <w:tcW w:w="1274" w:type="dxa"/>
            <w:tcBorders>
              <w:top w:val="single" w:sz="4" w:space="0" w:color="000000"/>
              <w:left w:val="single" w:sz="4" w:space="0" w:color="000000"/>
              <w:bottom w:val="single" w:sz="4" w:space="0" w:color="000000"/>
              <w:right w:val="single" w:sz="4" w:space="0" w:color="000000"/>
            </w:tcBorders>
          </w:tcPr>
          <w:p w14:paraId="36E636F1" w14:textId="77777777" w:rsidR="00D530BF" w:rsidRPr="008651D0" w:rsidRDefault="00D530BF" w:rsidP="00D530BF">
            <w:pPr>
              <w:spacing w:before="0" w:line="240" w:lineRule="auto"/>
              <w:ind w:right="2"/>
              <w:rPr>
                <w:szCs w:val="24"/>
              </w:rPr>
            </w:pPr>
            <w:r w:rsidRPr="008651D0">
              <w:rPr>
                <w:szCs w:val="24"/>
              </w:rPr>
              <w:t xml:space="preserve">17 </w:t>
            </w:r>
          </w:p>
        </w:tc>
      </w:tr>
      <w:tr w:rsidR="00D530BF" w:rsidRPr="008651D0" w14:paraId="24AC67C1" w14:textId="77777777" w:rsidTr="00C46529">
        <w:trPr>
          <w:trHeight w:val="286"/>
        </w:trPr>
        <w:tc>
          <w:tcPr>
            <w:tcW w:w="4674" w:type="dxa"/>
            <w:tcBorders>
              <w:top w:val="single" w:sz="4" w:space="0" w:color="000000"/>
              <w:left w:val="single" w:sz="4" w:space="0" w:color="000000"/>
              <w:bottom w:val="single" w:sz="4" w:space="0" w:color="000000"/>
              <w:right w:val="single" w:sz="4" w:space="0" w:color="000000"/>
            </w:tcBorders>
          </w:tcPr>
          <w:p w14:paraId="1781F94B" w14:textId="77777777" w:rsidR="00D530BF" w:rsidRPr="008651D0" w:rsidRDefault="00D530BF" w:rsidP="00D530BF">
            <w:pPr>
              <w:spacing w:before="0" w:line="240" w:lineRule="auto"/>
              <w:ind w:right="3"/>
              <w:rPr>
                <w:szCs w:val="24"/>
              </w:rPr>
            </w:pPr>
            <w:r w:rsidRPr="008651D0">
              <w:rPr>
                <w:b/>
                <w:szCs w:val="24"/>
              </w:rPr>
              <w:t xml:space="preserve">Total </w:t>
            </w:r>
          </w:p>
        </w:tc>
        <w:tc>
          <w:tcPr>
            <w:tcW w:w="2217" w:type="dxa"/>
            <w:tcBorders>
              <w:top w:val="single" w:sz="4" w:space="0" w:color="000000"/>
              <w:left w:val="single" w:sz="4" w:space="0" w:color="000000"/>
              <w:bottom w:val="single" w:sz="4" w:space="0" w:color="000000"/>
              <w:right w:val="single" w:sz="4" w:space="0" w:color="000000"/>
            </w:tcBorders>
          </w:tcPr>
          <w:p w14:paraId="70456A24" w14:textId="77777777" w:rsidR="00D530BF" w:rsidRPr="008651D0" w:rsidRDefault="00D530BF" w:rsidP="00D530BF">
            <w:pPr>
              <w:spacing w:before="0" w:line="240" w:lineRule="auto"/>
              <w:rPr>
                <w:szCs w:val="24"/>
              </w:rPr>
            </w:pPr>
            <w:r w:rsidRPr="008651D0">
              <w:rPr>
                <w:b/>
                <w:szCs w:val="24"/>
              </w:rPr>
              <w:t xml:space="preserve">144 </w:t>
            </w:r>
          </w:p>
        </w:tc>
        <w:tc>
          <w:tcPr>
            <w:tcW w:w="1274" w:type="dxa"/>
            <w:tcBorders>
              <w:top w:val="single" w:sz="4" w:space="0" w:color="000000"/>
              <w:left w:val="single" w:sz="4" w:space="0" w:color="000000"/>
              <w:bottom w:val="single" w:sz="4" w:space="0" w:color="000000"/>
              <w:right w:val="single" w:sz="4" w:space="0" w:color="000000"/>
            </w:tcBorders>
          </w:tcPr>
          <w:p w14:paraId="3205D440" w14:textId="77777777" w:rsidR="00D530BF" w:rsidRPr="008651D0" w:rsidRDefault="00D530BF" w:rsidP="00D530BF">
            <w:pPr>
              <w:spacing w:before="0" w:line="240" w:lineRule="auto"/>
              <w:ind w:right="2"/>
              <w:rPr>
                <w:szCs w:val="24"/>
              </w:rPr>
            </w:pPr>
            <w:r w:rsidRPr="008651D0">
              <w:rPr>
                <w:b/>
                <w:szCs w:val="24"/>
              </w:rPr>
              <w:t xml:space="preserve">100 </w:t>
            </w:r>
          </w:p>
        </w:tc>
      </w:tr>
    </w:tbl>
    <w:p w14:paraId="4BC4E25A" w14:textId="77777777" w:rsidR="00D530BF" w:rsidRPr="00711AB4" w:rsidRDefault="00D530BF" w:rsidP="00711AB4">
      <w:pPr>
        <w:spacing w:before="0" w:line="240" w:lineRule="auto"/>
        <w:rPr>
          <w:b/>
          <w:bCs/>
          <w:i/>
          <w:iCs/>
        </w:rPr>
      </w:pPr>
    </w:p>
    <w:p w14:paraId="295320A3" w14:textId="1218BD67" w:rsidR="00711AB4" w:rsidRDefault="00711AB4" w:rsidP="00711AB4">
      <w:pPr>
        <w:spacing w:before="0" w:line="240" w:lineRule="auto"/>
      </w:pPr>
    </w:p>
    <w:p w14:paraId="50F0A4DB" w14:textId="77777777" w:rsidR="0005136B" w:rsidRPr="0005136B" w:rsidRDefault="0005136B" w:rsidP="0005136B">
      <w:pPr>
        <w:rPr>
          <w:b/>
          <w:i/>
        </w:rPr>
      </w:pPr>
      <w:r w:rsidRPr="0005136B">
        <w:rPr>
          <w:b/>
          <w:i/>
        </w:rPr>
        <w:t>Diagnostic Tests</w:t>
      </w:r>
    </w:p>
    <w:p w14:paraId="3AF15175" w14:textId="77777777" w:rsidR="0005136B" w:rsidRPr="008651D0" w:rsidRDefault="0005136B" w:rsidP="0005136B">
      <w:pPr>
        <w:spacing w:before="0" w:line="240" w:lineRule="auto"/>
        <w:ind w:left="24" w:right="26"/>
        <w:rPr>
          <w:szCs w:val="24"/>
        </w:rPr>
      </w:pPr>
      <w:r w:rsidRPr="00CC1E97">
        <w:rPr>
          <w:color w:val="auto"/>
          <w:szCs w:val="24"/>
        </w:rPr>
        <w:t>For confirming the correctness of the model, tests for multicollinearity and autocorrelation diagnostics were conducted. These tests avoid the violation of statistical assumptions, boosting the accuracy and dependability of regression estimates (Gujarati &amp; Porter, 2020; Albright &amp; Marinova, 2022</w:t>
      </w:r>
      <w:r w:rsidRPr="00232B07">
        <w:rPr>
          <w:color w:val="auto"/>
          <w:szCs w:val="24"/>
        </w:rPr>
        <w:t>)</w:t>
      </w:r>
      <w:r w:rsidRPr="008651D0">
        <w:rPr>
          <w:szCs w:val="24"/>
        </w:rPr>
        <w:t>.</w:t>
      </w:r>
    </w:p>
    <w:p w14:paraId="3AE72DCD" w14:textId="77777777" w:rsidR="00C35625" w:rsidRDefault="00C35625" w:rsidP="0005136B">
      <w:pPr>
        <w:spacing w:before="0" w:after="160" w:line="240" w:lineRule="auto"/>
        <w:jc w:val="left"/>
      </w:pPr>
      <w:bookmarkStart w:id="3" w:name="_Toc143047"/>
    </w:p>
    <w:p w14:paraId="7AAB35D1" w14:textId="1755336F" w:rsidR="00C35625" w:rsidRPr="00C35625" w:rsidRDefault="00C35625" w:rsidP="00C35625">
      <w:pPr>
        <w:spacing w:before="100" w:beforeAutospacing="1" w:after="100" w:afterAutospacing="1" w:line="240" w:lineRule="auto"/>
        <w:jc w:val="left"/>
        <w:rPr>
          <w:rFonts w:eastAsia="Times New Roman" w:cs="Times New Roman"/>
          <w:i/>
          <w:color w:val="auto"/>
          <w:szCs w:val="24"/>
          <w14:ligatures w14:val="none"/>
        </w:rPr>
      </w:pPr>
      <w:r w:rsidRPr="00C35625">
        <w:rPr>
          <w:rFonts w:eastAsia="Times New Roman" w:cs="Times New Roman"/>
          <w:b/>
          <w:bCs/>
          <w:i/>
          <w:color w:val="auto"/>
          <w:szCs w:val="24"/>
          <w14:ligatures w14:val="none"/>
        </w:rPr>
        <w:t xml:space="preserve">Descriptive Analysis </w:t>
      </w:r>
    </w:p>
    <w:p w14:paraId="153C92FB" w14:textId="026817E6"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 xml:space="preserve">Descriptive analysis provided an overview of the key characteristics of the respondents to ensure accurate interpretation of the data. The study focused on the demographic profile of women entrepreneurs in </w:t>
      </w:r>
      <w:proofErr w:type="spellStart"/>
      <w:r w:rsidRPr="00C35625">
        <w:rPr>
          <w:rFonts w:eastAsia="Times New Roman" w:cs="Times New Roman"/>
          <w:color w:val="auto"/>
          <w:szCs w:val="24"/>
          <w14:ligatures w14:val="none"/>
        </w:rPr>
        <w:t>Eldama</w:t>
      </w:r>
      <w:proofErr w:type="spellEnd"/>
      <w:r w:rsidRPr="00C35625">
        <w:rPr>
          <w:rFonts w:eastAsia="Times New Roman" w:cs="Times New Roman"/>
          <w:color w:val="auto"/>
          <w:szCs w:val="24"/>
          <w14:ligatures w14:val="none"/>
        </w:rPr>
        <w:t xml:space="preserve"> Ravine Sub-County, assessing factors such as age, education, business experience, and firm size. Correlation analysis was employed to examine the relationship between microfinance interventions</w:t>
      </w:r>
      <w:r w:rsidR="008D472A">
        <w:rPr>
          <w:rFonts w:eastAsia="Times New Roman" w:cs="Times New Roman"/>
          <w:color w:val="auto"/>
          <w:szCs w:val="24"/>
          <w14:ligatures w14:val="none"/>
        </w:rPr>
        <w:t xml:space="preserve"> </w:t>
      </w:r>
      <w:r w:rsidRPr="00C35625">
        <w:rPr>
          <w:rFonts w:eastAsia="Times New Roman" w:cs="Times New Roman"/>
          <w:color w:val="auto"/>
          <w:szCs w:val="24"/>
          <w14:ligatures w14:val="none"/>
        </w:rPr>
        <w:t>specifically microcredit, micro-savings, business development services (BDS), and advisory support</w:t>
      </w:r>
      <w:r w:rsidR="008D472A">
        <w:rPr>
          <w:rFonts w:eastAsia="Times New Roman" w:cs="Times New Roman"/>
          <w:color w:val="auto"/>
          <w:szCs w:val="24"/>
          <w14:ligatures w14:val="none"/>
        </w:rPr>
        <w:t xml:space="preserve"> </w:t>
      </w:r>
      <w:r w:rsidRPr="00C35625">
        <w:rPr>
          <w:rFonts w:eastAsia="Times New Roman" w:cs="Times New Roman"/>
          <w:color w:val="auto"/>
          <w:szCs w:val="24"/>
          <w14:ligatures w14:val="none"/>
        </w:rPr>
        <w:t>and the financial empowerment of women entrepreneurs. Using Pearson’s correlation coefficient (r) in SPSS (Version 25), the study established the direction and strength of these relationships under normality and linearity assumptions.</w:t>
      </w:r>
    </w:p>
    <w:p w14:paraId="4FDF6AFE" w14:textId="2B0E914E"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 xml:space="preserve">Results revealed that a majority of the respondents (56.4%) received microcredit of less than </w:t>
      </w:r>
      <w:proofErr w:type="spellStart"/>
      <w:r w:rsidRPr="00C35625">
        <w:rPr>
          <w:rFonts w:eastAsia="Times New Roman" w:cs="Times New Roman"/>
          <w:color w:val="auto"/>
          <w:szCs w:val="24"/>
          <w14:ligatures w14:val="none"/>
        </w:rPr>
        <w:t>Kshs</w:t>
      </w:r>
      <w:proofErr w:type="spellEnd"/>
      <w:r w:rsidRPr="00C35625">
        <w:rPr>
          <w:rFonts w:eastAsia="Times New Roman" w:cs="Times New Roman"/>
          <w:color w:val="auto"/>
          <w:szCs w:val="24"/>
          <w14:ligatures w14:val="none"/>
        </w:rPr>
        <w:t xml:space="preserve">. 100,000, while 35.7% accessed between </w:t>
      </w:r>
      <w:proofErr w:type="spellStart"/>
      <w:r w:rsidRPr="00C35625">
        <w:rPr>
          <w:rFonts w:eastAsia="Times New Roman" w:cs="Times New Roman"/>
          <w:color w:val="auto"/>
          <w:szCs w:val="24"/>
          <w14:ligatures w14:val="none"/>
        </w:rPr>
        <w:t>Kshs</w:t>
      </w:r>
      <w:proofErr w:type="spellEnd"/>
      <w:r w:rsidRPr="00C35625">
        <w:rPr>
          <w:rFonts w:eastAsia="Times New Roman" w:cs="Times New Roman"/>
          <w:color w:val="auto"/>
          <w:szCs w:val="24"/>
          <w14:ligatures w14:val="none"/>
        </w:rPr>
        <w:t xml:space="preserve">. 100,001–200,000. Only a small proportion received amounts above </w:t>
      </w:r>
      <w:proofErr w:type="spellStart"/>
      <w:r w:rsidRPr="00C35625">
        <w:rPr>
          <w:rFonts w:eastAsia="Times New Roman" w:cs="Times New Roman"/>
          <w:color w:val="auto"/>
          <w:szCs w:val="24"/>
          <w14:ligatures w14:val="none"/>
        </w:rPr>
        <w:t>Kshs</w:t>
      </w:r>
      <w:proofErr w:type="spellEnd"/>
      <w:r w:rsidRPr="00C35625">
        <w:rPr>
          <w:rFonts w:eastAsia="Times New Roman" w:cs="Times New Roman"/>
          <w:color w:val="auto"/>
          <w:szCs w:val="24"/>
          <w14:ligatures w14:val="none"/>
        </w:rPr>
        <w:t>. 300,000, indicating that microcredit access remains largely limited to small loan sizes. This finding suggests that although microcredit plays a role in supporting women entrepreneurs, inadequate loan sizes restrict business expansion opportunities. Most respondents agreed that microfinance loans were crucial in business improvement (M = 4.24, SD = 0.844) and resource acquisition (M = 4.10, SD = 0.755), signifying that credit enhanced their operational efficiency and control over resources. The correlation between access to microcredit and women’s empowerment (r = 0.490, p &lt; 0.01) indicated a moderate and significant positive relationship, affirming that women with greater credit access demonstrated higher levels of empowerment and independence.</w:t>
      </w:r>
    </w:p>
    <w:p w14:paraId="49187AE0" w14:textId="01FA7554"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lastRenderedPageBreak/>
        <w:t>Savings were identified as an essential component of financial empowerment, providing a foundation for stability, reinvestment, and shock absorption. Survey data showed that 59% of women agreed and 38.2% strongly agreed that they consistently tracked their savings, while 61.1% agreed they understood their spending habits. Half of the respondents maintained separate personal and business savings accounts, showing growing financial discipline and strategic management practices. The correlation between micro-savings and empowerment (r = 0.366, p &lt; 0.01) reflected a moderate positive relationship, demonstrating that savings habits significantly contributed to financial independence and decision-making ability. This supports earlier findings that saving practices improve women’s resilience and access to productive resources, strengthening their socio-economic position.</w:t>
      </w:r>
    </w:p>
    <w:p w14:paraId="4B2EACBB" w14:textId="5BFE98F5"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Business Development Services (BDS) offered by microfinance institutions emerged as a critical factor in enhancing entrepreneurial capacity, technical skills, and market integration. Findings indicated that 43.7% agreed and 14.1% strongly agreed that they benefited from regular training programs (M = 3.56, SD = 0.959). Furthermore, 52.8% acknowledged the vital role of microfinance institutions in business development, while 62.9% agreed that such services facilitated cooperation and networking (M = 3.83, SD = 0.784). The correlation analysis (r = 0.551, p &lt; 0.01) revealed a strong positive relationship between BDS access and empowerment, confirming that business skills training, mentorship, and market linkages significantly increased women’s business sustainability and confidence.</w:t>
      </w:r>
    </w:p>
    <w:p w14:paraId="58A5551A" w14:textId="59326956"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Advisory and consultancy interventions also played an influential role in improving compliance, strategic decision-making, and financial literacy. Approximately 46.9% of respondents agreed that they had access to tax consultants, while 48.6% acknowledged access to promotional advisers (M = 3.56, SD = 0.851). These findings underline the growing importance of expert guidance in financial and managerial practices. Correlation analysis (r = 0.660, p &lt; 0.01) revealed a strong and significant positive relationship between advisory services and empowerment, emphasizing that access to professional advice fosters confidence, management competence, and resilience among women entrepreneurs.</w:t>
      </w:r>
    </w:p>
    <w:p w14:paraId="59BEB81C" w14:textId="63F1C863"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Overall, microfinance participation has extended beyond income generation to facilitate holistic socio-economic empowerment. Half of the respondents agreed that microfinance enabled them to generate adequate income for operations (M = 4.38, SD = 0.739), while 48.6% reported improved independence (M = 4.06, SD = 0.830). Additionally, 45.8% indicated enhanced control over resources, and 42.4% reported greater freedom from gender-based violence (M = 3.49, SD = 0.931). However, only 36.8% felt they had an increased voice in societal and policy matters, indicating persistent structural barriers. While 44.4% believed they had equal opportunities as men (M = 3.51, SD = 1.024), inequalities remain.</w:t>
      </w:r>
    </w:p>
    <w:p w14:paraId="04A9F912" w14:textId="77777777" w:rsidR="00C35625" w:rsidRPr="00C35625" w:rsidRDefault="00C35625" w:rsidP="00C35625">
      <w:pPr>
        <w:spacing w:before="100" w:beforeAutospacing="1" w:after="100" w:afterAutospacing="1" w:line="240" w:lineRule="auto"/>
        <w:rPr>
          <w:rFonts w:eastAsia="Times New Roman" w:cs="Times New Roman"/>
          <w:color w:val="auto"/>
          <w:szCs w:val="24"/>
          <w14:ligatures w14:val="none"/>
        </w:rPr>
      </w:pPr>
      <w:r w:rsidRPr="00C35625">
        <w:rPr>
          <w:rFonts w:eastAsia="Times New Roman" w:cs="Times New Roman"/>
          <w:color w:val="auto"/>
          <w:szCs w:val="24"/>
          <w14:ligatures w14:val="none"/>
        </w:rPr>
        <w:t xml:space="preserve">The findings confirm that microfinance significantly contributes to financial and economic empowerment through credit access, saving discipline, skills training, and advisory support. Nonetheless, full empowerment requires addressing broader social and institutional constraints. The results align with prior literature emphasizing that while microfinance strengthens women’s financial autonomy, decision-making power, and economic resilience, structural and cultural reforms are equally necessary to ensure inclusive and sustainable empowerment of women entrepreneurs in </w:t>
      </w:r>
      <w:proofErr w:type="spellStart"/>
      <w:r w:rsidRPr="00C35625">
        <w:rPr>
          <w:rFonts w:eastAsia="Times New Roman" w:cs="Times New Roman"/>
          <w:color w:val="auto"/>
          <w:szCs w:val="24"/>
          <w14:ligatures w14:val="none"/>
        </w:rPr>
        <w:t>Eldama</w:t>
      </w:r>
      <w:proofErr w:type="spellEnd"/>
      <w:r w:rsidRPr="00C35625">
        <w:rPr>
          <w:rFonts w:eastAsia="Times New Roman" w:cs="Times New Roman"/>
          <w:color w:val="auto"/>
          <w:szCs w:val="24"/>
          <w14:ligatures w14:val="none"/>
        </w:rPr>
        <w:t xml:space="preserve"> Ravine Sub-County.</w:t>
      </w:r>
    </w:p>
    <w:p w14:paraId="5471519C" w14:textId="1DB96F2D" w:rsidR="0005136B" w:rsidRPr="0005136B" w:rsidRDefault="0005136B" w:rsidP="0005136B">
      <w:pPr>
        <w:rPr>
          <w:b/>
          <w:i/>
        </w:rPr>
      </w:pPr>
      <w:bookmarkStart w:id="4" w:name="_Toc212721811"/>
      <w:r w:rsidRPr="0005136B">
        <w:rPr>
          <w:b/>
          <w:i/>
        </w:rPr>
        <w:t>Autocorrelation Test</w:t>
      </w:r>
      <w:bookmarkEnd w:id="4"/>
      <w:r w:rsidRPr="0005136B">
        <w:rPr>
          <w:b/>
          <w:i/>
        </w:rPr>
        <w:t xml:space="preserve"> </w:t>
      </w:r>
      <w:bookmarkEnd w:id="3"/>
    </w:p>
    <w:p w14:paraId="1A54A976" w14:textId="77777777" w:rsidR="0005136B" w:rsidRPr="008651D0" w:rsidRDefault="0005136B" w:rsidP="0005136B">
      <w:pPr>
        <w:spacing w:before="0" w:after="2" w:line="240" w:lineRule="auto"/>
        <w:ind w:left="24" w:right="26"/>
        <w:rPr>
          <w:szCs w:val="24"/>
        </w:rPr>
      </w:pPr>
      <w:r w:rsidRPr="008651D0">
        <w:rPr>
          <w:szCs w:val="24"/>
        </w:rPr>
        <w:t>Autocorrelation was tested using the Durbin–Watson statistic.</w:t>
      </w:r>
    </w:p>
    <w:p w14:paraId="619CA992" w14:textId="77777777" w:rsidR="00C35625" w:rsidRDefault="00C35625">
      <w:pPr>
        <w:spacing w:before="0" w:after="160" w:line="259" w:lineRule="auto"/>
        <w:jc w:val="left"/>
        <w:rPr>
          <w:b/>
          <w:i/>
        </w:rPr>
      </w:pPr>
      <w:bookmarkStart w:id="5" w:name="_Toc212721858"/>
      <w:r>
        <w:rPr>
          <w:b/>
          <w:i/>
        </w:rPr>
        <w:br w:type="page"/>
      </w:r>
    </w:p>
    <w:p w14:paraId="3CF5DAE6" w14:textId="1E84A438" w:rsidR="0005136B" w:rsidRPr="0005136B" w:rsidRDefault="0005136B" w:rsidP="0005136B">
      <w:pPr>
        <w:rPr>
          <w:b/>
          <w:i/>
        </w:rPr>
      </w:pPr>
      <w:r w:rsidRPr="0005136B">
        <w:rPr>
          <w:b/>
          <w:i/>
        </w:rPr>
        <w:lastRenderedPageBreak/>
        <w:t xml:space="preserve">Table </w:t>
      </w:r>
      <w:r w:rsidR="00C35625">
        <w:rPr>
          <w:b/>
          <w:i/>
        </w:rPr>
        <w:t>2</w:t>
      </w:r>
      <w:r w:rsidRPr="0005136B">
        <w:rPr>
          <w:b/>
          <w:i/>
        </w:rPr>
        <w:t xml:space="preserve"> Autocorrelation Test (Model Summary)</w:t>
      </w:r>
      <w:bookmarkEnd w:id="5"/>
    </w:p>
    <w:p w14:paraId="3EDB8AE3" w14:textId="77777777" w:rsidR="0005136B" w:rsidRPr="008651D0" w:rsidRDefault="0005136B" w:rsidP="0005136B">
      <w:pPr>
        <w:spacing w:before="0" w:after="53" w:line="240" w:lineRule="auto"/>
        <w:ind w:left="29"/>
        <w:rPr>
          <w:szCs w:val="24"/>
        </w:rPr>
      </w:pPr>
      <w:r w:rsidRPr="008651D0">
        <w:rPr>
          <w:noProof/>
          <w:szCs w:val="24"/>
        </w:rPr>
        <mc:AlternateContent>
          <mc:Choice Requires="wpg">
            <w:drawing>
              <wp:inline distT="0" distB="0" distL="0" distR="0" wp14:anchorId="4D3E22D3" wp14:editId="63CAD9E9">
                <wp:extent cx="6066410" cy="6096"/>
                <wp:effectExtent l="0" t="0" r="0" b="0"/>
                <wp:docPr id="127524" name="Group 127524"/>
                <wp:cNvGraphicFramePr/>
                <a:graphic xmlns:a="http://schemas.openxmlformats.org/drawingml/2006/main">
                  <a:graphicData uri="http://schemas.microsoft.com/office/word/2010/wordprocessingGroup">
                    <wpg:wgp>
                      <wpg:cNvGrpSpPr/>
                      <wpg:grpSpPr>
                        <a:xfrm>
                          <a:off x="0" y="0"/>
                          <a:ext cx="6066410" cy="6096"/>
                          <a:chOff x="0" y="0"/>
                          <a:chExt cx="6066410" cy="6096"/>
                        </a:xfrm>
                      </wpg:grpSpPr>
                      <wps:wsp>
                        <wps:cNvPr id="145544" name="Shape 145544"/>
                        <wps:cNvSpPr/>
                        <wps:spPr>
                          <a:xfrm>
                            <a:off x="0" y="0"/>
                            <a:ext cx="6066410" cy="9144"/>
                          </a:xfrm>
                          <a:custGeom>
                            <a:avLst/>
                            <a:gdLst/>
                            <a:ahLst/>
                            <a:cxnLst/>
                            <a:rect l="0" t="0" r="0" b="0"/>
                            <a:pathLst>
                              <a:path w="6066410" h="9144">
                                <a:moveTo>
                                  <a:pt x="0" y="0"/>
                                </a:moveTo>
                                <a:lnTo>
                                  <a:pt x="6066410" y="0"/>
                                </a:lnTo>
                                <a:lnTo>
                                  <a:pt x="6066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ACA27C5" id="Group 127524" o:spid="_x0000_s1026" style="width:477.65pt;height:.5pt;mso-position-horizontal-relative:char;mso-position-vertical-relative:line" coordsize="60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">
                <v:shape id="Shape 145544" o:spid="_x0000_s1027" style="position:absolute;width:60664;height:91;visibility:visible;mso-wrap-style:square;v-text-anchor:top" coordsize="6066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" path="m,l6066410,r,9144l,9144,,e" fillcolor="black" stroked="f" strokeweight="0">
                  <v:stroke miterlimit="83231f" joinstyle="miter"/>
                  <v:path arrowok="t" textboxrect="0,0,6066410,9144"/>
                </v:shape>
                <w10:anchorlock/>
              </v:group>
            </w:pict>
          </mc:Fallback>
        </mc:AlternateContent>
      </w:r>
    </w:p>
    <w:p w14:paraId="076BFE6F" w14:textId="77777777" w:rsidR="0005136B" w:rsidRPr="008651D0" w:rsidRDefault="0005136B" w:rsidP="0005136B">
      <w:pPr>
        <w:spacing w:before="0" w:after="39" w:line="240" w:lineRule="auto"/>
        <w:ind w:left="12" w:right="596"/>
        <w:rPr>
          <w:szCs w:val="24"/>
        </w:rPr>
      </w:pPr>
      <w:r w:rsidRPr="008651D0">
        <w:rPr>
          <w:b/>
          <w:szCs w:val="24"/>
        </w:rPr>
        <w:t>Model Summary</w:t>
      </w:r>
      <w:r w:rsidRPr="008651D0">
        <w:rPr>
          <w:szCs w:val="24"/>
        </w:rPr>
        <w:t xml:space="preserve"> </w:t>
      </w:r>
    </w:p>
    <w:p w14:paraId="550CA53D" w14:textId="77777777" w:rsidR="0005136B" w:rsidRPr="008651D0" w:rsidRDefault="0005136B" w:rsidP="0005136B">
      <w:pPr>
        <w:tabs>
          <w:tab w:val="center" w:pos="1717"/>
          <w:tab w:val="center" w:pos="3084"/>
          <w:tab w:val="center" w:pos="4751"/>
          <w:tab w:val="center" w:pos="6684"/>
          <w:tab w:val="center" w:pos="8617"/>
        </w:tabs>
        <w:spacing w:before="0" w:after="25" w:line="240" w:lineRule="auto"/>
        <w:rPr>
          <w:szCs w:val="24"/>
        </w:rPr>
      </w:pPr>
      <w:r w:rsidRPr="008651D0">
        <w:rPr>
          <w:szCs w:val="24"/>
        </w:rPr>
        <w:t xml:space="preserve">Model </w:t>
      </w:r>
      <w:r w:rsidRPr="008651D0">
        <w:rPr>
          <w:szCs w:val="24"/>
        </w:rPr>
        <w:tab/>
        <w:t xml:space="preserve">R </w:t>
      </w:r>
      <w:r w:rsidRPr="008651D0">
        <w:rPr>
          <w:szCs w:val="24"/>
        </w:rPr>
        <w:tab/>
      </w:r>
      <w:proofErr w:type="spellStart"/>
      <w:r w:rsidRPr="008651D0">
        <w:rPr>
          <w:szCs w:val="24"/>
        </w:rPr>
        <w:t>R</w:t>
      </w:r>
      <w:proofErr w:type="spellEnd"/>
      <w:r w:rsidRPr="008651D0">
        <w:rPr>
          <w:szCs w:val="24"/>
        </w:rPr>
        <w:t xml:space="preserve"> Square </w:t>
      </w:r>
      <w:r w:rsidRPr="008651D0">
        <w:rPr>
          <w:szCs w:val="24"/>
        </w:rPr>
        <w:tab/>
        <w:t xml:space="preserve">Adjusted R </w:t>
      </w:r>
      <w:r w:rsidRPr="008651D0">
        <w:rPr>
          <w:szCs w:val="24"/>
        </w:rPr>
        <w:tab/>
        <w:t xml:space="preserve">Std. Error of the </w:t>
      </w:r>
      <w:r w:rsidRPr="008651D0">
        <w:rPr>
          <w:szCs w:val="24"/>
        </w:rPr>
        <w:tab/>
        <w:t xml:space="preserve">Durbin-Watson </w:t>
      </w:r>
    </w:p>
    <w:p w14:paraId="612C08D9" w14:textId="77777777" w:rsidR="0005136B" w:rsidRPr="008651D0" w:rsidRDefault="0005136B" w:rsidP="0005136B">
      <w:pPr>
        <w:tabs>
          <w:tab w:val="center" w:pos="4750"/>
          <w:tab w:val="center" w:pos="6683"/>
        </w:tabs>
        <w:spacing w:before="0" w:line="240" w:lineRule="auto"/>
        <w:rPr>
          <w:szCs w:val="24"/>
        </w:rPr>
      </w:pPr>
      <w:r w:rsidRPr="008651D0">
        <w:rPr>
          <w:szCs w:val="24"/>
        </w:rPr>
        <w:tab/>
        <w:t xml:space="preserve">Square </w:t>
      </w:r>
      <w:r w:rsidRPr="008651D0">
        <w:rPr>
          <w:szCs w:val="24"/>
        </w:rPr>
        <w:tab/>
        <w:t xml:space="preserve">Estimate </w:t>
      </w:r>
    </w:p>
    <w:p w14:paraId="715C580D" w14:textId="77777777" w:rsidR="0005136B" w:rsidRPr="008651D0" w:rsidRDefault="0005136B" w:rsidP="0005136B">
      <w:pPr>
        <w:spacing w:before="0" w:after="62" w:line="240" w:lineRule="auto"/>
        <w:ind w:left="29"/>
        <w:rPr>
          <w:szCs w:val="24"/>
        </w:rPr>
      </w:pPr>
      <w:r w:rsidRPr="008651D0">
        <w:rPr>
          <w:noProof/>
          <w:szCs w:val="24"/>
        </w:rPr>
        <mc:AlternateContent>
          <mc:Choice Requires="wpg">
            <w:drawing>
              <wp:inline distT="0" distB="0" distL="0" distR="0" wp14:anchorId="78169C1A" wp14:editId="166F9732">
                <wp:extent cx="6066409" cy="6096"/>
                <wp:effectExtent l="0" t="0" r="0" b="0"/>
                <wp:docPr id="127525" name="Group 127525"/>
                <wp:cNvGraphicFramePr/>
                <a:graphic xmlns:a="http://schemas.openxmlformats.org/drawingml/2006/main">
                  <a:graphicData uri="http://schemas.microsoft.com/office/word/2010/wordprocessingGroup">
                    <wpg:wgp>
                      <wpg:cNvGrpSpPr/>
                      <wpg:grpSpPr>
                        <a:xfrm>
                          <a:off x="0" y="0"/>
                          <a:ext cx="6066409" cy="6096"/>
                          <a:chOff x="0" y="0"/>
                          <a:chExt cx="6066409" cy="6096"/>
                        </a:xfrm>
                      </wpg:grpSpPr>
                      <wps:wsp>
                        <wps:cNvPr id="145546" name="Shape 145546"/>
                        <wps:cNvSpPr/>
                        <wps:spPr>
                          <a:xfrm>
                            <a:off x="0" y="0"/>
                            <a:ext cx="650748" cy="9144"/>
                          </a:xfrm>
                          <a:custGeom>
                            <a:avLst/>
                            <a:gdLst/>
                            <a:ahLst/>
                            <a:cxnLst/>
                            <a:rect l="0" t="0" r="0" b="0"/>
                            <a:pathLst>
                              <a:path w="650748" h="9144">
                                <a:moveTo>
                                  <a:pt x="0" y="0"/>
                                </a:moveTo>
                                <a:lnTo>
                                  <a:pt x="650748" y="0"/>
                                </a:lnTo>
                                <a:lnTo>
                                  <a:pt x="650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47" name="Shape 145547"/>
                        <wps:cNvSpPr/>
                        <wps:spPr>
                          <a:xfrm>
                            <a:off x="6506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48" name="Shape 145548"/>
                        <wps:cNvSpPr/>
                        <wps:spPr>
                          <a:xfrm>
                            <a:off x="656793" y="0"/>
                            <a:ext cx="836676" cy="9144"/>
                          </a:xfrm>
                          <a:custGeom>
                            <a:avLst/>
                            <a:gdLst/>
                            <a:ahLst/>
                            <a:cxnLst/>
                            <a:rect l="0" t="0" r="0" b="0"/>
                            <a:pathLst>
                              <a:path w="836676" h="9144">
                                <a:moveTo>
                                  <a:pt x="0" y="0"/>
                                </a:moveTo>
                                <a:lnTo>
                                  <a:pt x="836676" y="0"/>
                                </a:lnTo>
                                <a:lnTo>
                                  <a:pt x="836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49" name="Shape 145549"/>
                        <wps:cNvSpPr/>
                        <wps:spPr>
                          <a:xfrm>
                            <a:off x="1493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0" name="Shape 145550"/>
                        <wps:cNvSpPr/>
                        <wps:spPr>
                          <a:xfrm>
                            <a:off x="1499565" y="0"/>
                            <a:ext cx="885749" cy="9144"/>
                          </a:xfrm>
                          <a:custGeom>
                            <a:avLst/>
                            <a:gdLst/>
                            <a:ahLst/>
                            <a:cxnLst/>
                            <a:rect l="0" t="0" r="0" b="0"/>
                            <a:pathLst>
                              <a:path w="885749" h="9144">
                                <a:moveTo>
                                  <a:pt x="0" y="0"/>
                                </a:moveTo>
                                <a:lnTo>
                                  <a:pt x="885749" y="0"/>
                                </a:lnTo>
                                <a:lnTo>
                                  <a:pt x="8857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1" name="Shape 145551"/>
                        <wps:cNvSpPr/>
                        <wps:spPr>
                          <a:xfrm>
                            <a:off x="23853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2" name="Shape 145552"/>
                        <wps:cNvSpPr/>
                        <wps:spPr>
                          <a:xfrm>
                            <a:off x="2391486" y="0"/>
                            <a:ext cx="1221029" cy="9144"/>
                          </a:xfrm>
                          <a:custGeom>
                            <a:avLst/>
                            <a:gdLst/>
                            <a:ahLst/>
                            <a:cxnLst/>
                            <a:rect l="0" t="0" r="0" b="0"/>
                            <a:pathLst>
                              <a:path w="1221029" h="9144">
                                <a:moveTo>
                                  <a:pt x="0" y="0"/>
                                </a:moveTo>
                                <a:lnTo>
                                  <a:pt x="1221029" y="0"/>
                                </a:lnTo>
                                <a:lnTo>
                                  <a:pt x="1221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3" name="Shape 145553"/>
                        <wps:cNvSpPr/>
                        <wps:spPr>
                          <a:xfrm>
                            <a:off x="36124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4" name="Shape 145554"/>
                        <wps:cNvSpPr/>
                        <wps:spPr>
                          <a:xfrm>
                            <a:off x="3618561" y="0"/>
                            <a:ext cx="1220724" cy="9144"/>
                          </a:xfrm>
                          <a:custGeom>
                            <a:avLst/>
                            <a:gdLst/>
                            <a:ahLst/>
                            <a:cxnLst/>
                            <a:rect l="0" t="0" r="0" b="0"/>
                            <a:pathLst>
                              <a:path w="1220724" h="9144">
                                <a:moveTo>
                                  <a:pt x="0" y="0"/>
                                </a:moveTo>
                                <a:lnTo>
                                  <a:pt x="1220724" y="0"/>
                                </a:lnTo>
                                <a:lnTo>
                                  <a:pt x="1220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5" name="Shape 145555"/>
                        <wps:cNvSpPr/>
                        <wps:spPr>
                          <a:xfrm>
                            <a:off x="48392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6" name="Shape 145556"/>
                        <wps:cNvSpPr/>
                        <wps:spPr>
                          <a:xfrm>
                            <a:off x="4845380" y="0"/>
                            <a:ext cx="1221029" cy="9144"/>
                          </a:xfrm>
                          <a:custGeom>
                            <a:avLst/>
                            <a:gdLst/>
                            <a:ahLst/>
                            <a:cxnLst/>
                            <a:rect l="0" t="0" r="0" b="0"/>
                            <a:pathLst>
                              <a:path w="1221029" h="9144">
                                <a:moveTo>
                                  <a:pt x="0" y="0"/>
                                </a:moveTo>
                                <a:lnTo>
                                  <a:pt x="1221029" y="0"/>
                                </a:lnTo>
                                <a:lnTo>
                                  <a:pt x="1221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0680DA" id="Group 127525" o:spid="_x0000_s1026" style="width:477.65pt;height:.5pt;mso-position-horizontal-relative:char;mso-position-vertical-relative:line" coordsize="606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">
                <v:shape id="Shape 145546" o:spid="_x0000_s1027" style="position:absolute;width:6507;height:91;visibility:visible;mso-wrap-style:square;v-text-anchor:top" coordsize="6507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" path="m,l650748,r,9144l,9144,,e" fillcolor="black" stroked="f" strokeweight="0">
                  <v:stroke miterlimit="83231f" joinstyle="miter"/>
                  <v:path arrowok="t" textboxrect="0,0,650748,9144"/>
                </v:shape>
                <v:shape id="Shape 145547" o:spid="_x0000_s1028" style="position:absolute;left:65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" path="m,l9144,r,9144l,9144,,e" fillcolor="black" stroked="f" strokeweight="0">
                  <v:stroke miterlimit="83231f" joinstyle="miter"/>
                  <v:path arrowok="t" textboxrect="0,0,9144,9144"/>
                </v:shape>
                <v:shape id="Shape 145548" o:spid="_x0000_s1029" style="position:absolute;left:6567;width:8367;height:91;visibility:visible;mso-wrap-style:square;v-text-anchor:top" coordsize="836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" path="m,l836676,r,9144l,9144,,e" fillcolor="black" stroked="f" strokeweight="0">
                  <v:stroke miterlimit="83231f" joinstyle="miter"/>
                  <v:path arrowok="t" textboxrect="0,0,836676,9144"/>
                </v:shape>
                <v:shape id="Shape 145549" o:spid="_x0000_s1030" style="position:absolute;left:149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" path="m,l9144,r,9144l,9144,,e" fillcolor="black" stroked="f" strokeweight="0">
                  <v:stroke miterlimit="83231f" joinstyle="miter"/>
                  <v:path arrowok="t" textboxrect="0,0,9144,9144"/>
                </v:shape>
                <v:shape id="Shape 145550" o:spid="_x0000_s1031" style="position:absolute;left:14995;width:8858;height:91;visibility:visible;mso-wrap-style:square;v-text-anchor:top" coordsize="8857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" path="m,l885749,r,9144l,9144,,e" fillcolor="black" stroked="f" strokeweight="0">
                  <v:stroke miterlimit="83231f" joinstyle="miter"/>
                  <v:path arrowok="t" textboxrect="0,0,885749,9144"/>
                </v:shape>
                <v:shape id="Shape 145551" o:spid="_x0000_s1032" style="position:absolute;left:238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" path="m,l9144,r,9144l,9144,,e" fillcolor="black" stroked="f" strokeweight="0">
                  <v:stroke miterlimit="83231f" joinstyle="miter"/>
                  <v:path arrowok="t" textboxrect="0,0,9144,9144"/>
                </v:shape>
                <v:shape id="Shape 145552" o:spid="_x0000_s1033" style="position:absolute;left:23914;width:12211;height:91;visibility:visible;mso-wrap-style:square;v-text-anchor:top" coordsize="1221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" path="m,l1221029,r,9144l,9144,,e" fillcolor="black" stroked="f" strokeweight="0">
                  <v:stroke miterlimit="83231f" joinstyle="miter"/>
                  <v:path arrowok="t" textboxrect="0,0,1221029,9144"/>
                </v:shape>
                <v:shape id="Shape 145553" o:spid="_x0000_s1034" style="position:absolute;left:361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" path="m,l9144,r,9144l,9144,,e" fillcolor="black" stroked="f" strokeweight="0">
                  <v:stroke miterlimit="83231f" joinstyle="miter"/>
                  <v:path arrowok="t" textboxrect="0,0,9144,9144"/>
                </v:shape>
                <v:shape id="Shape 145554" o:spid="_x0000_s1035" style="position:absolute;left:36185;width:12207;height:91;visibility:visible;mso-wrap-style:square;v-text-anchor:top" coordsize="12207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" path="m,l1220724,r,9144l,9144,,e" fillcolor="black" stroked="f" strokeweight="0">
                  <v:stroke miterlimit="83231f" joinstyle="miter"/>
                  <v:path arrowok="t" textboxrect="0,0,1220724,9144"/>
                </v:shape>
                <v:shape id="Shape 145555" o:spid="_x0000_s1036" style="position:absolute;left:483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" path="m,l9144,r,9144l,9144,,e" fillcolor="black" stroked="f" strokeweight="0">
                  <v:stroke miterlimit="83231f" joinstyle="miter"/>
                  <v:path arrowok="t" textboxrect="0,0,9144,9144"/>
                </v:shape>
                <v:shape id="Shape 145556" o:spid="_x0000_s1037" style="position:absolute;left:48453;width:12211;height:91;visibility:visible;mso-wrap-style:square;v-text-anchor:top" coordsize="12210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" path="m,l1221029,r,9144l,9144,,e" fillcolor="black" stroked="f" strokeweight="0">
                  <v:stroke miterlimit="83231f" joinstyle="miter"/>
                  <v:path arrowok="t" textboxrect="0,0,1221029,9144"/>
                </v:shape>
                <w10:anchorlock/>
              </v:group>
            </w:pict>
          </mc:Fallback>
        </mc:AlternateContent>
      </w:r>
    </w:p>
    <w:p w14:paraId="7EAAE826" w14:textId="77777777" w:rsidR="0005136B" w:rsidRPr="008651D0" w:rsidRDefault="0005136B" w:rsidP="0005136B">
      <w:pPr>
        <w:tabs>
          <w:tab w:val="center" w:pos="2074"/>
          <w:tab w:val="center" w:pos="3518"/>
          <w:tab w:val="center" w:pos="5448"/>
          <w:tab w:val="center" w:pos="7200"/>
          <w:tab w:val="center" w:pos="9255"/>
        </w:tabs>
        <w:spacing w:before="0" w:after="225" w:line="240" w:lineRule="auto"/>
        <w:rPr>
          <w:szCs w:val="24"/>
        </w:rPr>
      </w:pPr>
      <w:r w:rsidRPr="008651D0">
        <w:rPr>
          <w:szCs w:val="24"/>
          <w:u w:val="single" w:color="000000"/>
        </w:rPr>
        <w:t xml:space="preserve">1 </w:t>
      </w:r>
      <w:r w:rsidRPr="008651D0">
        <w:rPr>
          <w:szCs w:val="24"/>
          <w:u w:val="single" w:color="000000"/>
        </w:rPr>
        <w:tab/>
        <w:t>.720</w:t>
      </w:r>
      <w:r w:rsidRPr="008651D0">
        <w:rPr>
          <w:szCs w:val="24"/>
          <w:vertAlign w:val="superscript"/>
        </w:rPr>
        <w:t>a</w:t>
      </w:r>
      <w:r w:rsidRPr="008651D0">
        <w:rPr>
          <w:szCs w:val="24"/>
          <w:u w:val="single" w:color="000000"/>
        </w:rPr>
        <w:t xml:space="preserve"> </w:t>
      </w:r>
      <w:r w:rsidRPr="008651D0">
        <w:rPr>
          <w:szCs w:val="24"/>
          <w:u w:val="single" w:color="000000"/>
        </w:rPr>
        <w:tab/>
        <w:t xml:space="preserve">.518 </w:t>
      </w:r>
      <w:r w:rsidRPr="008651D0">
        <w:rPr>
          <w:szCs w:val="24"/>
          <w:u w:val="single" w:color="000000"/>
        </w:rPr>
        <w:tab/>
        <w:t xml:space="preserve">.504 </w:t>
      </w:r>
      <w:r w:rsidRPr="008651D0">
        <w:rPr>
          <w:szCs w:val="24"/>
          <w:u w:val="single" w:color="000000"/>
        </w:rPr>
        <w:tab/>
        <w:t xml:space="preserve">3.04503 </w:t>
      </w:r>
      <w:r w:rsidRPr="008651D0">
        <w:rPr>
          <w:szCs w:val="24"/>
          <w:u w:val="single" w:color="000000"/>
        </w:rPr>
        <w:tab/>
        <w:t xml:space="preserve">2.110 </w:t>
      </w:r>
    </w:p>
    <w:p w14:paraId="7D98FCB3" w14:textId="77777777" w:rsidR="0005136B" w:rsidRPr="008651D0" w:rsidRDefault="0005136B" w:rsidP="0005136B">
      <w:pPr>
        <w:spacing w:before="0" w:after="48" w:line="240" w:lineRule="auto"/>
        <w:ind w:left="29"/>
        <w:rPr>
          <w:szCs w:val="24"/>
        </w:rPr>
      </w:pPr>
      <w:r w:rsidRPr="008651D0">
        <w:rPr>
          <w:szCs w:val="24"/>
        </w:rPr>
        <w:t xml:space="preserve">Source: Survey (2025) </w:t>
      </w:r>
    </w:p>
    <w:p w14:paraId="71236BD1" w14:textId="77777777" w:rsidR="0005136B" w:rsidRPr="002D5D47" w:rsidRDefault="0005136B" w:rsidP="0005136B">
      <w:pPr>
        <w:spacing w:before="0" w:line="240" w:lineRule="auto"/>
        <w:ind w:left="24" w:right="26"/>
        <w:rPr>
          <w:szCs w:val="24"/>
        </w:rPr>
      </w:pPr>
      <w:r w:rsidRPr="002D5D47">
        <w:rPr>
          <w:szCs w:val="24"/>
        </w:rPr>
        <w:t>The Durbin–Watson measure of 2.110 is close to 2, showing no such extreme autocorrelation of residuals. The model also possesses an R = 0.720, which shows a fairly high positive relationship between the predictors and women's empowerment. The R² value of 0.518 indicates that approximately 51.8% of women's empowerment variance is explained by the four predictors. This is well above acceptable standards for explanation power in social science research (Hair et al., 2020).</w:t>
      </w:r>
    </w:p>
    <w:p w14:paraId="76EC1673" w14:textId="1CA530D5" w:rsidR="0005136B" w:rsidRPr="0005136B" w:rsidRDefault="0005136B" w:rsidP="0005136B">
      <w:pPr>
        <w:rPr>
          <w:b/>
          <w:i/>
        </w:rPr>
      </w:pPr>
      <w:bookmarkStart w:id="6" w:name="_Toc212721812"/>
      <w:r w:rsidRPr="0005136B">
        <w:rPr>
          <w:b/>
          <w:i/>
        </w:rPr>
        <w:t>The Test of Multicollinearity</w:t>
      </w:r>
      <w:bookmarkEnd w:id="6"/>
    </w:p>
    <w:p w14:paraId="5A263EC6" w14:textId="77777777" w:rsidR="0005136B" w:rsidRPr="008651D0" w:rsidRDefault="0005136B" w:rsidP="0005136B">
      <w:pPr>
        <w:spacing w:before="0" w:line="240" w:lineRule="auto"/>
        <w:ind w:left="24" w:right="26"/>
        <w:rPr>
          <w:szCs w:val="24"/>
        </w:rPr>
      </w:pPr>
      <w:r w:rsidRPr="002D5D47">
        <w:rPr>
          <w:szCs w:val="24"/>
        </w:rPr>
        <w:t>The Tolerance and VIF values tested multicollinearity</w:t>
      </w:r>
      <w:r w:rsidRPr="008651D0">
        <w:rPr>
          <w:szCs w:val="24"/>
        </w:rPr>
        <w:t>.</w:t>
      </w:r>
    </w:p>
    <w:p w14:paraId="08431BA8" w14:textId="1A9050FE" w:rsidR="0005136B" w:rsidRDefault="0005136B" w:rsidP="0005136B">
      <w:pPr>
        <w:spacing w:before="0" w:after="160" w:line="240" w:lineRule="auto"/>
        <w:jc w:val="left"/>
        <w:rPr>
          <w:b/>
        </w:rPr>
      </w:pPr>
    </w:p>
    <w:p w14:paraId="1188BAD3" w14:textId="31D3B6D5" w:rsidR="0005136B" w:rsidRPr="0005136B" w:rsidRDefault="0005136B" w:rsidP="0005136B">
      <w:pPr>
        <w:rPr>
          <w:b/>
          <w:i/>
        </w:rPr>
      </w:pPr>
      <w:bookmarkStart w:id="7" w:name="_Toc212721859"/>
      <w:r w:rsidRPr="0005136B">
        <w:rPr>
          <w:b/>
          <w:i/>
        </w:rPr>
        <w:t xml:space="preserve">Table </w:t>
      </w:r>
      <w:r w:rsidR="00C35625">
        <w:rPr>
          <w:b/>
          <w:i/>
        </w:rPr>
        <w:t>3</w:t>
      </w:r>
      <w:r w:rsidRPr="0005136B">
        <w:rPr>
          <w:b/>
          <w:i/>
        </w:rPr>
        <w:t xml:space="preserve"> Multicollinearity Test</w:t>
      </w:r>
      <w:bookmarkEnd w:id="7"/>
    </w:p>
    <w:tbl>
      <w:tblPr>
        <w:tblStyle w:val="TableGrid0"/>
        <w:tblW w:w="9316" w:type="dxa"/>
        <w:tblInd w:w="52" w:type="dxa"/>
        <w:tblBorders>
          <w:top w:val="single" w:sz="4" w:space="0" w:color="auto"/>
          <w:bottom w:val="single" w:sz="4" w:space="0" w:color="auto"/>
        </w:tblBorders>
        <w:tblCellMar>
          <w:top w:w="41" w:type="dxa"/>
          <w:left w:w="37" w:type="dxa"/>
        </w:tblCellMar>
        <w:tblLook w:val="04A0" w:firstRow="1" w:lastRow="0" w:firstColumn="1" w:lastColumn="0" w:noHBand="0" w:noVBand="1"/>
      </w:tblPr>
      <w:tblGrid>
        <w:gridCol w:w="2136"/>
        <w:gridCol w:w="2186"/>
        <w:gridCol w:w="2007"/>
        <w:gridCol w:w="642"/>
        <w:gridCol w:w="620"/>
        <w:gridCol w:w="1108"/>
        <w:gridCol w:w="617"/>
      </w:tblGrid>
      <w:tr w:rsidR="0005136B" w:rsidRPr="008651D0" w14:paraId="6A1460A7" w14:textId="77777777" w:rsidTr="00C46529">
        <w:trPr>
          <w:trHeight w:val="630"/>
        </w:trPr>
        <w:tc>
          <w:tcPr>
            <w:tcW w:w="2136" w:type="dxa"/>
            <w:tcBorders>
              <w:top w:val="single" w:sz="4" w:space="0" w:color="auto"/>
              <w:bottom w:val="single" w:sz="4" w:space="0" w:color="auto"/>
            </w:tcBorders>
            <w:vAlign w:val="center"/>
          </w:tcPr>
          <w:p w14:paraId="4573EC5F" w14:textId="77777777" w:rsidR="0005136B" w:rsidRPr="008651D0" w:rsidRDefault="0005136B" w:rsidP="0005136B">
            <w:pPr>
              <w:spacing w:before="0" w:line="240" w:lineRule="auto"/>
              <w:ind w:right="45"/>
              <w:rPr>
                <w:szCs w:val="24"/>
              </w:rPr>
            </w:pPr>
            <w:r w:rsidRPr="008651D0">
              <w:rPr>
                <w:b/>
                <w:szCs w:val="24"/>
              </w:rPr>
              <w:t>Predictor</w:t>
            </w:r>
          </w:p>
        </w:tc>
        <w:tc>
          <w:tcPr>
            <w:tcW w:w="2186" w:type="dxa"/>
            <w:tcBorders>
              <w:top w:val="single" w:sz="4" w:space="0" w:color="auto"/>
              <w:bottom w:val="single" w:sz="4" w:space="0" w:color="auto"/>
            </w:tcBorders>
          </w:tcPr>
          <w:p w14:paraId="0B3FC970" w14:textId="77777777" w:rsidR="0005136B" w:rsidRPr="008651D0" w:rsidRDefault="0005136B" w:rsidP="0005136B">
            <w:pPr>
              <w:spacing w:before="0" w:line="240" w:lineRule="auto"/>
              <w:rPr>
                <w:szCs w:val="24"/>
              </w:rPr>
            </w:pPr>
            <w:r w:rsidRPr="008651D0">
              <w:rPr>
                <w:b/>
                <w:szCs w:val="24"/>
              </w:rPr>
              <w:t xml:space="preserve">Unstandardized Coefficients (B) </w:t>
            </w:r>
          </w:p>
        </w:tc>
        <w:tc>
          <w:tcPr>
            <w:tcW w:w="2007" w:type="dxa"/>
            <w:tcBorders>
              <w:top w:val="single" w:sz="4" w:space="0" w:color="auto"/>
              <w:bottom w:val="single" w:sz="4" w:space="0" w:color="auto"/>
            </w:tcBorders>
          </w:tcPr>
          <w:p w14:paraId="291F87C2" w14:textId="77777777" w:rsidR="0005136B" w:rsidRPr="008651D0" w:rsidRDefault="0005136B" w:rsidP="0005136B">
            <w:pPr>
              <w:spacing w:before="0" w:line="240" w:lineRule="auto"/>
              <w:rPr>
                <w:szCs w:val="24"/>
              </w:rPr>
            </w:pPr>
            <w:r w:rsidRPr="008651D0">
              <w:rPr>
                <w:b/>
                <w:szCs w:val="24"/>
              </w:rPr>
              <w:t xml:space="preserve">Standardized Coefficients (Beta) </w:t>
            </w:r>
          </w:p>
        </w:tc>
        <w:tc>
          <w:tcPr>
            <w:tcW w:w="642" w:type="dxa"/>
            <w:tcBorders>
              <w:top w:val="single" w:sz="4" w:space="0" w:color="auto"/>
              <w:bottom w:val="single" w:sz="4" w:space="0" w:color="auto"/>
            </w:tcBorders>
            <w:vAlign w:val="center"/>
          </w:tcPr>
          <w:p w14:paraId="39A7EE8D" w14:textId="77777777" w:rsidR="0005136B" w:rsidRPr="008651D0" w:rsidRDefault="0005136B" w:rsidP="0005136B">
            <w:pPr>
              <w:spacing w:before="0" w:line="240" w:lineRule="auto"/>
              <w:ind w:right="33"/>
              <w:rPr>
                <w:szCs w:val="24"/>
              </w:rPr>
            </w:pPr>
            <w:r w:rsidRPr="008651D0">
              <w:rPr>
                <w:b/>
                <w:szCs w:val="24"/>
              </w:rPr>
              <w:t xml:space="preserve">t </w:t>
            </w:r>
          </w:p>
        </w:tc>
        <w:tc>
          <w:tcPr>
            <w:tcW w:w="620" w:type="dxa"/>
            <w:tcBorders>
              <w:top w:val="single" w:sz="4" w:space="0" w:color="auto"/>
              <w:bottom w:val="single" w:sz="4" w:space="0" w:color="auto"/>
            </w:tcBorders>
            <w:vAlign w:val="center"/>
          </w:tcPr>
          <w:p w14:paraId="7A775F3A" w14:textId="77777777" w:rsidR="0005136B" w:rsidRPr="008651D0" w:rsidRDefault="0005136B" w:rsidP="0005136B">
            <w:pPr>
              <w:spacing w:before="0" w:line="240" w:lineRule="auto"/>
              <w:ind w:left="82"/>
              <w:rPr>
                <w:szCs w:val="24"/>
              </w:rPr>
            </w:pPr>
            <w:r w:rsidRPr="008651D0">
              <w:rPr>
                <w:b/>
                <w:szCs w:val="24"/>
              </w:rPr>
              <w:t xml:space="preserve">Sig. </w:t>
            </w:r>
          </w:p>
        </w:tc>
        <w:tc>
          <w:tcPr>
            <w:tcW w:w="1108" w:type="dxa"/>
            <w:tcBorders>
              <w:top w:val="single" w:sz="4" w:space="0" w:color="auto"/>
              <w:bottom w:val="single" w:sz="4" w:space="0" w:color="auto"/>
            </w:tcBorders>
            <w:vAlign w:val="center"/>
          </w:tcPr>
          <w:p w14:paraId="508D2343" w14:textId="77777777" w:rsidR="0005136B" w:rsidRPr="008651D0" w:rsidRDefault="0005136B" w:rsidP="0005136B">
            <w:pPr>
              <w:spacing w:before="0" w:line="240" w:lineRule="auto"/>
              <w:ind w:left="4"/>
              <w:rPr>
                <w:szCs w:val="24"/>
              </w:rPr>
            </w:pPr>
            <w:r w:rsidRPr="008651D0">
              <w:rPr>
                <w:b/>
                <w:szCs w:val="24"/>
              </w:rPr>
              <w:t xml:space="preserve">Tolerance </w:t>
            </w:r>
          </w:p>
        </w:tc>
        <w:tc>
          <w:tcPr>
            <w:tcW w:w="617" w:type="dxa"/>
            <w:tcBorders>
              <w:top w:val="single" w:sz="4" w:space="0" w:color="auto"/>
              <w:bottom w:val="single" w:sz="4" w:space="0" w:color="auto"/>
            </w:tcBorders>
            <w:vAlign w:val="center"/>
          </w:tcPr>
          <w:p w14:paraId="518EB075" w14:textId="77777777" w:rsidR="0005136B" w:rsidRPr="008651D0" w:rsidRDefault="0005136B" w:rsidP="0005136B">
            <w:pPr>
              <w:spacing w:before="0" w:line="240" w:lineRule="auto"/>
              <w:ind w:left="65"/>
              <w:rPr>
                <w:szCs w:val="24"/>
              </w:rPr>
            </w:pPr>
            <w:r w:rsidRPr="008651D0">
              <w:rPr>
                <w:b/>
                <w:szCs w:val="24"/>
              </w:rPr>
              <w:t xml:space="preserve">VIF </w:t>
            </w:r>
          </w:p>
        </w:tc>
      </w:tr>
      <w:tr w:rsidR="0005136B" w:rsidRPr="008651D0" w14:paraId="2FB45873" w14:textId="77777777" w:rsidTr="00C46529">
        <w:trPr>
          <w:trHeight w:val="634"/>
        </w:trPr>
        <w:tc>
          <w:tcPr>
            <w:tcW w:w="2136" w:type="dxa"/>
            <w:tcBorders>
              <w:top w:val="single" w:sz="4" w:space="0" w:color="auto"/>
            </w:tcBorders>
            <w:vAlign w:val="center"/>
          </w:tcPr>
          <w:p w14:paraId="2ACCD2F1" w14:textId="77777777" w:rsidR="0005136B" w:rsidRPr="008651D0" w:rsidRDefault="0005136B" w:rsidP="0005136B">
            <w:pPr>
              <w:spacing w:before="0" w:line="240" w:lineRule="auto"/>
              <w:rPr>
                <w:szCs w:val="24"/>
              </w:rPr>
            </w:pPr>
            <w:r w:rsidRPr="008651D0">
              <w:rPr>
                <w:b/>
                <w:szCs w:val="24"/>
              </w:rPr>
              <w:t>(Constant)</w:t>
            </w:r>
            <w:r w:rsidRPr="008651D0">
              <w:rPr>
                <w:szCs w:val="24"/>
              </w:rPr>
              <w:t xml:space="preserve"> </w:t>
            </w:r>
          </w:p>
        </w:tc>
        <w:tc>
          <w:tcPr>
            <w:tcW w:w="2186" w:type="dxa"/>
            <w:tcBorders>
              <w:top w:val="single" w:sz="4" w:space="0" w:color="auto"/>
            </w:tcBorders>
            <w:vAlign w:val="center"/>
          </w:tcPr>
          <w:p w14:paraId="0EC52D16" w14:textId="77777777" w:rsidR="0005136B" w:rsidRPr="008651D0" w:rsidRDefault="0005136B" w:rsidP="0005136B">
            <w:pPr>
              <w:spacing w:before="0" w:line="240" w:lineRule="auto"/>
              <w:ind w:left="2"/>
              <w:rPr>
                <w:szCs w:val="24"/>
              </w:rPr>
            </w:pPr>
            <w:r w:rsidRPr="008651D0">
              <w:rPr>
                <w:szCs w:val="24"/>
              </w:rPr>
              <w:t xml:space="preserve">-2.020 </w:t>
            </w:r>
          </w:p>
        </w:tc>
        <w:tc>
          <w:tcPr>
            <w:tcW w:w="2007" w:type="dxa"/>
            <w:tcBorders>
              <w:top w:val="single" w:sz="4" w:space="0" w:color="auto"/>
            </w:tcBorders>
            <w:vAlign w:val="center"/>
          </w:tcPr>
          <w:p w14:paraId="3D5F6E0C" w14:textId="77777777" w:rsidR="0005136B" w:rsidRPr="008651D0" w:rsidRDefault="0005136B" w:rsidP="0005136B">
            <w:pPr>
              <w:spacing w:before="0" w:line="240" w:lineRule="auto"/>
              <w:ind w:left="4"/>
              <w:rPr>
                <w:szCs w:val="24"/>
              </w:rPr>
            </w:pPr>
            <w:r w:rsidRPr="008651D0">
              <w:rPr>
                <w:szCs w:val="24"/>
              </w:rPr>
              <w:t xml:space="preserve">- </w:t>
            </w:r>
          </w:p>
        </w:tc>
        <w:tc>
          <w:tcPr>
            <w:tcW w:w="642" w:type="dxa"/>
            <w:tcBorders>
              <w:top w:val="single" w:sz="4" w:space="0" w:color="auto"/>
            </w:tcBorders>
          </w:tcPr>
          <w:p w14:paraId="110DA006" w14:textId="77777777" w:rsidR="0005136B" w:rsidRPr="008651D0" w:rsidRDefault="0005136B" w:rsidP="0005136B">
            <w:pPr>
              <w:spacing w:before="0" w:line="240" w:lineRule="auto"/>
              <w:ind w:left="4"/>
              <w:rPr>
                <w:szCs w:val="24"/>
              </w:rPr>
            </w:pPr>
            <w:r w:rsidRPr="008651D0">
              <w:rPr>
                <w:szCs w:val="24"/>
              </w:rPr>
              <w:t>-</w:t>
            </w:r>
          </w:p>
          <w:p w14:paraId="52C0BB9A" w14:textId="77777777" w:rsidR="0005136B" w:rsidRPr="008651D0" w:rsidRDefault="0005136B" w:rsidP="0005136B">
            <w:pPr>
              <w:spacing w:before="0" w:line="240" w:lineRule="auto"/>
              <w:ind w:left="4"/>
              <w:rPr>
                <w:szCs w:val="24"/>
              </w:rPr>
            </w:pPr>
            <w:r w:rsidRPr="008651D0">
              <w:rPr>
                <w:szCs w:val="24"/>
              </w:rPr>
              <w:t xml:space="preserve">0.783 </w:t>
            </w:r>
          </w:p>
        </w:tc>
        <w:tc>
          <w:tcPr>
            <w:tcW w:w="620" w:type="dxa"/>
            <w:tcBorders>
              <w:top w:val="single" w:sz="4" w:space="0" w:color="auto"/>
            </w:tcBorders>
            <w:vAlign w:val="center"/>
          </w:tcPr>
          <w:p w14:paraId="46E9F057" w14:textId="77777777" w:rsidR="0005136B" w:rsidRPr="008651D0" w:rsidRDefault="0005136B" w:rsidP="0005136B">
            <w:pPr>
              <w:spacing w:before="0" w:line="240" w:lineRule="auto"/>
              <w:ind w:left="2"/>
              <w:rPr>
                <w:szCs w:val="24"/>
              </w:rPr>
            </w:pPr>
            <w:r w:rsidRPr="008651D0">
              <w:rPr>
                <w:szCs w:val="24"/>
              </w:rPr>
              <w:t xml:space="preserve">0.435 </w:t>
            </w:r>
          </w:p>
        </w:tc>
        <w:tc>
          <w:tcPr>
            <w:tcW w:w="1108" w:type="dxa"/>
            <w:tcBorders>
              <w:top w:val="single" w:sz="4" w:space="0" w:color="auto"/>
            </w:tcBorders>
            <w:vAlign w:val="center"/>
          </w:tcPr>
          <w:p w14:paraId="17B61AF1" w14:textId="77777777" w:rsidR="0005136B" w:rsidRPr="008651D0" w:rsidRDefault="0005136B" w:rsidP="0005136B">
            <w:pPr>
              <w:spacing w:before="0" w:line="240" w:lineRule="auto"/>
              <w:ind w:left="4"/>
              <w:rPr>
                <w:szCs w:val="24"/>
              </w:rPr>
            </w:pPr>
            <w:r w:rsidRPr="008651D0">
              <w:rPr>
                <w:szCs w:val="24"/>
              </w:rPr>
              <w:t xml:space="preserve">- </w:t>
            </w:r>
          </w:p>
        </w:tc>
        <w:tc>
          <w:tcPr>
            <w:tcW w:w="617" w:type="dxa"/>
            <w:tcBorders>
              <w:top w:val="single" w:sz="4" w:space="0" w:color="auto"/>
            </w:tcBorders>
            <w:vAlign w:val="center"/>
          </w:tcPr>
          <w:p w14:paraId="40344127" w14:textId="77777777" w:rsidR="0005136B" w:rsidRPr="008651D0" w:rsidRDefault="0005136B" w:rsidP="0005136B">
            <w:pPr>
              <w:spacing w:before="0" w:line="240" w:lineRule="auto"/>
              <w:ind w:left="2"/>
              <w:rPr>
                <w:szCs w:val="24"/>
              </w:rPr>
            </w:pPr>
            <w:r w:rsidRPr="008651D0">
              <w:rPr>
                <w:szCs w:val="24"/>
              </w:rPr>
              <w:t xml:space="preserve">- </w:t>
            </w:r>
          </w:p>
        </w:tc>
      </w:tr>
      <w:tr w:rsidR="0005136B" w:rsidRPr="008651D0" w14:paraId="3617F94E" w14:textId="77777777" w:rsidTr="00C46529">
        <w:trPr>
          <w:trHeight w:val="355"/>
        </w:trPr>
        <w:tc>
          <w:tcPr>
            <w:tcW w:w="2136" w:type="dxa"/>
          </w:tcPr>
          <w:p w14:paraId="34B2011B" w14:textId="77777777" w:rsidR="0005136B" w:rsidRPr="008651D0" w:rsidRDefault="0005136B" w:rsidP="0005136B">
            <w:pPr>
              <w:spacing w:before="0" w:line="240" w:lineRule="auto"/>
              <w:rPr>
                <w:szCs w:val="24"/>
              </w:rPr>
            </w:pPr>
            <w:r w:rsidRPr="008651D0">
              <w:rPr>
                <w:b/>
                <w:szCs w:val="24"/>
              </w:rPr>
              <w:t>Access Microcredit</w:t>
            </w:r>
            <w:r w:rsidRPr="008651D0">
              <w:rPr>
                <w:szCs w:val="24"/>
              </w:rPr>
              <w:t xml:space="preserve"> </w:t>
            </w:r>
          </w:p>
        </w:tc>
        <w:tc>
          <w:tcPr>
            <w:tcW w:w="2186" w:type="dxa"/>
          </w:tcPr>
          <w:p w14:paraId="2BE12DAB" w14:textId="77777777" w:rsidR="0005136B" w:rsidRPr="008651D0" w:rsidRDefault="0005136B" w:rsidP="0005136B">
            <w:pPr>
              <w:spacing w:before="0" w:line="240" w:lineRule="auto"/>
              <w:ind w:left="2"/>
              <w:rPr>
                <w:szCs w:val="24"/>
              </w:rPr>
            </w:pPr>
            <w:r w:rsidRPr="008651D0">
              <w:rPr>
                <w:szCs w:val="24"/>
              </w:rPr>
              <w:t xml:space="preserve">0.182 </w:t>
            </w:r>
          </w:p>
        </w:tc>
        <w:tc>
          <w:tcPr>
            <w:tcW w:w="2007" w:type="dxa"/>
          </w:tcPr>
          <w:p w14:paraId="78A1D02F" w14:textId="77777777" w:rsidR="0005136B" w:rsidRPr="008651D0" w:rsidRDefault="0005136B" w:rsidP="0005136B">
            <w:pPr>
              <w:spacing w:before="0" w:line="240" w:lineRule="auto"/>
              <w:ind w:left="4"/>
              <w:rPr>
                <w:szCs w:val="24"/>
              </w:rPr>
            </w:pPr>
            <w:r w:rsidRPr="008651D0">
              <w:rPr>
                <w:szCs w:val="24"/>
              </w:rPr>
              <w:t xml:space="preserve">0.146 </w:t>
            </w:r>
          </w:p>
        </w:tc>
        <w:tc>
          <w:tcPr>
            <w:tcW w:w="642" w:type="dxa"/>
          </w:tcPr>
          <w:p w14:paraId="72BC9DD2" w14:textId="77777777" w:rsidR="0005136B" w:rsidRPr="008651D0" w:rsidRDefault="0005136B" w:rsidP="0005136B">
            <w:pPr>
              <w:spacing w:before="0" w:line="240" w:lineRule="auto"/>
              <w:ind w:left="4"/>
              <w:rPr>
                <w:szCs w:val="24"/>
              </w:rPr>
            </w:pPr>
            <w:r w:rsidRPr="008651D0">
              <w:rPr>
                <w:szCs w:val="24"/>
              </w:rPr>
              <w:t xml:space="preserve">2.037 </w:t>
            </w:r>
          </w:p>
        </w:tc>
        <w:tc>
          <w:tcPr>
            <w:tcW w:w="620" w:type="dxa"/>
          </w:tcPr>
          <w:p w14:paraId="48FF8024" w14:textId="77777777" w:rsidR="0005136B" w:rsidRPr="008651D0" w:rsidRDefault="0005136B" w:rsidP="0005136B">
            <w:pPr>
              <w:spacing w:before="0" w:line="240" w:lineRule="auto"/>
              <w:ind w:left="2"/>
              <w:rPr>
                <w:szCs w:val="24"/>
              </w:rPr>
            </w:pPr>
            <w:r w:rsidRPr="008651D0">
              <w:rPr>
                <w:szCs w:val="24"/>
              </w:rPr>
              <w:t xml:space="preserve">0.044 </w:t>
            </w:r>
          </w:p>
        </w:tc>
        <w:tc>
          <w:tcPr>
            <w:tcW w:w="1108" w:type="dxa"/>
          </w:tcPr>
          <w:p w14:paraId="0CE3D2DA" w14:textId="77777777" w:rsidR="0005136B" w:rsidRPr="008651D0" w:rsidRDefault="0005136B" w:rsidP="0005136B">
            <w:pPr>
              <w:spacing w:before="0" w:line="240" w:lineRule="auto"/>
              <w:ind w:left="4"/>
              <w:rPr>
                <w:szCs w:val="24"/>
              </w:rPr>
            </w:pPr>
            <w:r w:rsidRPr="008651D0">
              <w:rPr>
                <w:szCs w:val="24"/>
              </w:rPr>
              <w:t xml:space="preserve">0.683 </w:t>
            </w:r>
          </w:p>
        </w:tc>
        <w:tc>
          <w:tcPr>
            <w:tcW w:w="617" w:type="dxa"/>
          </w:tcPr>
          <w:p w14:paraId="1B1CACA5" w14:textId="77777777" w:rsidR="0005136B" w:rsidRPr="008651D0" w:rsidRDefault="0005136B" w:rsidP="0005136B">
            <w:pPr>
              <w:spacing w:before="0" w:line="240" w:lineRule="auto"/>
              <w:ind w:left="2"/>
              <w:rPr>
                <w:szCs w:val="24"/>
              </w:rPr>
            </w:pPr>
            <w:r w:rsidRPr="008651D0">
              <w:rPr>
                <w:szCs w:val="24"/>
              </w:rPr>
              <w:t>1.464</w:t>
            </w:r>
          </w:p>
        </w:tc>
      </w:tr>
      <w:tr w:rsidR="0005136B" w:rsidRPr="008651D0" w14:paraId="682825DB" w14:textId="77777777" w:rsidTr="00C46529">
        <w:trPr>
          <w:trHeight w:val="356"/>
        </w:trPr>
        <w:tc>
          <w:tcPr>
            <w:tcW w:w="2136" w:type="dxa"/>
          </w:tcPr>
          <w:p w14:paraId="50C3E420" w14:textId="77777777" w:rsidR="0005136B" w:rsidRPr="008651D0" w:rsidRDefault="0005136B" w:rsidP="0005136B">
            <w:pPr>
              <w:spacing w:before="0" w:line="240" w:lineRule="auto"/>
              <w:rPr>
                <w:szCs w:val="24"/>
              </w:rPr>
            </w:pPr>
            <w:r w:rsidRPr="008651D0">
              <w:rPr>
                <w:b/>
                <w:szCs w:val="24"/>
              </w:rPr>
              <w:t>Micro Saving</w:t>
            </w:r>
            <w:r w:rsidRPr="008651D0">
              <w:rPr>
                <w:szCs w:val="24"/>
              </w:rPr>
              <w:t xml:space="preserve"> </w:t>
            </w:r>
          </w:p>
        </w:tc>
        <w:tc>
          <w:tcPr>
            <w:tcW w:w="2186" w:type="dxa"/>
          </w:tcPr>
          <w:p w14:paraId="061381B6" w14:textId="77777777" w:rsidR="0005136B" w:rsidRPr="008651D0" w:rsidRDefault="0005136B" w:rsidP="0005136B">
            <w:pPr>
              <w:spacing w:before="0" w:line="240" w:lineRule="auto"/>
              <w:ind w:left="2"/>
              <w:rPr>
                <w:szCs w:val="24"/>
              </w:rPr>
            </w:pPr>
            <w:r w:rsidRPr="008651D0">
              <w:rPr>
                <w:szCs w:val="24"/>
              </w:rPr>
              <w:t xml:space="preserve">0.191 </w:t>
            </w:r>
          </w:p>
        </w:tc>
        <w:tc>
          <w:tcPr>
            <w:tcW w:w="2007" w:type="dxa"/>
          </w:tcPr>
          <w:p w14:paraId="3563CDAD" w14:textId="77777777" w:rsidR="0005136B" w:rsidRPr="008651D0" w:rsidRDefault="0005136B" w:rsidP="0005136B">
            <w:pPr>
              <w:spacing w:before="0" w:line="240" w:lineRule="auto"/>
              <w:ind w:left="4"/>
              <w:rPr>
                <w:szCs w:val="24"/>
              </w:rPr>
            </w:pPr>
            <w:r w:rsidRPr="008651D0">
              <w:rPr>
                <w:szCs w:val="24"/>
              </w:rPr>
              <w:t xml:space="preserve">0.152 </w:t>
            </w:r>
          </w:p>
        </w:tc>
        <w:tc>
          <w:tcPr>
            <w:tcW w:w="642" w:type="dxa"/>
          </w:tcPr>
          <w:p w14:paraId="50D64648" w14:textId="77777777" w:rsidR="0005136B" w:rsidRPr="008651D0" w:rsidRDefault="0005136B" w:rsidP="0005136B">
            <w:pPr>
              <w:spacing w:before="0" w:line="240" w:lineRule="auto"/>
              <w:ind w:left="4"/>
              <w:rPr>
                <w:szCs w:val="24"/>
              </w:rPr>
            </w:pPr>
            <w:r w:rsidRPr="008651D0">
              <w:rPr>
                <w:szCs w:val="24"/>
              </w:rPr>
              <w:t xml:space="preserve">2.388 </w:t>
            </w:r>
          </w:p>
        </w:tc>
        <w:tc>
          <w:tcPr>
            <w:tcW w:w="620" w:type="dxa"/>
          </w:tcPr>
          <w:p w14:paraId="4753093B" w14:textId="77777777" w:rsidR="0005136B" w:rsidRPr="008651D0" w:rsidRDefault="0005136B" w:rsidP="0005136B">
            <w:pPr>
              <w:spacing w:before="0" w:line="240" w:lineRule="auto"/>
              <w:ind w:left="2"/>
              <w:rPr>
                <w:szCs w:val="24"/>
              </w:rPr>
            </w:pPr>
            <w:r w:rsidRPr="008651D0">
              <w:rPr>
                <w:szCs w:val="24"/>
              </w:rPr>
              <w:t xml:space="preserve">0.018 </w:t>
            </w:r>
          </w:p>
        </w:tc>
        <w:tc>
          <w:tcPr>
            <w:tcW w:w="1108" w:type="dxa"/>
          </w:tcPr>
          <w:p w14:paraId="5795E470" w14:textId="77777777" w:rsidR="0005136B" w:rsidRPr="008651D0" w:rsidRDefault="0005136B" w:rsidP="0005136B">
            <w:pPr>
              <w:spacing w:before="0" w:line="240" w:lineRule="auto"/>
              <w:ind w:left="4"/>
              <w:rPr>
                <w:szCs w:val="24"/>
              </w:rPr>
            </w:pPr>
            <w:r w:rsidRPr="008651D0">
              <w:rPr>
                <w:szCs w:val="24"/>
              </w:rPr>
              <w:t xml:space="preserve">0.873 </w:t>
            </w:r>
          </w:p>
        </w:tc>
        <w:tc>
          <w:tcPr>
            <w:tcW w:w="617" w:type="dxa"/>
          </w:tcPr>
          <w:p w14:paraId="2C698BE2" w14:textId="77777777" w:rsidR="0005136B" w:rsidRPr="008651D0" w:rsidRDefault="0005136B" w:rsidP="0005136B">
            <w:pPr>
              <w:spacing w:before="0" w:line="240" w:lineRule="auto"/>
              <w:ind w:left="2"/>
              <w:rPr>
                <w:szCs w:val="24"/>
              </w:rPr>
            </w:pPr>
            <w:r w:rsidRPr="008651D0">
              <w:rPr>
                <w:szCs w:val="24"/>
              </w:rPr>
              <w:t>1.146</w:t>
            </w:r>
          </w:p>
        </w:tc>
      </w:tr>
      <w:tr w:rsidR="0005136B" w:rsidRPr="008651D0" w14:paraId="7454DE06" w14:textId="77777777" w:rsidTr="00C46529">
        <w:trPr>
          <w:trHeight w:val="910"/>
        </w:trPr>
        <w:tc>
          <w:tcPr>
            <w:tcW w:w="2136" w:type="dxa"/>
          </w:tcPr>
          <w:p w14:paraId="67412AB5" w14:textId="77777777" w:rsidR="0005136B" w:rsidRPr="008651D0" w:rsidRDefault="0005136B" w:rsidP="0005136B">
            <w:pPr>
              <w:spacing w:before="0" w:line="240" w:lineRule="auto"/>
              <w:rPr>
                <w:szCs w:val="24"/>
              </w:rPr>
            </w:pPr>
            <w:r w:rsidRPr="008651D0">
              <w:rPr>
                <w:b/>
                <w:szCs w:val="24"/>
              </w:rPr>
              <w:t xml:space="preserve">Business </w:t>
            </w:r>
          </w:p>
          <w:p w14:paraId="4A104E06" w14:textId="77777777" w:rsidR="0005136B" w:rsidRPr="008651D0" w:rsidRDefault="0005136B" w:rsidP="0005136B">
            <w:pPr>
              <w:spacing w:before="0" w:line="240" w:lineRule="auto"/>
              <w:rPr>
                <w:szCs w:val="24"/>
              </w:rPr>
            </w:pPr>
            <w:r w:rsidRPr="008651D0">
              <w:rPr>
                <w:b/>
                <w:szCs w:val="24"/>
              </w:rPr>
              <w:t xml:space="preserve">Development </w:t>
            </w:r>
          </w:p>
          <w:p w14:paraId="6E8E2813" w14:textId="77777777" w:rsidR="0005136B" w:rsidRPr="008651D0" w:rsidRDefault="0005136B" w:rsidP="0005136B">
            <w:pPr>
              <w:spacing w:before="0" w:line="240" w:lineRule="auto"/>
              <w:rPr>
                <w:szCs w:val="24"/>
              </w:rPr>
            </w:pPr>
            <w:r w:rsidRPr="008651D0">
              <w:rPr>
                <w:b/>
                <w:szCs w:val="24"/>
              </w:rPr>
              <w:t>Services (BDS)</w:t>
            </w:r>
            <w:r w:rsidRPr="008651D0">
              <w:rPr>
                <w:szCs w:val="24"/>
              </w:rPr>
              <w:t xml:space="preserve"> </w:t>
            </w:r>
          </w:p>
        </w:tc>
        <w:tc>
          <w:tcPr>
            <w:tcW w:w="2186" w:type="dxa"/>
            <w:vAlign w:val="center"/>
          </w:tcPr>
          <w:p w14:paraId="5EA45052" w14:textId="77777777" w:rsidR="0005136B" w:rsidRPr="008651D0" w:rsidRDefault="0005136B" w:rsidP="0005136B">
            <w:pPr>
              <w:spacing w:before="0" w:line="240" w:lineRule="auto"/>
              <w:ind w:left="2"/>
              <w:rPr>
                <w:szCs w:val="24"/>
              </w:rPr>
            </w:pPr>
            <w:r w:rsidRPr="008651D0">
              <w:rPr>
                <w:szCs w:val="24"/>
              </w:rPr>
              <w:t xml:space="preserve">0.180 </w:t>
            </w:r>
          </w:p>
        </w:tc>
        <w:tc>
          <w:tcPr>
            <w:tcW w:w="2007" w:type="dxa"/>
            <w:vAlign w:val="center"/>
          </w:tcPr>
          <w:p w14:paraId="60AA3786" w14:textId="77777777" w:rsidR="0005136B" w:rsidRPr="008651D0" w:rsidRDefault="0005136B" w:rsidP="0005136B">
            <w:pPr>
              <w:spacing w:before="0" w:line="240" w:lineRule="auto"/>
              <w:ind w:left="4"/>
              <w:rPr>
                <w:szCs w:val="24"/>
              </w:rPr>
            </w:pPr>
            <w:r w:rsidRPr="008651D0">
              <w:rPr>
                <w:szCs w:val="24"/>
              </w:rPr>
              <w:t xml:space="preserve">0.178 </w:t>
            </w:r>
          </w:p>
        </w:tc>
        <w:tc>
          <w:tcPr>
            <w:tcW w:w="642" w:type="dxa"/>
            <w:vAlign w:val="center"/>
          </w:tcPr>
          <w:p w14:paraId="7D20F26F" w14:textId="77777777" w:rsidR="0005136B" w:rsidRPr="008651D0" w:rsidRDefault="0005136B" w:rsidP="0005136B">
            <w:pPr>
              <w:spacing w:before="0" w:line="240" w:lineRule="auto"/>
              <w:ind w:left="4"/>
              <w:rPr>
                <w:szCs w:val="24"/>
              </w:rPr>
            </w:pPr>
            <w:r w:rsidRPr="008651D0">
              <w:rPr>
                <w:szCs w:val="24"/>
              </w:rPr>
              <w:t xml:space="preserve">2.306 </w:t>
            </w:r>
          </w:p>
        </w:tc>
        <w:tc>
          <w:tcPr>
            <w:tcW w:w="620" w:type="dxa"/>
            <w:vAlign w:val="center"/>
          </w:tcPr>
          <w:p w14:paraId="74017598" w14:textId="77777777" w:rsidR="0005136B" w:rsidRPr="008651D0" w:rsidRDefault="0005136B" w:rsidP="0005136B">
            <w:pPr>
              <w:spacing w:before="0" w:line="240" w:lineRule="auto"/>
              <w:ind w:left="2"/>
              <w:rPr>
                <w:szCs w:val="24"/>
              </w:rPr>
            </w:pPr>
            <w:r w:rsidRPr="008651D0">
              <w:rPr>
                <w:szCs w:val="24"/>
              </w:rPr>
              <w:t xml:space="preserve">0.023 </w:t>
            </w:r>
          </w:p>
        </w:tc>
        <w:tc>
          <w:tcPr>
            <w:tcW w:w="1108" w:type="dxa"/>
            <w:vAlign w:val="center"/>
          </w:tcPr>
          <w:p w14:paraId="7709505C" w14:textId="77777777" w:rsidR="0005136B" w:rsidRPr="008651D0" w:rsidRDefault="0005136B" w:rsidP="0005136B">
            <w:pPr>
              <w:spacing w:before="0" w:line="240" w:lineRule="auto"/>
              <w:ind w:left="4"/>
              <w:rPr>
                <w:szCs w:val="24"/>
              </w:rPr>
            </w:pPr>
            <w:r w:rsidRPr="008651D0">
              <w:rPr>
                <w:szCs w:val="24"/>
              </w:rPr>
              <w:t xml:space="preserve">0.587 </w:t>
            </w:r>
          </w:p>
        </w:tc>
        <w:tc>
          <w:tcPr>
            <w:tcW w:w="617" w:type="dxa"/>
            <w:vAlign w:val="center"/>
          </w:tcPr>
          <w:p w14:paraId="3B5CDB46" w14:textId="77777777" w:rsidR="0005136B" w:rsidRPr="008651D0" w:rsidRDefault="0005136B" w:rsidP="0005136B">
            <w:pPr>
              <w:spacing w:before="0" w:line="240" w:lineRule="auto"/>
              <w:ind w:left="2"/>
              <w:rPr>
                <w:szCs w:val="24"/>
              </w:rPr>
            </w:pPr>
            <w:r w:rsidRPr="008651D0">
              <w:rPr>
                <w:szCs w:val="24"/>
              </w:rPr>
              <w:t>1.703</w:t>
            </w:r>
          </w:p>
        </w:tc>
      </w:tr>
      <w:tr w:rsidR="0005136B" w:rsidRPr="008651D0" w14:paraId="6CA5A039" w14:textId="77777777" w:rsidTr="00C46529">
        <w:trPr>
          <w:trHeight w:val="630"/>
        </w:trPr>
        <w:tc>
          <w:tcPr>
            <w:tcW w:w="2136" w:type="dxa"/>
          </w:tcPr>
          <w:p w14:paraId="76D684F6" w14:textId="77777777" w:rsidR="0005136B" w:rsidRPr="008651D0" w:rsidRDefault="0005136B" w:rsidP="0005136B">
            <w:pPr>
              <w:spacing w:before="0" w:line="240" w:lineRule="auto"/>
              <w:rPr>
                <w:szCs w:val="24"/>
              </w:rPr>
            </w:pPr>
            <w:r w:rsidRPr="008651D0">
              <w:rPr>
                <w:b/>
                <w:szCs w:val="24"/>
              </w:rPr>
              <w:t xml:space="preserve">Advisory and </w:t>
            </w:r>
          </w:p>
          <w:p w14:paraId="1EB7CA14" w14:textId="77777777" w:rsidR="0005136B" w:rsidRPr="008651D0" w:rsidRDefault="0005136B" w:rsidP="0005136B">
            <w:pPr>
              <w:spacing w:before="0" w:line="240" w:lineRule="auto"/>
              <w:rPr>
                <w:szCs w:val="24"/>
              </w:rPr>
            </w:pPr>
            <w:r w:rsidRPr="008651D0">
              <w:rPr>
                <w:b/>
                <w:szCs w:val="24"/>
              </w:rPr>
              <w:t>Consultancy (AC)</w:t>
            </w:r>
            <w:r w:rsidRPr="008651D0">
              <w:rPr>
                <w:szCs w:val="24"/>
              </w:rPr>
              <w:t xml:space="preserve"> </w:t>
            </w:r>
          </w:p>
        </w:tc>
        <w:tc>
          <w:tcPr>
            <w:tcW w:w="2186" w:type="dxa"/>
            <w:vAlign w:val="center"/>
          </w:tcPr>
          <w:p w14:paraId="0BD02CB9" w14:textId="77777777" w:rsidR="0005136B" w:rsidRPr="008651D0" w:rsidRDefault="0005136B" w:rsidP="0005136B">
            <w:pPr>
              <w:spacing w:before="0" w:line="240" w:lineRule="auto"/>
              <w:ind w:left="2"/>
              <w:rPr>
                <w:szCs w:val="24"/>
              </w:rPr>
            </w:pPr>
            <w:r w:rsidRPr="008651D0">
              <w:rPr>
                <w:szCs w:val="24"/>
              </w:rPr>
              <w:t xml:space="preserve">0.533 </w:t>
            </w:r>
          </w:p>
        </w:tc>
        <w:tc>
          <w:tcPr>
            <w:tcW w:w="2007" w:type="dxa"/>
            <w:vAlign w:val="center"/>
          </w:tcPr>
          <w:p w14:paraId="4C506550" w14:textId="77777777" w:rsidR="0005136B" w:rsidRPr="008651D0" w:rsidRDefault="0005136B" w:rsidP="0005136B">
            <w:pPr>
              <w:spacing w:before="0" w:line="240" w:lineRule="auto"/>
              <w:ind w:left="4"/>
              <w:rPr>
                <w:szCs w:val="24"/>
              </w:rPr>
            </w:pPr>
            <w:r w:rsidRPr="008651D0">
              <w:rPr>
                <w:szCs w:val="24"/>
              </w:rPr>
              <w:t xml:space="preserve">0.443 </w:t>
            </w:r>
          </w:p>
        </w:tc>
        <w:tc>
          <w:tcPr>
            <w:tcW w:w="642" w:type="dxa"/>
            <w:vAlign w:val="center"/>
          </w:tcPr>
          <w:p w14:paraId="434B7911" w14:textId="77777777" w:rsidR="0005136B" w:rsidRPr="008651D0" w:rsidRDefault="0005136B" w:rsidP="0005136B">
            <w:pPr>
              <w:spacing w:before="0" w:line="240" w:lineRule="auto"/>
              <w:ind w:left="4"/>
              <w:rPr>
                <w:szCs w:val="24"/>
              </w:rPr>
            </w:pPr>
            <w:r w:rsidRPr="008651D0">
              <w:rPr>
                <w:szCs w:val="24"/>
              </w:rPr>
              <w:t xml:space="preserve">5.776 </w:t>
            </w:r>
          </w:p>
        </w:tc>
        <w:tc>
          <w:tcPr>
            <w:tcW w:w="620" w:type="dxa"/>
            <w:vAlign w:val="center"/>
          </w:tcPr>
          <w:p w14:paraId="41705432" w14:textId="77777777" w:rsidR="0005136B" w:rsidRPr="008651D0" w:rsidRDefault="0005136B" w:rsidP="0005136B">
            <w:pPr>
              <w:spacing w:before="0" w:line="240" w:lineRule="auto"/>
              <w:ind w:left="2"/>
              <w:rPr>
                <w:szCs w:val="24"/>
              </w:rPr>
            </w:pPr>
            <w:r w:rsidRPr="008651D0">
              <w:rPr>
                <w:szCs w:val="24"/>
              </w:rPr>
              <w:t xml:space="preserve">0.000 </w:t>
            </w:r>
          </w:p>
        </w:tc>
        <w:tc>
          <w:tcPr>
            <w:tcW w:w="1108" w:type="dxa"/>
            <w:vAlign w:val="center"/>
          </w:tcPr>
          <w:p w14:paraId="0D5AE5E6" w14:textId="77777777" w:rsidR="0005136B" w:rsidRPr="008651D0" w:rsidRDefault="0005136B" w:rsidP="0005136B">
            <w:pPr>
              <w:spacing w:before="0" w:line="240" w:lineRule="auto"/>
              <w:ind w:left="4"/>
              <w:rPr>
                <w:szCs w:val="24"/>
              </w:rPr>
            </w:pPr>
            <w:r w:rsidRPr="008651D0">
              <w:rPr>
                <w:szCs w:val="24"/>
              </w:rPr>
              <w:t xml:space="preserve">0.598 </w:t>
            </w:r>
          </w:p>
        </w:tc>
        <w:tc>
          <w:tcPr>
            <w:tcW w:w="617" w:type="dxa"/>
            <w:vAlign w:val="center"/>
          </w:tcPr>
          <w:p w14:paraId="733252F6" w14:textId="77777777" w:rsidR="0005136B" w:rsidRPr="008651D0" w:rsidRDefault="0005136B" w:rsidP="0005136B">
            <w:pPr>
              <w:spacing w:before="0" w:line="240" w:lineRule="auto"/>
              <w:ind w:left="2"/>
              <w:rPr>
                <w:szCs w:val="24"/>
              </w:rPr>
            </w:pPr>
            <w:r w:rsidRPr="008651D0">
              <w:rPr>
                <w:szCs w:val="24"/>
              </w:rPr>
              <w:t>1.673</w:t>
            </w:r>
          </w:p>
        </w:tc>
      </w:tr>
    </w:tbl>
    <w:p w14:paraId="2900AA76" w14:textId="77777777" w:rsidR="0005136B" w:rsidRPr="008651D0" w:rsidRDefault="0005136B" w:rsidP="0005136B">
      <w:pPr>
        <w:spacing w:before="0" w:after="336" w:line="240" w:lineRule="auto"/>
        <w:ind w:left="24" w:right="26"/>
        <w:rPr>
          <w:szCs w:val="24"/>
        </w:rPr>
      </w:pPr>
      <w:r w:rsidRPr="008651D0">
        <w:rPr>
          <w:szCs w:val="24"/>
        </w:rPr>
        <w:t>Dependent Variable: Women’s Empowerment.</w:t>
      </w:r>
    </w:p>
    <w:p w14:paraId="19983F2C" w14:textId="77777777" w:rsidR="0005136B" w:rsidRPr="008651D0" w:rsidRDefault="0005136B" w:rsidP="0005136B">
      <w:pPr>
        <w:spacing w:before="0" w:after="336" w:line="240" w:lineRule="auto"/>
        <w:ind w:left="24" w:right="4823"/>
        <w:rPr>
          <w:szCs w:val="24"/>
        </w:rPr>
      </w:pPr>
      <w:r w:rsidRPr="008651D0">
        <w:rPr>
          <w:szCs w:val="24"/>
        </w:rPr>
        <w:t>Source: Survey (2025)</w:t>
      </w:r>
    </w:p>
    <w:p w14:paraId="57DFAC67" w14:textId="4641FC97" w:rsidR="0005136B" w:rsidRDefault="0005136B" w:rsidP="0005136B">
      <w:pPr>
        <w:spacing w:before="0" w:line="240" w:lineRule="auto"/>
      </w:pPr>
      <w:r w:rsidRPr="002D5D47">
        <w:rPr>
          <w:szCs w:val="24"/>
        </w:rPr>
        <w:t>All tolerance values are larger than 0.2 and all VIF values are significantly less than 10, confirming there is no genuine multicollinearity among predictors. This indicates each predictor has an independent role in explaining variations in women's empowerment (Field, 2021</w:t>
      </w:r>
      <w:r>
        <w:rPr>
          <w:szCs w:val="24"/>
        </w:rPr>
        <w:t>.</w:t>
      </w:r>
    </w:p>
    <w:p w14:paraId="507698FF" w14:textId="6DC61605" w:rsidR="0005136B" w:rsidRDefault="0005136B" w:rsidP="00711AB4">
      <w:pPr>
        <w:spacing w:before="0" w:line="240" w:lineRule="auto"/>
      </w:pPr>
    </w:p>
    <w:p w14:paraId="55792BE7" w14:textId="77777777" w:rsidR="00C35625" w:rsidRDefault="00C35625" w:rsidP="00D530BF">
      <w:pPr>
        <w:rPr>
          <w:b/>
          <w:i/>
        </w:rPr>
      </w:pPr>
    </w:p>
    <w:p w14:paraId="37654E41" w14:textId="512D6499" w:rsidR="00D530BF" w:rsidRDefault="00D530BF" w:rsidP="00D530BF">
      <w:pPr>
        <w:rPr>
          <w:b/>
          <w:i/>
        </w:rPr>
      </w:pPr>
      <w:r w:rsidRPr="00D530BF">
        <w:rPr>
          <w:b/>
          <w:i/>
        </w:rPr>
        <w:lastRenderedPageBreak/>
        <w:t>Model Summary</w:t>
      </w:r>
    </w:p>
    <w:p w14:paraId="52C12852" w14:textId="63843064" w:rsidR="00D530BF" w:rsidRPr="00D530BF" w:rsidRDefault="00D530BF" w:rsidP="00D530BF">
      <w:pPr>
        <w:rPr>
          <w:b/>
          <w:i/>
        </w:rPr>
      </w:pPr>
      <w:r>
        <w:rPr>
          <w:b/>
          <w:i/>
        </w:rPr>
        <w:t xml:space="preserve">Table </w:t>
      </w:r>
      <w:r w:rsidR="00C35625">
        <w:rPr>
          <w:b/>
          <w:i/>
        </w:rPr>
        <w:t>4</w:t>
      </w:r>
      <w:r>
        <w:rPr>
          <w:b/>
          <w:i/>
        </w:rPr>
        <w:t>: Model Summary</w:t>
      </w:r>
    </w:p>
    <w:tbl>
      <w:tblPr>
        <w:tblStyle w:val="TableGrid0"/>
        <w:tblW w:w="8590" w:type="dxa"/>
        <w:tblInd w:w="29" w:type="dxa"/>
        <w:tblCellMar>
          <w:top w:w="26" w:type="dxa"/>
        </w:tblCellMar>
        <w:tblLook w:val="04A0" w:firstRow="1" w:lastRow="0" w:firstColumn="1" w:lastColumn="0" w:noHBand="0" w:noVBand="1"/>
      </w:tblPr>
      <w:tblGrid>
        <w:gridCol w:w="1247"/>
        <w:gridCol w:w="1311"/>
        <w:gridCol w:w="4071"/>
        <w:gridCol w:w="1961"/>
      </w:tblGrid>
      <w:tr w:rsidR="00D530BF" w:rsidRPr="008651D0" w14:paraId="6E59F062" w14:textId="77777777" w:rsidTr="00C46529">
        <w:trPr>
          <w:trHeight w:val="349"/>
        </w:trPr>
        <w:tc>
          <w:tcPr>
            <w:tcW w:w="1247" w:type="dxa"/>
            <w:tcBorders>
              <w:top w:val="single" w:sz="4" w:space="0" w:color="000000"/>
              <w:left w:val="nil"/>
              <w:bottom w:val="nil"/>
              <w:right w:val="nil"/>
            </w:tcBorders>
          </w:tcPr>
          <w:p w14:paraId="4910DEF9" w14:textId="77777777" w:rsidR="00D530BF" w:rsidRPr="008651D0" w:rsidRDefault="00D530BF" w:rsidP="00D530BF">
            <w:pPr>
              <w:spacing w:before="0" w:line="240" w:lineRule="auto"/>
              <w:rPr>
                <w:szCs w:val="24"/>
              </w:rPr>
            </w:pPr>
          </w:p>
        </w:tc>
        <w:tc>
          <w:tcPr>
            <w:tcW w:w="1311" w:type="dxa"/>
            <w:tcBorders>
              <w:top w:val="single" w:sz="4" w:space="0" w:color="000000"/>
              <w:left w:val="nil"/>
              <w:bottom w:val="nil"/>
              <w:right w:val="nil"/>
            </w:tcBorders>
          </w:tcPr>
          <w:p w14:paraId="2746E341" w14:textId="77777777" w:rsidR="00D530BF" w:rsidRPr="008651D0" w:rsidRDefault="00D530BF" w:rsidP="00D530BF">
            <w:pPr>
              <w:spacing w:before="0" w:line="240" w:lineRule="auto"/>
              <w:rPr>
                <w:szCs w:val="24"/>
              </w:rPr>
            </w:pPr>
          </w:p>
        </w:tc>
        <w:tc>
          <w:tcPr>
            <w:tcW w:w="4071" w:type="dxa"/>
            <w:tcBorders>
              <w:top w:val="single" w:sz="4" w:space="0" w:color="000000"/>
              <w:left w:val="nil"/>
              <w:bottom w:val="nil"/>
              <w:right w:val="nil"/>
            </w:tcBorders>
          </w:tcPr>
          <w:p w14:paraId="6589048F" w14:textId="77777777" w:rsidR="00D530BF" w:rsidRPr="008651D0" w:rsidRDefault="00D530BF" w:rsidP="00D530BF">
            <w:pPr>
              <w:spacing w:before="0" w:line="240" w:lineRule="auto"/>
              <w:ind w:left="504"/>
              <w:rPr>
                <w:szCs w:val="24"/>
              </w:rPr>
            </w:pPr>
            <w:r w:rsidRPr="008651D0">
              <w:rPr>
                <w:b/>
                <w:szCs w:val="24"/>
              </w:rPr>
              <w:t>Model Summary</w:t>
            </w:r>
            <w:r w:rsidRPr="008651D0">
              <w:rPr>
                <w:szCs w:val="24"/>
              </w:rPr>
              <w:t xml:space="preserve"> </w:t>
            </w:r>
          </w:p>
        </w:tc>
        <w:tc>
          <w:tcPr>
            <w:tcW w:w="1961" w:type="dxa"/>
            <w:tcBorders>
              <w:top w:val="single" w:sz="4" w:space="0" w:color="000000"/>
              <w:left w:val="nil"/>
              <w:bottom w:val="nil"/>
              <w:right w:val="nil"/>
            </w:tcBorders>
          </w:tcPr>
          <w:p w14:paraId="5480DAE2" w14:textId="77777777" w:rsidR="00D530BF" w:rsidRPr="008651D0" w:rsidRDefault="00D530BF" w:rsidP="00D530BF">
            <w:pPr>
              <w:spacing w:before="0" w:line="240" w:lineRule="auto"/>
              <w:rPr>
                <w:szCs w:val="24"/>
              </w:rPr>
            </w:pPr>
          </w:p>
        </w:tc>
      </w:tr>
      <w:tr w:rsidR="00D530BF" w:rsidRPr="008651D0" w14:paraId="138EFF26" w14:textId="77777777" w:rsidTr="00C46529">
        <w:trPr>
          <w:trHeight w:val="621"/>
        </w:trPr>
        <w:tc>
          <w:tcPr>
            <w:tcW w:w="1247" w:type="dxa"/>
            <w:tcBorders>
              <w:top w:val="nil"/>
              <w:left w:val="nil"/>
              <w:bottom w:val="single" w:sz="4" w:space="0" w:color="000000"/>
              <w:right w:val="nil"/>
            </w:tcBorders>
          </w:tcPr>
          <w:p w14:paraId="0B67C91B" w14:textId="77777777" w:rsidR="00D530BF" w:rsidRPr="008651D0" w:rsidRDefault="00D530BF" w:rsidP="00D530BF">
            <w:pPr>
              <w:spacing w:before="0" w:line="240" w:lineRule="auto"/>
              <w:ind w:left="60"/>
              <w:rPr>
                <w:szCs w:val="24"/>
              </w:rPr>
            </w:pPr>
            <w:r w:rsidRPr="008651D0">
              <w:rPr>
                <w:szCs w:val="24"/>
              </w:rPr>
              <w:t xml:space="preserve">Model </w:t>
            </w:r>
          </w:p>
        </w:tc>
        <w:tc>
          <w:tcPr>
            <w:tcW w:w="1311" w:type="dxa"/>
            <w:tcBorders>
              <w:top w:val="nil"/>
              <w:left w:val="nil"/>
              <w:bottom w:val="single" w:sz="4" w:space="0" w:color="000000"/>
              <w:right w:val="nil"/>
            </w:tcBorders>
          </w:tcPr>
          <w:p w14:paraId="279ABAB2" w14:textId="77777777" w:rsidR="00D530BF" w:rsidRPr="008651D0" w:rsidRDefault="00D530BF" w:rsidP="00D530BF">
            <w:pPr>
              <w:spacing w:before="0" w:line="240" w:lineRule="auto"/>
              <w:rPr>
                <w:szCs w:val="24"/>
              </w:rPr>
            </w:pPr>
            <w:r w:rsidRPr="008651D0">
              <w:rPr>
                <w:szCs w:val="24"/>
              </w:rPr>
              <w:t xml:space="preserve">R </w:t>
            </w:r>
          </w:p>
        </w:tc>
        <w:tc>
          <w:tcPr>
            <w:tcW w:w="4071" w:type="dxa"/>
            <w:tcBorders>
              <w:top w:val="nil"/>
              <w:left w:val="nil"/>
              <w:bottom w:val="single" w:sz="4" w:space="0" w:color="000000"/>
              <w:right w:val="nil"/>
            </w:tcBorders>
          </w:tcPr>
          <w:p w14:paraId="75F906BE" w14:textId="77777777" w:rsidR="00D530BF" w:rsidRPr="008651D0" w:rsidRDefault="00D530BF" w:rsidP="00D530BF">
            <w:pPr>
              <w:tabs>
                <w:tab w:val="center" w:pos="2486"/>
              </w:tabs>
              <w:spacing w:before="0" w:line="240" w:lineRule="auto"/>
              <w:rPr>
                <w:szCs w:val="24"/>
              </w:rPr>
            </w:pPr>
            <w:r w:rsidRPr="008651D0">
              <w:rPr>
                <w:szCs w:val="24"/>
              </w:rPr>
              <w:t xml:space="preserve">R Square </w:t>
            </w:r>
            <w:r w:rsidRPr="008651D0">
              <w:rPr>
                <w:szCs w:val="24"/>
              </w:rPr>
              <w:tab/>
              <w:t xml:space="preserve">Adjusted R Square </w:t>
            </w:r>
          </w:p>
        </w:tc>
        <w:tc>
          <w:tcPr>
            <w:tcW w:w="1961" w:type="dxa"/>
            <w:tcBorders>
              <w:top w:val="nil"/>
              <w:left w:val="nil"/>
              <w:bottom w:val="single" w:sz="4" w:space="0" w:color="000000"/>
              <w:right w:val="nil"/>
            </w:tcBorders>
          </w:tcPr>
          <w:p w14:paraId="6D849D2F" w14:textId="77777777" w:rsidR="00D530BF" w:rsidRPr="008651D0" w:rsidRDefault="00D530BF" w:rsidP="00D530BF">
            <w:pPr>
              <w:spacing w:before="0" w:line="240" w:lineRule="auto"/>
              <w:ind w:left="358" w:hanging="358"/>
              <w:rPr>
                <w:szCs w:val="24"/>
              </w:rPr>
            </w:pPr>
            <w:r w:rsidRPr="008651D0">
              <w:rPr>
                <w:szCs w:val="24"/>
              </w:rPr>
              <w:t xml:space="preserve">Std. Error of the Estimate </w:t>
            </w:r>
          </w:p>
        </w:tc>
      </w:tr>
      <w:tr w:rsidR="00D530BF" w:rsidRPr="008651D0" w14:paraId="20F3027D" w14:textId="77777777" w:rsidTr="00C46529">
        <w:trPr>
          <w:trHeight w:val="331"/>
        </w:trPr>
        <w:tc>
          <w:tcPr>
            <w:tcW w:w="1247" w:type="dxa"/>
            <w:tcBorders>
              <w:top w:val="single" w:sz="4" w:space="0" w:color="000000"/>
              <w:left w:val="nil"/>
              <w:bottom w:val="nil"/>
              <w:right w:val="nil"/>
            </w:tcBorders>
          </w:tcPr>
          <w:p w14:paraId="6FDF1E02" w14:textId="77777777" w:rsidR="00D530BF" w:rsidRPr="008651D0" w:rsidRDefault="00D530BF" w:rsidP="00D530BF">
            <w:pPr>
              <w:spacing w:before="0" w:line="240" w:lineRule="auto"/>
              <w:ind w:left="60"/>
              <w:rPr>
                <w:szCs w:val="24"/>
              </w:rPr>
            </w:pPr>
            <w:r w:rsidRPr="008651D0">
              <w:rPr>
                <w:szCs w:val="24"/>
                <w:u w:val="single" w:color="000000"/>
              </w:rPr>
              <w:t xml:space="preserve">1 </w:t>
            </w:r>
          </w:p>
        </w:tc>
        <w:tc>
          <w:tcPr>
            <w:tcW w:w="1311" w:type="dxa"/>
            <w:tcBorders>
              <w:top w:val="single" w:sz="4" w:space="0" w:color="000000"/>
              <w:left w:val="nil"/>
              <w:bottom w:val="nil"/>
              <w:right w:val="nil"/>
            </w:tcBorders>
          </w:tcPr>
          <w:p w14:paraId="5D8F1E52" w14:textId="77777777" w:rsidR="00D530BF" w:rsidRPr="008651D0" w:rsidRDefault="00D530BF" w:rsidP="00D530BF">
            <w:pPr>
              <w:spacing w:before="0" w:line="240" w:lineRule="auto"/>
              <w:ind w:left="221"/>
              <w:rPr>
                <w:szCs w:val="24"/>
              </w:rPr>
            </w:pPr>
            <w:r w:rsidRPr="008651D0">
              <w:rPr>
                <w:szCs w:val="24"/>
                <w:u w:val="single" w:color="000000"/>
              </w:rPr>
              <w:t>0.720</w:t>
            </w:r>
            <w:r w:rsidRPr="008651D0">
              <w:rPr>
                <w:szCs w:val="24"/>
                <w:vertAlign w:val="superscript"/>
              </w:rPr>
              <w:t>a</w:t>
            </w:r>
            <w:r w:rsidRPr="008651D0">
              <w:rPr>
                <w:szCs w:val="24"/>
                <w:u w:val="single" w:color="000000"/>
              </w:rPr>
              <w:t xml:space="preserve"> </w:t>
            </w:r>
          </w:p>
        </w:tc>
        <w:tc>
          <w:tcPr>
            <w:tcW w:w="4071" w:type="dxa"/>
            <w:tcBorders>
              <w:top w:val="single" w:sz="4" w:space="0" w:color="000000"/>
              <w:left w:val="nil"/>
              <w:bottom w:val="single" w:sz="4" w:space="0" w:color="000000"/>
              <w:right w:val="nil"/>
            </w:tcBorders>
          </w:tcPr>
          <w:p w14:paraId="568B29B2" w14:textId="77777777" w:rsidR="00D530BF" w:rsidRPr="008651D0" w:rsidRDefault="00D530BF" w:rsidP="00D530BF">
            <w:pPr>
              <w:tabs>
                <w:tab w:val="center" w:pos="976"/>
                <w:tab w:val="center" w:pos="3340"/>
              </w:tabs>
              <w:spacing w:before="0" w:line="240" w:lineRule="auto"/>
              <w:rPr>
                <w:szCs w:val="24"/>
              </w:rPr>
            </w:pPr>
            <w:r w:rsidRPr="008651D0">
              <w:rPr>
                <w:szCs w:val="24"/>
              </w:rPr>
              <w:tab/>
              <w:t xml:space="preserve">0.518 </w:t>
            </w:r>
            <w:r w:rsidRPr="008651D0">
              <w:rPr>
                <w:szCs w:val="24"/>
              </w:rPr>
              <w:tab/>
              <w:t xml:space="preserve">0.504 </w:t>
            </w:r>
          </w:p>
        </w:tc>
        <w:tc>
          <w:tcPr>
            <w:tcW w:w="1961" w:type="dxa"/>
            <w:tcBorders>
              <w:top w:val="single" w:sz="4" w:space="0" w:color="000000"/>
              <w:left w:val="nil"/>
              <w:bottom w:val="single" w:sz="4" w:space="0" w:color="000000"/>
              <w:right w:val="nil"/>
            </w:tcBorders>
          </w:tcPr>
          <w:p w14:paraId="33CB7FCF" w14:textId="77777777" w:rsidR="00D530BF" w:rsidRPr="008651D0" w:rsidRDefault="00D530BF" w:rsidP="00D530BF">
            <w:pPr>
              <w:spacing w:before="0" w:line="240" w:lineRule="auto"/>
              <w:ind w:right="60"/>
              <w:rPr>
                <w:szCs w:val="24"/>
              </w:rPr>
            </w:pPr>
            <w:r w:rsidRPr="008651D0">
              <w:rPr>
                <w:szCs w:val="24"/>
              </w:rPr>
              <w:t xml:space="preserve">3.04503 </w:t>
            </w:r>
          </w:p>
        </w:tc>
      </w:tr>
    </w:tbl>
    <w:p w14:paraId="25B34A88" w14:textId="77777777" w:rsidR="00D530BF" w:rsidRPr="008651D0" w:rsidRDefault="00D530BF" w:rsidP="00D530BF">
      <w:pPr>
        <w:ind w:left="29"/>
        <w:rPr>
          <w:szCs w:val="24"/>
        </w:rPr>
      </w:pPr>
      <w:r w:rsidRPr="008651D0">
        <w:rPr>
          <w:szCs w:val="24"/>
        </w:rPr>
        <w:t>Predictors: (Constant), Advisory &amp; Consultancy, Micro-Saving, Access to Microcredit, BDS.</w:t>
      </w:r>
    </w:p>
    <w:p w14:paraId="6A3F0411" w14:textId="77777777" w:rsidR="00D530BF" w:rsidRPr="008651D0" w:rsidRDefault="00D530BF" w:rsidP="00D530BF">
      <w:pPr>
        <w:spacing w:line="240" w:lineRule="auto"/>
        <w:ind w:left="29"/>
        <w:rPr>
          <w:szCs w:val="24"/>
        </w:rPr>
      </w:pPr>
      <w:r w:rsidRPr="008651D0">
        <w:rPr>
          <w:szCs w:val="24"/>
        </w:rPr>
        <w:t>Source: Survey (2025).</w:t>
      </w:r>
    </w:p>
    <w:p w14:paraId="0E8BF704" w14:textId="77777777" w:rsidR="00D530BF" w:rsidRPr="002D5D47" w:rsidRDefault="00D530BF" w:rsidP="00D530BF">
      <w:pPr>
        <w:spacing w:after="125" w:line="240" w:lineRule="auto"/>
        <w:ind w:left="24" w:right="26"/>
        <w:rPr>
          <w:szCs w:val="24"/>
        </w:rPr>
      </w:pPr>
      <w:r w:rsidRPr="002D5D47">
        <w:rPr>
          <w:szCs w:val="24"/>
        </w:rPr>
        <w:t>The model had an R² of 0.518, meaning that 51.8% of women's empowerment variance is explained by the four predictors. The Adjusted R² of 0.504 tells us of stability, controlling for model complexity. This explanatory power would be considered moderate to strong in behavioral and social sciences studies (Hair et al., 2020; Field, 2021).</w:t>
      </w:r>
    </w:p>
    <w:p w14:paraId="6B5AF384" w14:textId="77777777" w:rsidR="00711AB4" w:rsidRDefault="00711AB4" w:rsidP="00711AB4">
      <w:pPr>
        <w:spacing w:before="0" w:line="240" w:lineRule="auto"/>
        <w:rPr>
          <w:color w:val="000000" w:themeColor="text1"/>
        </w:rPr>
      </w:pPr>
    </w:p>
    <w:p w14:paraId="2C021795" w14:textId="77777777" w:rsidR="00D530BF" w:rsidRPr="00D530BF" w:rsidRDefault="00D530BF" w:rsidP="00D530BF">
      <w:pPr>
        <w:spacing w:before="0" w:line="240" w:lineRule="auto"/>
        <w:rPr>
          <w:b/>
        </w:rPr>
      </w:pPr>
      <w:r w:rsidRPr="00D530BF">
        <w:rPr>
          <w:b/>
        </w:rPr>
        <w:t>Analysis of Variance (ANOVA)</w:t>
      </w:r>
    </w:p>
    <w:p w14:paraId="674F70EA" w14:textId="5B7685BA" w:rsidR="00D530BF" w:rsidRPr="008651D0" w:rsidRDefault="00D530BF" w:rsidP="00D530BF">
      <w:pPr>
        <w:spacing w:before="0" w:after="125" w:line="240" w:lineRule="auto"/>
        <w:ind w:left="24" w:right="26"/>
        <w:rPr>
          <w:szCs w:val="24"/>
        </w:rPr>
      </w:pPr>
      <w:r w:rsidRPr="002D5D47">
        <w:rPr>
          <w:szCs w:val="24"/>
        </w:rPr>
        <w:t xml:space="preserve">The ANOVA table displays the variance analysis of the regression model describing women's empowerment based on the predictors' microcredit, </w:t>
      </w:r>
      <w:proofErr w:type="spellStart"/>
      <w:r w:rsidRPr="002D5D47">
        <w:rPr>
          <w:szCs w:val="24"/>
        </w:rPr>
        <w:t>microsaving</w:t>
      </w:r>
      <w:proofErr w:type="spellEnd"/>
      <w:r w:rsidRPr="002D5D47">
        <w:rPr>
          <w:szCs w:val="24"/>
        </w:rPr>
        <w:t xml:space="preserve">, business development services, and advisory and consultancy </w:t>
      </w:r>
    </w:p>
    <w:p w14:paraId="763AE07A" w14:textId="1CB70A21" w:rsidR="00D530BF" w:rsidRPr="00D530BF" w:rsidRDefault="00D530BF" w:rsidP="00D530BF">
      <w:pPr>
        <w:spacing w:before="0" w:after="45" w:line="240" w:lineRule="auto"/>
        <w:ind w:left="16"/>
        <w:rPr>
          <w:b/>
          <w:i/>
        </w:rPr>
      </w:pPr>
      <w:r w:rsidRPr="00D530BF">
        <w:rPr>
          <w:b/>
          <w:i/>
        </w:rPr>
        <w:t xml:space="preserve">Table </w:t>
      </w:r>
      <w:r w:rsidR="00C35625">
        <w:rPr>
          <w:b/>
          <w:i/>
        </w:rPr>
        <w:t>5</w:t>
      </w:r>
      <w:r w:rsidRPr="00D530BF">
        <w:rPr>
          <w:b/>
          <w:i/>
        </w:rPr>
        <w:t xml:space="preserve"> ANOVA</w:t>
      </w:r>
    </w:p>
    <w:p w14:paraId="6E2368B0" w14:textId="2E1EFF74" w:rsidR="00D530BF" w:rsidRPr="008651D0" w:rsidRDefault="00D530BF" w:rsidP="00D530BF">
      <w:pPr>
        <w:spacing w:before="0" w:after="45" w:line="240" w:lineRule="auto"/>
        <w:ind w:left="16"/>
        <w:rPr>
          <w:szCs w:val="24"/>
        </w:rPr>
      </w:pPr>
      <w:r w:rsidRPr="008651D0">
        <w:rPr>
          <w:noProof/>
          <w:szCs w:val="24"/>
        </w:rPr>
        <w:drawing>
          <wp:inline distT="0" distB="0" distL="0" distR="0" wp14:anchorId="32ECDD81" wp14:editId="43FA60C6">
            <wp:extent cx="5949697" cy="938784"/>
            <wp:effectExtent l="0" t="0" r="0" b="0"/>
            <wp:docPr id="139636" name="Picture 139636"/>
            <wp:cNvGraphicFramePr/>
            <a:graphic xmlns:a="http://schemas.openxmlformats.org/drawingml/2006/main">
              <a:graphicData uri="http://schemas.openxmlformats.org/drawingml/2006/picture">
                <pic:pic xmlns:pic="http://schemas.openxmlformats.org/drawingml/2006/picture">
                  <pic:nvPicPr>
                    <pic:cNvPr id="139636" name="Picture 139636"/>
                    <pic:cNvPicPr/>
                  </pic:nvPicPr>
                  <pic:blipFill>
                    <a:blip r:embed="rId7"/>
                    <a:stretch>
                      <a:fillRect/>
                    </a:stretch>
                  </pic:blipFill>
                  <pic:spPr>
                    <a:xfrm>
                      <a:off x="0" y="0"/>
                      <a:ext cx="5949697" cy="938784"/>
                    </a:xfrm>
                    <a:prstGeom prst="rect">
                      <a:avLst/>
                    </a:prstGeom>
                  </pic:spPr>
                </pic:pic>
              </a:graphicData>
            </a:graphic>
          </wp:inline>
        </w:drawing>
      </w:r>
    </w:p>
    <w:p w14:paraId="5F74175B" w14:textId="77777777" w:rsidR="00D530BF" w:rsidRPr="008651D0" w:rsidRDefault="00D530BF" w:rsidP="00D530BF">
      <w:pPr>
        <w:spacing w:before="0" w:after="77" w:line="240" w:lineRule="auto"/>
        <w:ind w:right="802"/>
        <w:rPr>
          <w:szCs w:val="24"/>
        </w:rPr>
      </w:pPr>
      <w:r w:rsidRPr="008651D0">
        <w:rPr>
          <w:szCs w:val="24"/>
        </w:rPr>
        <w:t>Dependent Variable: Women’s Empowerment. Source: Survey (2025).</w:t>
      </w:r>
    </w:p>
    <w:p w14:paraId="1D79B701" w14:textId="0685E012" w:rsidR="00BE5008" w:rsidRDefault="00D530BF" w:rsidP="00D530BF">
      <w:pPr>
        <w:spacing w:before="0" w:line="240" w:lineRule="auto"/>
        <w:rPr>
          <w:szCs w:val="24"/>
        </w:rPr>
      </w:pPr>
      <w:r w:rsidRPr="002D5D47">
        <w:rPr>
          <w:szCs w:val="24"/>
        </w:rPr>
        <w:t>F-statistic value of 36.819 (p &lt; 0.001) indicates that the model is statistically significant, corroborating the evidence that the predictors as a group explain the overwhelming proportion of the variance of women's empowerment. It corroborates the robustness of the regression model (Gujarati &amp; Porter, 2020</w:t>
      </w:r>
      <w:r>
        <w:rPr>
          <w:szCs w:val="24"/>
        </w:rPr>
        <w:t xml:space="preserve">). </w:t>
      </w:r>
    </w:p>
    <w:p w14:paraId="58F1C3B1" w14:textId="109E74C8" w:rsidR="00D530BF" w:rsidRDefault="00D530BF" w:rsidP="00D530BF">
      <w:pPr>
        <w:spacing w:before="0" w:line="240" w:lineRule="auto"/>
        <w:rPr>
          <w:b/>
          <w:bCs/>
          <w:color w:val="000000" w:themeColor="text1"/>
          <w:sz w:val="28"/>
          <w:szCs w:val="24"/>
        </w:rPr>
      </w:pPr>
    </w:p>
    <w:p w14:paraId="29E0CABC" w14:textId="77777777" w:rsidR="0005136B" w:rsidRPr="0005136B" w:rsidRDefault="0005136B" w:rsidP="0005136B">
      <w:pPr>
        <w:spacing w:before="0" w:line="240" w:lineRule="auto"/>
        <w:rPr>
          <w:b/>
          <w:i/>
        </w:rPr>
      </w:pPr>
      <w:r w:rsidRPr="0005136B">
        <w:rPr>
          <w:b/>
          <w:i/>
        </w:rPr>
        <w:t>Coefficients of Predictors</w:t>
      </w:r>
    </w:p>
    <w:p w14:paraId="2FCE4632" w14:textId="75E3CD17" w:rsidR="0005136B" w:rsidRDefault="0005136B" w:rsidP="0005136B">
      <w:pPr>
        <w:spacing w:before="0" w:line="240" w:lineRule="auto"/>
        <w:ind w:left="24" w:right="26"/>
        <w:rPr>
          <w:szCs w:val="24"/>
        </w:rPr>
      </w:pPr>
      <w:r w:rsidRPr="002D5D47">
        <w:rPr>
          <w:szCs w:val="24"/>
        </w:rPr>
        <w:t>These coefficients provide estimates of the impact each predictor has on the outcome of the regression. The significance levels indicate whether the coefficients are statistically significant, with p-values less than 0.05 usually being considered significant. Prescribed here are the resul</w:t>
      </w:r>
      <w:r>
        <w:rPr>
          <w:szCs w:val="24"/>
        </w:rPr>
        <w:t xml:space="preserve">ts of the analysis in table </w:t>
      </w:r>
      <w:r w:rsidR="00C35625">
        <w:rPr>
          <w:szCs w:val="24"/>
        </w:rPr>
        <w:t>6</w:t>
      </w:r>
      <w:r w:rsidRPr="008651D0">
        <w:rPr>
          <w:szCs w:val="24"/>
        </w:rPr>
        <w:t xml:space="preserve">. </w:t>
      </w:r>
    </w:p>
    <w:p w14:paraId="5292B5E5" w14:textId="77777777" w:rsidR="0005136B" w:rsidRPr="008651D0" w:rsidRDefault="0005136B" w:rsidP="0005136B">
      <w:pPr>
        <w:spacing w:before="0" w:line="240" w:lineRule="auto"/>
        <w:ind w:left="24" w:right="26"/>
        <w:rPr>
          <w:szCs w:val="24"/>
        </w:rPr>
      </w:pPr>
    </w:p>
    <w:p w14:paraId="1767B2F9" w14:textId="650C7DAB" w:rsidR="0005136B" w:rsidRPr="0005136B" w:rsidRDefault="0005136B" w:rsidP="0005136B">
      <w:pPr>
        <w:spacing w:before="0" w:line="240" w:lineRule="auto"/>
        <w:rPr>
          <w:b/>
        </w:rPr>
      </w:pPr>
      <w:bookmarkStart w:id="8" w:name="_Toc212721862"/>
      <w:r w:rsidRPr="0005136B">
        <w:rPr>
          <w:b/>
        </w:rPr>
        <w:t xml:space="preserve">Table </w:t>
      </w:r>
      <w:r w:rsidR="00C35625">
        <w:rPr>
          <w:b/>
        </w:rPr>
        <w:t>6</w:t>
      </w:r>
      <w:r w:rsidRPr="0005136B">
        <w:rPr>
          <w:b/>
        </w:rPr>
        <w:t>: Coefficients for Women’s Empowerment Regression Model</w:t>
      </w:r>
      <w:bookmarkEnd w:id="8"/>
    </w:p>
    <w:tbl>
      <w:tblPr>
        <w:tblStyle w:val="TableGrid0"/>
        <w:tblW w:w="8780" w:type="dxa"/>
        <w:tblInd w:w="52" w:type="dxa"/>
        <w:tblBorders>
          <w:top w:val="single" w:sz="4" w:space="0" w:color="auto"/>
          <w:bottom w:val="single" w:sz="4" w:space="0" w:color="auto"/>
        </w:tblBorders>
        <w:tblCellMar>
          <w:top w:w="41" w:type="dxa"/>
          <w:left w:w="37" w:type="dxa"/>
          <w:right w:w="30" w:type="dxa"/>
        </w:tblCellMar>
        <w:tblLook w:val="04A0" w:firstRow="1" w:lastRow="0" w:firstColumn="1" w:lastColumn="0" w:noHBand="0" w:noVBand="1"/>
      </w:tblPr>
      <w:tblGrid>
        <w:gridCol w:w="2582"/>
        <w:gridCol w:w="2760"/>
        <w:gridCol w:w="2151"/>
        <w:gridCol w:w="670"/>
        <w:gridCol w:w="617"/>
      </w:tblGrid>
      <w:tr w:rsidR="0005136B" w:rsidRPr="008651D0" w14:paraId="0693F21F" w14:textId="77777777" w:rsidTr="00C46529">
        <w:trPr>
          <w:trHeight w:val="633"/>
        </w:trPr>
        <w:tc>
          <w:tcPr>
            <w:tcW w:w="2582" w:type="dxa"/>
            <w:tcBorders>
              <w:top w:val="single" w:sz="4" w:space="0" w:color="auto"/>
              <w:bottom w:val="single" w:sz="4" w:space="0" w:color="auto"/>
            </w:tcBorders>
            <w:vAlign w:val="center"/>
          </w:tcPr>
          <w:p w14:paraId="0049C6E3" w14:textId="77777777" w:rsidR="0005136B" w:rsidRPr="008651D0" w:rsidRDefault="0005136B" w:rsidP="0005136B">
            <w:pPr>
              <w:spacing w:before="0" w:line="240" w:lineRule="auto"/>
              <w:ind w:right="15"/>
              <w:rPr>
                <w:szCs w:val="24"/>
              </w:rPr>
            </w:pPr>
            <w:r w:rsidRPr="008651D0">
              <w:rPr>
                <w:b/>
                <w:szCs w:val="24"/>
              </w:rPr>
              <w:t xml:space="preserve">Model </w:t>
            </w:r>
          </w:p>
        </w:tc>
        <w:tc>
          <w:tcPr>
            <w:tcW w:w="2760" w:type="dxa"/>
            <w:tcBorders>
              <w:top w:val="single" w:sz="4" w:space="0" w:color="auto"/>
              <w:bottom w:val="single" w:sz="4" w:space="0" w:color="auto"/>
            </w:tcBorders>
          </w:tcPr>
          <w:p w14:paraId="295FB06F" w14:textId="77777777" w:rsidR="0005136B" w:rsidRPr="008651D0" w:rsidRDefault="0005136B" w:rsidP="0005136B">
            <w:pPr>
              <w:spacing w:before="0" w:line="240" w:lineRule="auto"/>
              <w:rPr>
                <w:szCs w:val="24"/>
              </w:rPr>
            </w:pPr>
            <w:r w:rsidRPr="008651D0">
              <w:rPr>
                <w:b/>
                <w:szCs w:val="24"/>
              </w:rPr>
              <w:t xml:space="preserve">Unstandardized Coefficients (B) </w:t>
            </w:r>
          </w:p>
        </w:tc>
        <w:tc>
          <w:tcPr>
            <w:tcW w:w="2151" w:type="dxa"/>
            <w:tcBorders>
              <w:top w:val="single" w:sz="4" w:space="0" w:color="auto"/>
              <w:bottom w:val="single" w:sz="4" w:space="0" w:color="auto"/>
            </w:tcBorders>
          </w:tcPr>
          <w:p w14:paraId="57004E1E" w14:textId="77777777" w:rsidR="0005136B" w:rsidRPr="008651D0" w:rsidRDefault="0005136B" w:rsidP="0005136B">
            <w:pPr>
              <w:spacing w:before="0" w:line="240" w:lineRule="auto"/>
              <w:ind w:left="11"/>
              <w:rPr>
                <w:szCs w:val="24"/>
              </w:rPr>
            </w:pPr>
            <w:r w:rsidRPr="008651D0">
              <w:rPr>
                <w:b/>
                <w:szCs w:val="24"/>
              </w:rPr>
              <w:t xml:space="preserve">Standardized Coefficients (Beta) </w:t>
            </w:r>
          </w:p>
        </w:tc>
        <w:tc>
          <w:tcPr>
            <w:tcW w:w="670" w:type="dxa"/>
            <w:tcBorders>
              <w:top w:val="single" w:sz="4" w:space="0" w:color="auto"/>
              <w:bottom w:val="single" w:sz="4" w:space="0" w:color="auto"/>
            </w:tcBorders>
            <w:vAlign w:val="center"/>
          </w:tcPr>
          <w:p w14:paraId="41C1BB2D" w14:textId="77777777" w:rsidR="0005136B" w:rsidRPr="008651D0" w:rsidRDefault="0005136B" w:rsidP="0005136B">
            <w:pPr>
              <w:spacing w:before="0" w:line="240" w:lineRule="auto"/>
              <w:ind w:right="9"/>
              <w:rPr>
                <w:szCs w:val="24"/>
              </w:rPr>
            </w:pPr>
            <w:r w:rsidRPr="008651D0">
              <w:rPr>
                <w:b/>
                <w:szCs w:val="24"/>
              </w:rPr>
              <w:t xml:space="preserve">t </w:t>
            </w:r>
          </w:p>
        </w:tc>
        <w:tc>
          <w:tcPr>
            <w:tcW w:w="617" w:type="dxa"/>
            <w:tcBorders>
              <w:top w:val="single" w:sz="4" w:space="0" w:color="auto"/>
              <w:bottom w:val="single" w:sz="4" w:space="0" w:color="auto"/>
            </w:tcBorders>
            <w:vAlign w:val="center"/>
          </w:tcPr>
          <w:p w14:paraId="403684DD" w14:textId="77777777" w:rsidR="0005136B" w:rsidRPr="008651D0" w:rsidRDefault="0005136B" w:rsidP="0005136B">
            <w:pPr>
              <w:spacing w:before="0" w:line="240" w:lineRule="auto"/>
              <w:ind w:left="82"/>
              <w:rPr>
                <w:szCs w:val="24"/>
              </w:rPr>
            </w:pPr>
            <w:r w:rsidRPr="008651D0">
              <w:rPr>
                <w:b/>
                <w:szCs w:val="24"/>
              </w:rPr>
              <w:t xml:space="preserve">Sig. </w:t>
            </w:r>
          </w:p>
        </w:tc>
      </w:tr>
      <w:tr w:rsidR="0005136B" w:rsidRPr="008651D0" w14:paraId="38C39D74" w14:textId="77777777" w:rsidTr="00C46529">
        <w:trPr>
          <w:trHeight w:val="631"/>
        </w:trPr>
        <w:tc>
          <w:tcPr>
            <w:tcW w:w="2582" w:type="dxa"/>
            <w:tcBorders>
              <w:top w:val="single" w:sz="4" w:space="0" w:color="auto"/>
            </w:tcBorders>
            <w:vAlign w:val="center"/>
          </w:tcPr>
          <w:p w14:paraId="74BC4EF3" w14:textId="77777777" w:rsidR="0005136B" w:rsidRPr="008651D0" w:rsidRDefault="0005136B" w:rsidP="0005136B">
            <w:pPr>
              <w:spacing w:before="0" w:line="240" w:lineRule="auto"/>
              <w:rPr>
                <w:szCs w:val="24"/>
              </w:rPr>
            </w:pPr>
            <w:r w:rsidRPr="008651D0">
              <w:rPr>
                <w:b/>
                <w:szCs w:val="24"/>
              </w:rPr>
              <w:t>(Constant)</w:t>
            </w:r>
            <w:r w:rsidRPr="008651D0">
              <w:rPr>
                <w:szCs w:val="24"/>
              </w:rPr>
              <w:t xml:space="preserve"> </w:t>
            </w:r>
          </w:p>
        </w:tc>
        <w:tc>
          <w:tcPr>
            <w:tcW w:w="2760" w:type="dxa"/>
            <w:tcBorders>
              <w:top w:val="single" w:sz="4" w:space="0" w:color="auto"/>
            </w:tcBorders>
            <w:vAlign w:val="center"/>
          </w:tcPr>
          <w:p w14:paraId="772DA940" w14:textId="77777777" w:rsidR="0005136B" w:rsidRPr="008651D0" w:rsidRDefault="0005136B" w:rsidP="0005136B">
            <w:pPr>
              <w:spacing w:before="0" w:line="240" w:lineRule="auto"/>
              <w:ind w:left="4"/>
              <w:rPr>
                <w:szCs w:val="24"/>
              </w:rPr>
            </w:pPr>
            <w:r w:rsidRPr="008651D0">
              <w:rPr>
                <w:szCs w:val="24"/>
              </w:rPr>
              <w:t xml:space="preserve">-2.020 </w:t>
            </w:r>
          </w:p>
        </w:tc>
        <w:tc>
          <w:tcPr>
            <w:tcW w:w="2151" w:type="dxa"/>
            <w:tcBorders>
              <w:top w:val="single" w:sz="4" w:space="0" w:color="auto"/>
            </w:tcBorders>
            <w:vAlign w:val="center"/>
          </w:tcPr>
          <w:p w14:paraId="2DC2E886" w14:textId="77777777" w:rsidR="0005136B" w:rsidRPr="008651D0" w:rsidRDefault="0005136B" w:rsidP="0005136B">
            <w:pPr>
              <w:spacing w:before="0" w:line="240" w:lineRule="auto"/>
              <w:ind w:left="4"/>
              <w:rPr>
                <w:szCs w:val="24"/>
              </w:rPr>
            </w:pPr>
            <w:r w:rsidRPr="008651D0">
              <w:rPr>
                <w:szCs w:val="24"/>
              </w:rPr>
              <w:t xml:space="preserve">- </w:t>
            </w:r>
          </w:p>
        </w:tc>
        <w:tc>
          <w:tcPr>
            <w:tcW w:w="670" w:type="dxa"/>
            <w:tcBorders>
              <w:top w:val="single" w:sz="4" w:space="0" w:color="auto"/>
            </w:tcBorders>
          </w:tcPr>
          <w:p w14:paraId="295F224A" w14:textId="77777777" w:rsidR="0005136B" w:rsidRPr="008651D0" w:rsidRDefault="0005136B" w:rsidP="0005136B">
            <w:pPr>
              <w:spacing w:before="0" w:line="240" w:lineRule="auto"/>
              <w:ind w:left="2"/>
              <w:rPr>
                <w:szCs w:val="24"/>
              </w:rPr>
            </w:pPr>
            <w:r w:rsidRPr="008651D0">
              <w:rPr>
                <w:szCs w:val="24"/>
              </w:rPr>
              <w:t>-</w:t>
            </w:r>
          </w:p>
          <w:p w14:paraId="41B340E8" w14:textId="77777777" w:rsidR="0005136B" w:rsidRPr="008651D0" w:rsidRDefault="0005136B" w:rsidP="0005136B">
            <w:pPr>
              <w:spacing w:before="0" w:line="240" w:lineRule="auto"/>
              <w:ind w:left="2"/>
              <w:rPr>
                <w:szCs w:val="24"/>
              </w:rPr>
            </w:pPr>
            <w:r w:rsidRPr="008651D0">
              <w:rPr>
                <w:szCs w:val="24"/>
              </w:rPr>
              <w:t xml:space="preserve">0.783 </w:t>
            </w:r>
          </w:p>
        </w:tc>
        <w:tc>
          <w:tcPr>
            <w:tcW w:w="617" w:type="dxa"/>
            <w:tcBorders>
              <w:top w:val="single" w:sz="4" w:space="0" w:color="auto"/>
            </w:tcBorders>
            <w:vAlign w:val="center"/>
          </w:tcPr>
          <w:p w14:paraId="14CDDDD3" w14:textId="77777777" w:rsidR="0005136B" w:rsidRPr="008651D0" w:rsidRDefault="0005136B" w:rsidP="0005136B">
            <w:pPr>
              <w:spacing w:before="0" w:line="240" w:lineRule="auto"/>
              <w:ind w:left="2"/>
              <w:rPr>
                <w:szCs w:val="24"/>
              </w:rPr>
            </w:pPr>
            <w:r w:rsidRPr="008651D0">
              <w:rPr>
                <w:szCs w:val="24"/>
              </w:rPr>
              <w:t>0.435</w:t>
            </w:r>
          </w:p>
        </w:tc>
      </w:tr>
      <w:tr w:rsidR="0005136B" w:rsidRPr="008651D0" w14:paraId="70A04341" w14:textId="77777777" w:rsidTr="00C46529">
        <w:trPr>
          <w:trHeight w:val="358"/>
        </w:trPr>
        <w:tc>
          <w:tcPr>
            <w:tcW w:w="2582" w:type="dxa"/>
          </w:tcPr>
          <w:p w14:paraId="437C2EA7" w14:textId="77777777" w:rsidR="0005136B" w:rsidRPr="008651D0" w:rsidRDefault="0005136B" w:rsidP="0005136B">
            <w:pPr>
              <w:spacing w:before="0" w:line="240" w:lineRule="auto"/>
              <w:rPr>
                <w:szCs w:val="24"/>
              </w:rPr>
            </w:pPr>
            <w:r w:rsidRPr="008651D0">
              <w:rPr>
                <w:b/>
                <w:szCs w:val="24"/>
              </w:rPr>
              <w:t>Access Microcredit</w:t>
            </w:r>
            <w:r w:rsidRPr="008651D0">
              <w:rPr>
                <w:szCs w:val="24"/>
              </w:rPr>
              <w:t xml:space="preserve"> </w:t>
            </w:r>
          </w:p>
        </w:tc>
        <w:tc>
          <w:tcPr>
            <w:tcW w:w="2760" w:type="dxa"/>
          </w:tcPr>
          <w:p w14:paraId="0E168966" w14:textId="77777777" w:rsidR="0005136B" w:rsidRPr="008651D0" w:rsidRDefault="0005136B" w:rsidP="0005136B">
            <w:pPr>
              <w:spacing w:before="0" w:line="240" w:lineRule="auto"/>
              <w:ind w:left="4"/>
              <w:rPr>
                <w:szCs w:val="24"/>
              </w:rPr>
            </w:pPr>
            <w:r w:rsidRPr="008651D0">
              <w:rPr>
                <w:szCs w:val="24"/>
              </w:rPr>
              <w:t xml:space="preserve">0.182 </w:t>
            </w:r>
          </w:p>
        </w:tc>
        <w:tc>
          <w:tcPr>
            <w:tcW w:w="2151" w:type="dxa"/>
          </w:tcPr>
          <w:p w14:paraId="11A1C189" w14:textId="77777777" w:rsidR="0005136B" w:rsidRPr="008651D0" w:rsidRDefault="0005136B" w:rsidP="0005136B">
            <w:pPr>
              <w:spacing w:before="0" w:line="240" w:lineRule="auto"/>
              <w:ind w:left="4"/>
              <w:rPr>
                <w:szCs w:val="24"/>
              </w:rPr>
            </w:pPr>
            <w:r w:rsidRPr="008651D0">
              <w:rPr>
                <w:szCs w:val="24"/>
              </w:rPr>
              <w:t xml:space="preserve">0.146 </w:t>
            </w:r>
          </w:p>
        </w:tc>
        <w:tc>
          <w:tcPr>
            <w:tcW w:w="670" w:type="dxa"/>
          </w:tcPr>
          <w:p w14:paraId="058A5015" w14:textId="77777777" w:rsidR="0005136B" w:rsidRPr="008651D0" w:rsidRDefault="0005136B" w:rsidP="0005136B">
            <w:pPr>
              <w:spacing w:before="0" w:line="240" w:lineRule="auto"/>
              <w:ind w:left="2"/>
              <w:rPr>
                <w:szCs w:val="24"/>
              </w:rPr>
            </w:pPr>
            <w:r w:rsidRPr="008651D0">
              <w:rPr>
                <w:szCs w:val="24"/>
              </w:rPr>
              <w:t xml:space="preserve">2.037 </w:t>
            </w:r>
          </w:p>
        </w:tc>
        <w:tc>
          <w:tcPr>
            <w:tcW w:w="617" w:type="dxa"/>
          </w:tcPr>
          <w:p w14:paraId="262EE8A8" w14:textId="77777777" w:rsidR="0005136B" w:rsidRPr="008651D0" w:rsidRDefault="0005136B" w:rsidP="0005136B">
            <w:pPr>
              <w:spacing w:before="0" w:line="240" w:lineRule="auto"/>
              <w:ind w:left="2"/>
              <w:rPr>
                <w:szCs w:val="24"/>
              </w:rPr>
            </w:pPr>
            <w:r w:rsidRPr="008651D0">
              <w:rPr>
                <w:szCs w:val="24"/>
              </w:rPr>
              <w:t>0.044</w:t>
            </w:r>
          </w:p>
        </w:tc>
      </w:tr>
      <w:tr w:rsidR="0005136B" w:rsidRPr="008651D0" w14:paraId="1A7B6B74" w14:textId="77777777" w:rsidTr="00C46529">
        <w:trPr>
          <w:trHeight w:val="355"/>
        </w:trPr>
        <w:tc>
          <w:tcPr>
            <w:tcW w:w="2582" w:type="dxa"/>
          </w:tcPr>
          <w:p w14:paraId="4F4106BA" w14:textId="77777777" w:rsidR="0005136B" w:rsidRPr="008651D0" w:rsidRDefault="0005136B" w:rsidP="0005136B">
            <w:pPr>
              <w:spacing w:before="0" w:line="240" w:lineRule="auto"/>
              <w:rPr>
                <w:szCs w:val="24"/>
              </w:rPr>
            </w:pPr>
            <w:r w:rsidRPr="008651D0">
              <w:rPr>
                <w:b/>
                <w:szCs w:val="24"/>
              </w:rPr>
              <w:t>Micro Saving</w:t>
            </w:r>
            <w:r w:rsidRPr="008651D0">
              <w:rPr>
                <w:szCs w:val="24"/>
              </w:rPr>
              <w:t xml:space="preserve"> </w:t>
            </w:r>
          </w:p>
        </w:tc>
        <w:tc>
          <w:tcPr>
            <w:tcW w:w="2760" w:type="dxa"/>
          </w:tcPr>
          <w:p w14:paraId="0CABFFFD" w14:textId="77777777" w:rsidR="0005136B" w:rsidRPr="008651D0" w:rsidRDefault="0005136B" w:rsidP="0005136B">
            <w:pPr>
              <w:spacing w:before="0" w:line="240" w:lineRule="auto"/>
              <w:ind w:left="4"/>
              <w:rPr>
                <w:szCs w:val="24"/>
              </w:rPr>
            </w:pPr>
            <w:r w:rsidRPr="008651D0">
              <w:rPr>
                <w:szCs w:val="24"/>
              </w:rPr>
              <w:t xml:space="preserve">0.191 </w:t>
            </w:r>
          </w:p>
        </w:tc>
        <w:tc>
          <w:tcPr>
            <w:tcW w:w="2151" w:type="dxa"/>
          </w:tcPr>
          <w:p w14:paraId="3D884E66" w14:textId="77777777" w:rsidR="0005136B" w:rsidRPr="008651D0" w:rsidRDefault="0005136B" w:rsidP="0005136B">
            <w:pPr>
              <w:spacing w:before="0" w:line="240" w:lineRule="auto"/>
              <w:ind w:left="4"/>
              <w:rPr>
                <w:szCs w:val="24"/>
              </w:rPr>
            </w:pPr>
            <w:r w:rsidRPr="008651D0">
              <w:rPr>
                <w:szCs w:val="24"/>
              </w:rPr>
              <w:t xml:space="preserve">0.152 </w:t>
            </w:r>
          </w:p>
        </w:tc>
        <w:tc>
          <w:tcPr>
            <w:tcW w:w="670" w:type="dxa"/>
          </w:tcPr>
          <w:p w14:paraId="31346F74" w14:textId="77777777" w:rsidR="0005136B" w:rsidRPr="008651D0" w:rsidRDefault="0005136B" w:rsidP="0005136B">
            <w:pPr>
              <w:spacing w:before="0" w:line="240" w:lineRule="auto"/>
              <w:ind w:left="2"/>
              <w:rPr>
                <w:szCs w:val="24"/>
              </w:rPr>
            </w:pPr>
            <w:r w:rsidRPr="008651D0">
              <w:rPr>
                <w:szCs w:val="24"/>
              </w:rPr>
              <w:t xml:space="preserve">2.388 </w:t>
            </w:r>
          </w:p>
        </w:tc>
        <w:tc>
          <w:tcPr>
            <w:tcW w:w="617" w:type="dxa"/>
          </w:tcPr>
          <w:p w14:paraId="43A48B29" w14:textId="77777777" w:rsidR="0005136B" w:rsidRPr="008651D0" w:rsidRDefault="0005136B" w:rsidP="0005136B">
            <w:pPr>
              <w:spacing w:before="0" w:line="240" w:lineRule="auto"/>
              <w:ind w:left="2"/>
              <w:rPr>
                <w:szCs w:val="24"/>
              </w:rPr>
            </w:pPr>
            <w:r w:rsidRPr="008651D0">
              <w:rPr>
                <w:szCs w:val="24"/>
              </w:rPr>
              <w:t>0.018</w:t>
            </w:r>
          </w:p>
        </w:tc>
      </w:tr>
      <w:tr w:rsidR="0005136B" w:rsidRPr="008651D0" w14:paraId="6AEFE9EA" w14:textId="77777777" w:rsidTr="00C46529">
        <w:trPr>
          <w:trHeight w:val="631"/>
        </w:trPr>
        <w:tc>
          <w:tcPr>
            <w:tcW w:w="2582" w:type="dxa"/>
          </w:tcPr>
          <w:p w14:paraId="0BD60687" w14:textId="77777777" w:rsidR="0005136B" w:rsidRPr="008651D0" w:rsidRDefault="0005136B" w:rsidP="0005136B">
            <w:pPr>
              <w:spacing w:before="0" w:line="240" w:lineRule="auto"/>
              <w:rPr>
                <w:szCs w:val="24"/>
              </w:rPr>
            </w:pPr>
            <w:r w:rsidRPr="008651D0">
              <w:rPr>
                <w:b/>
                <w:szCs w:val="24"/>
              </w:rPr>
              <w:lastRenderedPageBreak/>
              <w:t>Business Development Services</w:t>
            </w:r>
            <w:r w:rsidRPr="008651D0">
              <w:rPr>
                <w:szCs w:val="24"/>
              </w:rPr>
              <w:t xml:space="preserve"> </w:t>
            </w:r>
          </w:p>
        </w:tc>
        <w:tc>
          <w:tcPr>
            <w:tcW w:w="2760" w:type="dxa"/>
            <w:vAlign w:val="center"/>
          </w:tcPr>
          <w:p w14:paraId="2CC5242A" w14:textId="77777777" w:rsidR="0005136B" w:rsidRPr="008651D0" w:rsidRDefault="0005136B" w:rsidP="0005136B">
            <w:pPr>
              <w:spacing w:before="0" w:line="240" w:lineRule="auto"/>
              <w:ind w:left="4"/>
              <w:rPr>
                <w:szCs w:val="24"/>
              </w:rPr>
            </w:pPr>
            <w:r w:rsidRPr="008651D0">
              <w:rPr>
                <w:szCs w:val="24"/>
              </w:rPr>
              <w:t xml:space="preserve">0.180 </w:t>
            </w:r>
          </w:p>
        </w:tc>
        <w:tc>
          <w:tcPr>
            <w:tcW w:w="2151" w:type="dxa"/>
            <w:vAlign w:val="center"/>
          </w:tcPr>
          <w:p w14:paraId="22091ECD" w14:textId="77777777" w:rsidR="0005136B" w:rsidRPr="008651D0" w:rsidRDefault="0005136B" w:rsidP="0005136B">
            <w:pPr>
              <w:spacing w:before="0" w:line="240" w:lineRule="auto"/>
              <w:ind w:left="4"/>
              <w:rPr>
                <w:szCs w:val="24"/>
              </w:rPr>
            </w:pPr>
            <w:r w:rsidRPr="008651D0">
              <w:rPr>
                <w:szCs w:val="24"/>
              </w:rPr>
              <w:t xml:space="preserve">0.178 </w:t>
            </w:r>
          </w:p>
        </w:tc>
        <w:tc>
          <w:tcPr>
            <w:tcW w:w="670" w:type="dxa"/>
            <w:vAlign w:val="center"/>
          </w:tcPr>
          <w:p w14:paraId="52EF5325" w14:textId="77777777" w:rsidR="0005136B" w:rsidRPr="008651D0" w:rsidRDefault="0005136B" w:rsidP="0005136B">
            <w:pPr>
              <w:spacing w:before="0" w:line="240" w:lineRule="auto"/>
              <w:ind w:left="2"/>
              <w:rPr>
                <w:szCs w:val="24"/>
              </w:rPr>
            </w:pPr>
            <w:r w:rsidRPr="008651D0">
              <w:rPr>
                <w:szCs w:val="24"/>
              </w:rPr>
              <w:t xml:space="preserve">2.306 </w:t>
            </w:r>
          </w:p>
        </w:tc>
        <w:tc>
          <w:tcPr>
            <w:tcW w:w="617" w:type="dxa"/>
            <w:vAlign w:val="center"/>
          </w:tcPr>
          <w:p w14:paraId="4255A6E1" w14:textId="77777777" w:rsidR="0005136B" w:rsidRPr="008651D0" w:rsidRDefault="0005136B" w:rsidP="0005136B">
            <w:pPr>
              <w:spacing w:before="0" w:line="240" w:lineRule="auto"/>
              <w:ind w:left="2"/>
              <w:rPr>
                <w:szCs w:val="24"/>
              </w:rPr>
            </w:pPr>
            <w:r w:rsidRPr="008651D0">
              <w:rPr>
                <w:szCs w:val="24"/>
              </w:rPr>
              <w:t>0.023</w:t>
            </w:r>
          </w:p>
        </w:tc>
      </w:tr>
      <w:tr w:rsidR="0005136B" w:rsidRPr="008651D0" w14:paraId="73FBB303" w14:textId="77777777" w:rsidTr="00C46529">
        <w:trPr>
          <w:trHeight w:val="632"/>
        </w:trPr>
        <w:tc>
          <w:tcPr>
            <w:tcW w:w="2582" w:type="dxa"/>
          </w:tcPr>
          <w:p w14:paraId="10EDB098" w14:textId="77777777" w:rsidR="0005136B" w:rsidRPr="008651D0" w:rsidRDefault="0005136B" w:rsidP="0005136B">
            <w:pPr>
              <w:spacing w:before="0" w:line="240" w:lineRule="auto"/>
              <w:rPr>
                <w:szCs w:val="24"/>
              </w:rPr>
            </w:pPr>
            <w:r w:rsidRPr="008651D0">
              <w:rPr>
                <w:b/>
                <w:szCs w:val="24"/>
              </w:rPr>
              <w:t>Advisory and Consultancy</w:t>
            </w:r>
            <w:r w:rsidRPr="008651D0">
              <w:rPr>
                <w:szCs w:val="24"/>
              </w:rPr>
              <w:t xml:space="preserve"> </w:t>
            </w:r>
          </w:p>
        </w:tc>
        <w:tc>
          <w:tcPr>
            <w:tcW w:w="2760" w:type="dxa"/>
            <w:vAlign w:val="center"/>
          </w:tcPr>
          <w:p w14:paraId="099C70FE" w14:textId="77777777" w:rsidR="0005136B" w:rsidRPr="008651D0" w:rsidRDefault="0005136B" w:rsidP="0005136B">
            <w:pPr>
              <w:spacing w:before="0" w:line="240" w:lineRule="auto"/>
              <w:ind w:left="4"/>
              <w:rPr>
                <w:szCs w:val="24"/>
              </w:rPr>
            </w:pPr>
            <w:r w:rsidRPr="008651D0">
              <w:rPr>
                <w:szCs w:val="24"/>
              </w:rPr>
              <w:t xml:space="preserve">0.533 </w:t>
            </w:r>
          </w:p>
        </w:tc>
        <w:tc>
          <w:tcPr>
            <w:tcW w:w="2151" w:type="dxa"/>
            <w:vAlign w:val="center"/>
          </w:tcPr>
          <w:p w14:paraId="51A77579" w14:textId="77777777" w:rsidR="0005136B" w:rsidRPr="008651D0" w:rsidRDefault="0005136B" w:rsidP="0005136B">
            <w:pPr>
              <w:spacing w:before="0" w:line="240" w:lineRule="auto"/>
              <w:ind w:left="4"/>
              <w:rPr>
                <w:szCs w:val="24"/>
              </w:rPr>
            </w:pPr>
            <w:r w:rsidRPr="008651D0">
              <w:rPr>
                <w:szCs w:val="24"/>
              </w:rPr>
              <w:t xml:space="preserve">0.443 </w:t>
            </w:r>
          </w:p>
        </w:tc>
        <w:tc>
          <w:tcPr>
            <w:tcW w:w="670" w:type="dxa"/>
            <w:vAlign w:val="center"/>
          </w:tcPr>
          <w:p w14:paraId="20527B73" w14:textId="77777777" w:rsidR="0005136B" w:rsidRPr="008651D0" w:rsidRDefault="0005136B" w:rsidP="0005136B">
            <w:pPr>
              <w:spacing w:before="0" w:line="240" w:lineRule="auto"/>
              <w:ind w:left="2"/>
              <w:rPr>
                <w:szCs w:val="24"/>
              </w:rPr>
            </w:pPr>
            <w:r w:rsidRPr="008651D0">
              <w:rPr>
                <w:szCs w:val="24"/>
              </w:rPr>
              <w:t xml:space="preserve">5.776 </w:t>
            </w:r>
          </w:p>
        </w:tc>
        <w:tc>
          <w:tcPr>
            <w:tcW w:w="617" w:type="dxa"/>
            <w:vAlign w:val="center"/>
          </w:tcPr>
          <w:p w14:paraId="1756B21D" w14:textId="77777777" w:rsidR="0005136B" w:rsidRPr="008651D0" w:rsidRDefault="0005136B" w:rsidP="0005136B">
            <w:pPr>
              <w:spacing w:before="0" w:line="240" w:lineRule="auto"/>
              <w:ind w:left="2"/>
              <w:rPr>
                <w:szCs w:val="24"/>
              </w:rPr>
            </w:pPr>
            <w:r w:rsidRPr="008651D0">
              <w:rPr>
                <w:szCs w:val="24"/>
              </w:rPr>
              <w:t>0.000</w:t>
            </w:r>
          </w:p>
        </w:tc>
      </w:tr>
    </w:tbl>
    <w:p w14:paraId="1A0F67F0" w14:textId="77777777" w:rsidR="0005136B" w:rsidRPr="008651D0" w:rsidRDefault="0005136B" w:rsidP="0005136B">
      <w:pPr>
        <w:spacing w:before="0" w:line="240" w:lineRule="auto"/>
        <w:rPr>
          <w:szCs w:val="24"/>
        </w:rPr>
      </w:pPr>
      <w:r w:rsidRPr="008651D0">
        <w:rPr>
          <w:szCs w:val="24"/>
        </w:rPr>
        <w:t xml:space="preserve">Dependent Variable: Women’s Empowerment. Source: Survey (2025). </w:t>
      </w:r>
    </w:p>
    <w:p w14:paraId="4991A41E" w14:textId="77777777" w:rsidR="0005136B" w:rsidRDefault="0005136B" w:rsidP="0005136B">
      <w:pPr>
        <w:spacing w:before="0" w:line="240" w:lineRule="auto"/>
        <w:rPr>
          <w:szCs w:val="24"/>
        </w:rPr>
      </w:pPr>
    </w:p>
    <w:p w14:paraId="29F2C485" w14:textId="1C3F75A9" w:rsidR="0005136B" w:rsidRDefault="0005136B" w:rsidP="0005136B">
      <w:pPr>
        <w:spacing w:before="0" w:line="240" w:lineRule="auto"/>
        <w:rPr>
          <w:szCs w:val="24"/>
        </w:rPr>
      </w:pPr>
      <w:r w:rsidRPr="00A54BB5">
        <w:rPr>
          <w:szCs w:val="24"/>
        </w:rPr>
        <w:t>Interpretation: Advisory and consultancy had the strongest impact. This is shown by a coefficient of B = 0.533, β = 0.443, p &lt; 0.001, which highlights the importance of professional advice in empowering women. Micro-saving, with B = 0.191 and p = 0.018, and BDS, with B = 0.180 and p = 0.023, had moderate positive effects, emphasizing their roles in business sustainability. Access to microcredit had a smaller effect, with B = 0.182 and p = 0.044. This shows that access to credit supports empowerment but depends on loan size and repayment terms</w:t>
      </w:r>
      <w:r>
        <w:rPr>
          <w:szCs w:val="24"/>
        </w:rPr>
        <w:t xml:space="preserve">. </w:t>
      </w:r>
    </w:p>
    <w:p w14:paraId="73DFB463" w14:textId="5CF69149" w:rsidR="0005136B" w:rsidRDefault="0005136B" w:rsidP="0005136B">
      <w:pPr>
        <w:spacing w:before="0" w:line="240" w:lineRule="auto"/>
        <w:rPr>
          <w:szCs w:val="24"/>
        </w:rPr>
      </w:pPr>
    </w:p>
    <w:p w14:paraId="7A30728F" w14:textId="77777777" w:rsidR="0005136B" w:rsidRDefault="0005136B" w:rsidP="0005136B">
      <w:pPr>
        <w:spacing w:before="0" w:line="240" w:lineRule="auto"/>
        <w:rPr>
          <w:b/>
          <w:bCs/>
          <w:color w:val="000000" w:themeColor="text1"/>
          <w:sz w:val="28"/>
          <w:szCs w:val="24"/>
        </w:rPr>
      </w:pP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54986EE7" w:rsidR="00A27439" w:rsidRPr="007A56B8" w:rsidRDefault="003C67DD" w:rsidP="002E784F">
      <w:pPr>
        <w:spacing w:line="240" w:lineRule="auto"/>
        <w:rPr>
          <w:rFonts w:cs="Times New Roman"/>
          <w:color w:val="000000" w:themeColor="text1"/>
          <w:szCs w:val="24"/>
        </w:rPr>
      </w:pPr>
      <w:r w:rsidRPr="003C67DD">
        <w:rPr>
          <w:rFonts w:cs="Times New Roman"/>
          <w:color w:val="000000" w:themeColor="text1"/>
          <w:szCs w:val="24"/>
        </w:rPr>
        <w:t>The study examined how microfinance interventions</w:t>
      </w:r>
      <w:r w:rsidR="008D472A">
        <w:rPr>
          <w:rFonts w:cs="Times New Roman"/>
          <w:color w:val="000000" w:themeColor="text1"/>
          <w:szCs w:val="24"/>
        </w:rPr>
        <w:t xml:space="preserve"> </w:t>
      </w:r>
      <w:r w:rsidRPr="003C67DD">
        <w:rPr>
          <w:rFonts w:cs="Times New Roman"/>
          <w:color w:val="000000" w:themeColor="text1"/>
          <w:szCs w:val="24"/>
        </w:rPr>
        <w:t xml:space="preserve">microcredit access, </w:t>
      </w:r>
      <w:proofErr w:type="spellStart"/>
      <w:r w:rsidRPr="003C67DD">
        <w:rPr>
          <w:rFonts w:cs="Times New Roman"/>
          <w:color w:val="000000" w:themeColor="text1"/>
          <w:szCs w:val="24"/>
        </w:rPr>
        <w:t>microsaving</w:t>
      </w:r>
      <w:proofErr w:type="spellEnd"/>
      <w:r w:rsidRPr="003C67DD">
        <w:rPr>
          <w:rFonts w:cs="Times New Roman"/>
          <w:color w:val="000000" w:themeColor="text1"/>
          <w:szCs w:val="24"/>
        </w:rPr>
        <w:t xml:space="preserve"> practices, business development, and advisory services</w:t>
      </w:r>
      <w:r w:rsidR="008D472A">
        <w:rPr>
          <w:rFonts w:cs="Times New Roman"/>
          <w:color w:val="000000" w:themeColor="text1"/>
          <w:szCs w:val="24"/>
        </w:rPr>
        <w:t xml:space="preserve"> </w:t>
      </w:r>
      <w:r w:rsidRPr="003C67DD">
        <w:rPr>
          <w:rFonts w:cs="Times New Roman"/>
          <w:color w:val="000000" w:themeColor="text1"/>
          <w:szCs w:val="24"/>
        </w:rPr>
        <w:t xml:space="preserve">affect the financial empowerment of women entrepreneurs in </w:t>
      </w:r>
      <w:proofErr w:type="spellStart"/>
      <w:r w:rsidRPr="003C67DD">
        <w:rPr>
          <w:rFonts w:cs="Times New Roman"/>
          <w:color w:val="000000" w:themeColor="text1"/>
          <w:szCs w:val="24"/>
        </w:rPr>
        <w:t>Eldama</w:t>
      </w:r>
      <w:proofErr w:type="spellEnd"/>
      <w:r w:rsidRPr="003C67DD">
        <w:rPr>
          <w:rFonts w:cs="Times New Roman"/>
          <w:color w:val="000000" w:themeColor="text1"/>
          <w:szCs w:val="24"/>
        </w:rPr>
        <w:t xml:space="preserve"> Ravine Sub-County. Findings revealed that these interventions significantly enhanced women’s financial independence, business growth, and decision-making capacity. Microcredit improved access to productive assets and income stability, while </w:t>
      </w:r>
      <w:proofErr w:type="spellStart"/>
      <w:r w:rsidRPr="003C67DD">
        <w:rPr>
          <w:rFonts w:cs="Times New Roman"/>
          <w:color w:val="000000" w:themeColor="text1"/>
          <w:szCs w:val="24"/>
        </w:rPr>
        <w:t>microsaving</w:t>
      </w:r>
      <w:proofErr w:type="spellEnd"/>
      <w:r w:rsidRPr="003C67DD">
        <w:rPr>
          <w:rFonts w:cs="Times New Roman"/>
          <w:color w:val="000000" w:themeColor="text1"/>
          <w:szCs w:val="24"/>
        </w:rPr>
        <w:t xml:space="preserve"> fostered financial discipline and resilience. Business development services, including training and mentorship, boosted innovation and sustainability in women-owned enterprises. Advisory and consultancy support emerged as the strongest predictor of empowerment by enhancing managerial confidence and competitiveness. Overall, microfinance has evolved beyond credit provision to encompass holistic empowerment tools that enable women to build financial capability, overcome structural barriers, and achieve sustainable entrepreneurial success.</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648B633B" w14:textId="70CA7332" w:rsidR="00D16476" w:rsidRPr="007A56B8" w:rsidRDefault="003C67DD" w:rsidP="00E05059">
      <w:pPr>
        <w:spacing w:before="0" w:line="240" w:lineRule="auto"/>
      </w:pPr>
      <w:r w:rsidRPr="003C67DD">
        <w:t>Microfinance institutions should expand affordable and accessible credit facilities with flexible repayment terms while integrating micro-savings schemes to enhance financial literacy and disciplined saving among women entrepreneurs. Policymakers should strengthen business development services, including mentorship, training, and digital literacy, to foster competitiveness in modern markets. Women entrepreneurs need access to institutionalized advisory and consultancy services through partnerships among MFIs, government agencies, and professional bodies to improve compliance, management, and confidence. The government should align microfinance policies with national gender and economic strategies by providing supportive regulatory frameworks, infrastructure, and subsidies. Integrating microfinance into broader empowerment programs can sustainably promote women’s economic participation and drive social transformation in Baringo County and beyond.</w:t>
      </w:r>
    </w:p>
    <w:p w14:paraId="38ACF2C4" w14:textId="77777777" w:rsidR="007A56B8" w:rsidRP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lastRenderedPageBreak/>
        <w:t>REFERENCES</w:t>
      </w:r>
    </w:p>
    <w:p w14:paraId="552AE7A3"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Abubakar, A., &amp; Bello, R. (2024). Effectiveness of advisory and consultancy services in strengthening women-led enterprises in rural Kenya. Journal of Small Business &amp; Entrepreneurship Development, 11(2), 98–115. https://doi.org/10.5281/zenodo.11458932</w:t>
      </w:r>
    </w:p>
    <w:p w14:paraId="6A053713" w14:textId="77777777" w:rsidR="00EC5319" w:rsidRPr="00EC5319" w:rsidRDefault="00EC5319" w:rsidP="00EC5319">
      <w:pPr>
        <w:pStyle w:val="NormalWeb"/>
        <w:spacing w:before="0"/>
        <w:ind w:left="720" w:hanging="720"/>
        <w:rPr>
          <w:rFonts w:eastAsia="Calibri"/>
          <w:color w:val="000000"/>
          <w14:ligatures w14:val="standardContextual"/>
        </w:rPr>
      </w:pPr>
      <w:proofErr w:type="spellStart"/>
      <w:r w:rsidRPr="00EC5319">
        <w:rPr>
          <w:rFonts w:eastAsia="Calibri"/>
          <w:color w:val="000000"/>
          <w14:ligatures w14:val="standardContextual"/>
        </w:rPr>
        <w:t>Akanle</w:t>
      </w:r>
      <w:proofErr w:type="spellEnd"/>
      <w:r w:rsidRPr="00EC5319">
        <w:rPr>
          <w:rFonts w:eastAsia="Calibri"/>
          <w:color w:val="000000"/>
          <w14:ligatures w14:val="standardContextual"/>
        </w:rPr>
        <w:t xml:space="preserve">, O., Okafor, S., &amp; </w:t>
      </w:r>
      <w:proofErr w:type="spellStart"/>
      <w:r w:rsidRPr="00EC5319">
        <w:rPr>
          <w:rFonts w:eastAsia="Calibri"/>
          <w:color w:val="000000"/>
          <w14:ligatures w14:val="standardContextual"/>
        </w:rPr>
        <w:t>Olutayo</w:t>
      </w:r>
      <w:proofErr w:type="spellEnd"/>
      <w:r w:rsidRPr="00EC5319">
        <w:rPr>
          <w:rFonts w:eastAsia="Calibri"/>
          <w:color w:val="000000"/>
          <w14:ligatures w14:val="standardContextual"/>
        </w:rPr>
        <w:t>, A. (2020). Field research challenges in African contexts: Lessons for development studies. African Journal of Social Sciences, 12(3), 45–61. https://doi.org/10.4314/ajss.v12i3.321</w:t>
      </w:r>
    </w:p>
    <w:p w14:paraId="651EC318"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 xml:space="preserve">Akinbami, O., &amp; </w:t>
      </w:r>
      <w:proofErr w:type="spellStart"/>
      <w:r w:rsidRPr="00EC5319">
        <w:rPr>
          <w:rFonts w:eastAsia="Calibri"/>
          <w:color w:val="000000"/>
          <w14:ligatures w14:val="standardContextual"/>
        </w:rPr>
        <w:t>Aribaba</w:t>
      </w:r>
      <w:proofErr w:type="spellEnd"/>
      <w:r w:rsidRPr="00EC5319">
        <w:rPr>
          <w:rFonts w:eastAsia="Calibri"/>
          <w:color w:val="000000"/>
          <w14:ligatures w14:val="standardContextual"/>
        </w:rPr>
        <w:t xml:space="preserve">, F. (2023). Role of </w:t>
      </w:r>
      <w:proofErr w:type="spellStart"/>
      <w:r w:rsidRPr="00EC5319">
        <w:rPr>
          <w:rFonts w:eastAsia="Calibri"/>
          <w:color w:val="000000"/>
          <w14:ligatures w14:val="standardContextual"/>
        </w:rPr>
        <w:t>microsaving</w:t>
      </w:r>
      <w:proofErr w:type="spellEnd"/>
      <w:r w:rsidRPr="00EC5319">
        <w:rPr>
          <w:rFonts w:eastAsia="Calibri"/>
          <w:color w:val="000000"/>
          <w14:ligatures w14:val="standardContextual"/>
        </w:rPr>
        <w:t xml:space="preserve"> in enhancing financial resilience among women entrepreneurs. African Journal of Finance and Management, 9(1), 45–60. https://doi.org/10.1080/26673192.2023.114523</w:t>
      </w:r>
    </w:p>
    <w:p w14:paraId="682F5ED6"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Atieno, R., &amp; Mwangi, J. (2023). Integrated microfinance and advisory support for women entrepreneurs in Kenya. Journal of Development Studies in Africa, 15(2), 77–94. https://doi.org/10.1177/27530490231135412</w:t>
      </w:r>
    </w:p>
    <w:p w14:paraId="7C561FE4"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Canovas, R., &amp; Omondi, D. (2021). Empowerment of women entrepreneurs in Nairobi County: The role of microcredit access channels. Journal of Development Policy and Practice, 6(4), 502–520. https://doi.org/10.1177/09720634211023947</w:t>
      </w:r>
    </w:p>
    <w:p w14:paraId="0F125A1A" w14:textId="77777777" w:rsidR="00EC5319" w:rsidRPr="00EC5319" w:rsidRDefault="00EC5319" w:rsidP="00EC5319">
      <w:pPr>
        <w:pStyle w:val="NormalWeb"/>
        <w:spacing w:before="0"/>
        <w:ind w:left="720" w:hanging="720"/>
        <w:rPr>
          <w:rFonts w:eastAsia="Calibri"/>
          <w:color w:val="000000"/>
          <w14:ligatures w14:val="standardContextual"/>
        </w:rPr>
      </w:pPr>
      <w:proofErr w:type="spellStart"/>
      <w:r w:rsidRPr="00EC5319">
        <w:rPr>
          <w:rFonts w:eastAsia="Calibri"/>
          <w:color w:val="000000"/>
          <w14:ligatures w14:val="standardContextual"/>
        </w:rPr>
        <w:t>Chiguta</w:t>
      </w:r>
      <w:proofErr w:type="spellEnd"/>
      <w:r w:rsidRPr="00EC5319">
        <w:rPr>
          <w:rFonts w:eastAsia="Calibri"/>
          <w:color w:val="000000"/>
          <w14:ligatures w14:val="standardContextual"/>
        </w:rPr>
        <w:t>, F. (2021). The role of mentorship and consultancy in enhancing women’s entrepreneurial capacity in sub-Saharan Africa. International Journal of Gender and Entrepreneurship, 13(4), 321–338. https://doi.org/10.1108/IJGE-05-2021-0092</w:t>
      </w:r>
    </w:p>
    <w:p w14:paraId="4E175D0E" w14:textId="77777777" w:rsidR="00EC5319" w:rsidRPr="00EC5319" w:rsidRDefault="00EC5319" w:rsidP="00EC5319">
      <w:pPr>
        <w:pStyle w:val="NormalWeb"/>
        <w:spacing w:before="0"/>
        <w:ind w:left="720" w:hanging="720"/>
        <w:rPr>
          <w:rFonts w:eastAsia="Calibri"/>
          <w:color w:val="000000"/>
          <w14:ligatures w14:val="standardContextual"/>
        </w:rPr>
      </w:pPr>
      <w:proofErr w:type="spellStart"/>
      <w:r w:rsidRPr="00EC5319">
        <w:rPr>
          <w:rFonts w:eastAsia="Calibri"/>
          <w:color w:val="000000"/>
          <w14:ligatures w14:val="standardContextual"/>
        </w:rPr>
        <w:t>Chironga</w:t>
      </w:r>
      <w:proofErr w:type="spellEnd"/>
      <w:r w:rsidRPr="00EC5319">
        <w:rPr>
          <w:rFonts w:eastAsia="Calibri"/>
          <w:color w:val="000000"/>
          <w14:ligatures w14:val="standardContextual"/>
        </w:rPr>
        <w:t>, M., &amp; Malila, V. (2021). Overcoming language and trust barriers in African survey research. Journal of African Methodological Studies, 5(1), 61–74. https://doi.org/10.1177/20531680211023961</w:t>
      </w:r>
    </w:p>
    <w:p w14:paraId="7159B21B"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Digital finance leads women entrepreneurship and poverty reduction: Evidence from Bangladesh. (2025). Innovation and Entrepreneurship, 14(1), 87. https://doi.org/10.1186/s13731-025-00471-2</w:t>
      </w:r>
    </w:p>
    <w:p w14:paraId="1912B5B7"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Exploring the synergy between microfinance and poverty: A gendered analysis. (2025). SAGE Open, 15(2), 1–13. https://doi.org/10.1177/21582440251340771</w:t>
      </w:r>
    </w:p>
    <w:p w14:paraId="7DD1E35A"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 xml:space="preserve">Invest2Impact. (2022). Supporting African women entrepreneurs. </w:t>
      </w:r>
      <w:proofErr w:type="spellStart"/>
      <w:r w:rsidRPr="00EC5319">
        <w:rPr>
          <w:rFonts w:eastAsia="Calibri"/>
          <w:color w:val="000000"/>
          <w14:ligatures w14:val="standardContextual"/>
        </w:rPr>
        <w:t>FinDev</w:t>
      </w:r>
      <w:proofErr w:type="spellEnd"/>
      <w:r w:rsidRPr="00EC5319">
        <w:rPr>
          <w:rFonts w:eastAsia="Calibri"/>
          <w:color w:val="000000"/>
          <w14:ligatures w14:val="standardContextual"/>
        </w:rPr>
        <w:t xml:space="preserve"> Canada. https://www.findevcanada.ca/sites/default/files/2022-11/221110_Invest2Impact_Report_Eng_FINAL.pdf</w:t>
      </w:r>
    </w:p>
    <w:p w14:paraId="780BE489"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Kariuki, M., &amp; Mburu, E. (2021). Access to finance and its influence on women-owned small enterprises in Kenya. African Journal of Economic Policy, 28(2), 130–148. https://doi.org/10.1080/20421338.2021.1915924</w:t>
      </w:r>
    </w:p>
    <w:p w14:paraId="7B4B4AE3"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Khan, S. T., Ali, A., &amp; Rahman, H. (2022). Can microfinance-backed entrepreneurship be a holistic mechanism for women’s empowerment? Journal of Business and Social Entrepreneurship, 7(3), 310–327. https://doi.org/10.1108/JBSED-07-2021-0097</w:t>
      </w:r>
    </w:p>
    <w:p w14:paraId="1284CEB1"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Mokhtar, N., &amp; Abdullah, S. (2020). Business development services and women’s entrepreneurial growth in developing economies. International Journal of Entrepreneurship and Innovation, 21(3), 197–210. https://doi.org/10.1177/1465750320914732</w:t>
      </w:r>
    </w:p>
    <w:p w14:paraId="0BFA2941"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lastRenderedPageBreak/>
        <w:t>Muriithi, F. (2022). Gender-sensitive financial policies and women entrepreneurs in Kenya: A policy review. Kenya Journal of Policy Studies, 8(1), 44–61. https://doi.org/10.1177/20531680221043254</w:t>
      </w:r>
    </w:p>
    <w:p w14:paraId="170D6AFF"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Musau, K., &amp; Wanyoike, F. (2024). Advisory and consultancy in women’s enterprises: Comparative effectiveness in Kenya. Kenyan Journal of Entrepreneurship, 4(1), 25–42. https://doi.org/10.5281/zenodo.11259420</w:t>
      </w:r>
    </w:p>
    <w:p w14:paraId="78CE7DF1"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Musa, I., &amp; Ahmad, S. (2022). Digital financial services and women’s entrepreneurial empowerment in sub-Saharan Africa. Journal of Digital Development in Africa, 2(1), 1–16. https://doi.org/10.1177/26349543221023458</w:t>
      </w:r>
    </w:p>
    <w:p w14:paraId="24C2876E"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Mwangi, L., &amp; Kamau, P. (2023). Constraints in women’s entrepreneurial empowerment: Insights from rural Kenya. Journal of African Entrepreneurship, 5(2), 141–159. https://doi.org/10.1177/27530590231134415</w:t>
      </w:r>
    </w:p>
    <w:p w14:paraId="55D24A9F"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Nguyen, N., &amp; Nguyen, T. (2020). Integrated supports and women’s entrepreneurial empowerment: Evidence from developing contexts. Asian Journal of Social Science &amp; Management Studies, 5(2), 112–130. https://doi.org/10.18488/journal.1.2020.52.112.130</w:t>
      </w:r>
    </w:p>
    <w:p w14:paraId="7F85906C"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 xml:space="preserve">Nyambura, J., &amp; Omondi, G. (2023). Microcredit, </w:t>
      </w:r>
      <w:proofErr w:type="spellStart"/>
      <w:r w:rsidRPr="00EC5319">
        <w:rPr>
          <w:rFonts w:eastAsia="Calibri"/>
          <w:color w:val="000000"/>
          <w14:ligatures w14:val="standardContextual"/>
        </w:rPr>
        <w:t>microsaving</w:t>
      </w:r>
      <w:proofErr w:type="spellEnd"/>
      <w:r w:rsidRPr="00EC5319">
        <w:rPr>
          <w:rFonts w:eastAsia="Calibri"/>
          <w:color w:val="000000"/>
          <w14:ligatures w14:val="standardContextual"/>
        </w:rPr>
        <w:t xml:space="preserve"> and empowerment of women entrepreneurs in Kenya. African Review of Economics and Finance, 15(1), 85–104. https://doi.org/10.1108/AREF-12-2022-0122</w:t>
      </w:r>
    </w:p>
    <w:p w14:paraId="42027732"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Oduor, C., &amp; Muturi, W. (2021). Policy implications of microfinance and women’s empowerment in rural Kenya. Journal of Public Policy and Family Studies, 8(2), 80–102. https://doi.org/10.1177/20531680211039988</w:t>
      </w:r>
    </w:p>
    <w:p w14:paraId="73A38BA8"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Omondi, D., &amp; Kinyua, J. (2020). Ecosystem approaches to women’s entrepreneurship support in East Africa. International Journal of Development Studies, 12(3), 201–219. https://doi.org/10.1080/27530590.2020.112938</w:t>
      </w:r>
    </w:p>
    <w:p w14:paraId="6431ABB5"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Women’s World Banking. (2024). Advancing women-led MSMEs through digital financial inclusion. Women’s World Banking. https://www.womensworldbanking.org/wp-content/uploads/2024/06/WDFI-Advocacy-Hub_WhitePaper.pdf</w:t>
      </w:r>
    </w:p>
    <w:p w14:paraId="60952C5F"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World Bank. (2023). Bridging the finance gap for women entrepreneurs in Kenya: IFC &amp; M-KOPA partnership. World Bank. https://www.ifc.org/en/stories/2024/bridging-the-finance-gap-for-women-entrepreneurs-in-kenya</w:t>
      </w:r>
    </w:p>
    <w:p w14:paraId="55D42EBF" w14:textId="77777777" w:rsidR="00EC5319" w:rsidRPr="00EC5319" w:rsidRDefault="00EC5319" w:rsidP="00EC5319">
      <w:pPr>
        <w:pStyle w:val="NormalWeb"/>
        <w:spacing w:before="0"/>
        <w:ind w:left="720" w:hanging="720"/>
        <w:rPr>
          <w:rFonts w:eastAsia="Calibri"/>
          <w:color w:val="000000"/>
          <w14:ligatures w14:val="standardContextual"/>
        </w:rPr>
      </w:pPr>
      <w:r w:rsidRPr="00EC5319">
        <w:rPr>
          <w:rFonts w:eastAsia="Calibri"/>
          <w:color w:val="000000"/>
          <w14:ligatures w14:val="standardContextual"/>
        </w:rPr>
        <w:t>Waweru, M., &amp; Cherono, A. (2022). Training, mentorship, and entrepreneurial performance of women-led SMEs in Kenya. Journal of Business and Economic Development, 7(4), 145–158. https://doi.org/10.11648/j.jbed.20220704.12</w:t>
      </w:r>
    </w:p>
    <w:p w14:paraId="22A005A7" w14:textId="0671843B" w:rsidR="00B55CEF" w:rsidRPr="00B55CEF" w:rsidRDefault="00B55CEF" w:rsidP="007A56B8">
      <w:pPr>
        <w:pStyle w:val="NormalWeb"/>
        <w:spacing w:before="0" w:beforeAutospacing="0"/>
        <w:ind w:left="720" w:hanging="720"/>
        <w:rPr>
          <w:color w:val="000000" w:themeColor="text1"/>
        </w:rPr>
      </w:pPr>
    </w:p>
    <w:sectPr w:rsidR="00B55CEF" w:rsidRPr="00B55CEF" w:rsidSect="00055D83">
      <w:headerReference w:type="even" r:id="rId8"/>
      <w:headerReference w:type="default" r:id="rId9"/>
      <w:footerReference w:type="even" r:id="rId10"/>
      <w:footerReference w:type="default" r:id="rId11"/>
      <w:headerReference w:type="first" r:id="rId12"/>
      <w:footerReference w:type="first" r:id="rId1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3D871" w14:textId="77777777" w:rsidR="00904374" w:rsidRDefault="00904374">
      <w:pPr>
        <w:spacing w:before="0" w:line="240" w:lineRule="auto"/>
      </w:pPr>
      <w:r>
        <w:separator/>
      </w:r>
    </w:p>
  </w:endnote>
  <w:endnote w:type="continuationSeparator" w:id="0">
    <w:p w14:paraId="4CB2F1D7" w14:textId="77777777" w:rsidR="00904374" w:rsidRDefault="0090437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77F2" w14:textId="77777777" w:rsidR="00EC050C" w:rsidRDefault="00EC0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18867C7E"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E518FD">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3CBA" w14:textId="77777777" w:rsidR="00EC050C" w:rsidRDefault="00EC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29C8B" w14:textId="77777777" w:rsidR="00904374" w:rsidRDefault="00904374">
      <w:pPr>
        <w:spacing w:before="0" w:line="240" w:lineRule="auto"/>
      </w:pPr>
      <w:r>
        <w:separator/>
      </w:r>
    </w:p>
  </w:footnote>
  <w:footnote w:type="continuationSeparator" w:id="0">
    <w:p w14:paraId="183ADCEB" w14:textId="77777777" w:rsidR="00904374" w:rsidRDefault="0090437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98A8" w14:textId="79C9B2B6" w:rsidR="00EC050C" w:rsidRDefault="00EC050C">
    <w:pPr>
      <w:pStyle w:val="Header"/>
    </w:pPr>
    <w:r>
      <w:rPr>
        <w:noProof/>
      </w:rPr>
      <w:pict w14:anchorId="45CA3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6501" o:spid="_x0000_s2050"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6670" w14:textId="4C9C704A" w:rsidR="00EC050C" w:rsidRDefault="00EC050C">
    <w:pPr>
      <w:pStyle w:val="Header"/>
    </w:pPr>
    <w:r>
      <w:rPr>
        <w:noProof/>
      </w:rPr>
      <w:pict w14:anchorId="7265F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6502" o:spid="_x0000_s2051"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A973" w14:textId="4AE1C1B5" w:rsidR="00EC050C" w:rsidRDefault="00EC050C">
    <w:pPr>
      <w:pStyle w:val="Header"/>
    </w:pPr>
    <w:r>
      <w:rPr>
        <w:noProof/>
      </w:rPr>
      <w:pict w14:anchorId="4FA01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286500" o:spid="_x0000_s2049"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0"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1"/>
  </w:num>
  <w:num w:numId="4">
    <w:abstractNumId w:val="20"/>
  </w:num>
  <w:num w:numId="5">
    <w:abstractNumId w:val="17"/>
  </w:num>
  <w:num w:numId="6">
    <w:abstractNumId w:val="19"/>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8"/>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7D61"/>
    <w:rsid w:val="0005136B"/>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7152"/>
    <w:rsid w:val="000D7DAA"/>
    <w:rsid w:val="000E11E7"/>
    <w:rsid w:val="000E2349"/>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47A9"/>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566F"/>
    <w:rsid w:val="00415ABE"/>
    <w:rsid w:val="004165B3"/>
    <w:rsid w:val="00416E73"/>
    <w:rsid w:val="00421CF2"/>
    <w:rsid w:val="0042251A"/>
    <w:rsid w:val="00426617"/>
    <w:rsid w:val="00426CDB"/>
    <w:rsid w:val="00437393"/>
    <w:rsid w:val="00440EF7"/>
    <w:rsid w:val="00462B59"/>
    <w:rsid w:val="00466181"/>
    <w:rsid w:val="004737A8"/>
    <w:rsid w:val="004916BB"/>
    <w:rsid w:val="004963A4"/>
    <w:rsid w:val="00496991"/>
    <w:rsid w:val="004A12F4"/>
    <w:rsid w:val="004A3F7C"/>
    <w:rsid w:val="004A5357"/>
    <w:rsid w:val="004B7C71"/>
    <w:rsid w:val="004C07EE"/>
    <w:rsid w:val="004C3121"/>
    <w:rsid w:val="004C41F7"/>
    <w:rsid w:val="004C4596"/>
    <w:rsid w:val="004C7D5D"/>
    <w:rsid w:val="004D0812"/>
    <w:rsid w:val="004D081D"/>
    <w:rsid w:val="004D5CCD"/>
    <w:rsid w:val="004D6AC0"/>
    <w:rsid w:val="004E3D2D"/>
    <w:rsid w:val="004E4A2C"/>
    <w:rsid w:val="004F5A5D"/>
    <w:rsid w:val="00500683"/>
    <w:rsid w:val="00505972"/>
    <w:rsid w:val="0051495F"/>
    <w:rsid w:val="0052143B"/>
    <w:rsid w:val="00526412"/>
    <w:rsid w:val="0052667E"/>
    <w:rsid w:val="00531B5F"/>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A1956"/>
    <w:rsid w:val="005B04D7"/>
    <w:rsid w:val="005B0558"/>
    <w:rsid w:val="005D3FE1"/>
    <w:rsid w:val="005D72F4"/>
    <w:rsid w:val="005E3D2C"/>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D33AD"/>
    <w:rsid w:val="006E1D74"/>
    <w:rsid w:val="006E3F3F"/>
    <w:rsid w:val="006E526B"/>
    <w:rsid w:val="0070085D"/>
    <w:rsid w:val="00711AB4"/>
    <w:rsid w:val="00714562"/>
    <w:rsid w:val="0071731F"/>
    <w:rsid w:val="007173FC"/>
    <w:rsid w:val="00717F18"/>
    <w:rsid w:val="007205CE"/>
    <w:rsid w:val="00722A32"/>
    <w:rsid w:val="00723B81"/>
    <w:rsid w:val="007313ED"/>
    <w:rsid w:val="00750F50"/>
    <w:rsid w:val="0076188C"/>
    <w:rsid w:val="00762807"/>
    <w:rsid w:val="007656A9"/>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D472A"/>
    <w:rsid w:val="008E2312"/>
    <w:rsid w:val="008F4E62"/>
    <w:rsid w:val="00904374"/>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4B16"/>
    <w:rsid w:val="009E783A"/>
    <w:rsid w:val="009F3871"/>
    <w:rsid w:val="009F5632"/>
    <w:rsid w:val="009F6D2D"/>
    <w:rsid w:val="00A00A05"/>
    <w:rsid w:val="00A0120F"/>
    <w:rsid w:val="00A01B25"/>
    <w:rsid w:val="00A01E19"/>
    <w:rsid w:val="00A22EB7"/>
    <w:rsid w:val="00A27439"/>
    <w:rsid w:val="00A31119"/>
    <w:rsid w:val="00A40F08"/>
    <w:rsid w:val="00A52C12"/>
    <w:rsid w:val="00A53CB4"/>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2188D"/>
    <w:rsid w:val="00B21AF4"/>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E5008"/>
    <w:rsid w:val="00BF3C23"/>
    <w:rsid w:val="00BF6F97"/>
    <w:rsid w:val="00C01423"/>
    <w:rsid w:val="00C0320B"/>
    <w:rsid w:val="00C03297"/>
    <w:rsid w:val="00C053F5"/>
    <w:rsid w:val="00C06731"/>
    <w:rsid w:val="00C10FCA"/>
    <w:rsid w:val="00C1335A"/>
    <w:rsid w:val="00C22AD2"/>
    <w:rsid w:val="00C237CE"/>
    <w:rsid w:val="00C25488"/>
    <w:rsid w:val="00C32AB8"/>
    <w:rsid w:val="00C35625"/>
    <w:rsid w:val="00C4118B"/>
    <w:rsid w:val="00C54577"/>
    <w:rsid w:val="00C67694"/>
    <w:rsid w:val="00C864EE"/>
    <w:rsid w:val="00C9348C"/>
    <w:rsid w:val="00C95979"/>
    <w:rsid w:val="00CA2418"/>
    <w:rsid w:val="00CA37C0"/>
    <w:rsid w:val="00CA6BD4"/>
    <w:rsid w:val="00CB6E82"/>
    <w:rsid w:val="00CE4C91"/>
    <w:rsid w:val="00CE7EED"/>
    <w:rsid w:val="00CF7125"/>
    <w:rsid w:val="00CF7422"/>
    <w:rsid w:val="00D01AC4"/>
    <w:rsid w:val="00D15E77"/>
    <w:rsid w:val="00D16476"/>
    <w:rsid w:val="00D20B1E"/>
    <w:rsid w:val="00D21679"/>
    <w:rsid w:val="00D242AA"/>
    <w:rsid w:val="00D257C4"/>
    <w:rsid w:val="00D257F6"/>
    <w:rsid w:val="00D26C8B"/>
    <w:rsid w:val="00D309F6"/>
    <w:rsid w:val="00D352C1"/>
    <w:rsid w:val="00D35C0E"/>
    <w:rsid w:val="00D36322"/>
    <w:rsid w:val="00D530BF"/>
    <w:rsid w:val="00D54CAA"/>
    <w:rsid w:val="00D56393"/>
    <w:rsid w:val="00D56DAA"/>
    <w:rsid w:val="00D656A4"/>
    <w:rsid w:val="00D665A0"/>
    <w:rsid w:val="00D73F27"/>
    <w:rsid w:val="00D74259"/>
    <w:rsid w:val="00D7477F"/>
    <w:rsid w:val="00D7785F"/>
    <w:rsid w:val="00D916BC"/>
    <w:rsid w:val="00D94638"/>
    <w:rsid w:val="00DA0813"/>
    <w:rsid w:val="00DB266B"/>
    <w:rsid w:val="00DB408B"/>
    <w:rsid w:val="00DC406B"/>
    <w:rsid w:val="00DC4076"/>
    <w:rsid w:val="00DC411F"/>
    <w:rsid w:val="00DD21C0"/>
    <w:rsid w:val="00DD507F"/>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8DE"/>
    <w:rsid w:val="00E468EC"/>
    <w:rsid w:val="00E5141C"/>
    <w:rsid w:val="00E518FD"/>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C050C"/>
    <w:rsid w:val="00EC5319"/>
    <w:rsid w:val="00EC58C5"/>
    <w:rsid w:val="00ED008A"/>
    <w:rsid w:val="00ED0CCB"/>
    <w:rsid w:val="00ED5030"/>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table" w:customStyle="1" w:styleId="TableGrid0">
    <w:name w:val="TableGrid"/>
    <w:rsid w:val="00D530B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01AC4"/>
    <w:rPr>
      <w:color w:val="605E5C"/>
      <w:shd w:val="clear" w:color="auto" w:fill="E1DFDD"/>
    </w:rPr>
  </w:style>
  <w:style w:type="paragraph" w:styleId="Header">
    <w:name w:val="header"/>
    <w:basedOn w:val="Normal"/>
    <w:link w:val="HeaderChar"/>
    <w:uiPriority w:val="99"/>
    <w:unhideWhenUsed/>
    <w:rsid w:val="00EC050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C050C"/>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7910">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6375</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11</cp:revision>
  <dcterms:created xsi:type="dcterms:W3CDTF">2025-11-10T19:00:00Z</dcterms:created>
  <dcterms:modified xsi:type="dcterms:W3CDTF">2025-11-22T07:04:00Z</dcterms:modified>
</cp:coreProperties>
</file>