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C0B60" w14:textId="77777777" w:rsidR="00DE68B2" w:rsidRPr="00935AB2" w:rsidRDefault="00DE68B2" w:rsidP="005653C2">
      <w:pPr>
        <w:pStyle w:val="Author"/>
        <w:spacing w:line="240" w:lineRule="auto"/>
        <w:rPr>
          <w:rFonts w:ascii="Arial" w:hAnsi="Arial" w:cs="Arial"/>
          <w:bCs/>
          <w:iCs/>
          <w:kern w:val="36"/>
          <w:sz w:val="20"/>
          <w:szCs w:val="22"/>
        </w:rPr>
      </w:pPr>
      <w:bookmarkStart w:id="0" w:name="_GoBack"/>
      <w:bookmarkEnd w:id="0"/>
    </w:p>
    <w:p w14:paraId="39B82F5B" w14:textId="54C0D8F8" w:rsidR="001646B7" w:rsidRPr="00935AB2" w:rsidRDefault="001646B7" w:rsidP="001646B7">
      <w:pPr>
        <w:spacing w:after="0" w:line="240" w:lineRule="auto"/>
        <w:contextualSpacing/>
        <w:jc w:val="right"/>
        <w:rPr>
          <w:rFonts w:ascii="Arial" w:eastAsia="Times New Roman" w:hAnsi="Arial" w:cstheme="majorBidi"/>
          <w:b/>
          <w:bCs/>
          <w:kern w:val="28"/>
          <w:sz w:val="48"/>
          <w:szCs w:val="48"/>
        </w:rPr>
      </w:pPr>
      <w:r w:rsidRPr="00935AB2">
        <w:rPr>
          <w:rFonts w:ascii="Arial" w:eastAsia="Times New Roman" w:hAnsi="Arial" w:cstheme="majorBidi"/>
          <w:b/>
          <w:bCs/>
          <w:kern w:val="28"/>
          <w:sz w:val="48"/>
          <w:szCs w:val="48"/>
        </w:rPr>
        <w:t xml:space="preserve">Prevalence of Bacterial Vaginosis among Women Attending </w:t>
      </w:r>
      <w:r w:rsidR="00B86553" w:rsidRPr="00B86553">
        <w:rPr>
          <w:rFonts w:ascii="Arial" w:eastAsia="Times New Roman" w:hAnsi="Arial" w:cstheme="majorBidi"/>
          <w:b/>
          <w:bCs/>
          <w:kern w:val="28"/>
          <w:sz w:val="48"/>
          <w:szCs w:val="48"/>
        </w:rPr>
        <w:t xml:space="preserve">gynecology clinic of </w:t>
      </w:r>
      <w:r w:rsidRPr="00935AB2">
        <w:rPr>
          <w:rFonts w:ascii="Arial" w:eastAsia="Times New Roman" w:hAnsi="Arial" w:cstheme="majorBidi"/>
          <w:b/>
          <w:bCs/>
          <w:kern w:val="28"/>
          <w:sz w:val="48"/>
          <w:szCs w:val="48"/>
        </w:rPr>
        <w:t>Ruhengeri Referral Hospital</w:t>
      </w:r>
    </w:p>
    <w:p w14:paraId="3D4F0EA2" w14:textId="77777777" w:rsidR="00004C81" w:rsidRPr="00935AB2" w:rsidRDefault="00004C81" w:rsidP="00004C81">
      <w:pPr>
        <w:spacing w:after="0" w:line="240" w:lineRule="auto"/>
        <w:contextualSpacing/>
        <w:jc w:val="right"/>
        <w:rPr>
          <w:rFonts w:ascii="Arial" w:eastAsia="Times New Roman" w:hAnsi="Arial" w:cs="Arial"/>
          <w:b/>
          <w:bCs/>
          <w:sz w:val="36"/>
          <w:szCs w:val="20"/>
        </w:rPr>
      </w:pPr>
    </w:p>
    <w:p w14:paraId="447111D1" w14:textId="77777777" w:rsidR="001D4826" w:rsidRPr="00935AB2" w:rsidRDefault="001D4826" w:rsidP="005653C2">
      <w:pPr>
        <w:spacing w:after="0" w:line="240" w:lineRule="auto"/>
        <w:contextualSpacing/>
        <w:jc w:val="right"/>
        <w:rPr>
          <w:rFonts w:ascii="Arial" w:eastAsia="Times New Roman" w:hAnsi="Arial" w:cs="Arial"/>
          <w:sz w:val="16"/>
          <w:szCs w:val="16"/>
        </w:rPr>
      </w:pPr>
    </w:p>
    <w:p w14:paraId="40C564AE" w14:textId="77777777" w:rsidR="001D4826" w:rsidRPr="00935AB2" w:rsidRDefault="001D4826" w:rsidP="005653C2">
      <w:pPr>
        <w:spacing w:after="0" w:line="240" w:lineRule="auto"/>
        <w:contextualSpacing/>
        <w:jc w:val="right"/>
        <w:rPr>
          <w:rFonts w:ascii="Arial" w:eastAsia="Times New Roman" w:hAnsi="Arial" w:cs="Arial"/>
          <w:i/>
          <w:sz w:val="18"/>
          <w:szCs w:val="18"/>
        </w:rPr>
      </w:pPr>
    </w:p>
    <w:p w14:paraId="6FB4344F" w14:textId="77777777" w:rsidR="001D4826" w:rsidRPr="00935AB2" w:rsidRDefault="001D4826" w:rsidP="005653C2">
      <w:pPr>
        <w:spacing w:after="0" w:line="240" w:lineRule="auto"/>
        <w:contextualSpacing/>
        <w:jc w:val="right"/>
        <w:rPr>
          <w:rFonts w:ascii="Arial" w:eastAsia="Times New Roman" w:hAnsi="Arial" w:cs="Arial"/>
          <w:b/>
          <w:sz w:val="18"/>
          <w:szCs w:val="18"/>
        </w:rPr>
      </w:pPr>
    </w:p>
    <w:p w14:paraId="6F47B761" w14:textId="77777777" w:rsidR="00317B75" w:rsidRPr="00935AB2" w:rsidRDefault="00030109" w:rsidP="005653C2">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558CE67E">
          <v:rect id="_x0000_s1237" style="position:absolute;left:0;text-align:left;margin-left:.75pt;margin-top:9.4pt;width:137.6pt;height:18.65pt;z-index:251668480">
            <v:textbox style="mso-next-textbox:#_x0000_s1237" inset=",2.16pt,,2.16pt">
              <w:txbxContent>
                <w:p w14:paraId="758B6AE6" w14:textId="7DD15A65" w:rsidR="00213E6F" w:rsidRPr="00081439" w:rsidRDefault="001646B7" w:rsidP="00213E6F">
                  <w:pPr>
                    <w:jc w:val="center"/>
                    <w:rPr>
                      <w:rFonts w:ascii="Arial" w:hAnsi="Arial" w:cs="Arial"/>
                      <w:b/>
                      <w:i/>
                      <w:sz w:val="20"/>
                    </w:rPr>
                  </w:pPr>
                  <w:r w:rsidRPr="001646B7">
                    <w:rPr>
                      <w:rFonts w:ascii="Arial" w:hAnsi="Arial" w:cs="Arial"/>
                      <w:b/>
                      <w:i/>
                      <w:sz w:val="20"/>
                    </w:rPr>
                    <w:t>Original Research Article</w:t>
                  </w:r>
                </w:p>
              </w:txbxContent>
            </v:textbox>
          </v:rect>
        </w:pict>
      </w:r>
      <w:r w:rsidR="00317B75" w:rsidRPr="00935AB2">
        <w:rPr>
          <w:rFonts w:ascii="Arial" w:eastAsia="Times New Roman" w:hAnsi="Arial" w:cs="Arial"/>
          <w:b/>
          <w:i/>
          <w:sz w:val="20"/>
          <w:szCs w:val="16"/>
        </w:rPr>
        <w:t>Received</w:t>
      </w:r>
      <w:r w:rsidR="00C7135B" w:rsidRPr="00935AB2">
        <w:rPr>
          <w:rFonts w:ascii="Arial" w:eastAsia="Times New Roman" w:hAnsi="Arial" w:cs="Arial"/>
          <w:b/>
          <w:i/>
          <w:sz w:val="20"/>
          <w:szCs w:val="16"/>
        </w:rPr>
        <w:t>:</w:t>
      </w:r>
      <w:r w:rsidR="00317B75" w:rsidRPr="00935AB2">
        <w:rPr>
          <w:rFonts w:ascii="Arial" w:eastAsia="Times New Roman" w:hAnsi="Arial" w:cs="Arial"/>
          <w:b/>
          <w:i/>
          <w:sz w:val="20"/>
          <w:szCs w:val="16"/>
        </w:rPr>
        <w:t xml:space="preserve"> </w:t>
      </w:r>
      <w:r w:rsidR="0011683D" w:rsidRPr="00935AB2">
        <w:rPr>
          <w:rFonts w:ascii="Arial" w:eastAsia="Times New Roman" w:hAnsi="Arial" w:cs="Arial"/>
          <w:b/>
          <w:i/>
          <w:sz w:val="20"/>
          <w:szCs w:val="16"/>
        </w:rPr>
        <w:t>DD/MM/20YY</w:t>
      </w:r>
    </w:p>
    <w:p w14:paraId="2D52E7AB" w14:textId="77777777" w:rsidR="00317B75" w:rsidRPr="00935AB2" w:rsidRDefault="00317B75" w:rsidP="005653C2">
      <w:pPr>
        <w:autoSpaceDE w:val="0"/>
        <w:autoSpaceDN w:val="0"/>
        <w:adjustRightInd w:val="0"/>
        <w:spacing w:after="0" w:line="240" w:lineRule="auto"/>
        <w:jc w:val="right"/>
        <w:rPr>
          <w:rFonts w:ascii="Arial" w:eastAsia="Times New Roman" w:hAnsi="Arial" w:cs="Arial"/>
          <w:b/>
          <w:i/>
          <w:sz w:val="20"/>
          <w:szCs w:val="16"/>
        </w:rPr>
      </w:pPr>
      <w:r w:rsidRPr="00935AB2">
        <w:rPr>
          <w:rFonts w:ascii="Arial" w:eastAsia="Times New Roman" w:hAnsi="Arial" w:cs="Arial"/>
          <w:b/>
          <w:i/>
          <w:sz w:val="20"/>
          <w:szCs w:val="16"/>
        </w:rPr>
        <w:t>Accepted</w:t>
      </w:r>
      <w:r w:rsidR="00C7135B" w:rsidRPr="00935AB2">
        <w:rPr>
          <w:rFonts w:ascii="Arial" w:eastAsia="Times New Roman" w:hAnsi="Arial" w:cs="Arial"/>
          <w:b/>
          <w:i/>
          <w:sz w:val="20"/>
          <w:szCs w:val="16"/>
        </w:rPr>
        <w:t>:</w:t>
      </w:r>
      <w:r w:rsidRPr="00935AB2">
        <w:rPr>
          <w:rFonts w:ascii="Arial" w:eastAsia="Times New Roman" w:hAnsi="Arial" w:cs="Arial"/>
          <w:b/>
          <w:i/>
          <w:sz w:val="20"/>
          <w:szCs w:val="16"/>
        </w:rPr>
        <w:t xml:space="preserve"> </w:t>
      </w:r>
      <w:r w:rsidR="0011683D" w:rsidRPr="00935AB2">
        <w:rPr>
          <w:rFonts w:ascii="Arial" w:eastAsia="Times New Roman" w:hAnsi="Arial" w:cs="Arial"/>
          <w:b/>
          <w:i/>
          <w:sz w:val="20"/>
          <w:szCs w:val="16"/>
        </w:rPr>
        <w:t>DD/MM/20YY</w:t>
      </w:r>
    </w:p>
    <w:p w14:paraId="608E6675" w14:textId="77777777" w:rsidR="00317B75" w:rsidRPr="00935AB2" w:rsidRDefault="00317B75" w:rsidP="005653C2">
      <w:pPr>
        <w:tabs>
          <w:tab w:val="left" w:pos="360"/>
        </w:tabs>
        <w:autoSpaceDE w:val="0"/>
        <w:autoSpaceDN w:val="0"/>
        <w:adjustRightInd w:val="0"/>
        <w:spacing w:after="0" w:line="240" w:lineRule="auto"/>
        <w:jc w:val="right"/>
        <w:rPr>
          <w:rFonts w:ascii="Arial" w:eastAsia="Times New Roman" w:hAnsi="Arial" w:cs="Arial"/>
          <w:b/>
          <w:i/>
          <w:sz w:val="24"/>
          <w:szCs w:val="20"/>
        </w:rPr>
      </w:pPr>
      <w:r w:rsidRPr="00935AB2">
        <w:rPr>
          <w:rFonts w:ascii="Arial" w:eastAsia="Times New Roman" w:hAnsi="Arial" w:cs="Arial"/>
          <w:b/>
          <w:i/>
          <w:sz w:val="20"/>
          <w:szCs w:val="16"/>
        </w:rPr>
        <w:t>Published</w:t>
      </w:r>
      <w:r w:rsidR="00C7135B" w:rsidRPr="00935AB2">
        <w:rPr>
          <w:rFonts w:ascii="Arial" w:eastAsia="Times New Roman" w:hAnsi="Arial" w:cs="Arial"/>
          <w:b/>
          <w:i/>
          <w:sz w:val="20"/>
          <w:szCs w:val="16"/>
        </w:rPr>
        <w:t>:</w:t>
      </w:r>
      <w:r w:rsidRPr="00935AB2">
        <w:rPr>
          <w:rFonts w:ascii="Arial" w:eastAsia="Times New Roman" w:hAnsi="Arial" w:cs="Arial"/>
          <w:b/>
          <w:i/>
          <w:sz w:val="20"/>
          <w:szCs w:val="16"/>
        </w:rPr>
        <w:t xml:space="preserve"> </w:t>
      </w:r>
      <w:r w:rsidR="0011683D" w:rsidRPr="00935AB2">
        <w:rPr>
          <w:rFonts w:ascii="Arial" w:eastAsia="Times New Roman" w:hAnsi="Arial" w:cs="Arial"/>
          <w:b/>
          <w:i/>
          <w:sz w:val="20"/>
          <w:szCs w:val="16"/>
        </w:rPr>
        <w:t>DD/MM/20YY</w:t>
      </w:r>
    </w:p>
    <w:p w14:paraId="51FD8074" w14:textId="77777777" w:rsidR="001D4826" w:rsidRPr="00935AB2" w:rsidRDefault="00030109" w:rsidP="005653C2">
      <w:pPr>
        <w:autoSpaceDE w:val="0"/>
        <w:autoSpaceDN w:val="0"/>
        <w:adjustRightInd w:val="0"/>
        <w:spacing w:after="0" w:line="240" w:lineRule="auto"/>
        <w:contextualSpacing/>
        <w:jc w:val="right"/>
        <w:rPr>
          <w:rFonts w:ascii="Arial" w:eastAsia="Times New Roman" w:hAnsi="Arial" w:cs="Arial"/>
          <w:sz w:val="20"/>
          <w:szCs w:val="20"/>
        </w:rPr>
      </w:pPr>
      <w:r>
        <w:rPr>
          <w:rFonts w:ascii="Arial" w:eastAsia="Times New Roman" w:hAnsi="Arial" w:cs="Arial"/>
          <w:szCs w:val="18"/>
        </w:rPr>
      </w:r>
      <w:r>
        <w:rPr>
          <w:rFonts w:ascii="Arial" w:eastAsia="Times New Roman" w:hAnsi="Arial" w:cs="Arial"/>
          <w:szCs w:val="18"/>
        </w:rPr>
        <w:pict w14:anchorId="76A54029">
          <v:shapetype id="_x0000_t32" coordsize="21600,21600" o:spt="32" o:oned="t" path="m,l21600,21600e" filled="f">
            <v:path arrowok="t" fillok="f" o:connecttype="none"/>
            <o:lock v:ext="edit" shapetype="t"/>
          </v:shapetype>
          <v:shape id="_x0000_s1238"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0535B5D7" w14:textId="77777777" w:rsidR="001D4826" w:rsidRPr="00935AB2" w:rsidRDefault="001D4826" w:rsidP="005653C2">
      <w:pPr>
        <w:keepNext/>
        <w:spacing w:after="0" w:line="240" w:lineRule="auto"/>
        <w:contextualSpacing/>
        <w:rPr>
          <w:rFonts w:ascii="Arial" w:eastAsia="Times New Roman" w:hAnsi="Arial" w:cs="Arial"/>
          <w:b/>
          <w:caps/>
          <w:sz w:val="16"/>
          <w:szCs w:val="16"/>
        </w:rPr>
      </w:pPr>
    </w:p>
    <w:p w14:paraId="788DA875" w14:textId="77777777" w:rsidR="001D4826" w:rsidRPr="00935AB2" w:rsidRDefault="001D4826" w:rsidP="00A61C65">
      <w:pPr>
        <w:pStyle w:val="Heading2"/>
        <w:rPr>
          <w:rFonts w:eastAsia="Times New Roman"/>
        </w:rPr>
      </w:pPr>
      <w:r w:rsidRPr="00935AB2">
        <w:rPr>
          <w:rFonts w:eastAsia="Times New Roman"/>
        </w:rPr>
        <w:t>ABSTRACT</w:t>
      </w:r>
    </w:p>
    <w:p w14:paraId="6D8488E9" w14:textId="77777777" w:rsidR="001D4826" w:rsidRPr="00935AB2" w:rsidRDefault="001D4826" w:rsidP="005653C2">
      <w:pPr>
        <w:keepNext/>
        <w:spacing w:after="0" w:line="240" w:lineRule="auto"/>
        <w:contextualSpacing/>
        <w:rPr>
          <w:rFonts w:ascii="Arial" w:eastAsia="Times New Roman" w:hAnsi="Arial" w:cs="Arial"/>
          <w:b/>
          <w:caps/>
          <w:sz w:val="16"/>
          <w:szCs w:val="16"/>
        </w:rPr>
      </w:pPr>
    </w:p>
    <w:tbl>
      <w:tblPr>
        <w:tblW w:w="9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6"/>
      </w:tblGrid>
      <w:tr w:rsidR="001D4826" w:rsidRPr="00935AB2" w14:paraId="3C6CF655" w14:textId="77777777" w:rsidTr="0043212D">
        <w:trPr>
          <w:jc w:val="center"/>
        </w:trPr>
        <w:tc>
          <w:tcPr>
            <w:tcW w:w="9036" w:type="dxa"/>
            <w:shd w:val="clear" w:color="auto" w:fill="auto"/>
          </w:tcPr>
          <w:p w14:paraId="57FD8772" w14:textId="77777777" w:rsidR="001646B7" w:rsidRPr="00935AB2" w:rsidRDefault="001646B7" w:rsidP="001646B7">
            <w:pPr>
              <w:spacing w:after="0" w:line="240" w:lineRule="auto"/>
              <w:contextualSpacing/>
              <w:jc w:val="both"/>
              <w:rPr>
                <w:rFonts w:ascii="Arial" w:eastAsia="Calibri" w:hAnsi="Arial" w:cs="Arial"/>
                <w:sz w:val="20"/>
              </w:rPr>
            </w:pPr>
            <w:r w:rsidRPr="00935AB2">
              <w:rPr>
                <w:rFonts w:ascii="Arial" w:eastAsia="Calibri" w:hAnsi="Arial" w:cs="Arial"/>
                <w:b/>
                <w:bCs/>
                <w:sz w:val="20"/>
              </w:rPr>
              <w:t>Background:</w:t>
            </w:r>
            <w:r w:rsidRPr="00935AB2">
              <w:rPr>
                <w:rFonts w:ascii="Arial" w:eastAsia="Calibri" w:hAnsi="Arial" w:cs="Arial"/>
                <w:sz w:val="20"/>
              </w:rPr>
              <w:t xml:space="preserve"> Bacterial vaginosis is among the common condition that affect reproductive tract of women worldwide. Its prevalence was found to vary worldwide. Although bacterial vaginosis prevalence is generally high in most parts of Africa and low in much of Asia and Europe.</w:t>
            </w:r>
          </w:p>
          <w:p w14:paraId="3441F981" w14:textId="77777777" w:rsidR="001646B7" w:rsidRPr="00935AB2" w:rsidRDefault="001646B7" w:rsidP="001646B7">
            <w:pPr>
              <w:spacing w:after="0" w:line="240" w:lineRule="auto"/>
              <w:contextualSpacing/>
              <w:jc w:val="both"/>
              <w:rPr>
                <w:rFonts w:ascii="Arial" w:eastAsia="Calibri" w:hAnsi="Arial" w:cs="Arial"/>
                <w:sz w:val="20"/>
              </w:rPr>
            </w:pPr>
            <w:r w:rsidRPr="00935AB2">
              <w:rPr>
                <w:rFonts w:ascii="Arial" w:eastAsia="Calibri" w:hAnsi="Arial" w:cs="Arial"/>
                <w:b/>
                <w:bCs/>
                <w:sz w:val="20"/>
              </w:rPr>
              <w:t>Aim:</w:t>
            </w:r>
            <w:r w:rsidRPr="00935AB2">
              <w:rPr>
                <w:rFonts w:ascii="Arial" w:eastAsia="Calibri" w:hAnsi="Arial" w:cs="Arial"/>
                <w:sz w:val="20"/>
              </w:rPr>
              <w:t xml:space="preserve"> current study aimed to study the prevalence of bacterial vaginosis among women attending Ruhengeri Referral Hospital. </w:t>
            </w:r>
          </w:p>
          <w:p w14:paraId="620DA294" w14:textId="77777777" w:rsidR="001646B7" w:rsidRPr="00935AB2" w:rsidRDefault="001646B7" w:rsidP="001646B7">
            <w:pPr>
              <w:spacing w:after="0" w:line="240" w:lineRule="auto"/>
              <w:contextualSpacing/>
              <w:jc w:val="both"/>
              <w:rPr>
                <w:rFonts w:ascii="Arial" w:eastAsia="Calibri" w:hAnsi="Arial" w:cs="Arial"/>
                <w:sz w:val="20"/>
              </w:rPr>
            </w:pPr>
            <w:r w:rsidRPr="00935AB2">
              <w:rPr>
                <w:rFonts w:ascii="Arial" w:eastAsia="Calibri" w:hAnsi="Arial" w:cs="Arial"/>
                <w:b/>
                <w:bCs/>
                <w:sz w:val="20"/>
              </w:rPr>
              <w:t>Methodology:</w:t>
            </w:r>
            <w:r w:rsidRPr="00935AB2">
              <w:rPr>
                <w:rFonts w:ascii="Arial" w:eastAsia="Calibri" w:hAnsi="Arial" w:cs="Arial"/>
                <w:sz w:val="20"/>
              </w:rPr>
              <w:t xml:space="preserve"> This retrospective study was carried out at Ruhengeri Referral Hospital, where data of three months (March to May 2021) from laboratory log books were used. Recorded data was analyzed by using Microsoft excel version 2016 and SPSS version 20. </w:t>
            </w:r>
          </w:p>
          <w:p w14:paraId="4022E401" w14:textId="77777777" w:rsidR="001646B7" w:rsidRPr="00935AB2" w:rsidRDefault="001646B7" w:rsidP="001646B7">
            <w:pPr>
              <w:spacing w:after="0" w:line="240" w:lineRule="auto"/>
              <w:contextualSpacing/>
              <w:jc w:val="both"/>
              <w:rPr>
                <w:rFonts w:ascii="Arial" w:eastAsia="Calibri" w:hAnsi="Arial" w:cs="Arial"/>
                <w:sz w:val="20"/>
              </w:rPr>
            </w:pPr>
            <w:r w:rsidRPr="00935AB2">
              <w:rPr>
                <w:rFonts w:ascii="Arial" w:eastAsia="Calibri" w:hAnsi="Arial" w:cs="Arial"/>
                <w:b/>
                <w:bCs/>
                <w:sz w:val="20"/>
              </w:rPr>
              <w:t>Results and Discussion:</w:t>
            </w:r>
            <w:r w:rsidRPr="00935AB2">
              <w:rPr>
                <w:rFonts w:ascii="Arial" w:eastAsia="Calibri" w:hAnsi="Arial" w:cs="Arial"/>
                <w:sz w:val="20"/>
              </w:rPr>
              <w:t xml:space="preserve"> The findings showed that 134(40.36%) out of 332 women were tested positive for bacterial vaginosis. It was found that bacterial vaginosis is distributed differently in reproductive aged women and post menopause woman with 40.06% and 44% respectively (P-value= 0.506). The age group of 34-44 years was observed to be more susceptible to bacterial vaginosis with 45.16% followed by age group of ≥45 years old with 44%, however, age group between 12-22 showed lower prevalence of 34.95% and group of 23-33 years shows 41.54%. Therefore, the study observed that, based on the age, bacterial vaginosis has higher prevalence in post menopause women than reproductive aged women, but they not attend laboratory at high number. In fact, they have weakened immune system. Based on this high prevalence, preventive measures and special attention should be taken to avoid bacterial vaginosis and related complications.</w:t>
            </w:r>
          </w:p>
          <w:p w14:paraId="42D6905C" w14:textId="77777777" w:rsidR="001D4826" w:rsidRPr="00935AB2" w:rsidRDefault="001D4826" w:rsidP="005653C2">
            <w:pPr>
              <w:widowControl w:val="0"/>
              <w:spacing w:after="0" w:line="240" w:lineRule="auto"/>
              <w:contextualSpacing/>
              <w:jc w:val="both"/>
              <w:rPr>
                <w:rFonts w:ascii="Arial" w:eastAsia="Times New Roman" w:hAnsi="Arial" w:cs="Arial"/>
                <w:sz w:val="20"/>
                <w:szCs w:val="20"/>
              </w:rPr>
            </w:pPr>
          </w:p>
        </w:tc>
      </w:tr>
    </w:tbl>
    <w:p w14:paraId="3B32FDB6" w14:textId="77777777" w:rsidR="00B22D82" w:rsidRPr="00935AB2" w:rsidRDefault="00B22D82" w:rsidP="005653C2">
      <w:pPr>
        <w:spacing w:after="0" w:line="240" w:lineRule="auto"/>
        <w:contextualSpacing/>
        <w:jc w:val="both"/>
        <w:rPr>
          <w:rFonts w:ascii="Arial" w:eastAsia="Times New Roman" w:hAnsi="Arial" w:cs="Arial"/>
          <w:i/>
          <w:sz w:val="20"/>
          <w:szCs w:val="20"/>
        </w:rPr>
      </w:pPr>
    </w:p>
    <w:p w14:paraId="7C8F9080" w14:textId="4EA637B5" w:rsidR="001646B7" w:rsidRPr="00935AB2" w:rsidRDefault="001D4826" w:rsidP="001646B7">
      <w:pPr>
        <w:spacing w:after="0" w:line="240" w:lineRule="auto"/>
        <w:ind w:left="1080" w:hanging="1080"/>
        <w:contextualSpacing/>
        <w:jc w:val="both"/>
        <w:rPr>
          <w:rFonts w:ascii="Arial" w:eastAsia="Times New Roman" w:hAnsi="Arial" w:cs="Arial"/>
          <w:bCs/>
          <w:i/>
          <w:iCs/>
          <w:sz w:val="20"/>
          <w:szCs w:val="20"/>
        </w:rPr>
      </w:pPr>
      <w:r w:rsidRPr="00935AB2">
        <w:rPr>
          <w:rFonts w:ascii="Arial" w:eastAsia="Times New Roman" w:hAnsi="Arial" w:cs="Arial"/>
          <w:i/>
          <w:sz w:val="20"/>
          <w:szCs w:val="20"/>
        </w:rPr>
        <w:t xml:space="preserve">Keywords: </w:t>
      </w:r>
      <w:r w:rsidR="001646B7" w:rsidRPr="00935AB2">
        <w:rPr>
          <w:rFonts w:ascii="Arial" w:eastAsia="Times New Roman" w:hAnsi="Arial" w:cs="Arial"/>
          <w:bCs/>
          <w:i/>
          <w:iCs/>
          <w:sz w:val="20"/>
          <w:szCs w:val="20"/>
        </w:rPr>
        <w:t>Bacterial vaginosis; menopause; reproductive age.</w:t>
      </w:r>
    </w:p>
    <w:p w14:paraId="2E3BF8FF" w14:textId="2AA77317" w:rsidR="00004C81" w:rsidRPr="00935AB2" w:rsidRDefault="00004C81" w:rsidP="00004C81">
      <w:pPr>
        <w:spacing w:after="0" w:line="240" w:lineRule="auto"/>
        <w:ind w:left="1080" w:hanging="1080"/>
        <w:contextualSpacing/>
        <w:jc w:val="both"/>
        <w:rPr>
          <w:rFonts w:ascii="Arial" w:eastAsia="Times New Roman" w:hAnsi="Arial" w:cs="Arial"/>
          <w:bCs/>
          <w:i/>
          <w:iCs/>
          <w:sz w:val="20"/>
          <w:szCs w:val="20"/>
        </w:rPr>
      </w:pPr>
    </w:p>
    <w:p w14:paraId="4DCC2C39" w14:textId="77777777" w:rsidR="008D51AB" w:rsidRPr="00935AB2" w:rsidRDefault="008D51AB" w:rsidP="008D51AB">
      <w:pPr>
        <w:spacing w:after="0" w:line="240" w:lineRule="auto"/>
        <w:contextualSpacing/>
        <w:jc w:val="both"/>
        <w:rPr>
          <w:rFonts w:ascii="Arial" w:eastAsia="Times New Roman" w:hAnsi="Arial" w:cs="Arial"/>
          <w:i/>
          <w:sz w:val="20"/>
          <w:szCs w:val="20"/>
        </w:rPr>
        <w:sectPr w:rsidR="008D51AB" w:rsidRPr="00935AB2" w:rsidSect="0047754D">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pgNumType w:start="1"/>
          <w:cols w:space="720"/>
          <w:titlePg/>
          <w:docGrid w:linePitch="360"/>
        </w:sectPr>
      </w:pPr>
    </w:p>
    <w:p w14:paraId="7A4BFAE2" w14:textId="1E450FF9" w:rsidR="001646B7" w:rsidRPr="00935AB2" w:rsidRDefault="00713EFE" w:rsidP="006077CA">
      <w:pPr>
        <w:pStyle w:val="Heading2"/>
      </w:pPr>
      <w:r w:rsidRPr="00935AB2">
        <w:t xml:space="preserve">1. </w:t>
      </w:r>
      <w:r w:rsidR="001646B7" w:rsidRPr="00935AB2">
        <w:t xml:space="preserve">INTRODUCTION </w:t>
      </w:r>
    </w:p>
    <w:p w14:paraId="4723371A" w14:textId="77777777" w:rsidR="00713EFE" w:rsidRPr="00935AB2" w:rsidRDefault="00713EFE" w:rsidP="00713EFE">
      <w:pPr>
        <w:spacing w:after="0" w:line="240" w:lineRule="auto"/>
        <w:jc w:val="both"/>
        <w:rPr>
          <w:rFonts w:ascii="Arial" w:hAnsi="Arial" w:cs="Arial"/>
          <w:sz w:val="20"/>
          <w:szCs w:val="20"/>
        </w:rPr>
      </w:pPr>
    </w:p>
    <w:p w14:paraId="4FE4B9D2" w14:textId="54855EFA"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“Bacterial vaginosis is a condition caused by an overgrowth of normal vaginal flora. Most commonly, this presents clinically with increased vaginal discharge that has a fish-like odor. The discharge itself is typically thin and either gray or white” </w:t>
      </w:r>
      <w:r w:rsidR="006077CA" w:rsidRPr="00935AB2">
        <w:rPr>
          <w:rFonts w:ascii="Arial" w:hAnsi="Arial" w:cs="Arial"/>
          <w:sz w:val="20"/>
          <w:szCs w:val="20"/>
        </w:rPr>
        <w:t>[1]</w:t>
      </w:r>
      <w:r w:rsidRPr="00935AB2">
        <w:rPr>
          <w:rFonts w:ascii="Arial" w:hAnsi="Arial" w:cs="Arial"/>
          <w:sz w:val="20"/>
          <w:szCs w:val="20"/>
        </w:rPr>
        <w:t xml:space="preserve">. “Post menopause is a non-reproductive state marked by hormonal changes, more specifically a decrease in the levels of the ovarian hormones, estrogen and progesterone, Without these hormones, the vaginal mucosa thins and begins to reduce in functions, becoming smaller and less elastic” </w:t>
      </w:r>
      <w:r w:rsidR="006077CA" w:rsidRPr="00935AB2">
        <w:rPr>
          <w:rFonts w:ascii="Arial" w:hAnsi="Arial" w:cs="Arial"/>
          <w:sz w:val="20"/>
          <w:szCs w:val="20"/>
        </w:rPr>
        <w:t>[2]</w:t>
      </w:r>
      <w:r w:rsidRPr="00935AB2">
        <w:rPr>
          <w:rFonts w:ascii="Arial" w:hAnsi="Arial" w:cs="Arial"/>
          <w:sz w:val="20"/>
          <w:szCs w:val="20"/>
        </w:rPr>
        <w:t xml:space="preserve">. “Functionally, the vagina produces fewer secretions, less lubrication and is more </w:t>
      </w:r>
      <w:r w:rsidRPr="00935AB2">
        <w:rPr>
          <w:rFonts w:ascii="Arial" w:hAnsi="Arial" w:cs="Arial"/>
          <w:sz w:val="20"/>
          <w:szCs w:val="20"/>
        </w:rPr>
        <w:t xml:space="preserve">vulnerable to small tears during intercourse, which can contribute to dyspareunia” </w:t>
      </w:r>
      <w:r w:rsidR="006077CA" w:rsidRPr="00935AB2">
        <w:rPr>
          <w:rFonts w:ascii="Arial" w:hAnsi="Arial" w:cs="Arial"/>
          <w:sz w:val="20"/>
          <w:szCs w:val="20"/>
        </w:rPr>
        <w:t>[3]</w:t>
      </w:r>
      <w:r w:rsidRPr="00935AB2">
        <w:rPr>
          <w:rFonts w:ascii="Arial" w:hAnsi="Arial" w:cs="Arial"/>
          <w:sz w:val="20"/>
          <w:szCs w:val="20"/>
        </w:rPr>
        <w:t>.</w:t>
      </w:r>
    </w:p>
    <w:p w14:paraId="1E2871DC" w14:textId="77777777" w:rsidR="000563E3" w:rsidRPr="00935AB2" w:rsidRDefault="000563E3" w:rsidP="00713EFE">
      <w:pPr>
        <w:spacing w:after="0" w:line="240" w:lineRule="auto"/>
        <w:jc w:val="both"/>
        <w:rPr>
          <w:rFonts w:ascii="Arial" w:hAnsi="Arial" w:cs="Arial"/>
          <w:sz w:val="20"/>
          <w:szCs w:val="20"/>
        </w:rPr>
      </w:pPr>
    </w:p>
    <w:p w14:paraId="14B98D20" w14:textId="6993AA40"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“In the typical reproductive-aged vaginal environment, estradiol promotes glycogen production from the vaginal epithelium. The glycogen is hydrolyzed into glucose, which are metabolized into lactic acid by beneficial </w:t>
      </w:r>
      <w:r w:rsidRPr="00935AB2">
        <w:rPr>
          <w:rFonts w:ascii="Arial" w:hAnsi="Arial" w:cs="Arial"/>
          <w:i/>
          <w:sz w:val="20"/>
          <w:szCs w:val="20"/>
        </w:rPr>
        <w:t>lactobacilli</w:t>
      </w:r>
      <w:r w:rsidRPr="00935AB2">
        <w:rPr>
          <w:rFonts w:ascii="Arial" w:hAnsi="Arial" w:cs="Arial"/>
          <w:sz w:val="20"/>
          <w:szCs w:val="20"/>
        </w:rPr>
        <w:t xml:space="preserve">, producing hydrogen peroxide. This process maintains an acidic environment and controls pathogenic overgrowth” </w:t>
      </w:r>
      <w:r w:rsidR="006077CA" w:rsidRPr="00935AB2">
        <w:rPr>
          <w:rFonts w:ascii="Arial" w:hAnsi="Arial" w:cs="Arial"/>
          <w:sz w:val="20"/>
          <w:szCs w:val="20"/>
        </w:rPr>
        <w:t>[4]</w:t>
      </w:r>
      <w:r w:rsidRPr="00935AB2">
        <w:rPr>
          <w:rFonts w:ascii="Arial" w:hAnsi="Arial" w:cs="Arial"/>
          <w:sz w:val="20"/>
          <w:szCs w:val="20"/>
        </w:rPr>
        <w:t xml:space="preserve">. “This biological sequence is altered with the thinning of the vaginal wall in postmenopause, resulting in reduced vaginal epithelial exfoliation and increased pH, a prime environment for anaerobic bacterial overgrowth” </w:t>
      </w:r>
      <w:r w:rsidR="006077CA" w:rsidRPr="00935AB2">
        <w:rPr>
          <w:rFonts w:ascii="Arial" w:hAnsi="Arial" w:cs="Arial"/>
          <w:sz w:val="20"/>
          <w:szCs w:val="20"/>
        </w:rPr>
        <w:t>[5]</w:t>
      </w:r>
      <w:r w:rsidRPr="00935AB2">
        <w:rPr>
          <w:rFonts w:ascii="Arial" w:hAnsi="Arial" w:cs="Arial"/>
          <w:sz w:val="20"/>
          <w:szCs w:val="20"/>
        </w:rPr>
        <w:t xml:space="preserve">. “The colonization of anaerobic bacteria in the vagina, or BV, is </w:t>
      </w:r>
      <w:r w:rsidRPr="00935AB2">
        <w:rPr>
          <w:rFonts w:ascii="Arial" w:hAnsi="Arial" w:cs="Arial"/>
          <w:sz w:val="20"/>
          <w:szCs w:val="20"/>
        </w:rPr>
        <w:lastRenderedPageBreak/>
        <w:t xml:space="preserve">usually found in an alkaline environment (pH greater than 4.5) more frequently observed in postmenopausal women” </w:t>
      </w:r>
      <w:r w:rsidR="006077CA" w:rsidRPr="00935AB2">
        <w:rPr>
          <w:rFonts w:ascii="Arial" w:hAnsi="Arial" w:cs="Arial"/>
          <w:sz w:val="20"/>
          <w:szCs w:val="20"/>
        </w:rPr>
        <w:t>[6]</w:t>
      </w:r>
      <w:r w:rsidRPr="00935AB2">
        <w:rPr>
          <w:rFonts w:ascii="Arial" w:hAnsi="Arial" w:cs="Arial"/>
          <w:sz w:val="20"/>
          <w:szCs w:val="20"/>
        </w:rPr>
        <w:t>.</w:t>
      </w:r>
    </w:p>
    <w:p w14:paraId="5A4A6026" w14:textId="77777777" w:rsidR="000563E3" w:rsidRPr="00935AB2" w:rsidRDefault="000563E3" w:rsidP="00713EFE">
      <w:pPr>
        <w:spacing w:after="0" w:line="240" w:lineRule="auto"/>
        <w:jc w:val="both"/>
        <w:rPr>
          <w:rFonts w:ascii="Arial" w:hAnsi="Arial" w:cs="Arial"/>
          <w:sz w:val="20"/>
          <w:szCs w:val="20"/>
        </w:rPr>
      </w:pPr>
    </w:p>
    <w:p w14:paraId="2D67C451" w14:textId="317D4C40"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“Bacterial vaginosis is a clinical syndrome resulting from the reduction of normal hydrogen peroxide-producing lactobacillus species in the vagina with high concentration of anaerobic bacteria such as </w:t>
      </w:r>
      <w:r w:rsidRPr="00935AB2">
        <w:rPr>
          <w:rFonts w:ascii="Arial" w:hAnsi="Arial" w:cs="Arial"/>
          <w:i/>
          <w:sz w:val="20"/>
          <w:szCs w:val="20"/>
        </w:rPr>
        <w:t>Gardnerella vaginalis</w:t>
      </w:r>
      <w:r w:rsidRPr="00935AB2">
        <w:rPr>
          <w:rFonts w:ascii="Arial" w:hAnsi="Arial" w:cs="Arial"/>
          <w:sz w:val="20"/>
          <w:szCs w:val="20"/>
        </w:rPr>
        <w:t xml:space="preserve"> and </w:t>
      </w:r>
      <w:r w:rsidRPr="00935AB2">
        <w:rPr>
          <w:rFonts w:ascii="Arial" w:hAnsi="Arial" w:cs="Arial"/>
          <w:i/>
          <w:sz w:val="20"/>
          <w:szCs w:val="20"/>
        </w:rPr>
        <w:t>Mycoplasma hominis</w:t>
      </w:r>
      <w:r w:rsidRPr="00935AB2">
        <w:rPr>
          <w:rFonts w:ascii="Arial" w:hAnsi="Arial" w:cs="Arial"/>
          <w:sz w:val="20"/>
          <w:szCs w:val="20"/>
        </w:rPr>
        <w:t xml:space="preserve">, </w:t>
      </w:r>
      <w:r w:rsidRPr="00935AB2">
        <w:rPr>
          <w:rFonts w:ascii="Arial" w:hAnsi="Arial" w:cs="Arial"/>
          <w:i/>
          <w:sz w:val="20"/>
          <w:szCs w:val="20"/>
        </w:rPr>
        <w:t>Bacteroides spp</w:t>
      </w:r>
      <w:r w:rsidRPr="00935AB2">
        <w:rPr>
          <w:rFonts w:ascii="Arial" w:hAnsi="Arial" w:cs="Arial"/>
          <w:sz w:val="20"/>
          <w:szCs w:val="20"/>
        </w:rPr>
        <w:t xml:space="preserve">., </w:t>
      </w:r>
      <w:r w:rsidRPr="00935AB2">
        <w:rPr>
          <w:rFonts w:ascii="Arial" w:hAnsi="Arial" w:cs="Arial"/>
          <w:i/>
          <w:sz w:val="20"/>
          <w:szCs w:val="20"/>
        </w:rPr>
        <w:t>Bifidobacterium spp</w:t>
      </w:r>
      <w:r w:rsidRPr="00935AB2">
        <w:rPr>
          <w:rFonts w:ascii="Arial" w:hAnsi="Arial" w:cs="Arial"/>
          <w:sz w:val="20"/>
          <w:szCs w:val="20"/>
        </w:rPr>
        <w:t xml:space="preserve">., </w:t>
      </w:r>
      <w:r w:rsidRPr="00935AB2">
        <w:rPr>
          <w:rFonts w:ascii="Arial" w:hAnsi="Arial" w:cs="Arial"/>
          <w:i/>
          <w:sz w:val="20"/>
          <w:szCs w:val="20"/>
        </w:rPr>
        <w:t>Propionibacterium</w:t>
      </w:r>
      <w:r w:rsidRPr="00935AB2">
        <w:rPr>
          <w:rFonts w:ascii="Arial" w:hAnsi="Arial" w:cs="Arial"/>
          <w:sz w:val="20"/>
          <w:szCs w:val="20"/>
        </w:rPr>
        <w:t xml:space="preserve">, </w:t>
      </w:r>
      <w:r w:rsidRPr="00935AB2">
        <w:rPr>
          <w:rFonts w:ascii="Arial" w:hAnsi="Arial" w:cs="Arial"/>
          <w:i/>
          <w:sz w:val="20"/>
          <w:szCs w:val="20"/>
        </w:rPr>
        <w:t>Fusobacterium spp</w:t>
      </w:r>
      <w:r w:rsidRPr="00935AB2">
        <w:rPr>
          <w:rFonts w:ascii="Arial" w:hAnsi="Arial" w:cs="Arial"/>
          <w:sz w:val="20"/>
          <w:szCs w:val="20"/>
        </w:rPr>
        <w:t xml:space="preserve">., </w:t>
      </w:r>
      <w:r w:rsidRPr="00935AB2">
        <w:rPr>
          <w:rFonts w:ascii="Arial" w:hAnsi="Arial" w:cs="Arial"/>
          <w:i/>
          <w:sz w:val="20"/>
          <w:szCs w:val="20"/>
        </w:rPr>
        <w:t>Peptococcus spp</w:t>
      </w:r>
      <w:r w:rsidRPr="00935AB2">
        <w:rPr>
          <w:rFonts w:ascii="Arial" w:hAnsi="Arial" w:cs="Arial"/>
          <w:sz w:val="20"/>
          <w:szCs w:val="20"/>
        </w:rPr>
        <w:t xml:space="preserve">., </w:t>
      </w:r>
      <w:r w:rsidRPr="00935AB2">
        <w:rPr>
          <w:rFonts w:ascii="Arial" w:hAnsi="Arial" w:cs="Arial"/>
          <w:i/>
          <w:sz w:val="20"/>
          <w:szCs w:val="20"/>
        </w:rPr>
        <w:t>Prevotella spp</w:t>
      </w:r>
      <w:r w:rsidRPr="00935AB2">
        <w:rPr>
          <w:rFonts w:ascii="Arial" w:hAnsi="Arial" w:cs="Arial"/>
          <w:sz w:val="20"/>
          <w:szCs w:val="20"/>
        </w:rPr>
        <w:t xml:space="preserve">., </w:t>
      </w:r>
      <w:r w:rsidRPr="00935AB2">
        <w:rPr>
          <w:rFonts w:ascii="Arial" w:hAnsi="Arial" w:cs="Arial"/>
          <w:i/>
          <w:sz w:val="20"/>
          <w:szCs w:val="20"/>
        </w:rPr>
        <w:t>Veillonella spp</w:t>
      </w:r>
      <w:r w:rsidRPr="00935AB2">
        <w:rPr>
          <w:rFonts w:ascii="Arial" w:hAnsi="Arial" w:cs="Arial"/>
          <w:sz w:val="20"/>
          <w:szCs w:val="20"/>
        </w:rPr>
        <w:t xml:space="preserve">., </w:t>
      </w:r>
      <w:r w:rsidRPr="00935AB2">
        <w:rPr>
          <w:rFonts w:ascii="Arial" w:hAnsi="Arial" w:cs="Arial"/>
          <w:i/>
          <w:sz w:val="20"/>
          <w:szCs w:val="20"/>
        </w:rPr>
        <w:t>Peptostreptococcus spp</w:t>
      </w:r>
      <w:r w:rsidRPr="00935AB2">
        <w:rPr>
          <w:rFonts w:ascii="Arial" w:hAnsi="Arial" w:cs="Arial"/>
          <w:sz w:val="20"/>
          <w:szCs w:val="20"/>
        </w:rPr>
        <w:t xml:space="preserve">., </w:t>
      </w:r>
      <w:r w:rsidRPr="00935AB2">
        <w:rPr>
          <w:rFonts w:ascii="Arial" w:hAnsi="Arial" w:cs="Arial"/>
          <w:i/>
          <w:sz w:val="20"/>
          <w:szCs w:val="20"/>
        </w:rPr>
        <w:t>Atopobium vaginae</w:t>
      </w:r>
      <w:r w:rsidRPr="00935AB2">
        <w:rPr>
          <w:rFonts w:ascii="Arial" w:hAnsi="Arial" w:cs="Arial"/>
          <w:sz w:val="20"/>
          <w:szCs w:val="20"/>
        </w:rPr>
        <w:t xml:space="preserve">, </w:t>
      </w:r>
      <w:r w:rsidRPr="00935AB2">
        <w:rPr>
          <w:rFonts w:ascii="Arial" w:hAnsi="Arial" w:cs="Arial"/>
          <w:i/>
          <w:sz w:val="20"/>
          <w:szCs w:val="20"/>
        </w:rPr>
        <w:t>Ureaplasma urealiticum</w:t>
      </w:r>
      <w:r w:rsidRPr="00935AB2">
        <w:rPr>
          <w:rFonts w:ascii="Arial" w:hAnsi="Arial" w:cs="Arial"/>
          <w:sz w:val="20"/>
          <w:szCs w:val="20"/>
        </w:rPr>
        <w:t xml:space="preserve">, and </w:t>
      </w:r>
      <w:r w:rsidRPr="00935AB2">
        <w:rPr>
          <w:rFonts w:ascii="Arial" w:hAnsi="Arial" w:cs="Arial"/>
          <w:i/>
          <w:sz w:val="20"/>
          <w:szCs w:val="20"/>
        </w:rPr>
        <w:t>Mobiluncus”</w:t>
      </w:r>
      <w:r w:rsidRPr="00935AB2">
        <w:rPr>
          <w:rFonts w:ascii="Arial" w:hAnsi="Arial" w:cs="Arial"/>
          <w:sz w:val="20"/>
          <w:szCs w:val="20"/>
        </w:rPr>
        <w:t xml:space="preserve"> (Russo &amp; Karadja, 2019). “BV is also responsible for the presence of enzymes that reduce the ability of host leukocytes to fight infection, and for an increased release of endotoxins that stimulate cytokine and prostaglandin production within the vagina” </w:t>
      </w:r>
      <w:r w:rsidR="006077CA" w:rsidRPr="00935AB2">
        <w:rPr>
          <w:rFonts w:ascii="Arial" w:hAnsi="Arial" w:cs="Arial"/>
          <w:sz w:val="20"/>
          <w:szCs w:val="20"/>
        </w:rPr>
        <w:t>[1]</w:t>
      </w:r>
      <w:r w:rsidRPr="00935AB2">
        <w:rPr>
          <w:rFonts w:ascii="Arial" w:hAnsi="Arial" w:cs="Arial"/>
          <w:sz w:val="20"/>
          <w:szCs w:val="20"/>
        </w:rPr>
        <w:t>.</w:t>
      </w:r>
    </w:p>
    <w:p w14:paraId="081118D0" w14:textId="77777777" w:rsidR="000563E3" w:rsidRPr="00935AB2" w:rsidRDefault="000563E3" w:rsidP="00713EFE">
      <w:pPr>
        <w:spacing w:after="0" w:line="240" w:lineRule="auto"/>
        <w:jc w:val="both"/>
        <w:rPr>
          <w:rFonts w:ascii="Arial" w:hAnsi="Arial" w:cs="Arial"/>
          <w:sz w:val="20"/>
          <w:szCs w:val="20"/>
        </w:rPr>
      </w:pPr>
    </w:p>
    <w:p w14:paraId="00E31A0B" w14:textId="108AB66B"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“Bacterial vaginosis prevalence was found to vary worldwide, although bacterial vaginosis prevalence is in general, high in parts of Africa and low in much of Asia and Europe, in Norway 24 %, Turkey 23 %, and Poland 19 %, women have moderately high bacterial vaginosis rates. Women from South-east Asia, Australia, New Zealand, and Indonesia have rates of bacterial vaginosis that are typically greater than 30 %. While women from South and East Africa have higher rates of BV 68 % in Mozambique, 51 % in Lesotho, 44 % in Kenya, 37 % in Gambia compared to women from West Africa 7 % in Burkina Faso” (Christian </w:t>
      </w:r>
      <w:r w:rsidRPr="00935AB2">
        <w:rPr>
          <w:rFonts w:ascii="Arial" w:hAnsi="Arial" w:cs="Arial"/>
          <w:i/>
          <w:sz w:val="20"/>
          <w:szCs w:val="20"/>
        </w:rPr>
        <w:t>et al</w:t>
      </w:r>
      <w:r w:rsidRPr="00935AB2">
        <w:rPr>
          <w:rFonts w:ascii="Arial" w:hAnsi="Arial" w:cs="Arial"/>
          <w:sz w:val="20"/>
          <w:szCs w:val="20"/>
        </w:rPr>
        <w:t xml:space="preserve">., 2016). In Rwanda, the prevalence of bacterial vaginosis is 17.8 % </w:t>
      </w:r>
      <w:r w:rsidR="006077CA" w:rsidRPr="00935AB2">
        <w:rPr>
          <w:rFonts w:ascii="Arial" w:hAnsi="Arial" w:cs="Arial"/>
          <w:sz w:val="20"/>
          <w:szCs w:val="20"/>
        </w:rPr>
        <w:t>[7]</w:t>
      </w:r>
      <w:r w:rsidRPr="00935AB2">
        <w:rPr>
          <w:rFonts w:ascii="Arial" w:hAnsi="Arial" w:cs="Arial"/>
          <w:sz w:val="20"/>
          <w:szCs w:val="20"/>
        </w:rPr>
        <w:t>.</w:t>
      </w:r>
    </w:p>
    <w:p w14:paraId="47B90FF8" w14:textId="77777777" w:rsidR="000563E3" w:rsidRPr="00935AB2" w:rsidRDefault="000563E3" w:rsidP="00713EFE">
      <w:pPr>
        <w:spacing w:after="0" w:line="240" w:lineRule="auto"/>
        <w:jc w:val="both"/>
        <w:rPr>
          <w:rFonts w:ascii="Arial" w:hAnsi="Arial" w:cs="Arial"/>
          <w:sz w:val="20"/>
          <w:szCs w:val="20"/>
        </w:rPr>
      </w:pPr>
    </w:p>
    <w:p w14:paraId="236AB778" w14:textId="2122BCF1"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“There are two standard diagnostic tests methods for BV detection based on use of vaginal swab. First is based on gram stain of vaginal flora, the other is a bedside wet mount microscopic test for vaginal clue cells. At least 50% of women with BV have no symptoms” </w:t>
      </w:r>
      <w:r w:rsidR="006077CA" w:rsidRPr="00935AB2">
        <w:rPr>
          <w:rFonts w:ascii="Arial" w:hAnsi="Arial" w:cs="Arial"/>
          <w:sz w:val="20"/>
          <w:szCs w:val="20"/>
        </w:rPr>
        <w:t>[8]</w:t>
      </w:r>
      <w:r w:rsidRPr="00935AB2">
        <w:rPr>
          <w:rFonts w:ascii="Arial" w:hAnsi="Arial" w:cs="Arial"/>
          <w:sz w:val="20"/>
          <w:szCs w:val="20"/>
        </w:rPr>
        <w:t xml:space="preserve"> and there is a debate on whether this form of BV should be considered a disease </w:t>
      </w:r>
      <w:r w:rsidR="006077CA" w:rsidRPr="00935AB2">
        <w:rPr>
          <w:rFonts w:ascii="Arial" w:hAnsi="Arial" w:cs="Arial"/>
          <w:sz w:val="20"/>
          <w:szCs w:val="20"/>
        </w:rPr>
        <w:t>[9]</w:t>
      </w:r>
      <w:r w:rsidRPr="00935AB2">
        <w:rPr>
          <w:rFonts w:ascii="Arial" w:hAnsi="Arial" w:cs="Arial"/>
          <w:sz w:val="20"/>
          <w:szCs w:val="20"/>
        </w:rPr>
        <w:t xml:space="preserve">. “In the other half, BV most often manifests clinically as a thin homogenous vaginal discharge, a pH of more than 4.5, presence of “clue cells” and an amine odor (after addition of 10% of KOH). Few or no Lactobacilli are usually found through microscopy in the vaginal fluid. Several methods are currently in use for the diagnosis of BV” </w:t>
      </w:r>
      <w:r w:rsidR="006077CA" w:rsidRPr="00935AB2">
        <w:rPr>
          <w:rFonts w:ascii="Arial" w:hAnsi="Arial" w:cs="Arial"/>
          <w:sz w:val="20"/>
          <w:szCs w:val="20"/>
        </w:rPr>
        <w:t>[10]</w:t>
      </w:r>
      <w:r w:rsidRPr="00935AB2">
        <w:rPr>
          <w:rFonts w:ascii="Arial" w:hAnsi="Arial" w:cs="Arial"/>
          <w:sz w:val="20"/>
          <w:szCs w:val="20"/>
        </w:rPr>
        <w:t xml:space="preserve">. </w:t>
      </w:r>
    </w:p>
    <w:p w14:paraId="5176DA1A" w14:textId="77777777" w:rsidR="000563E3" w:rsidRPr="00935AB2" w:rsidRDefault="000563E3" w:rsidP="00713EFE">
      <w:pPr>
        <w:spacing w:after="0" w:line="240" w:lineRule="auto"/>
        <w:jc w:val="both"/>
        <w:rPr>
          <w:rFonts w:ascii="Arial" w:hAnsi="Arial" w:cs="Arial"/>
          <w:sz w:val="16"/>
          <w:szCs w:val="16"/>
        </w:rPr>
      </w:pPr>
    </w:p>
    <w:p w14:paraId="500D3529" w14:textId="0D5C85A3"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“Antimicrobial therapy include clindamycin and metronidazole is used for management of BV. </w:t>
      </w:r>
      <w:r w:rsidRPr="00935AB2">
        <w:rPr>
          <w:rFonts w:ascii="Arial" w:hAnsi="Arial" w:cs="Arial"/>
          <w:sz w:val="20"/>
          <w:szCs w:val="20"/>
        </w:rPr>
        <w:t>Antibiotic use alters the abnormal vaginal microflora, inhibits anaerobes that support </w:t>
      </w:r>
      <w:r w:rsidRPr="00935AB2">
        <w:rPr>
          <w:rFonts w:ascii="Arial" w:hAnsi="Arial" w:cs="Arial"/>
          <w:i/>
          <w:iCs/>
          <w:sz w:val="20"/>
          <w:szCs w:val="20"/>
        </w:rPr>
        <w:t>G. vaginalis</w:t>
      </w:r>
      <w:r w:rsidRPr="00935AB2">
        <w:rPr>
          <w:rFonts w:ascii="Arial" w:hAnsi="Arial" w:cs="Arial"/>
          <w:sz w:val="20"/>
          <w:szCs w:val="20"/>
        </w:rPr>
        <w:t xml:space="preserve">, as well as some other anaerobes, without affecting lactobacilli, thereby treating BV and preventing its recurrence. However, antibiotic use causes side effects such as nausea, dizziness, rash, thrush, as well as antibiotic resistance and recurrence. Lactobacilli probiotics have been developed to effectively treat and prevent BV without antibiotic resistance or adverse effects even with long-term use. Recently, probiotics used in conjunction with antibiotics has been proposed as a new remedy for vaginal infections including BV” </w:t>
      </w:r>
      <w:r w:rsidR="006077CA" w:rsidRPr="00935AB2">
        <w:rPr>
          <w:rFonts w:ascii="Arial" w:hAnsi="Arial" w:cs="Arial"/>
          <w:sz w:val="20"/>
          <w:szCs w:val="20"/>
        </w:rPr>
        <w:t>[11]</w:t>
      </w:r>
      <w:r w:rsidRPr="00935AB2">
        <w:rPr>
          <w:rFonts w:ascii="Arial" w:hAnsi="Arial" w:cs="Arial"/>
          <w:sz w:val="20"/>
          <w:szCs w:val="20"/>
        </w:rPr>
        <w:t>.</w:t>
      </w:r>
    </w:p>
    <w:p w14:paraId="348202BF" w14:textId="77777777" w:rsidR="000563E3" w:rsidRPr="00935AB2" w:rsidRDefault="000563E3" w:rsidP="00713EFE">
      <w:pPr>
        <w:pStyle w:val="Heading1"/>
        <w:jc w:val="both"/>
        <w:rPr>
          <w:rFonts w:eastAsiaTheme="minorHAnsi" w:cs="Arial"/>
          <w:sz w:val="18"/>
          <w:szCs w:val="18"/>
        </w:rPr>
      </w:pPr>
    </w:p>
    <w:p w14:paraId="25BD3E93" w14:textId="5E4FD6D0" w:rsidR="001646B7" w:rsidRPr="00935AB2" w:rsidRDefault="006077CA" w:rsidP="006077CA">
      <w:pPr>
        <w:pStyle w:val="Heading2"/>
        <w:rPr>
          <w:rFonts w:eastAsiaTheme="minorHAnsi"/>
        </w:rPr>
      </w:pPr>
      <w:r w:rsidRPr="00935AB2">
        <w:rPr>
          <w:rFonts w:eastAsiaTheme="minorHAnsi"/>
        </w:rPr>
        <w:t xml:space="preserve">2. </w:t>
      </w:r>
      <w:r w:rsidR="001646B7" w:rsidRPr="00935AB2">
        <w:rPr>
          <w:rFonts w:eastAsiaTheme="minorHAnsi"/>
        </w:rPr>
        <w:t>METHODOLOGY</w:t>
      </w:r>
    </w:p>
    <w:p w14:paraId="7494836C" w14:textId="77777777" w:rsidR="000563E3" w:rsidRPr="00935AB2" w:rsidRDefault="000563E3" w:rsidP="00713EFE">
      <w:pPr>
        <w:pStyle w:val="Heading2"/>
        <w:rPr>
          <w:rFonts w:cs="Arial"/>
          <w:sz w:val="18"/>
          <w:szCs w:val="18"/>
        </w:rPr>
      </w:pPr>
    </w:p>
    <w:p w14:paraId="681652EF" w14:textId="4BE1F772" w:rsidR="001646B7" w:rsidRPr="00935AB2" w:rsidRDefault="006077CA" w:rsidP="00713EFE">
      <w:pPr>
        <w:pStyle w:val="Heading2"/>
        <w:rPr>
          <w:rFonts w:cs="Arial"/>
          <w:szCs w:val="22"/>
        </w:rPr>
      </w:pPr>
      <w:r w:rsidRPr="00935AB2">
        <w:rPr>
          <w:rFonts w:cs="Arial"/>
          <w:szCs w:val="22"/>
        </w:rPr>
        <w:t xml:space="preserve">2.1 </w:t>
      </w:r>
      <w:r w:rsidR="001646B7" w:rsidRPr="00935AB2">
        <w:rPr>
          <w:rFonts w:cs="Arial"/>
          <w:szCs w:val="22"/>
        </w:rPr>
        <w:t xml:space="preserve">Study </w:t>
      </w:r>
      <w:r w:rsidRPr="00935AB2">
        <w:rPr>
          <w:rFonts w:cs="Arial"/>
          <w:szCs w:val="22"/>
        </w:rPr>
        <w:t xml:space="preserve">Area </w:t>
      </w:r>
    </w:p>
    <w:p w14:paraId="581AED6A" w14:textId="77777777" w:rsidR="000563E3" w:rsidRPr="00935AB2" w:rsidRDefault="000563E3" w:rsidP="00713EFE">
      <w:pPr>
        <w:spacing w:after="0" w:line="240" w:lineRule="auto"/>
        <w:jc w:val="both"/>
        <w:rPr>
          <w:rFonts w:ascii="Arial" w:hAnsi="Arial" w:cs="Arial"/>
          <w:sz w:val="18"/>
          <w:szCs w:val="18"/>
        </w:rPr>
      </w:pPr>
    </w:p>
    <w:p w14:paraId="3B788A3E" w14:textId="6E2337A7"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This study was conducted at Ruhengeri Referral Hospital in laboratory service located in Musanze district, Northern Province. The hospital offers different services to many people of Northern Province and other nearby districts.</w:t>
      </w:r>
    </w:p>
    <w:p w14:paraId="1ABA7B8E" w14:textId="77777777" w:rsidR="000563E3" w:rsidRPr="00935AB2" w:rsidRDefault="000563E3" w:rsidP="00713EFE">
      <w:pPr>
        <w:pStyle w:val="Heading2"/>
        <w:rPr>
          <w:rFonts w:cs="Arial"/>
          <w:sz w:val="18"/>
          <w:szCs w:val="18"/>
        </w:rPr>
      </w:pPr>
      <w:bookmarkStart w:id="1" w:name="_Toc90888435"/>
    </w:p>
    <w:p w14:paraId="1A5C4A30" w14:textId="74402043" w:rsidR="001646B7" w:rsidRPr="00935AB2" w:rsidRDefault="006077CA" w:rsidP="00713EFE">
      <w:pPr>
        <w:pStyle w:val="Heading2"/>
        <w:rPr>
          <w:rFonts w:cs="Arial"/>
          <w:szCs w:val="22"/>
        </w:rPr>
      </w:pPr>
      <w:r w:rsidRPr="00935AB2">
        <w:rPr>
          <w:rFonts w:cs="Arial"/>
          <w:szCs w:val="22"/>
        </w:rPr>
        <w:t xml:space="preserve">2.2 </w:t>
      </w:r>
      <w:r w:rsidR="001646B7" w:rsidRPr="00935AB2">
        <w:rPr>
          <w:rFonts w:cs="Arial"/>
          <w:szCs w:val="22"/>
        </w:rPr>
        <w:t xml:space="preserve">Study </w:t>
      </w:r>
      <w:r w:rsidRPr="00935AB2">
        <w:rPr>
          <w:rFonts w:cs="Arial"/>
          <w:szCs w:val="22"/>
        </w:rPr>
        <w:t>Design</w:t>
      </w:r>
      <w:bookmarkEnd w:id="1"/>
      <w:r w:rsidRPr="00935AB2">
        <w:rPr>
          <w:rFonts w:cs="Arial"/>
          <w:szCs w:val="22"/>
        </w:rPr>
        <w:t xml:space="preserve"> </w:t>
      </w:r>
    </w:p>
    <w:p w14:paraId="78C327FC" w14:textId="77777777" w:rsidR="000563E3" w:rsidRPr="00935AB2" w:rsidRDefault="000563E3" w:rsidP="00713EFE">
      <w:pPr>
        <w:spacing w:after="0" w:line="240" w:lineRule="auto"/>
        <w:jc w:val="both"/>
        <w:rPr>
          <w:rFonts w:ascii="Arial" w:hAnsi="Arial" w:cs="Arial"/>
          <w:sz w:val="18"/>
          <w:szCs w:val="18"/>
        </w:rPr>
      </w:pPr>
    </w:p>
    <w:p w14:paraId="6196C8DC" w14:textId="02B1C444"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The conducted study was retrospective. Data collection on prevalence of bacterial vaginosis in women was collected from archived logbook of laboratory unity of Ruhengeri referral hospital. </w:t>
      </w:r>
    </w:p>
    <w:p w14:paraId="0437DCEE" w14:textId="77777777" w:rsidR="000563E3" w:rsidRPr="00935AB2" w:rsidRDefault="000563E3" w:rsidP="00713EFE">
      <w:pPr>
        <w:pStyle w:val="Heading2"/>
        <w:rPr>
          <w:rFonts w:cs="Arial"/>
          <w:sz w:val="16"/>
          <w:szCs w:val="16"/>
        </w:rPr>
      </w:pPr>
      <w:bookmarkStart w:id="2" w:name="_Toc90888436"/>
    </w:p>
    <w:p w14:paraId="70A48D51" w14:textId="276ED3DD" w:rsidR="001646B7" w:rsidRPr="00935AB2" w:rsidRDefault="006077CA" w:rsidP="00713EFE">
      <w:pPr>
        <w:pStyle w:val="Heading2"/>
        <w:rPr>
          <w:rFonts w:cs="Arial"/>
          <w:szCs w:val="22"/>
        </w:rPr>
      </w:pPr>
      <w:r w:rsidRPr="00935AB2">
        <w:rPr>
          <w:rFonts w:cs="Arial"/>
          <w:szCs w:val="22"/>
        </w:rPr>
        <w:t xml:space="preserve">2.3 </w:t>
      </w:r>
      <w:r w:rsidR="001646B7" w:rsidRPr="00935AB2">
        <w:rPr>
          <w:rFonts w:cs="Arial"/>
          <w:szCs w:val="22"/>
        </w:rPr>
        <w:t xml:space="preserve">Study </w:t>
      </w:r>
      <w:r w:rsidRPr="00935AB2">
        <w:rPr>
          <w:rFonts w:cs="Arial"/>
          <w:szCs w:val="22"/>
        </w:rPr>
        <w:t>Population</w:t>
      </w:r>
      <w:bookmarkEnd w:id="2"/>
      <w:r w:rsidRPr="00935AB2">
        <w:rPr>
          <w:rFonts w:cs="Arial"/>
          <w:szCs w:val="22"/>
        </w:rPr>
        <w:t xml:space="preserve"> </w:t>
      </w:r>
    </w:p>
    <w:p w14:paraId="53D11432" w14:textId="77777777" w:rsidR="000563E3" w:rsidRPr="00935AB2" w:rsidRDefault="000563E3" w:rsidP="00713EFE">
      <w:pPr>
        <w:spacing w:after="0" w:line="240" w:lineRule="auto"/>
        <w:jc w:val="both"/>
        <w:rPr>
          <w:rFonts w:ascii="Arial" w:hAnsi="Arial" w:cs="Arial"/>
          <w:sz w:val="16"/>
          <w:szCs w:val="16"/>
        </w:rPr>
      </w:pPr>
    </w:p>
    <w:p w14:paraId="73CE3DC1" w14:textId="72EB3A41"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All female patients attending gynecology unit </w:t>
      </w:r>
      <w:r w:rsidR="00935AB2" w:rsidRPr="00935AB2">
        <w:rPr>
          <w:rFonts w:ascii="Arial" w:hAnsi="Arial" w:cs="Arial"/>
          <w:sz w:val="20"/>
          <w:szCs w:val="20"/>
        </w:rPr>
        <w:t xml:space="preserve">                 </w:t>
      </w:r>
      <w:r w:rsidRPr="00935AB2">
        <w:rPr>
          <w:rFonts w:ascii="Arial" w:hAnsi="Arial" w:cs="Arial"/>
          <w:sz w:val="20"/>
          <w:szCs w:val="20"/>
        </w:rPr>
        <w:t xml:space="preserve">of Ruhengeri referral hospital in the period </w:t>
      </w:r>
      <w:r w:rsidR="00935AB2" w:rsidRPr="00935AB2">
        <w:rPr>
          <w:rFonts w:ascii="Arial" w:hAnsi="Arial" w:cs="Arial"/>
          <w:sz w:val="20"/>
          <w:szCs w:val="20"/>
        </w:rPr>
        <w:t xml:space="preserve">              </w:t>
      </w:r>
      <w:r w:rsidRPr="00935AB2">
        <w:rPr>
          <w:rFonts w:ascii="Arial" w:hAnsi="Arial" w:cs="Arial"/>
          <w:sz w:val="20"/>
          <w:szCs w:val="20"/>
        </w:rPr>
        <w:t>of six months were included in this study. However, the collected data were only for patients who were fulfilled inclusion criteria. Therefore, a total of 332 female’s data were used during this study.</w:t>
      </w:r>
    </w:p>
    <w:p w14:paraId="108CC016" w14:textId="77777777" w:rsidR="000563E3" w:rsidRPr="00935AB2" w:rsidRDefault="000563E3" w:rsidP="00713EFE">
      <w:pPr>
        <w:pStyle w:val="Heading2"/>
        <w:rPr>
          <w:rFonts w:cs="Arial"/>
          <w:sz w:val="18"/>
          <w:szCs w:val="18"/>
        </w:rPr>
      </w:pPr>
      <w:bookmarkStart w:id="3" w:name="_Toc90888440"/>
    </w:p>
    <w:p w14:paraId="4A241384" w14:textId="20483555" w:rsidR="001646B7" w:rsidRPr="00935AB2" w:rsidRDefault="006077CA" w:rsidP="00713EFE">
      <w:pPr>
        <w:pStyle w:val="Heading2"/>
        <w:rPr>
          <w:rFonts w:cs="Arial"/>
          <w:szCs w:val="22"/>
        </w:rPr>
      </w:pPr>
      <w:r w:rsidRPr="00935AB2">
        <w:rPr>
          <w:rFonts w:cs="Arial"/>
          <w:szCs w:val="22"/>
        </w:rPr>
        <w:t xml:space="preserve">2.4 </w:t>
      </w:r>
      <w:r w:rsidR="001646B7" w:rsidRPr="00935AB2">
        <w:rPr>
          <w:rFonts w:cs="Arial"/>
          <w:szCs w:val="22"/>
        </w:rPr>
        <w:t xml:space="preserve">Data </w:t>
      </w:r>
      <w:r w:rsidRPr="00935AB2">
        <w:rPr>
          <w:rFonts w:cs="Arial"/>
          <w:szCs w:val="22"/>
        </w:rPr>
        <w:t>Collection</w:t>
      </w:r>
      <w:bookmarkEnd w:id="3"/>
      <w:r w:rsidRPr="00935AB2">
        <w:rPr>
          <w:rFonts w:cs="Arial"/>
          <w:szCs w:val="22"/>
        </w:rPr>
        <w:t xml:space="preserve"> </w:t>
      </w:r>
    </w:p>
    <w:p w14:paraId="61467C3A" w14:textId="77777777" w:rsidR="000563E3" w:rsidRPr="00935AB2" w:rsidRDefault="000563E3" w:rsidP="00713EFE">
      <w:pPr>
        <w:pStyle w:val="BodyText2"/>
        <w:spacing w:after="0" w:line="240" w:lineRule="auto"/>
        <w:rPr>
          <w:rFonts w:ascii="Arial" w:hAnsi="Arial" w:cs="Arial"/>
          <w:sz w:val="16"/>
          <w:szCs w:val="16"/>
        </w:rPr>
      </w:pPr>
    </w:p>
    <w:p w14:paraId="650D9946" w14:textId="49587327" w:rsidR="001646B7" w:rsidRPr="00935AB2" w:rsidRDefault="001646B7" w:rsidP="00713EFE">
      <w:pPr>
        <w:pStyle w:val="BodyText2"/>
        <w:spacing w:after="0" w:line="240" w:lineRule="auto"/>
        <w:rPr>
          <w:rFonts w:ascii="Arial" w:hAnsi="Arial" w:cs="Arial"/>
          <w:sz w:val="20"/>
          <w:szCs w:val="20"/>
        </w:rPr>
      </w:pPr>
      <w:r w:rsidRPr="00935AB2">
        <w:rPr>
          <w:rFonts w:ascii="Arial" w:hAnsi="Arial" w:cs="Arial"/>
          <w:sz w:val="20"/>
          <w:szCs w:val="20"/>
        </w:rPr>
        <w:t>The archived data were collected from laboratory department using spreadsheet. Two types of logbooks were used; one of vaginal swab result book was used for recording laboratory identification number, diagnosis method (microscopic examination and gram stain) results. Other was general book which was used for recording information about age and other necessary information. Therefore, data were recorded and used for study purpose.</w:t>
      </w:r>
    </w:p>
    <w:p w14:paraId="15D1D2BF" w14:textId="77777777" w:rsidR="000563E3" w:rsidRPr="00935AB2" w:rsidRDefault="000563E3" w:rsidP="00713EFE">
      <w:pPr>
        <w:pStyle w:val="Heading2"/>
        <w:rPr>
          <w:rFonts w:cs="Arial"/>
          <w:sz w:val="16"/>
          <w:szCs w:val="16"/>
        </w:rPr>
      </w:pPr>
      <w:bookmarkStart w:id="4" w:name="_Toc90888441"/>
    </w:p>
    <w:p w14:paraId="55BE08F7" w14:textId="790BB514" w:rsidR="001646B7" w:rsidRPr="00935AB2" w:rsidRDefault="006077CA" w:rsidP="00713EFE">
      <w:pPr>
        <w:pStyle w:val="Heading2"/>
        <w:rPr>
          <w:rFonts w:cs="Arial"/>
          <w:szCs w:val="22"/>
        </w:rPr>
      </w:pPr>
      <w:r w:rsidRPr="00935AB2">
        <w:rPr>
          <w:rFonts w:cs="Arial"/>
          <w:szCs w:val="22"/>
        </w:rPr>
        <w:t xml:space="preserve">2.5 </w:t>
      </w:r>
      <w:r w:rsidR="001646B7" w:rsidRPr="00935AB2">
        <w:rPr>
          <w:rFonts w:cs="Arial"/>
          <w:szCs w:val="22"/>
        </w:rPr>
        <w:t xml:space="preserve">Data </w:t>
      </w:r>
      <w:r w:rsidRPr="00935AB2">
        <w:rPr>
          <w:rFonts w:cs="Arial"/>
          <w:szCs w:val="22"/>
        </w:rPr>
        <w:t>Analysis</w:t>
      </w:r>
      <w:bookmarkEnd w:id="4"/>
      <w:r w:rsidRPr="00935AB2">
        <w:rPr>
          <w:rFonts w:cs="Arial"/>
          <w:szCs w:val="22"/>
        </w:rPr>
        <w:t xml:space="preserve"> </w:t>
      </w:r>
    </w:p>
    <w:p w14:paraId="7D429DCD" w14:textId="77777777" w:rsidR="000563E3" w:rsidRPr="00935AB2" w:rsidRDefault="000563E3" w:rsidP="00713EFE">
      <w:pPr>
        <w:spacing w:after="0" w:line="240" w:lineRule="auto"/>
        <w:jc w:val="both"/>
        <w:rPr>
          <w:rFonts w:ascii="Arial" w:hAnsi="Arial" w:cs="Arial"/>
          <w:sz w:val="16"/>
          <w:szCs w:val="16"/>
        </w:rPr>
      </w:pPr>
    </w:p>
    <w:p w14:paraId="766AD334" w14:textId="73A78913"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lastRenderedPageBreak/>
        <w:t>Data were analyzed using Microsoft Excel and statistical package for social sciences “SPSS” application. Variables were represented as frequencies and percentages. Date was represented using tables.</w:t>
      </w:r>
    </w:p>
    <w:p w14:paraId="21EAD775" w14:textId="77777777" w:rsidR="000563E3" w:rsidRPr="00935AB2" w:rsidRDefault="000563E3" w:rsidP="00713EFE">
      <w:pPr>
        <w:pStyle w:val="Heading1"/>
        <w:jc w:val="both"/>
        <w:rPr>
          <w:rFonts w:eastAsiaTheme="minorHAnsi" w:cs="Arial"/>
          <w:sz w:val="16"/>
          <w:szCs w:val="16"/>
        </w:rPr>
      </w:pPr>
    </w:p>
    <w:p w14:paraId="7B356C2C" w14:textId="1536ECB4" w:rsidR="001646B7" w:rsidRPr="00935AB2" w:rsidRDefault="006077CA" w:rsidP="006077CA">
      <w:pPr>
        <w:pStyle w:val="Heading2"/>
        <w:rPr>
          <w:rFonts w:eastAsiaTheme="minorHAnsi"/>
        </w:rPr>
      </w:pPr>
      <w:r w:rsidRPr="00935AB2">
        <w:rPr>
          <w:rFonts w:eastAsiaTheme="minorHAnsi"/>
        </w:rPr>
        <w:t xml:space="preserve">3. </w:t>
      </w:r>
      <w:r w:rsidR="001646B7" w:rsidRPr="00935AB2">
        <w:rPr>
          <w:rFonts w:eastAsiaTheme="minorHAnsi"/>
        </w:rPr>
        <w:t xml:space="preserve">RESULTS </w:t>
      </w:r>
    </w:p>
    <w:p w14:paraId="0D223067" w14:textId="77777777" w:rsidR="000563E3" w:rsidRPr="00935AB2" w:rsidRDefault="000563E3" w:rsidP="00713EFE">
      <w:pPr>
        <w:spacing w:after="0" w:line="240" w:lineRule="auto"/>
        <w:jc w:val="both"/>
        <w:rPr>
          <w:rFonts w:ascii="Arial" w:hAnsi="Arial" w:cs="Arial"/>
          <w:sz w:val="16"/>
          <w:szCs w:val="16"/>
        </w:rPr>
      </w:pPr>
    </w:p>
    <w:p w14:paraId="4B83BE9B" w14:textId="05399552" w:rsidR="001646B7" w:rsidRPr="00935AB2" w:rsidRDefault="001646B7" w:rsidP="00713EFE">
      <w:pPr>
        <w:spacing w:after="0" w:line="240" w:lineRule="auto"/>
        <w:jc w:val="both"/>
        <w:rPr>
          <w:rFonts w:ascii="Arial" w:eastAsiaTheme="minorHAnsi" w:hAnsi="Arial" w:cs="Arial"/>
          <w:sz w:val="20"/>
          <w:szCs w:val="20"/>
        </w:rPr>
      </w:pPr>
      <w:r w:rsidRPr="00935AB2">
        <w:rPr>
          <w:rFonts w:ascii="Arial" w:hAnsi="Arial" w:cs="Arial"/>
          <w:sz w:val="20"/>
          <w:szCs w:val="20"/>
        </w:rPr>
        <w:t>Bacterial vaginosis is an infection that affect a huge number of females nowadays. The most prevalence of bacterial vaginosis is occurred in women within the ages above 45 (post menopause women) as their prevalence is 44% while in reproductive age is 40.06%. That means among 332 women who participated in the study, 307 were having below 45 years 123 were positive to BV and 25 were above 45 years 11 were positive among them.</w:t>
      </w:r>
    </w:p>
    <w:p w14:paraId="4563156B" w14:textId="77777777" w:rsidR="000563E3" w:rsidRPr="00935AB2" w:rsidRDefault="000563E3" w:rsidP="00713EFE">
      <w:pPr>
        <w:pStyle w:val="Heading2"/>
        <w:rPr>
          <w:rFonts w:cs="Arial"/>
          <w:sz w:val="14"/>
          <w:szCs w:val="14"/>
        </w:rPr>
      </w:pPr>
      <w:bookmarkStart w:id="5" w:name="_Toc90888443"/>
    </w:p>
    <w:p w14:paraId="18342C6F" w14:textId="6279F8AB" w:rsidR="001646B7" w:rsidRPr="00935AB2" w:rsidRDefault="006077CA" w:rsidP="006077CA">
      <w:pPr>
        <w:pStyle w:val="Heading2"/>
        <w:ind w:left="360" w:hanging="360"/>
        <w:rPr>
          <w:rFonts w:cs="Arial"/>
          <w:szCs w:val="22"/>
        </w:rPr>
      </w:pPr>
      <w:r w:rsidRPr="00935AB2">
        <w:rPr>
          <w:rFonts w:cs="Arial"/>
          <w:szCs w:val="22"/>
        </w:rPr>
        <w:t>3.1</w:t>
      </w:r>
      <w:r w:rsidRPr="00935AB2">
        <w:rPr>
          <w:rFonts w:cs="Arial"/>
          <w:szCs w:val="22"/>
        </w:rPr>
        <w:tab/>
      </w:r>
      <w:r w:rsidR="001646B7" w:rsidRPr="00935AB2">
        <w:rPr>
          <w:rFonts w:cs="Arial"/>
          <w:szCs w:val="22"/>
        </w:rPr>
        <w:t xml:space="preserve">Distribution of </w:t>
      </w:r>
      <w:r w:rsidRPr="00935AB2">
        <w:rPr>
          <w:rFonts w:cs="Arial"/>
          <w:szCs w:val="22"/>
        </w:rPr>
        <w:t>Patients Acco</w:t>
      </w:r>
      <w:r w:rsidR="001646B7" w:rsidRPr="00935AB2">
        <w:rPr>
          <w:rFonts w:cs="Arial"/>
          <w:szCs w:val="22"/>
        </w:rPr>
        <w:t xml:space="preserve">rding to </w:t>
      </w:r>
      <w:r w:rsidRPr="00935AB2">
        <w:rPr>
          <w:rFonts w:cs="Arial"/>
          <w:szCs w:val="22"/>
        </w:rPr>
        <w:t>Age Gro</w:t>
      </w:r>
      <w:r w:rsidR="001646B7" w:rsidRPr="00935AB2">
        <w:rPr>
          <w:rFonts w:cs="Arial"/>
          <w:szCs w:val="22"/>
        </w:rPr>
        <w:t>ups</w:t>
      </w:r>
      <w:bookmarkEnd w:id="5"/>
      <w:r w:rsidR="001646B7" w:rsidRPr="00935AB2">
        <w:rPr>
          <w:rFonts w:cs="Arial"/>
          <w:szCs w:val="22"/>
        </w:rPr>
        <w:t xml:space="preserve"> </w:t>
      </w:r>
    </w:p>
    <w:p w14:paraId="33062FD3" w14:textId="77777777" w:rsidR="000563E3" w:rsidRPr="00935AB2" w:rsidRDefault="000563E3" w:rsidP="00713EFE">
      <w:pPr>
        <w:spacing w:after="0" w:line="240" w:lineRule="auto"/>
        <w:jc w:val="both"/>
        <w:rPr>
          <w:rFonts w:ascii="Arial" w:hAnsi="Arial" w:cs="Arial"/>
          <w:sz w:val="14"/>
          <w:szCs w:val="14"/>
        </w:rPr>
      </w:pPr>
    </w:p>
    <w:p w14:paraId="249955EC" w14:textId="16DD3AEF" w:rsidR="001646B7" w:rsidRPr="00935AB2" w:rsidRDefault="001646B7" w:rsidP="00713EFE">
      <w:pPr>
        <w:spacing w:after="0" w:line="240" w:lineRule="auto"/>
        <w:jc w:val="both"/>
        <w:rPr>
          <w:rFonts w:ascii="Arial" w:hAnsi="Arial" w:cs="Arial"/>
          <w:sz w:val="20"/>
          <w:szCs w:val="20"/>
        </w:rPr>
      </w:pPr>
      <w:r w:rsidRPr="00935AB2">
        <w:rPr>
          <w:rFonts w:ascii="Arial" w:hAnsi="Arial" w:cs="Arial"/>
          <w:sz w:val="20"/>
          <w:szCs w:val="20"/>
        </w:rPr>
        <w:t xml:space="preserve">Bacterial vaginosis (BV) is a dysbiosis of the vaginal flora characterized by a shift from a Lactobacillus-dominant environment to a polymicrobial mixture including Actinobacteria and Gram-negative bacilli (Gilbert </w:t>
      </w:r>
      <w:r w:rsidRPr="00935AB2">
        <w:rPr>
          <w:rFonts w:ascii="Arial" w:hAnsi="Arial" w:cs="Arial"/>
          <w:i/>
          <w:sz w:val="20"/>
          <w:szCs w:val="20"/>
        </w:rPr>
        <w:t>et al.</w:t>
      </w:r>
      <w:r w:rsidRPr="00935AB2">
        <w:rPr>
          <w:rFonts w:ascii="Arial" w:hAnsi="Arial" w:cs="Arial"/>
          <w:sz w:val="20"/>
          <w:szCs w:val="20"/>
        </w:rPr>
        <w:t xml:space="preserve">, 2013). The most prevalence of women who attend laboratory department for vaginal swab test are in age group of 23-33, while low frequency is in women belongs to 45 ages and above. In fact, women within group 22-33 ages are more sex active than other groups. More detail information are provided in the </w:t>
      </w:r>
      <w:r w:rsidR="006077CA" w:rsidRPr="00935AB2">
        <w:rPr>
          <w:rFonts w:ascii="Arial" w:hAnsi="Arial" w:cs="Arial"/>
          <w:sz w:val="20"/>
          <w:szCs w:val="20"/>
        </w:rPr>
        <w:t xml:space="preserve">Table </w:t>
      </w:r>
      <w:r w:rsidR="000563E3" w:rsidRPr="00935AB2">
        <w:rPr>
          <w:rFonts w:ascii="Arial" w:hAnsi="Arial" w:cs="Arial"/>
          <w:sz w:val="20"/>
          <w:szCs w:val="20"/>
        </w:rPr>
        <w:t>1.</w:t>
      </w:r>
    </w:p>
    <w:p w14:paraId="1F6595AB" w14:textId="77777777" w:rsidR="00935AB2" w:rsidRPr="00935AB2" w:rsidRDefault="00935AB2" w:rsidP="00713EFE">
      <w:pPr>
        <w:spacing w:after="0" w:line="240" w:lineRule="auto"/>
        <w:jc w:val="both"/>
        <w:rPr>
          <w:rFonts w:ascii="Arial" w:hAnsi="Arial" w:cs="Arial"/>
          <w:sz w:val="16"/>
          <w:szCs w:val="16"/>
        </w:rPr>
      </w:pPr>
    </w:p>
    <w:p w14:paraId="3E0B383A" w14:textId="77777777" w:rsidR="00935AB2" w:rsidRPr="00935AB2" w:rsidRDefault="00935AB2" w:rsidP="00935AB2">
      <w:pPr>
        <w:pStyle w:val="Heading2"/>
        <w:rPr>
          <w:rFonts w:cs="Arial"/>
          <w:szCs w:val="22"/>
        </w:rPr>
      </w:pPr>
      <w:bookmarkStart w:id="6" w:name="_Toc90888444"/>
      <w:r w:rsidRPr="00935AB2">
        <w:rPr>
          <w:rFonts w:cs="Arial"/>
          <w:szCs w:val="22"/>
        </w:rPr>
        <w:t>3.2 Distribution of BV within Age Groups</w:t>
      </w:r>
      <w:bookmarkEnd w:id="6"/>
    </w:p>
    <w:p w14:paraId="4F78DC2A" w14:textId="77777777" w:rsidR="00935AB2" w:rsidRPr="00935AB2" w:rsidRDefault="00935AB2" w:rsidP="00935AB2">
      <w:pPr>
        <w:pStyle w:val="BodyText2"/>
        <w:spacing w:after="0" w:line="240" w:lineRule="auto"/>
        <w:rPr>
          <w:rFonts w:ascii="Arial" w:hAnsi="Arial" w:cs="Arial"/>
          <w:sz w:val="16"/>
          <w:szCs w:val="16"/>
        </w:rPr>
      </w:pPr>
    </w:p>
    <w:p w14:paraId="6AA321F4" w14:textId="77777777" w:rsidR="00935AB2" w:rsidRPr="00935AB2" w:rsidRDefault="00935AB2" w:rsidP="00935AB2">
      <w:pPr>
        <w:pStyle w:val="BodyText2"/>
        <w:spacing w:after="0" w:line="240" w:lineRule="auto"/>
        <w:rPr>
          <w:rFonts w:ascii="Arial" w:hAnsi="Arial" w:cs="Arial"/>
          <w:b/>
          <w:sz w:val="20"/>
          <w:szCs w:val="20"/>
        </w:rPr>
      </w:pPr>
      <w:r w:rsidRPr="00935AB2">
        <w:rPr>
          <w:rFonts w:ascii="Arial" w:hAnsi="Arial" w:cs="Arial"/>
          <w:sz w:val="20"/>
          <w:szCs w:val="20"/>
        </w:rPr>
        <w:t xml:space="preserve">The frequencies of BV associated by age group are presented in table below. BV was distributed highly in age group of 34-44 years old patients with prevalence of 45.16%, in 62 patients of this age 28 have BV. While lower distributed in age group of 12-22 years old patients with prevalence of 34.95%, in 103 patients 36 have BV. Few patients have been found in age of ≥45 years old there were 25 patients only, among them 11 were found to have BV infection that means they are more likely to have this infection. </w:t>
      </w:r>
      <w:r w:rsidRPr="00935AB2">
        <w:rPr>
          <w:rFonts w:ascii="Arial" w:hAnsi="Arial" w:cs="Arial"/>
          <w:b/>
          <w:sz w:val="20"/>
          <w:szCs w:val="20"/>
        </w:rPr>
        <w:t xml:space="preserve"> </w:t>
      </w:r>
    </w:p>
    <w:p w14:paraId="3F0BAD7C" w14:textId="77777777" w:rsidR="00935AB2" w:rsidRPr="00935AB2" w:rsidRDefault="00935AB2" w:rsidP="00713EFE">
      <w:pPr>
        <w:spacing w:after="0" w:line="240" w:lineRule="auto"/>
        <w:jc w:val="both"/>
        <w:rPr>
          <w:rFonts w:ascii="Arial" w:hAnsi="Arial" w:cs="Arial"/>
          <w:sz w:val="14"/>
          <w:szCs w:val="14"/>
        </w:rPr>
      </w:pPr>
    </w:p>
    <w:p w14:paraId="02710E07" w14:textId="77777777" w:rsidR="00935AB2" w:rsidRPr="00935AB2" w:rsidRDefault="00935AB2" w:rsidP="00935AB2">
      <w:pPr>
        <w:pStyle w:val="Heading2"/>
        <w:ind w:left="360" w:hanging="360"/>
        <w:rPr>
          <w:rFonts w:cs="Arial"/>
          <w:szCs w:val="22"/>
        </w:rPr>
      </w:pPr>
      <w:bookmarkStart w:id="7" w:name="_Toc90888445"/>
      <w:r w:rsidRPr="00935AB2">
        <w:rPr>
          <w:rFonts w:cs="Arial"/>
          <w:szCs w:val="22"/>
        </w:rPr>
        <w:t>3.3</w:t>
      </w:r>
      <w:r w:rsidRPr="00935AB2">
        <w:rPr>
          <w:rFonts w:cs="Arial"/>
          <w:szCs w:val="22"/>
        </w:rPr>
        <w:tab/>
        <w:t>Prevalence of BV in Women of 12-44 and ≥45 Years Old</w:t>
      </w:r>
      <w:bookmarkEnd w:id="7"/>
    </w:p>
    <w:p w14:paraId="4633E1C8" w14:textId="77777777" w:rsidR="00935AB2" w:rsidRPr="00935AB2" w:rsidRDefault="00935AB2" w:rsidP="00935AB2">
      <w:pPr>
        <w:pStyle w:val="BodyText2"/>
        <w:spacing w:after="0" w:line="240" w:lineRule="auto"/>
        <w:rPr>
          <w:rFonts w:ascii="Arial" w:hAnsi="Arial" w:cs="Arial"/>
          <w:sz w:val="14"/>
          <w:szCs w:val="14"/>
        </w:rPr>
      </w:pPr>
    </w:p>
    <w:p w14:paraId="4F699B30" w14:textId="77777777" w:rsidR="00935AB2" w:rsidRPr="00935AB2" w:rsidRDefault="00935AB2" w:rsidP="00935AB2">
      <w:pPr>
        <w:pStyle w:val="BodyText2"/>
        <w:spacing w:after="0" w:line="240" w:lineRule="auto"/>
        <w:rPr>
          <w:rFonts w:ascii="Arial" w:hAnsi="Arial" w:cs="Arial"/>
          <w:sz w:val="20"/>
          <w:szCs w:val="20"/>
        </w:rPr>
      </w:pPr>
      <w:r w:rsidRPr="00935AB2">
        <w:rPr>
          <w:rFonts w:ascii="Arial" w:hAnsi="Arial" w:cs="Arial"/>
          <w:sz w:val="20"/>
          <w:szCs w:val="20"/>
        </w:rPr>
        <w:t xml:space="preserve">According to my study, out of 332 patients 134(40.36%) of all age were having BV. The Table 3 show detail on the prevalence of BV, the prevalence in age group of ≥45 years old (44%) </w:t>
      </w:r>
      <w:r w:rsidRPr="00935AB2">
        <w:rPr>
          <w:rFonts w:ascii="Arial" w:hAnsi="Arial" w:cs="Arial"/>
          <w:sz w:val="20"/>
          <w:szCs w:val="20"/>
        </w:rPr>
        <w:t>is greater than prevalence in age group of 12-44 years old (40.06%). i.e.: elders are more likely to have BV, those women are in post menopause stage. However, BV can affect women of all age.</w:t>
      </w:r>
    </w:p>
    <w:p w14:paraId="173B9152" w14:textId="77777777" w:rsidR="00935AB2" w:rsidRPr="00935AB2" w:rsidRDefault="00935AB2" w:rsidP="00935AB2">
      <w:pPr>
        <w:pStyle w:val="BodyText2"/>
        <w:spacing w:after="0" w:line="240" w:lineRule="auto"/>
        <w:rPr>
          <w:rFonts w:ascii="Arial" w:hAnsi="Arial" w:cs="Arial"/>
          <w:sz w:val="20"/>
          <w:szCs w:val="20"/>
        </w:rPr>
      </w:pPr>
    </w:p>
    <w:p w14:paraId="17EE4F98" w14:textId="77777777" w:rsidR="00935AB2" w:rsidRPr="00935AB2" w:rsidRDefault="00935AB2" w:rsidP="00935AB2">
      <w:pPr>
        <w:pStyle w:val="Heading2"/>
        <w:rPr>
          <w:rFonts w:eastAsiaTheme="minorHAnsi"/>
        </w:rPr>
      </w:pPr>
      <w:bookmarkStart w:id="8" w:name="_Toc90888446"/>
      <w:r w:rsidRPr="00935AB2">
        <w:rPr>
          <w:rFonts w:eastAsiaTheme="minorHAnsi"/>
        </w:rPr>
        <w:t>4. DISCUSSION</w:t>
      </w:r>
      <w:bookmarkEnd w:id="8"/>
      <w:r w:rsidRPr="00935AB2">
        <w:rPr>
          <w:rFonts w:eastAsiaTheme="minorHAnsi"/>
        </w:rPr>
        <w:t xml:space="preserve">  </w:t>
      </w:r>
    </w:p>
    <w:p w14:paraId="2C703A5C" w14:textId="77777777" w:rsidR="00935AB2" w:rsidRPr="00935AB2" w:rsidRDefault="00935AB2" w:rsidP="00935AB2">
      <w:pPr>
        <w:spacing w:after="0" w:line="240" w:lineRule="auto"/>
        <w:jc w:val="both"/>
        <w:rPr>
          <w:rFonts w:ascii="Arial" w:hAnsi="Arial" w:cs="Arial"/>
          <w:sz w:val="20"/>
          <w:szCs w:val="20"/>
        </w:rPr>
      </w:pPr>
    </w:p>
    <w:p w14:paraId="687BA17A" w14:textId="77777777" w:rsidR="00935AB2" w:rsidRPr="00935AB2" w:rsidRDefault="00935AB2" w:rsidP="00935AB2">
      <w:pPr>
        <w:spacing w:after="0" w:line="240" w:lineRule="auto"/>
        <w:jc w:val="both"/>
        <w:rPr>
          <w:rFonts w:ascii="Arial" w:eastAsiaTheme="minorHAnsi" w:hAnsi="Arial" w:cs="Arial"/>
          <w:sz w:val="20"/>
          <w:szCs w:val="20"/>
        </w:rPr>
      </w:pPr>
      <w:r w:rsidRPr="00935AB2">
        <w:rPr>
          <w:rFonts w:ascii="Arial" w:hAnsi="Arial" w:cs="Arial"/>
          <w:sz w:val="20"/>
          <w:szCs w:val="20"/>
        </w:rPr>
        <w:t>Vaginal infections are among the first reason for women to see healthcare providers, it has occurred as a global health issue. Having asymptomatic infection in half of the cases goes with the prevalence variation in different communities. Bacterial vaginosis was evaluated among women attending Ruhengeri referral hospital, age group were important variable, women under 12 years old were excluded. Bacterial vaginosis was assessed for reproductive women (12-44 years old) and post menopause women (≥45 years old). Since that kind of infection, affect women of all age and causes gynecology and obstetrics complications.</w:t>
      </w:r>
    </w:p>
    <w:p w14:paraId="69EEBF27" w14:textId="77777777" w:rsidR="00935AB2" w:rsidRPr="00935AB2" w:rsidRDefault="00935AB2" w:rsidP="00935AB2">
      <w:pPr>
        <w:spacing w:after="0" w:line="240" w:lineRule="auto"/>
        <w:jc w:val="both"/>
        <w:rPr>
          <w:rFonts w:ascii="Arial" w:hAnsi="Arial" w:cs="Arial"/>
          <w:sz w:val="20"/>
          <w:szCs w:val="20"/>
        </w:rPr>
      </w:pPr>
    </w:p>
    <w:p w14:paraId="07282259" w14:textId="77777777" w:rsidR="00935AB2" w:rsidRPr="00935AB2" w:rsidRDefault="00935AB2" w:rsidP="00935AB2">
      <w:pPr>
        <w:spacing w:after="0" w:line="240" w:lineRule="auto"/>
        <w:jc w:val="both"/>
        <w:rPr>
          <w:rFonts w:ascii="Arial" w:hAnsi="Arial" w:cs="Arial"/>
          <w:sz w:val="20"/>
          <w:szCs w:val="20"/>
        </w:rPr>
      </w:pPr>
      <w:r w:rsidRPr="00935AB2">
        <w:rPr>
          <w:rFonts w:ascii="Arial" w:hAnsi="Arial" w:cs="Arial"/>
          <w:sz w:val="20"/>
          <w:szCs w:val="20"/>
        </w:rPr>
        <w:t xml:space="preserve">“According to CDC, bacterial vaginosis is the most common vaginal condition in women ages 15-44. Also reported that the role of sexual activity in development of BV is not clear. The prevalence in the United States is estimated to be 21.2 million (29.2%) among women ages 14-49, based on a nationally representative sample of women who participated in NHANES 2001-2004. Nonwhite women have higher rates (African –American 51%) than white women (23%) do” </w:t>
      </w:r>
      <w:r w:rsidRPr="00935AB2">
        <w:rPr>
          <w:rFonts w:ascii="Arial" w:hAnsi="Arial" w:cs="Arial"/>
          <w:noProof/>
          <w:sz w:val="20"/>
          <w:szCs w:val="20"/>
        </w:rPr>
        <w:t>[12]</w:t>
      </w:r>
      <w:r w:rsidRPr="00935AB2">
        <w:rPr>
          <w:rFonts w:ascii="Arial" w:hAnsi="Arial" w:cs="Arial"/>
          <w:sz w:val="20"/>
          <w:szCs w:val="20"/>
        </w:rPr>
        <w:t>.</w:t>
      </w:r>
    </w:p>
    <w:p w14:paraId="29BA6861" w14:textId="77777777" w:rsidR="00935AB2" w:rsidRPr="00935AB2" w:rsidRDefault="00935AB2" w:rsidP="00935AB2">
      <w:pPr>
        <w:spacing w:after="0" w:line="240" w:lineRule="auto"/>
        <w:jc w:val="both"/>
        <w:rPr>
          <w:rFonts w:ascii="Arial" w:hAnsi="Arial" w:cs="Arial"/>
          <w:sz w:val="20"/>
          <w:szCs w:val="20"/>
        </w:rPr>
      </w:pPr>
    </w:p>
    <w:p w14:paraId="6F4325FB" w14:textId="77777777" w:rsidR="00935AB2" w:rsidRPr="00935AB2" w:rsidRDefault="00935AB2" w:rsidP="00935AB2">
      <w:pPr>
        <w:spacing w:after="0" w:line="240" w:lineRule="auto"/>
        <w:jc w:val="both"/>
        <w:rPr>
          <w:rFonts w:ascii="Arial" w:hAnsi="Arial" w:cs="Arial"/>
          <w:noProof/>
          <w:sz w:val="20"/>
          <w:szCs w:val="20"/>
        </w:rPr>
      </w:pPr>
      <w:r w:rsidRPr="00935AB2">
        <w:rPr>
          <w:rFonts w:ascii="Arial" w:hAnsi="Arial" w:cs="Arial"/>
          <w:sz w:val="20"/>
          <w:szCs w:val="20"/>
        </w:rPr>
        <w:t xml:space="preserve">Bacterial vaginosis prevalence in east African countries are as follows, the study established in Ethiopia among symptomatic and asymptomatic women found that 19.4% have BV infection </w:t>
      </w:r>
      <w:r w:rsidRPr="00935AB2">
        <w:rPr>
          <w:rFonts w:ascii="Arial" w:hAnsi="Arial" w:cs="Arial"/>
          <w:noProof/>
          <w:sz w:val="20"/>
          <w:szCs w:val="20"/>
        </w:rPr>
        <w:t xml:space="preserve">[13].  “The over all prevalence of BV in 13 studies conducted in the eastern  part of africa was about 23.8%, which has the intermediate prevalence of BV in African region ,with the highest prevalence reported from Kenya 52%” (Farquhar </w:t>
      </w:r>
      <w:r w:rsidRPr="00935AB2">
        <w:rPr>
          <w:rFonts w:ascii="Arial" w:hAnsi="Arial" w:cs="Arial"/>
          <w:i/>
          <w:noProof/>
          <w:sz w:val="20"/>
          <w:szCs w:val="20"/>
        </w:rPr>
        <w:t>et al</w:t>
      </w:r>
      <w:r w:rsidRPr="00935AB2">
        <w:rPr>
          <w:rFonts w:ascii="Arial" w:hAnsi="Arial" w:cs="Arial"/>
          <w:noProof/>
          <w:sz w:val="20"/>
          <w:szCs w:val="20"/>
        </w:rPr>
        <w:t>., 2010) then followed from Sudan 49.8% [14] and ethiopia 19.4% [13].</w:t>
      </w:r>
    </w:p>
    <w:p w14:paraId="7E14F8BA" w14:textId="77777777" w:rsidR="00935AB2" w:rsidRPr="00935AB2" w:rsidRDefault="00935AB2" w:rsidP="00935AB2">
      <w:pPr>
        <w:spacing w:after="0" w:line="240" w:lineRule="auto"/>
        <w:jc w:val="both"/>
        <w:rPr>
          <w:rFonts w:ascii="Arial" w:hAnsi="Arial" w:cs="Arial"/>
          <w:noProof/>
          <w:sz w:val="20"/>
          <w:szCs w:val="20"/>
        </w:rPr>
      </w:pPr>
    </w:p>
    <w:p w14:paraId="0597032A" w14:textId="77777777" w:rsidR="00935AB2" w:rsidRPr="00935AB2" w:rsidRDefault="00935AB2" w:rsidP="00935AB2">
      <w:pPr>
        <w:spacing w:after="0" w:line="240" w:lineRule="auto"/>
        <w:jc w:val="both"/>
        <w:rPr>
          <w:rFonts w:ascii="Arial" w:hAnsi="Arial" w:cs="Arial"/>
          <w:noProof/>
          <w:sz w:val="20"/>
          <w:szCs w:val="20"/>
        </w:rPr>
      </w:pPr>
      <w:r w:rsidRPr="00935AB2">
        <w:rPr>
          <w:rFonts w:ascii="Arial" w:hAnsi="Arial" w:cs="Arial"/>
          <w:noProof/>
          <w:sz w:val="20"/>
          <w:szCs w:val="20"/>
        </w:rPr>
        <w:t xml:space="preserve">A cross-sectional study on “the prevalence of BV, conducted in CDC central clinic, Tiko, Cameroon, among sexually active pregnant and non-pregnant women aged 15-45 years shows a total prevalence of 38%. In addition, this study investigated that BV was more prevalent in the age group of 20-25 years (48.1%) followed by 25-29 years (44.4%)” [15]. </w:t>
      </w:r>
    </w:p>
    <w:p w14:paraId="7269CC5E" w14:textId="77777777" w:rsidR="00935AB2" w:rsidRPr="00935AB2" w:rsidRDefault="00935AB2" w:rsidP="00713EFE">
      <w:pPr>
        <w:spacing w:after="0" w:line="240" w:lineRule="auto"/>
        <w:jc w:val="both"/>
        <w:rPr>
          <w:rFonts w:ascii="Arial" w:hAnsi="Arial" w:cs="Arial"/>
          <w:sz w:val="20"/>
          <w:szCs w:val="20"/>
        </w:rPr>
        <w:sectPr w:rsidR="00935AB2" w:rsidRPr="00935AB2" w:rsidSect="00935AB2">
          <w:type w:val="continuous"/>
          <w:pgSz w:w="11909" w:h="16834" w:code="9"/>
          <w:pgMar w:top="1440" w:right="1440" w:bottom="1440" w:left="1440" w:header="720" w:footer="864" w:gutter="0"/>
          <w:cols w:num="2" w:space="288"/>
          <w:docGrid w:linePitch="360"/>
        </w:sectPr>
      </w:pPr>
    </w:p>
    <w:p w14:paraId="0E52D01C" w14:textId="77777777" w:rsidR="006077CA" w:rsidRPr="00935AB2" w:rsidRDefault="006077CA" w:rsidP="00713EFE">
      <w:pPr>
        <w:spacing w:after="0" w:line="240" w:lineRule="auto"/>
        <w:jc w:val="both"/>
        <w:rPr>
          <w:rFonts w:ascii="Arial" w:hAnsi="Arial" w:cs="Arial"/>
          <w:sz w:val="20"/>
          <w:szCs w:val="20"/>
        </w:rPr>
      </w:pPr>
    </w:p>
    <w:p w14:paraId="03C83F65" w14:textId="145F61CD" w:rsidR="006077CA" w:rsidRPr="00935AB2" w:rsidRDefault="006077CA" w:rsidP="006077CA">
      <w:pPr>
        <w:spacing w:after="0" w:line="240" w:lineRule="auto"/>
        <w:jc w:val="center"/>
        <w:rPr>
          <w:rFonts w:ascii="Arial" w:hAnsi="Arial" w:cs="Arial"/>
          <w:b/>
          <w:sz w:val="20"/>
          <w:szCs w:val="20"/>
        </w:rPr>
      </w:pPr>
      <w:r w:rsidRPr="00935AB2">
        <w:rPr>
          <w:rFonts w:ascii="Arial" w:hAnsi="Arial" w:cs="Arial"/>
          <w:b/>
          <w:sz w:val="20"/>
          <w:szCs w:val="20"/>
        </w:rPr>
        <w:t>Table 1. Distribution of patients according to age groups</w:t>
      </w:r>
    </w:p>
    <w:p w14:paraId="676B2460" w14:textId="77777777" w:rsidR="006077CA" w:rsidRPr="00935AB2" w:rsidRDefault="006077CA" w:rsidP="006077CA">
      <w:pPr>
        <w:spacing w:after="0" w:line="240" w:lineRule="auto"/>
        <w:jc w:val="center"/>
        <w:rPr>
          <w:rFonts w:ascii="Arial" w:hAnsi="Arial" w:cs="Arial"/>
          <w:b/>
          <w:sz w:val="20"/>
          <w:szCs w:val="20"/>
        </w:rPr>
      </w:pPr>
    </w:p>
    <w:tbl>
      <w:tblPr>
        <w:tblStyle w:val="TableGrid1"/>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1721"/>
        <w:gridCol w:w="1676"/>
        <w:gridCol w:w="1131"/>
        <w:gridCol w:w="1917"/>
        <w:gridCol w:w="2267"/>
      </w:tblGrid>
      <w:tr w:rsidR="001646B7" w:rsidRPr="00935AB2" w14:paraId="31E43862" w14:textId="77777777" w:rsidTr="006077CA">
        <w:trPr>
          <w:trHeight w:val="20"/>
          <w:jc w:val="center"/>
        </w:trPr>
        <w:tc>
          <w:tcPr>
            <w:tcW w:w="1142" w:type="pct"/>
            <w:gridSpan w:val="2"/>
            <w:tcBorders>
              <w:top w:val="single" w:sz="4" w:space="0" w:color="auto"/>
              <w:bottom w:val="single" w:sz="4" w:space="0" w:color="auto"/>
            </w:tcBorders>
            <w:hideMark/>
          </w:tcPr>
          <w:p w14:paraId="127037C2"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Age group (years)</w:t>
            </w:r>
          </w:p>
        </w:tc>
        <w:tc>
          <w:tcPr>
            <w:tcW w:w="925" w:type="pct"/>
            <w:tcBorders>
              <w:top w:val="single" w:sz="4" w:space="0" w:color="auto"/>
              <w:bottom w:val="single" w:sz="4" w:space="0" w:color="auto"/>
            </w:tcBorders>
            <w:hideMark/>
          </w:tcPr>
          <w:p w14:paraId="7617D76E"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Frequency</w:t>
            </w:r>
          </w:p>
        </w:tc>
        <w:tc>
          <w:tcPr>
            <w:tcW w:w="624" w:type="pct"/>
            <w:tcBorders>
              <w:top w:val="single" w:sz="4" w:space="0" w:color="auto"/>
              <w:bottom w:val="single" w:sz="4" w:space="0" w:color="auto"/>
            </w:tcBorders>
            <w:hideMark/>
          </w:tcPr>
          <w:p w14:paraId="0BB07B85"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Percent</w:t>
            </w:r>
          </w:p>
        </w:tc>
        <w:tc>
          <w:tcPr>
            <w:tcW w:w="1058" w:type="pct"/>
            <w:tcBorders>
              <w:top w:val="single" w:sz="4" w:space="0" w:color="auto"/>
              <w:bottom w:val="single" w:sz="4" w:space="0" w:color="auto"/>
            </w:tcBorders>
            <w:hideMark/>
          </w:tcPr>
          <w:p w14:paraId="0C7F47CE" w14:textId="74C550C8"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 xml:space="preserve">Valid </w:t>
            </w:r>
            <w:r w:rsidR="006077CA" w:rsidRPr="00935AB2">
              <w:rPr>
                <w:rFonts w:ascii="Arial" w:hAnsi="Arial" w:cs="Arial"/>
                <w:b/>
                <w:bCs/>
                <w:sz w:val="20"/>
                <w:szCs w:val="20"/>
              </w:rPr>
              <w:t>percent</w:t>
            </w:r>
          </w:p>
        </w:tc>
        <w:tc>
          <w:tcPr>
            <w:tcW w:w="1251" w:type="pct"/>
            <w:tcBorders>
              <w:top w:val="single" w:sz="4" w:space="0" w:color="auto"/>
              <w:bottom w:val="single" w:sz="4" w:space="0" w:color="auto"/>
            </w:tcBorders>
            <w:hideMark/>
          </w:tcPr>
          <w:p w14:paraId="09F25CF1" w14:textId="3842B8FF"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 xml:space="preserve">Cumulative </w:t>
            </w:r>
            <w:r w:rsidR="006077CA" w:rsidRPr="00935AB2">
              <w:rPr>
                <w:rFonts w:ascii="Arial" w:hAnsi="Arial" w:cs="Arial"/>
                <w:b/>
                <w:bCs/>
                <w:sz w:val="20"/>
                <w:szCs w:val="20"/>
              </w:rPr>
              <w:t>percent</w:t>
            </w:r>
          </w:p>
        </w:tc>
      </w:tr>
      <w:tr w:rsidR="001646B7" w:rsidRPr="00935AB2" w14:paraId="4A11810B" w14:textId="77777777" w:rsidTr="006077CA">
        <w:trPr>
          <w:trHeight w:val="20"/>
          <w:jc w:val="center"/>
        </w:trPr>
        <w:tc>
          <w:tcPr>
            <w:tcW w:w="192" w:type="pct"/>
            <w:vMerge w:val="restart"/>
            <w:tcBorders>
              <w:top w:val="single" w:sz="4" w:space="0" w:color="auto"/>
            </w:tcBorders>
          </w:tcPr>
          <w:p w14:paraId="1B53CF3C" w14:textId="77777777" w:rsidR="001646B7" w:rsidRPr="00935AB2" w:rsidRDefault="001646B7" w:rsidP="00713EFE">
            <w:pPr>
              <w:autoSpaceDE w:val="0"/>
              <w:autoSpaceDN w:val="0"/>
              <w:adjustRightInd w:val="0"/>
              <w:ind w:right="60"/>
              <w:jc w:val="both"/>
              <w:rPr>
                <w:rFonts w:ascii="Arial" w:hAnsi="Arial" w:cs="Arial"/>
                <w:sz w:val="20"/>
                <w:szCs w:val="20"/>
              </w:rPr>
            </w:pPr>
          </w:p>
        </w:tc>
        <w:tc>
          <w:tcPr>
            <w:tcW w:w="950" w:type="pct"/>
            <w:tcBorders>
              <w:top w:val="single" w:sz="4" w:space="0" w:color="auto"/>
            </w:tcBorders>
            <w:hideMark/>
          </w:tcPr>
          <w:p w14:paraId="7941FD25"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12-22</w:t>
            </w:r>
          </w:p>
        </w:tc>
        <w:tc>
          <w:tcPr>
            <w:tcW w:w="925" w:type="pct"/>
            <w:tcBorders>
              <w:top w:val="single" w:sz="4" w:space="0" w:color="auto"/>
            </w:tcBorders>
            <w:hideMark/>
          </w:tcPr>
          <w:p w14:paraId="7399782A"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103</w:t>
            </w:r>
          </w:p>
        </w:tc>
        <w:tc>
          <w:tcPr>
            <w:tcW w:w="624" w:type="pct"/>
            <w:tcBorders>
              <w:top w:val="single" w:sz="4" w:space="0" w:color="auto"/>
            </w:tcBorders>
            <w:hideMark/>
          </w:tcPr>
          <w:p w14:paraId="61A3C9AF"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31.0</w:t>
            </w:r>
          </w:p>
        </w:tc>
        <w:tc>
          <w:tcPr>
            <w:tcW w:w="1058" w:type="pct"/>
            <w:tcBorders>
              <w:top w:val="single" w:sz="4" w:space="0" w:color="auto"/>
            </w:tcBorders>
            <w:hideMark/>
          </w:tcPr>
          <w:p w14:paraId="637D241A"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31.0</w:t>
            </w:r>
          </w:p>
        </w:tc>
        <w:tc>
          <w:tcPr>
            <w:tcW w:w="1251" w:type="pct"/>
            <w:tcBorders>
              <w:top w:val="single" w:sz="4" w:space="0" w:color="auto"/>
            </w:tcBorders>
            <w:hideMark/>
          </w:tcPr>
          <w:p w14:paraId="52DED80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31.0</w:t>
            </w:r>
          </w:p>
        </w:tc>
      </w:tr>
      <w:tr w:rsidR="001646B7" w:rsidRPr="00935AB2" w14:paraId="46F7347D" w14:textId="77777777" w:rsidTr="006077CA">
        <w:trPr>
          <w:trHeight w:val="20"/>
          <w:jc w:val="center"/>
        </w:trPr>
        <w:tc>
          <w:tcPr>
            <w:tcW w:w="192" w:type="pct"/>
            <w:vMerge/>
            <w:hideMark/>
          </w:tcPr>
          <w:p w14:paraId="1C90654E" w14:textId="77777777" w:rsidR="001646B7" w:rsidRPr="00935AB2" w:rsidRDefault="001646B7" w:rsidP="00713EFE">
            <w:pPr>
              <w:jc w:val="both"/>
              <w:rPr>
                <w:rFonts w:ascii="Arial" w:hAnsi="Arial" w:cs="Arial"/>
                <w:sz w:val="20"/>
                <w:szCs w:val="20"/>
              </w:rPr>
            </w:pPr>
          </w:p>
        </w:tc>
        <w:tc>
          <w:tcPr>
            <w:tcW w:w="950" w:type="pct"/>
            <w:hideMark/>
          </w:tcPr>
          <w:p w14:paraId="6A8B20C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23-33</w:t>
            </w:r>
          </w:p>
        </w:tc>
        <w:tc>
          <w:tcPr>
            <w:tcW w:w="925" w:type="pct"/>
            <w:hideMark/>
          </w:tcPr>
          <w:p w14:paraId="76762C8A"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142</w:t>
            </w:r>
          </w:p>
        </w:tc>
        <w:tc>
          <w:tcPr>
            <w:tcW w:w="624" w:type="pct"/>
            <w:hideMark/>
          </w:tcPr>
          <w:p w14:paraId="2E97A2B2"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42.8</w:t>
            </w:r>
          </w:p>
        </w:tc>
        <w:tc>
          <w:tcPr>
            <w:tcW w:w="1058" w:type="pct"/>
            <w:hideMark/>
          </w:tcPr>
          <w:p w14:paraId="0A49442F"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42.8</w:t>
            </w:r>
          </w:p>
        </w:tc>
        <w:tc>
          <w:tcPr>
            <w:tcW w:w="1251" w:type="pct"/>
            <w:hideMark/>
          </w:tcPr>
          <w:p w14:paraId="37C9776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73.8</w:t>
            </w:r>
          </w:p>
        </w:tc>
      </w:tr>
      <w:tr w:rsidR="001646B7" w:rsidRPr="00935AB2" w14:paraId="1203DFC7" w14:textId="77777777" w:rsidTr="006077CA">
        <w:trPr>
          <w:trHeight w:val="20"/>
          <w:jc w:val="center"/>
        </w:trPr>
        <w:tc>
          <w:tcPr>
            <w:tcW w:w="192" w:type="pct"/>
            <w:vMerge/>
            <w:hideMark/>
          </w:tcPr>
          <w:p w14:paraId="14A5797A" w14:textId="77777777" w:rsidR="001646B7" w:rsidRPr="00935AB2" w:rsidRDefault="001646B7" w:rsidP="00713EFE">
            <w:pPr>
              <w:jc w:val="both"/>
              <w:rPr>
                <w:rFonts w:ascii="Arial" w:hAnsi="Arial" w:cs="Arial"/>
                <w:sz w:val="20"/>
                <w:szCs w:val="20"/>
              </w:rPr>
            </w:pPr>
          </w:p>
        </w:tc>
        <w:tc>
          <w:tcPr>
            <w:tcW w:w="950" w:type="pct"/>
            <w:hideMark/>
          </w:tcPr>
          <w:p w14:paraId="2B31FD89"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34-44</w:t>
            </w:r>
          </w:p>
        </w:tc>
        <w:tc>
          <w:tcPr>
            <w:tcW w:w="925" w:type="pct"/>
            <w:hideMark/>
          </w:tcPr>
          <w:p w14:paraId="37D83DC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62</w:t>
            </w:r>
          </w:p>
        </w:tc>
        <w:tc>
          <w:tcPr>
            <w:tcW w:w="624" w:type="pct"/>
            <w:hideMark/>
          </w:tcPr>
          <w:p w14:paraId="7DC78A74"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18.7</w:t>
            </w:r>
          </w:p>
        </w:tc>
        <w:tc>
          <w:tcPr>
            <w:tcW w:w="1058" w:type="pct"/>
            <w:hideMark/>
          </w:tcPr>
          <w:p w14:paraId="6B17920D"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18.7</w:t>
            </w:r>
          </w:p>
        </w:tc>
        <w:tc>
          <w:tcPr>
            <w:tcW w:w="1251" w:type="pct"/>
            <w:hideMark/>
          </w:tcPr>
          <w:p w14:paraId="024AFE2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92.5</w:t>
            </w:r>
          </w:p>
        </w:tc>
      </w:tr>
      <w:tr w:rsidR="001646B7" w:rsidRPr="00935AB2" w14:paraId="6983F34F" w14:textId="77777777" w:rsidTr="006077CA">
        <w:trPr>
          <w:trHeight w:val="20"/>
          <w:jc w:val="center"/>
        </w:trPr>
        <w:tc>
          <w:tcPr>
            <w:tcW w:w="192" w:type="pct"/>
            <w:vMerge/>
            <w:hideMark/>
          </w:tcPr>
          <w:p w14:paraId="39AC9A15" w14:textId="77777777" w:rsidR="001646B7" w:rsidRPr="00935AB2" w:rsidRDefault="001646B7" w:rsidP="00713EFE">
            <w:pPr>
              <w:jc w:val="both"/>
              <w:rPr>
                <w:rFonts w:ascii="Arial" w:hAnsi="Arial" w:cs="Arial"/>
                <w:sz w:val="20"/>
                <w:szCs w:val="20"/>
              </w:rPr>
            </w:pPr>
          </w:p>
        </w:tc>
        <w:tc>
          <w:tcPr>
            <w:tcW w:w="950" w:type="pct"/>
            <w:tcBorders>
              <w:bottom w:val="single" w:sz="4" w:space="0" w:color="auto"/>
            </w:tcBorders>
            <w:hideMark/>
          </w:tcPr>
          <w:p w14:paraId="2D9FD85E"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 xml:space="preserve">≥45 </w:t>
            </w:r>
          </w:p>
        </w:tc>
        <w:tc>
          <w:tcPr>
            <w:tcW w:w="925" w:type="pct"/>
            <w:tcBorders>
              <w:bottom w:val="single" w:sz="4" w:space="0" w:color="auto"/>
            </w:tcBorders>
            <w:hideMark/>
          </w:tcPr>
          <w:p w14:paraId="683C6596"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25</w:t>
            </w:r>
          </w:p>
        </w:tc>
        <w:tc>
          <w:tcPr>
            <w:tcW w:w="624" w:type="pct"/>
            <w:tcBorders>
              <w:bottom w:val="single" w:sz="4" w:space="0" w:color="auto"/>
            </w:tcBorders>
            <w:hideMark/>
          </w:tcPr>
          <w:p w14:paraId="70122AB8"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7.5</w:t>
            </w:r>
          </w:p>
        </w:tc>
        <w:tc>
          <w:tcPr>
            <w:tcW w:w="1058" w:type="pct"/>
            <w:tcBorders>
              <w:bottom w:val="single" w:sz="4" w:space="0" w:color="auto"/>
            </w:tcBorders>
            <w:hideMark/>
          </w:tcPr>
          <w:p w14:paraId="03FDBF05"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7.5</w:t>
            </w:r>
          </w:p>
        </w:tc>
        <w:tc>
          <w:tcPr>
            <w:tcW w:w="1251" w:type="pct"/>
            <w:tcBorders>
              <w:bottom w:val="single" w:sz="4" w:space="0" w:color="auto"/>
            </w:tcBorders>
            <w:hideMark/>
          </w:tcPr>
          <w:p w14:paraId="3895E52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100.0</w:t>
            </w:r>
          </w:p>
        </w:tc>
      </w:tr>
      <w:tr w:rsidR="001646B7" w:rsidRPr="00935AB2" w14:paraId="5E056D6E" w14:textId="77777777" w:rsidTr="006077CA">
        <w:trPr>
          <w:trHeight w:val="20"/>
          <w:jc w:val="center"/>
        </w:trPr>
        <w:tc>
          <w:tcPr>
            <w:tcW w:w="192" w:type="pct"/>
            <w:vMerge/>
            <w:hideMark/>
          </w:tcPr>
          <w:p w14:paraId="061A131E" w14:textId="77777777" w:rsidR="001646B7" w:rsidRPr="00935AB2" w:rsidRDefault="001646B7" w:rsidP="00713EFE">
            <w:pPr>
              <w:jc w:val="both"/>
              <w:rPr>
                <w:rFonts w:ascii="Arial" w:hAnsi="Arial" w:cs="Arial"/>
                <w:sz w:val="20"/>
                <w:szCs w:val="20"/>
              </w:rPr>
            </w:pPr>
          </w:p>
        </w:tc>
        <w:tc>
          <w:tcPr>
            <w:tcW w:w="950" w:type="pct"/>
            <w:tcBorders>
              <w:top w:val="single" w:sz="4" w:space="0" w:color="auto"/>
              <w:bottom w:val="single" w:sz="4" w:space="0" w:color="auto"/>
            </w:tcBorders>
            <w:hideMark/>
          </w:tcPr>
          <w:p w14:paraId="315C0B37"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Total</w:t>
            </w:r>
          </w:p>
        </w:tc>
        <w:tc>
          <w:tcPr>
            <w:tcW w:w="925" w:type="pct"/>
            <w:tcBorders>
              <w:top w:val="single" w:sz="4" w:space="0" w:color="auto"/>
              <w:bottom w:val="single" w:sz="4" w:space="0" w:color="auto"/>
            </w:tcBorders>
            <w:hideMark/>
          </w:tcPr>
          <w:p w14:paraId="332701FE"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332</w:t>
            </w:r>
          </w:p>
        </w:tc>
        <w:tc>
          <w:tcPr>
            <w:tcW w:w="624" w:type="pct"/>
            <w:tcBorders>
              <w:top w:val="single" w:sz="4" w:space="0" w:color="auto"/>
              <w:bottom w:val="single" w:sz="4" w:space="0" w:color="auto"/>
            </w:tcBorders>
            <w:hideMark/>
          </w:tcPr>
          <w:p w14:paraId="7A842BE9"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100.0</w:t>
            </w:r>
          </w:p>
        </w:tc>
        <w:tc>
          <w:tcPr>
            <w:tcW w:w="1058" w:type="pct"/>
            <w:tcBorders>
              <w:top w:val="single" w:sz="4" w:space="0" w:color="auto"/>
              <w:bottom w:val="single" w:sz="4" w:space="0" w:color="auto"/>
            </w:tcBorders>
            <w:hideMark/>
          </w:tcPr>
          <w:p w14:paraId="3B958427"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100.0</w:t>
            </w:r>
          </w:p>
        </w:tc>
        <w:tc>
          <w:tcPr>
            <w:tcW w:w="1251" w:type="pct"/>
            <w:tcBorders>
              <w:top w:val="single" w:sz="4" w:space="0" w:color="auto"/>
              <w:bottom w:val="single" w:sz="4" w:space="0" w:color="auto"/>
            </w:tcBorders>
          </w:tcPr>
          <w:p w14:paraId="71FBA568" w14:textId="77777777" w:rsidR="001646B7" w:rsidRPr="00935AB2" w:rsidRDefault="001646B7" w:rsidP="00713EFE">
            <w:pPr>
              <w:autoSpaceDE w:val="0"/>
              <w:autoSpaceDN w:val="0"/>
              <w:adjustRightInd w:val="0"/>
              <w:jc w:val="both"/>
              <w:rPr>
                <w:rFonts w:ascii="Arial" w:hAnsi="Arial" w:cs="Arial"/>
                <w:sz w:val="20"/>
                <w:szCs w:val="20"/>
              </w:rPr>
            </w:pPr>
          </w:p>
        </w:tc>
      </w:tr>
    </w:tbl>
    <w:p w14:paraId="11440F79" w14:textId="77777777" w:rsidR="001646B7" w:rsidRPr="00935AB2" w:rsidRDefault="001646B7" w:rsidP="00713EFE">
      <w:pPr>
        <w:pStyle w:val="msonormal0"/>
        <w:autoSpaceDE w:val="0"/>
        <w:autoSpaceDN w:val="0"/>
        <w:adjustRightInd w:val="0"/>
        <w:spacing w:before="0" w:beforeAutospacing="0" w:after="0" w:afterAutospacing="0"/>
        <w:jc w:val="both"/>
        <w:rPr>
          <w:rFonts w:ascii="Arial" w:eastAsiaTheme="minorHAnsi" w:hAnsi="Arial" w:cs="Arial"/>
          <w:sz w:val="20"/>
          <w:szCs w:val="20"/>
        </w:rPr>
      </w:pPr>
    </w:p>
    <w:p w14:paraId="0757BD2A" w14:textId="3F0B6B2F" w:rsidR="001646B7" w:rsidRPr="00935AB2" w:rsidRDefault="001646B7" w:rsidP="00713EFE">
      <w:pPr>
        <w:pStyle w:val="BodyText2"/>
        <w:spacing w:after="0" w:line="240" w:lineRule="auto"/>
        <w:rPr>
          <w:rFonts w:ascii="Arial" w:hAnsi="Arial" w:cs="Arial"/>
          <w:sz w:val="20"/>
          <w:szCs w:val="20"/>
        </w:rPr>
      </w:pPr>
      <w:bookmarkStart w:id="9" w:name="_Toc90030752"/>
      <w:r w:rsidRPr="00935AB2">
        <w:rPr>
          <w:rFonts w:ascii="Arial" w:hAnsi="Arial" w:cs="Arial"/>
          <w:b/>
          <w:sz w:val="20"/>
          <w:szCs w:val="20"/>
        </w:rPr>
        <w:t xml:space="preserve">  </w:t>
      </w:r>
    </w:p>
    <w:p w14:paraId="4C00A616" w14:textId="29104B4B" w:rsidR="001646B7" w:rsidRPr="00935AB2" w:rsidRDefault="001646B7" w:rsidP="006077CA">
      <w:pPr>
        <w:pStyle w:val="Caption"/>
        <w:keepNext/>
        <w:spacing w:after="0"/>
        <w:jc w:val="center"/>
        <w:rPr>
          <w:rFonts w:ascii="Arial" w:hAnsi="Arial" w:cs="Arial"/>
          <w:b/>
          <w:i w:val="0"/>
          <w:color w:val="auto"/>
          <w:sz w:val="20"/>
          <w:szCs w:val="20"/>
        </w:rPr>
      </w:pPr>
      <w:r w:rsidRPr="00935AB2">
        <w:rPr>
          <w:rFonts w:ascii="Arial" w:hAnsi="Arial" w:cs="Arial"/>
          <w:b/>
          <w:i w:val="0"/>
          <w:color w:val="auto"/>
          <w:sz w:val="20"/>
          <w:szCs w:val="20"/>
        </w:rPr>
        <w:t>Table 2. Distribution of BV within age groups of participants</w:t>
      </w:r>
      <w:bookmarkEnd w:id="9"/>
    </w:p>
    <w:p w14:paraId="32635DC0" w14:textId="77777777" w:rsidR="000563E3" w:rsidRPr="00935AB2" w:rsidRDefault="000563E3" w:rsidP="006077CA">
      <w:pPr>
        <w:spacing w:after="0" w:line="240" w:lineRule="auto"/>
        <w:jc w:val="center"/>
        <w:rPr>
          <w:rFonts w:ascii="Arial" w:hAnsi="Arial" w:cs="Arial"/>
          <w:b/>
          <w:sz w:val="20"/>
          <w:szCs w:val="20"/>
        </w:rPr>
      </w:pPr>
    </w:p>
    <w:tbl>
      <w:tblPr>
        <w:tblStyle w:val="TableGrid1"/>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834"/>
        <w:gridCol w:w="1259"/>
        <w:gridCol w:w="1535"/>
        <w:gridCol w:w="1526"/>
        <w:gridCol w:w="1841"/>
        <w:gridCol w:w="898"/>
      </w:tblGrid>
      <w:tr w:rsidR="001646B7" w:rsidRPr="00935AB2" w14:paraId="54076110" w14:textId="77777777" w:rsidTr="006077CA">
        <w:trPr>
          <w:trHeight w:val="20"/>
          <w:jc w:val="center"/>
        </w:trPr>
        <w:tc>
          <w:tcPr>
            <w:tcW w:w="1134" w:type="pct"/>
            <w:gridSpan w:val="2"/>
            <w:vMerge w:val="restart"/>
            <w:tcBorders>
              <w:top w:val="single" w:sz="4" w:space="0" w:color="auto"/>
              <w:bottom w:val="single" w:sz="4" w:space="0" w:color="auto"/>
            </w:tcBorders>
            <w:hideMark/>
          </w:tcPr>
          <w:p w14:paraId="4FF06BD0" w14:textId="77777777" w:rsidR="001646B7" w:rsidRPr="00935AB2" w:rsidRDefault="001646B7" w:rsidP="006077CA">
            <w:pPr>
              <w:autoSpaceDE w:val="0"/>
              <w:autoSpaceDN w:val="0"/>
              <w:adjustRightInd w:val="0"/>
              <w:ind w:left="60" w:right="60"/>
              <w:rPr>
                <w:rFonts w:ascii="Arial" w:hAnsi="Arial" w:cs="Arial"/>
                <w:b/>
                <w:bCs/>
                <w:sz w:val="20"/>
                <w:szCs w:val="20"/>
              </w:rPr>
            </w:pPr>
            <w:r w:rsidRPr="00935AB2">
              <w:rPr>
                <w:rFonts w:ascii="Arial" w:hAnsi="Arial" w:cs="Arial"/>
                <w:b/>
                <w:bCs/>
                <w:sz w:val="20"/>
                <w:szCs w:val="20"/>
              </w:rPr>
              <w:t>Age of participant</w:t>
            </w:r>
          </w:p>
        </w:tc>
        <w:tc>
          <w:tcPr>
            <w:tcW w:w="3355" w:type="pct"/>
            <w:gridSpan w:val="4"/>
            <w:tcBorders>
              <w:top w:val="single" w:sz="4" w:space="0" w:color="auto"/>
              <w:bottom w:val="single" w:sz="4" w:space="0" w:color="auto"/>
            </w:tcBorders>
            <w:hideMark/>
          </w:tcPr>
          <w:p w14:paraId="5564F1E3" w14:textId="77777777" w:rsidR="001646B7" w:rsidRPr="00935AB2" w:rsidRDefault="001646B7" w:rsidP="006077CA">
            <w:pPr>
              <w:autoSpaceDE w:val="0"/>
              <w:autoSpaceDN w:val="0"/>
              <w:adjustRightInd w:val="0"/>
              <w:ind w:left="60" w:right="60"/>
              <w:jc w:val="center"/>
              <w:rPr>
                <w:rFonts w:ascii="Arial" w:hAnsi="Arial" w:cs="Arial"/>
                <w:b/>
                <w:bCs/>
                <w:sz w:val="20"/>
                <w:szCs w:val="20"/>
              </w:rPr>
            </w:pPr>
            <w:r w:rsidRPr="00935AB2">
              <w:rPr>
                <w:rFonts w:ascii="Arial" w:hAnsi="Arial" w:cs="Arial"/>
                <w:b/>
                <w:bCs/>
                <w:sz w:val="20"/>
                <w:szCs w:val="20"/>
              </w:rPr>
              <w:t>Results of participant</w:t>
            </w:r>
          </w:p>
        </w:tc>
        <w:tc>
          <w:tcPr>
            <w:tcW w:w="510" w:type="pct"/>
            <w:vMerge w:val="restart"/>
            <w:tcBorders>
              <w:top w:val="single" w:sz="4" w:space="0" w:color="auto"/>
              <w:bottom w:val="single" w:sz="4" w:space="0" w:color="auto"/>
            </w:tcBorders>
            <w:hideMark/>
          </w:tcPr>
          <w:p w14:paraId="1CA07DD0"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Total</w:t>
            </w:r>
          </w:p>
        </w:tc>
      </w:tr>
      <w:tr w:rsidR="006077CA" w:rsidRPr="00935AB2" w14:paraId="734D11D0" w14:textId="77777777" w:rsidTr="006077CA">
        <w:trPr>
          <w:trHeight w:val="20"/>
          <w:jc w:val="center"/>
        </w:trPr>
        <w:tc>
          <w:tcPr>
            <w:tcW w:w="1134" w:type="pct"/>
            <w:gridSpan w:val="2"/>
            <w:vMerge/>
            <w:tcBorders>
              <w:top w:val="single" w:sz="4" w:space="0" w:color="auto"/>
              <w:bottom w:val="single" w:sz="4" w:space="0" w:color="auto"/>
            </w:tcBorders>
            <w:hideMark/>
          </w:tcPr>
          <w:p w14:paraId="3A238E1C" w14:textId="77777777" w:rsidR="001646B7" w:rsidRPr="00935AB2" w:rsidRDefault="001646B7" w:rsidP="00713EFE">
            <w:pPr>
              <w:jc w:val="both"/>
              <w:rPr>
                <w:rFonts w:ascii="Arial" w:hAnsi="Arial" w:cs="Arial"/>
                <w:b/>
                <w:bCs/>
                <w:sz w:val="20"/>
                <w:szCs w:val="20"/>
              </w:rPr>
            </w:pPr>
          </w:p>
        </w:tc>
        <w:tc>
          <w:tcPr>
            <w:tcW w:w="695" w:type="pct"/>
            <w:tcBorders>
              <w:top w:val="single" w:sz="4" w:space="0" w:color="auto"/>
              <w:bottom w:val="single" w:sz="4" w:space="0" w:color="auto"/>
            </w:tcBorders>
            <w:hideMark/>
          </w:tcPr>
          <w:p w14:paraId="010FA636"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Bacterial vaginosis</w:t>
            </w:r>
          </w:p>
        </w:tc>
        <w:tc>
          <w:tcPr>
            <w:tcW w:w="862" w:type="pct"/>
            <w:tcBorders>
              <w:top w:val="single" w:sz="4" w:space="0" w:color="auto"/>
              <w:bottom w:val="single" w:sz="4" w:space="0" w:color="auto"/>
            </w:tcBorders>
            <w:hideMark/>
          </w:tcPr>
          <w:p w14:paraId="50681785"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Vaginal normal flora</w:t>
            </w:r>
          </w:p>
        </w:tc>
        <w:tc>
          <w:tcPr>
            <w:tcW w:w="767" w:type="pct"/>
            <w:tcBorders>
              <w:top w:val="single" w:sz="4" w:space="0" w:color="auto"/>
              <w:bottom w:val="single" w:sz="4" w:space="0" w:color="auto"/>
            </w:tcBorders>
            <w:hideMark/>
          </w:tcPr>
          <w:p w14:paraId="445B221C" w14:textId="77777777" w:rsidR="001646B7" w:rsidRPr="00935AB2" w:rsidRDefault="001646B7" w:rsidP="00713EFE">
            <w:pPr>
              <w:autoSpaceDE w:val="0"/>
              <w:autoSpaceDN w:val="0"/>
              <w:adjustRightInd w:val="0"/>
              <w:ind w:left="60" w:right="60"/>
              <w:jc w:val="both"/>
              <w:rPr>
                <w:rFonts w:ascii="Arial" w:hAnsi="Arial" w:cs="Arial"/>
                <w:b/>
                <w:bCs/>
                <w:sz w:val="20"/>
                <w:szCs w:val="20"/>
              </w:rPr>
            </w:pPr>
            <w:r w:rsidRPr="00935AB2">
              <w:rPr>
                <w:rFonts w:ascii="Arial" w:hAnsi="Arial" w:cs="Arial"/>
                <w:b/>
                <w:bCs/>
                <w:sz w:val="20"/>
                <w:szCs w:val="20"/>
              </w:rPr>
              <w:t>Intermediate</w:t>
            </w:r>
          </w:p>
        </w:tc>
        <w:tc>
          <w:tcPr>
            <w:tcW w:w="1031" w:type="pct"/>
            <w:tcBorders>
              <w:top w:val="single" w:sz="4" w:space="0" w:color="auto"/>
              <w:bottom w:val="single" w:sz="4" w:space="0" w:color="auto"/>
            </w:tcBorders>
            <w:hideMark/>
          </w:tcPr>
          <w:p w14:paraId="7738547A" w14:textId="77777777" w:rsidR="001646B7" w:rsidRPr="00935AB2" w:rsidRDefault="001646B7" w:rsidP="006077CA">
            <w:pPr>
              <w:autoSpaceDE w:val="0"/>
              <w:autoSpaceDN w:val="0"/>
              <w:adjustRightInd w:val="0"/>
              <w:ind w:left="60" w:right="60"/>
              <w:rPr>
                <w:rFonts w:ascii="Arial" w:hAnsi="Arial" w:cs="Arial"/>
                <w:b/>
                <w:bCs/>
                <w:sz w:val="20"/>
                <w:szCs w:val="20"/>
              </w:rPr>
            </w:pPr>
            <w:r w:rsidRPr="00935AB2">
              <w:rPr>
                <w:rFonts w:ascii="Arial" w:hAnsi="Arial" w:cs="Arial"/>
                <w:b/>
                <w:bCs/>
                <w:sz w:val="20"/>
                <w:szCs w:val="20"/>
              </w:rPr>
              <w:t>Lack of vaginal normal flora</w:t>
            </w:r>
          </w:p>
        </w:tc>
        <w:tc>
          <w:tcPr>
            <w:tcW w:w="510" w:type="pct"/>
            <w:vMerge/>
            <w:tcBorders>
              <w:top w:val="single" w:sz="4" w:space="0" w:color="auto"/>
              <w:bottom w:val="single" w:sz="4" w:space="0" w:color="auto"/>
            </w:tcBorders>
            <w:hideMark/>
          </w:tcPr>
          <w:p w14:paraId="470DB106" w14:textId="77777777" w:rsidR="001646B7" w:rsidRPr="00935AB2" w:rsidRDefault="001646B7" w:rsidP="00713EFE">
            <w:pPr>
              <w:jc w:val="both"/>
              <w:rPr>
                <w:rFonts w:ascii="Arial" w:hAnsi="Arial" w:cs="Arial"/>
                <w:b/>
                <w:bCs/>
                <w:sz w:val="20"/>
                <w:szCs w:val="20"/>
              </w:rPr>
            </w:pPr>
          </w:p>
        </w:tc>
      </w:tr>
      <w:tr w:rsidR="006077CA" w:rsidRPr="00935AB2" w14:paraId="6C0262D8" w14:textId="77777777" w:rsidTr="006077CA">
        <w:trPr>
          <w:trHeight w:val="20"/>
          <w:jc w:val="center"/>
        </w:trPr>
        <w:tc>
          <w:tcPr>
            <w:tcW w:w="659" w:type="pct"/>
            <w:vMerge w:val="restart"/>
            <w:tcBorders>
              <w:top w:val="single" w:sz="4" w:space="0" w:color="auto"/>
            </w:tcBorders>
          </w:tcPr>
          <w:p w14:paraId="6EB14235" w14:textId="77777777" w:rsidR="001646B7" w:rsidRPr="00935AB2" w:rsidRDefault="001646B7" w:rsidP="00713EFE">
            <w:pPr>
              <w:autoSpaceDE w:val="0"/>
              <w:autoSpaceDN w:val="0"/>
              <w:adjustRightInd w:val="0"/>
              <w:ind w:left="60" w:right="60"/>
              <w:jc w:val="both"/>
              <w:rPr>
                <w:rFonts w:ascii="Arial" w:hAnsi="Arial" w:cs="Arial"/>
                <w:sz w:val="20"/>
                <w:szCs w:val="20"/>
              </w:rPr>
            </w:pPr>
          </w:p>
        </w:tc>
        <w:tc>
          <w:tcPr>
            <w:tcW w:w="475" w:type="pct"/>
            <w:tcBorders>
              <w:top w:val="single" w:sz="4" w:space="0" w:color="auto"/>
            </w:tcBorders>
            <w:hideMark/>
          </w:tcPr>
          <w:p w14:paraId="2145EFF4" w14:textId="77777777" w:rsidR="001646B7" w:rsidRPr="00935AB2" w:rsidRDefault="001646B7" w:rsidP="006077CA">
            <w:pPr>
              <w:autoSpaceDE w:val="0"/>
              <w:autoSpaceDN w:val="0"/>
              <w:adjustRightInd w:val="0"/>
              <w:ind w:right="60"/>
              <w:jc w:val="both"/>
              <w:rPr>
                <w:rFonts w:ascii="Arial" w:hAnsi="Arial" w:cs="Arial"/>
                <w:sz w:val="20"/>
                <w:szCs w:val="20"/>
              </w:rPr>
            </w:pPr>
            <w:r w:rsidRPr="00935AB2">
              <w:rPr>
                <w:rFonts w:ascii="Arial" w:hAnsi="Arial" w:cs="Arial"/>
                <w:sz w:val="20"/>
                <w:szCs w:val="20"/>
              </w:rPr>
              <w:t>12-22</w:t>
            </w:r>
          </w:p>
        </w:tc>
        <w:tc>
          <w:tcPr>
            <w:tcW w:w="695" w:type="pct"/>
            <w:tcBorders>
              <w:top w:val="single" w:sz="4" w:space="0" w:color="auto"/>
            </w:tcBorders>
            <w:hideMark/>
          </w:tcPr>
          <w:p w14:paraId="1313317F"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36</w:t>
            </w:r>
          </w:p>
        </w:tc>
        <w:tc>
          <w:tcPr>
            <w:tcW w:w="862" w:type="pct"/>
            <w:tcBorders>
              <w:top w:val="single" w:sz="4" w:space="0" w:color="auto"/>
            </w:tcBorders>
            <w:hideMark/>
          </w:tcPr>
          <w:p w14:paraId="625E7E0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59</w:t>
            </w:r>
          </w:p>
        </w:tc>
        <w:tc>
          <w:tcPr>
            <w:tcW w:w="767" w:type="pct"/>
            <w:tcBorders>
              <w:top w:val="single" w:sz="4" w:space="0" w:color="auto"/>
            </w:tcBorders>
            <w:hideMark/>
          </w:tcPr>
          <w:p w14:paraId="5E1672F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5</w:t>
            </w:r>
          </w:p>
        </w:tc>
        <w:tc>
          <w:tcPr>
            <w:tcW w:w="1031" w:type="pct"/>
            <w:tcBorders>
              <w:top w:val="single" w:sz="4" w:space="0" w:color="auto"/>
            </w:tcBorders>
            <w:hideMark/>
          </w:tcPr>
          <w:p w14:paraId="1E446690"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w:t>
            </w:r>
          </w:p>
        </w:tc>
        <w:tc>
          <w:tcPr>
            <w:tcW w:w="510" w:type="pct"/>
            <w:tcBorders>
              <w:top w:val="single" w:sz="4" w:space="0" w:color="auto"/>
            </w:tcBorders>
            <w:hideMark/>
          </w:tcPr>
          <w:p w14:paraId="411F6214"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103</w:t>
            </w:r>
          </w:p>
        </w:tc>
      </w:tr>
      <w:tr w:rsidR="006077CA" w:rsidRPr="00935AB2" w14:paraId="0A6CE66F" w14:textId="77777777" w:rsidTr="006077CA">
        <w:trPr>
          <w:trHeight w:val="20"/>
          <w:jc w:val="center"/>
        </w:trPr>
        <w:tc>
          <w:tcPr>
            <w:tcW w:w="659" w:type="pct"/>
            <w:vMerge/>
            <w:hideMark/>
          </w:tcPr>
          <w:p w14:paraId="3296E08C" w14:textId="77777777" w:rsidR="001646B7" w:rsidRPr="00935AB2" w:rsidRDefault="001646B7" w:rsidP="00713EFE">
            <w:pPr>
              <w:jc w:val="both"/>
              <w:rPr>
                <w:rFonts w:ascii="Arial" w:hAnsi="Arial" w:cs="Arial"/>
                <w:sz w:val="20"/>
                <w:szCs w:val="20"/>
              </w:rPr>
            </w:pPr>
          </w:p>
        </w:tc>
        <w:tc>
          <w:tcPr>
            <w:tcW w:w="475" w:type="pct"/>
            <w:hideMark/>
          </w:tcPr>
          <w:p w14:paraId="613119DF" w14:textId="77777777" w:rsidR="001646B7" w:rsidRPr="00935AB2" w:rsidRDefault="001646B7" w:rsidP="006077CA">
            <w:pPr>
              <w:autoSpaceDE w:val="0"/>
              <w:autoSpaceDN w:val="0"/>
              <w:adjustRightInd w:val="0"/>
              <w:ind w:right="60"/>
              <w:jc w:val="both"/>
              <w:rPr>
                <w:rFonts w:ascii="Arial" w:hAnsi="Arial" w:cs="Arial"/>
                <w:sz w:val="20"/>
                <w:szCs w:val="20"/>
              </w:rPr>
            </w:pPr>
            <w:r w:rsidRPr="00935AB2">
              <w:rPr>
                <w:rFonts w:ascii="Arial" w:hAnsi="Arial" w:cs="Arial"/>
                <w:sz w:val="20"/>
                <w:szCs w:val="20"/>
              </w:rPr>
              <w:t>23-33</w:t>
            </w:r>
          </w:p>
        </w:tc>
        <w:tc>
          <w:tcPr>
            <w:tcW w:w="695" w:type="pct"/>
            <w:hideMark/>
          </w:tcPr>
          <w:p w14:paraId="33BA7700"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59</w:t>
            </w:r>
          </w:p>
        </w:tc>
        <w:tc>
          <w:tcPr>
            <w:tcW w:w="862" w:type="pct"/>
            <w:hideMark/>
          </w:tcPr>
          <w:p w14:paraId="1373FF90"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75</w:t>
            </w:r>
          </w:p>
        </w:tc>
        <w:tc>
          <w:tcPr>
            <w:tcW w:w="767" w:type="pct"/>
            <w:hideMark/>
          </w:tcPr>
          <w:p w14:paraId="641FF28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w:t>
            </w:r>
          </w:p>
        </w:tc>
        <w:tc>
          <w:tcPr>
            <w:tcW w:w="1031" w:type="pct"/>
            <w:hideMark/>
          </w:tcPr>
          <w:p w14:paraId="38A72BB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w:t>
            </w:r>
          </w:p>
        </w:tc>
        <w:tc>
          <w:tcPr>
            <w:tcW w:w="510" w:type="pct"/>
            <w:hideMark/>
          </w:tcPr>
          <w:p w14:paraId="0045A238"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142</w:t>
            </w:r>
          </w:p>
        </w:tc>
      </w:tr>
      <w:tr w:rsidR="006077CA" w:rsidRPr="00935AB2" w14:paraId="24A00927" w14:textId="77777777" w:rsidTr="006077CA">
        <w:trPr>
          <w:trHeight w:val="20"/>
          <w:jc w:val="center"/>
        </w:trPr>
        <w:tc>
          <w:tcPr>
            <w:tcW w:w="659" w:type="pct"/>
            <w:vMerge/>
            <w:hideMark/>
          </w:tcPr>
          <w:p w14:paraId="0ED0EAA0" w14:textId="77777777" w:rsidR="001646B7" w:rsidRPr="00935AB2" w:rsidRDefault="001646B7" w:rsidP="00713EFE">
            <w:pPr>
              <w:jc w:val="both"/>
              <w:rPr>
                <w:rFonts w:ascii="Arial" w:hAnsi="Arial" w:cs="Arial"/>
                <w:sz w:val="20"/>
                <w:szCs w:val="20"/>
              </w:rPr>
            </w:pPr>
          </w:p>
        </w:tc>
        <w:tc>
          <w:tcPr>
            <w:tcW w:w="475" w:type="pct"/>
            <w:hideMark/>
          </w:tcPr>
          <w:p w14:paraId="7FC5A3C0" w14:textId="77777777" w:rsidR="001646B7" w:rsidRPr="00935AB2" w:rsidRDefault="001646B7" w:rsidP="006077CA">
            <w:pPr>
              <w:autoSpaceDE w:val="0"/>
              <w:autoSpaceDN w:val="0"/>
              <w:adjustRightInd w:val="0"/>
              <w:ind w:right="60"/>
              <w:jc w:val="both"/>
              <w:rPr>
                <w:rFonts w:ascii="Arial" w:hAnsi="Arial" w:cs="Arial"/>
                <w:sz w:val="20"/>
                <w:szCs w:val="20"/>
              </w:rPr>
            </w:pPr>
            <w:r w:rsidRPr="00935AB2">
              <w:rPr>
                <w:rFonts w:ascii="Arial" w:hAnsi="Arial" w:cs="Arial"/>
                <w:sz w:val="20"/>
                <w:szCs w:val="20"/>
              </w:rPr>
              <w:t>34-44</w:t>
            </w:r>
          </w:p>
        </w:tc>
        <w:tc>
          <w:tcPr>
            <w:tcW w:w="695" w:type="pct"/>
            <w:hideMark/>
          </w:tcPr>
          <w:p w14:paraId="5C27F113"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28</w:t>
            </w:r>
          </w:p>
        </w:tc>
        <w:tc>
          <w:tcPr>
            <w:tcW w:w="862" w:type="pct"/>
            <w:hideMark/>
          </w:tcPr>
          <w:p w14:paraId="035852ED"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30</w:t>
            </w:r>
          </w:p>
        </w:tc>
        <w:tc>
          <w:tcPr>
            <w:tcW w:w="767" w:type="pct"/>
            <w:hideMark/>
          </w:tcPr>
          <w:p w14:paraId="6E720C96"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w:t>
            </w:r>
          </w:p>
        </w:tc>
        <w:tc>
          <w:tcPr>
            <w:tcW w:w="1031" w:type="pct"/>
            <w:hideMark/>
          </w:tcPr>
          <w:p w14:paraId="2859C31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w:t>
            </w:r>
          </w:p>
        </w:tc>
        <w:tc>
          <w:tcPr>
            <w:tcW w:w="510" w:type="pct"/>
            <w:hideMark/>
          </w:tcPr>
          <w:p w14:paraId="169D1E4C"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62</w:t>
            </w:r>
          </w:p>
        </w:tc>
      </w:tr>
      <w:tr w:rsidR="006077CA" w:rsidRPr="00935AB2" w14:paraId="6D4604B5" w14:textId="77777777" w:rsidTr="006077CA">
        <w:trPr>
          <w:trHeight w:val="20"/>
          <w:jc w:val="center"/>
        </w:trPr>
        <w:tc>
          <w:tcPr>
            <w:tcW w:w="659" w:type="pct"/>
            <w:vMerge/>
            <w:tcBorders>
              <w:bottom w:val="single" w:sz="4" w:space="0" w:color="auto"/>
            </w:tcBorders>
            <w:hideMark/>
          </w:tcPr>
          <w:p w14:paraId="2A8BD1D8" w14:textId="77777777" w:rsidR="001646B7" w:rsidRPr="00935AB2" w:rsidRDefault="001646B7" w:rsidP="00713EFE">
            <w:pPr>
              <w:jc w:val="both"/>
              <w:rPr>
                <w:rFonts w:ascii="Arial" w:hAnsi="Arial" w:cs="Arial"/>
                <w:sz w:val="20"/>
                <w:szCs w:val="20"/>
              </w:rPr>
            </w:pPr>
          </w:p>
        </w:tc>
        <w:tc>
          <w:tcPr>
            <w:tcW w:w="475" w:type="pct"/>
            <w:tcBorders>
              <w:bottom w:val="single" w:sz="4" w:space="0" w:color="auto"/>
            </w:tcBorders>
            <w:hideMark/>
          </w:tcPr>
          <w:p w14:paraId="50FE198B" w14:textId="77777777" w:rsidR="001646B7" w:rsidRPr="00935AB2" w:rsidRDefault="001646B7" w:rsidP="006077CA">
            <w:pPr>
              <w:autoSpaceDE w:val="0"/>
              <w:autoSpaceDN w:val="0"/>
              <w:adjustRightInd w:val="0"/>
              <w:ind w:right="60"/>
              <w:jc w:val="both"/>
              <w:rPr>
                <w:rFonts w:ascii="Arial" w:hAnsi="Arial" w:cs="Arial"/>
                <w:sz w:val="20"/>
                <w:szCs w:val="20"/>
              </w:rPr>
            </w:pPr>
            <w:r w:rsidRPr="00935AB2">
              <w:rPr>
                <w:rFonts w:ascii="Arial" w:hAnsi="Arial" w:cs="Arial"/>
                <w:sz w:val="20"/>
                <w:szCs w:val="20"/>
              </w:rPr>
              <w:t xml:space="preserve">≥45 </w:t>
            </w:r>
          </w:p>
        </w:tc>
        <w:tc>
          <w:tcPr>
            <w:tcW w:w="695" w:type="pct"/>
            <w:tcBorders>
              <w:bottom w:val="single" w:sz="4" w:space="0" w:color="auto"/>
            </w:tcBorders>
            <w:hideMark/>
          </w:tcPr>
          <w:p w14:paraId="3F26CDAD"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11</w:t>
            </w:r>
          </w:p>
        </w:tc>
        <w:tc>
          <w:tcPr>
            <w:tcW w:w="862" w:type="pct"/>
            <w:tcBorders>
              <w:bottom w:val="single" w:sz="4" w:space="0" w:color="auto"/>
            </w:tcBorders>
            <w:hideMark/>
          </w:tcPr>
          <w:p w14:paraId="4EAD3A11"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11</w:t>
            </w:r>
          </w:p>
        </w:tc>
        <w:tc>
          <w:tcPr>
            <w:tcW w:w="767" w:type="pct"/>
            <w:tcBorders>
              <w:bottom w:val="single" w:sz="4" w:space="0" w:color="auto"/>
            </w:tcBorders>
            <w:hideMark/>
          </w:tcPr>
          <w:p w14:paraId="66997E4F"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w:t>
            </w:r>
          </w:p>
        </w:tc>
        <w:tc>
          <w:tcPr>
            <w:tcW w:w="1031" w:type="pct"/>
            <w:tcBorders>
              <w:bottom w:val="single" w:sz="4" w:space="0" w:color="auto"/>
            </w:tcBorders>
            <w:hideMark/>
          </w:tcPr>
          <w:p w14:paraId="298F7843"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2</w:t>
            </w:r>
          </w:p>
        </w:tc>
        <w:tc>
          <w:tcPr>
            <w:tcW w:w="510" w:type="pct"/>
            <w:tcBorders>
              <w:bottom w:val="single" w:sz="4" w:space="0" w:color="auto"/>
            </w:tcBorders>
            <w:hideMark/>
          </w:tcPr>
          <w:p w14:paraId="00057AD6"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25</w:t>
            </w:r>
          </w:p>
        </w:tc>
      </w:tr>
      <w:tr w:rsidR="006077CA" w:rsidRPr="00935AB2" w14:paraId="6BA0DEAF" w14:textId="77777777" w:rsidTr="006077CA">
        <w:trPr>
          <w:trHeight w:val="20"/>
          <w:jc w:val="center"/>
        </w:trPr>
        <w:tc>
          <w:tcPr>
            <w:tcW w:w="1134" w:type="pct"/>
            <w:gridSpan w:val="2"/>
            <w:tcBorders>
              <w:top w:val="single" w:sz="4" w:space="0" w:color="auto"/>
              <w:bottom w:val="single" w:sz="4" w:space="0" w:color="auto"/>
            </w:tcBorders>
            <w:hideMark/>
          </w:tcPr>
          <w:p w14:paraId="322F90F6"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 xml:space="preserve">           Total</w:t>
            </w:r>
          </w:p>
        </w:tc>
        <w:tc>
          <w:tcPr>
            <w:tcW w:w="695" w:type="pct"/>
            <w:tcBorders>
              <w:top w:val="single" w:sz="4" w:space="0" w:color="auto"/>
              <w:bottom w:val="single" w:sz="4" w:space="0" w:color="auto"/>
            </w:tcBorders>
            <w:hideMark/>
          </w:tcPr>
          <w:p w14:paraId="65D902B5"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134</w:t>
            </w:r>
          </w:p>
        </w:tc>
        <w:tc>
          <w:tcPr>
            <w:tcW w:w="862" w:type="pct"/>
            <w:tcBorders>
              <w:top w:val="single" w:sz="4" w:space="0" w:color="auto"/>
              <w:bottom w:val="single" w:sz="4" w:space="0" w:color="auto"/>
            </w:tcBorders>
            <w:hideMark/>
          </w:tcPr>
          <w:p w14:paraId="5149D5AF"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175</w:t>
            </w:r>
          </w:p>
        </w:tc>
        <w:tc>
          <w:tcPr>
            <w:tcW w:w="767" w:type="pct"/>
            <w:tcBorders>
              <w:top w:val="single" w:sz="4" w:space="0" w:color="auto"/>
              <w:bottom w:val="single" w:sz="4" w:space="0" w:color="auto"/>
            </w:tcBorders>
            <w:hideMark/>
          </w:tcPr>
          <w:p w14:paraId="1897850D"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16</w:t>
            </w:r>
          </w:p>
        </w:tc>
        <w:tc>
          <w:tcPr>
            <w:tcW w:w="1031" w:type="pct"/>
            <w:tcBorders>
              <w:top w:val="single" w:sz="4" w:space="0" w:color="auto"/>
              <w:bottom w:val="single" w:sz="4" w:space="0" w:color="auto"/>
            </w:tcBorders>
            <w:hideMark/>
          </w:tcPr>
          <w:p w14:paraId="07D7FB79"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7</w:t>
            </w:r>
          </w:p>
        </w:tc>
        <w:tc>
          <w:tcPr>
            <w:tcW w:w="510" w:type="pct"/>
            <w:tcBorders>
              <w:top w:val="single" w:sz="4" w:space="0" w:color="auto"/>
              <w:bottom w:val="single" w:sz="4" w:space="0" w:color="auto"/>
            </w:tcBorders>
            <w:hideMark/>
          </w:tcPr>
          <w:p w14:paraId="03D709D5" w14:textId="77777777" w:rsidR="001646B7" w:rsidRPr="00935AB2" w:rsidRDefault="001646B7" w:rsidP="00713EFE">
            <w:pPr>
              <w:autoSpaceDE w:val="0"/>
              <w:autoSpaceDN w:val="0"/>
              <w:adjustRightInd w:val="0"/>
              <w:ind w:left="60" w:right="60"/>
              <w:jc w:val="both"/>
              <w:rPr>
                <w:rFonts w:ascii="Arial" w:hAnsi="Arial" w:cs="Arial"/>
                <w:sz w:val="20"/>
                <w:szCs w:val="20"/>
              </w:rPr>
            </w:pPr>
            <w:r w:rsidRPr="00935AB2">
              <w:rPr>
                <w:rFonts w:ascii="Arial" w:hAnsi="Arial" w:cs="Arial"/>
                <w:sz w:val="20"/>
                <w:szCs w:val="20"/>
              </w:rPr>
              <w:t>332</w:t>
            </w:r>
          </w:p>
        </w:tc>
      </w:tr>
    </w:tbl>
    <w:p w14:paraId="55A5660F" w14:textId="52C08198" w:rsidR="000563E3" w:rsidRPr="00935AB2" w:rsidRDefault="001646B7" w:rsidP="00713EFE">
      <w:pPr>
        <w:pStyle w:val="Caption"/>
        <w:keepNext/>
        <w:spacing w:after="0"/>
        <w:jc w:val="both"/>
        <w:rPr>
          <w:rFonts w:ascii="Arial" w:hAnsi="Arial" w:cs="Arial"/>
          <w:b/>
          <w:i w:val="0"/>
          <w:color w:val="auto"/>
          <w:sz w:val="20"/>
          <w:szCs w:val="20"/>
        </w:rPr>
      </w:pPr>
      <w:bookmarkStart w:id="10" w:name="_Toc90030753"/>
      <w:r w:rsidRPr="00935AB2">
        <w:rPr>
          <w:rFonts w:ascii="Arial" w:hAnsi="Arial" w:cs="Arial"/>
          <w:b/>
          <w:i w:val="0"/>
          <w:color w:val="auto"/>
          <w:sz w:val="20"/>
          <w:szCs w:val="20"/>
        </w:rPr>
        <w:t xml:space="preserve">              </w:t>
      </w:r>
    </w:p>
    <w:p w14:paraId="5027CEEC" w14:textId="09B73CD5" w:rsidR="001646B7" w:rsidRPr="00935AB2" w:rsidRDefault="001646B7" w:rsidP="00935AB2">
      <w:pPr>
        <w:pStyle w:val="Caption"/>
        <w:keepNext/>
        <w:spacing w:after="0"/>
        <w:jc w:val="center"/>
        <w:rPr>
          <w:rFonts w:ascii="Arial" w:hAnsi="Arial" w:cs="Arial"/>
          <w:b/>
          <w:i w:val="0"/>
          <w:color w:val="auto"/>
          <w:sz w:val="20"/>
          <w:szCs w:val="20"/>
        </w:rPr>
      </w:pPr>
      <w:r w:rsidRPr="00935AB2">
        <w:rPr>
          <w:rFonts w:ascii="Arial" w:hAnsi="Arial" w:cs="Arial"/>
          <w:b/>
          <w:i w:val="0"/>
          <w:color w:val="auto"/>
          <w:sz w:val="20"/>
          <w:szCs w:val="20"/>
        </w:rPr>
        <w:t>Table 3. Prevalence of BV in two age groups</w:t>
      </w:r>
      <w:bookmarkEnd w:id="10"/>
    </w:p>
    <w:p w14:paraId="2A558668" w14:textId="77777777" w:rsidR="00935AB2" w:rsidRPr="00935AB2" w:rsidRDefault="00935AB2" w:rsidP="00935AB2">
      <w:pPr>
        <w:spacing w:after="0" w:line="240" w:lineRule="auto"/>
        <w:rPr>
          <w:rFonts w:ascii="Arial"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1698"/>
        <w:gridCol w:w="1821"/>
        <w:gridCol w:w="1529"/>
        <w:gridCol w:w="2024"/>
      </w:tblGrid>
      <w:tr w:rsidR="001646B7" w:rsidRPr="00935AB2" w14:paraId="1877890A" w14:textId="77777777" w:rsidTr="00935AB2">
        <w:trPr>
          <w:trHeight w:val="20"/>
          <w:jc w:val="center"/>
        </w:trPr>
        <w:tc>
          <w:tcPr>
            <w:tcW w:w="1097" w:type="pct"/>
            <w:tcBorders>
              <w:top w:val="single" w:sz="4" w:space="0" w:color="auto"/>
              <w:bottom w:val="single" w:sz="4" w:space="0" w:color="auto"/>
            </w:tcBorders>
            <w:hideMark/>
          </w:tcPr>
          <w:p w14:paraId="223A0269" w14:textId="77777777" w:rsidR="001646B7" w:rsidRPr="00935AB2" w:rsidRDefault="001646B7" w:rsidP="00713EFE">
            <w:pPr>
              <w:jc w:val="both"/>
              <w:rPr>
                <w:rFonts w:ascii="Arial" w:hAnsi="Arial" w:cs="Arial"/>
                <w:b/>
                <w:sz w:val="20"/>
                <w:szCs w:val="20"/>
              </w:rPr>
            </w:pPr>
            <w:r w:rsidRPr="00935AB2">
              <w:rPr>
                <w:rFonts w:ascii="Arial" w:hAnsi="Arial" w:cs="Arial"/>
                <w:b/>
                <w:sz w:val="20"/>
                <w:szCs w:val="20"/>
              </w:rPr>
              <w:t>Group age</w:t>
            </w:r>
          </w:p>
        </w:tc>
        <w:tc>
          <w:tcPr>
            <w:tcW w:w="937" w:type="pct"/>
            <w:tcBorders>
              <w:top w:val="single" w:sz="4" w:space="0" w:color="auto"/>
              <w:bottom w:val="single" w:sz="4" w:space="0" w:color="auto"/>
            </w:tcBorders>
            <w:hideMark/>
          </w:tcPr>
          <w:p w14:paraId="267B4558" w14:textId="77777777" w:rsidR="001646B7" w:rsidRPr="00935AB2" w:rsidRDefault="001646B7" w:rsidP="00713EFE">
            <w:pPr>
              <w:jc w:val="both"/>
              <w:rPr>
                <w:rFonts w:ascii="Arial" w:hAnsi="Arial" w:cs="Arial"/>
                <w:b/>
                <w:sz w:val="20"/>
                <w:szCs w:val="20"/>
              </w:rPr>
            </w:pPr>
            <w:r w:rsidRPr="00935AB2">
              <w:rPr>
                <w:rFonts w:ascii="Arial" w:hAnsi="Arial" w:cs="Arial"/>
                <w:b/>
                <w:sz w:val="20"/>
                <w:szCs w:val="20"/>
              </w:rPr>
              <w:t xml:space="preserve">BV positive </w:t>
            </w:r>
          </w:p>
        </w:tc>
        <w:tc>
          <w:tcPr>
            <w:tcW w:w="1005" w:type="pct"/>
            <w:tcBorders>
              <w:top w:val="single" w:sz="4" w:space="0" w:color="auto"/>
              <w:bottom w:val="single" w:sz="4" w:space="0" w:color="auto"/>
            </w:tcBorders>
            <w:hideMark/>
          </w:tcPr>
          <w:p w14:paraId="62201A95" w14:textId="77777777" w:rsidR="001646B7" w:rsidRPr="00935AB2" w:rsidRDefault="001646B7" w:rsidP="00713EFE">
            <w:pPr>
              <w:jc w:val="both"/>
              <w:rPr>
                <w:rFonts w:ascii="Arial" w:hAnsi="Arial" w:cs="Arial"/>
                <w:b/>
                <w:sz w:val="20"/>
                <w:szCs w:val="20"/>
              </w:rPr>
            </w:pPr>
            <w:r w:rsidRPr="00935AB2">
              <w:rPr>
                <w:rFonts w:ascii="Arial" w:hAnsi="Arial" w:cs="Arial"/>
                <w:b/>
                <w:sz w:val="20"/>
                <w:szCs w:val="20"/>
              </w:rPr>
              <w:t>BV negative</w:t>
            </w:r>
          </w:p>
        </w:tc>
        <w:tc>
          <w:tcPr>
            <w:tcW w:w="844" w:type="pct"/>
            <w:tcBorders>
              <w:top w:val="single" w:sz="4" w:space="0" w:color="auto"/>
              <w:bottom w:val="single" w:sz="4" w:space="0" w:color="auto"/>
            </w:tcBorders>
            <w:hideMark/>
          </w:tcPr>
          <w:p w14:paraId="04A8A943" w14:textId="5395E4D5" w:rsidR="001646B7" w:rsidRPr="00935AB2" w:rsidRDefault="00935AB2" w:rsidP="00713EFE">
            <w:pPr>
              <w:jc w:val="both"/>
              <w:rPr>
                <w:rFonts w:ascii="Arial" w:hAnsi="Arial" w:cs="Arial"/>
                <w:b/>
                <w:sz w:val="20"/>
                <w:szCs w:val="20"/>
              </w:rPr>
            </w:pPr>
            <w:r w:rsidRPr="00935AB2">
              <w:rPr>
                <w:rFonts w:ascii="Arial" w:hAnsi="Arial" w:cs="Arial"/>
                <w:b/>
                <w:sz w:val="20"/>
                <w:szCs w:val="20"/>
              </w:rPr>
              <w:t>Total</w:t>
            </w:r>
          </w:p>
        </w:tc>
        <w:tc>
          <w:tcPr>
            <w:tcW w:w="1117" w:type="pct"/>
            <w:tcBorders>
              <w:top w:val="single" w:sz="4" w:space="0" w:color="auto"/>
              <w:bottom w:val="single" w:sz="4" w:space="0" w:color="auto"/>
            </w:tcBorders>
            <w:hideMark/>
          </w:tcPr>
          <w:p w14:paraId="55722EBA" w14:textId="77777777" w:rsidR="001646B7" w:rsidRPr="00935AB2" w:rsidRDefault="001646B7" w:rsidP="00713EFE">
            <w:pPr>
              <w:jc w:val="both"/>
              <w:rPr>
                <w:rFonts w:ascii="Arial" w:hAnsi="Arial" w:cs="Arial"/>
                <w:b/>
                <w:sz w:val="20"/>
                <w:szCs w:val="20"/>
              </w:rPr>
            </w:pPr>
            <w:r w:rsidRPr="00935AB2">
              <w:rPr>
                <w:rFonts w:ascii="Arial" w:hAnsi="Arial" w:cs="Arial"/>
                <w:b/>
                <w:sz w:val="20"/>
                <w:szCs w:val="20"/>
              </w:rPr>
              <w:t>BV prevalence (%)</w:t>
            </w:r>
          </w:p>
        </w:tc>
      </w:tr>
      <w:tr w:rsidR="001646B7" w:rsidRPr="00935AB2" w14:paraId="1547EE54" w14:textId="77777777" w:rsidTr="00935AB2">
        <w:trPr>
          <w:trHeight w:val="20"/>
          <w:jc w:val="center"/>
        </w:trPr>
        <w:tc>
          <w:tcPr>
            <w:tcW w:w="1097" w:type="pct"/>
            <w:tcBorders>
              <w:top w:val="single" w:sz="4" w:space="0" w:color="auto"/>
            </w:tcBorders>
            <w:hideMark/>
          </w:tcPr>
          <w:p w14:paraId="3CD0F496"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12 - 44</w:t>
            </w:r>
          </w:p>
        </w:tc>
        <w:tc>
          <w:tcPr>
            <w:tcW w:w="937" w:type="pct"/>
            <w:tcBorders>
              <w:top w:val="single" w:sz="4" w:space="0" w:color="auto"/>
            </w:tcBorders>
            <w:hideMark/>
          </w:tcPr>
          <w:p w14:paraId="374401EC"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123</w:t>
            </w:r>
          </w:p>
        </w:tc>
        <w:tc>
          <w:tcPr>
            <w:tcW w:w="1005" w:type="pct"/>
            <w:tcBorders>
              <w:top w:val="single" w:sz="4" w:space="0" w:color="auto"/>
            </w:tcBorders>
            <w:hideMark/>
          </w:tcPr>
          <w:p w14:paraId="470A95FF"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184</w:t>
            </w:r>
          </w:p>
        </w:tc>
        <w:tc>
          <w:tcPr>
            <w:tcW w:w="844" w:type="pct"/>
            <w:tcBorders>
              <w:top w:val="single" w:sz="4" w:space="0" w:color="auto"/>
            </w:tcBorders>
            <w:hideMark/>
          </w:tcPr>
          <w:p w14:paraId="7C293A9D"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307</w:t>
            </w:r>
          </w:p>
        </w:tc>
        <w:tc>
          <w:tcPr>
            <w:tcW w:w="1117" w:type="pct"/>
            <w:tcBorders>
              <w:top w:val="single" w:sz="4" w:space="0" w:color="auto"/>
            </w:tcBorders>
            <w:hideMark/>
          </w:tcPr>
          <w:p w14:paraId="54BA9737" w14:textId="77777777" w:rsidR="001646B7" w:rsidRPr="00935AB2" w:rsidRDefault="001646B7" w:rsidP="00713EFE">
            <w:pPr>
              <w:jc w:val="both"/>
              <w:rPr>
                <w:rFonts w:ascii="Arial" w:hAnsi="Arial" w:cs="Arial"/>
                <w:bCs/>
                <w:sz w:val="20"/>
                <w:szCs w:val="20"/>
              </w:rPr>
            </w:pPr>
            <w:r w:rsidRPr="00935AB2">
              <w:rPr>
                <w:rFonts w:ascii="Arial" w:hAnsi="Arial" w:cs="Arial"/>
                <w:bCs/>
                <w:sz w:val="20"/>
                <w:szCs w:val="20"/>
              </w:rPr>
              <w:t>40.06</w:t>
            </w:r>
          </w:p>
        </w:tc>
      </w:tr>
      <w:tr w:rsidR="001646B7" w:rsidRPr="00935AB2" w14:paraId="5B61557C" w14:textId="77777777" w:rsidTr="00935AB2">
        <w:trPr>
          <w:trHeight w:val="20"/>
          <w:jc w:val="center"/>
        </w:trPr>
        <w:tc>
          <w:tcPr>
            <w:tcW w:w="1097" w:type="pct"/>
            <w:tcBorders>
              <w:bottom w:val="single" w:sz="4" w:space="0" w:color="auto"/>
            </w:tcBorders>
            <w:hideMark/>
          </w:tcPr>
          <w:p w14:paraId="038EBBB9"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 45</w:t>
            </w:r>
          </w:p>
        </w:tc>
        <w:tc>
          <w:tcPr>
            <w:tcW w:w="937" w:type="pct"/>
            <w:tcBorders>
              <w:bottom w:val="single" w:sz="4" w:space="0" w:color="auto"/>
            </w:tcBorders>
            <w:hideMark/>
          </w:tcPr>
          <w:p w14:paraId="15C46C52"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11</w:t>
            </w:r>
          </w:p>
        </w:tc>
        <w:tc>
          <w:tcPr>
            <w:tcW w:w="1005" w:type="pct"/>
            <w:tcBorders>
              <w:bottom w:val="single" w:sz="4" w:space="0" w:color="auto"/>
            </w:tcBorders>
            <w:hideMark/>
          </w:tcPr>
          <w:p w14:paraId="2B7C3D8A"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14</w:t>
            </w:r>
          </w:p>
        </w:tc>
        <w:tc>
          <w:tcPr>
            <w:tcW w:w="844" w:type="pct"/>
            <w:tcBorders>
              <w:bottom w:val="single" w:sz="4" w:space="0" w:color="auto"/>
            </w:tcBorders>
            <w:hideMark/>
          </w:tcPr>
          <w:p w14:paraId="58519001"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25</w:t>
            </w:r>
          </w:p>
        </w:tc>
        <w:tc>
          <w:tcPr>
            <w:tcW w:w="1117" w:type="pct"/>
            <w:tcBorders>
              <w:bottom w:val="single" w:sz="4" w:space="0" w:color="auto"/>
            </w:tcBorders>
            <w:hideMark/>
          </w:tcPr>
          <w:p w14:paraId="4C0E4B08" w14:textId="77777777" w:rsidR="001646B7" w:rsidRPr="00935AB2" w:rsidRDefault="001646B7" w:rsidP="00713EFE">
            <w:pPr>
              <w:jc w:val="both"/>
              <w:rPr>
                <w:rFonts w:ascii="Arial" w:hAnsi="Arial" w:cs="Arial"/>
                <w:bCs/>
                <w:sz w:val="20"/>
                <w:szCs w:val="20"/>
              </w:rPr>
            </w:pPr>
            <w:r w:rsidRPr="00935AB2">
              <w:rPr>
                <w:rFonts w:ascii="Arial" w:hAnsi="Arial" w:cs="Arial"/>
                <w:bCs/>
                <w:sz w:val="20"/>
                <w:szCs w:val="20"/>
              </w:rPr>
              <w:t>44</w:t>
            </w:r>
          </w:p>
        </w:tc>
      </w:tr>
      <w:tr w:rsidR="001646B7" w:rsidRPr="00935AB2" w14:paraId="34A331FA" w14:textId="77777777" w:rsidTr="00935AB2">
        <w:trPr>
          <w:trHeight w:val="20"/>
          <w:jc w:val="center"/>
        </w:trPr>
        <w:tc>
          <w:tcPr>
            <w:tcW w:w="1097" w:type="pct"/>
            <w:tcBorders>
              <w:top w:val="single" w:sz="4" w:space="0" w:color="auto"/>
              <w:bottom w:val="single" w:sz="4" w:space="0" w:color="auto"/>
            </w:tcBorders>
            <w:hideMark/>
          </w:tcPr>
          <w:p w14:paraId="40195F3F"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 xml:space="preserve">Total </w:t>
            </w:r>
          </w:p>
        </w:tc>
        <w:tc>
          <w:tcPr>
            <w:tcW w:w="937" w:type="pct"/>
            <w:tcBorders>
              <w:top w:val="single" w:sz="4" w:space="0" w:color="auto"/>
              <w:bottom w:val="single" w:sz="4" w:space="0" w:color="auto"/>
            </w:tcBorders>
            <w:hideMark/>
          </w:tcPr>
          <w:p w14:paraId="2867CEA0"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134</w:t>
            </w:r>
          </w:p>
        </w:tc>
        <w:tc>
          <w:tcPr>
            <w:tcW w:w="1005" w:type="pct"/>
            <w:tcBorders>
              <w:top w:val="single" w:sz="4" w:space="0" w:color="auto"/>
              <w:bottom w:val="single" w:sz="4" w:space="0" w:color="auto"/>
            </w:tcBorders>
            <w:hideMark/>
          </w:tcPr>
          <w:p w14:paraId="316EA8B1"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198</w:t>
            </w:r>
          </w:p>
        </w:tc>
        <w:tc>
          <w:tcPr>
            <w:tcW w:w="844" w:type="pct"/>
            <w:tcBorders>
              <w:top w:val="single" w:sz="4" w:space="0" w:color="auto"/>
              <w:bottom w:val="single" w:sz="4" w:space="0" w:color="auto"/>
            </w:tcBorders>
            <w:hideMark/>
          </w:tcPr>
          <w:p w14:paraId="7D4A5C99" w14:textId="77777777" w:rsidR="001646B7" w:rsidRPr="00935AB2" w:rsidRDefault="001646B7" w:rsidP="00713EFE">
            <w:pPr>
              <w:jc w:val="both"/>
              <w:rPr>
                <w:rFonts w:ascii="Arial" w:hAnsi="Arial" w:cs="Arial"/>
                <w:sz w:val="20"/>
                <w:szCs w:val="20"/>
              </w:rPr>
            </w:pPr>
            <w:r w:rsidRPr="00935AB2">
              <w:rPr>
                <w:rFonts w:ascii="Arial" w:hAnsi="Arial" w:cs="Arial"/>
                <w:sz w:val="20"/>
                <w:szCs w:val="20"/>
              </w:rPr>
              <w:t>332</w:t>
            </w:r>
          </w:p>
        </w:tc>
        <w:tc>
          <w:tcPr>
            <w:tcW w:w="1117" w:type="pct"/>
            <w:tcBorders>
              <w:top w:val="single" w:sz="4" w:space="0" w:color="auto"/>
              <w:bottom w:val="single" w:sz="4" w:space="0" w:color="auto"/>
            </w:tcBorders>
            <w:hideMark/>
          </w:tcPr>
          <w:p w14:paraId="28CF52AB" w14:textId="77777777" w:rsidR="001646B7" w:rsidRPr="00935AB2" w:rsidRDefault="001646B7" w:rsidP="00713EFE">
            <w:pPr>
              <w:jc w:val="both"/>
              <w:rPr>
                <w:rFonts w:ascii="Arial" w:hAnsi="Arial" w:cs="Arial"/>
                <w:bCs/>
                <w:sz w:val="20"/>
                <w:szCs w:val="20"/>
              </w:rPr>
            </w:pPr>
            <w:r w:rsidRPr="00935AB2">
              <w:rPr>
                <w:rFonts w:ascii="Arial" w:hAnsi="Arial" w:cs="Arial"/>
                <w:bCs/>
                <w:sz w:val="20"/>
                <w:szCs w:val="20"/>
              </w:rPr>
              <w:t>40.36</w:t>
            </w:r>
          </w:p>
        </w:tc>
      </w:tr>
    </w:tbl>
    <w:p w14:paraId="387899E5" w14:textId="77777777" w:rsidR="00935AB2" w:rsidRPr="00935AB2" w:rsidRDefault="00935AB2" w:rsidP="00713EFE">
      <w:pPr>
        <w:spacing w:after="0" w:line="240" w:lineRule="auto"/>
        <w:jc w:val="both"/>
        <w:rPr>
          <w:rFonts w:ascii="Arial" w:hAnsi="Arial" w:cs="Arial"/>
          <w:noProof/>
          <w:sz w:val="20"/>
          <w:szCs w:val="20"/>
        </w:rPr>
        <w:sectPr w:rsidR="00935AB2" w:rsidRPr="00935AB2" w:rsidSect="00C7135B">
          <w:type w:val="continuous"/>
          <w:pgSz w:w="11909" w:h="16834" w:code="9"/>
          <w:pgMar w:top="1440" w:right="1440" w:bottom="1440" w:left="1440" w:header="720" w:footer="864" w:gutter="0"/>
          <w:cols w:space="720"/>
          <w:docGrid w:linePitch="360"/>
        </w:sectPr>
      </w:pPr>
    </w:p>
    <w:p w14:paraId="594A81B8" w14:textId="290FC7C8"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 xml:space="preserve">Another study that shows “age as a significantly associated risk factor with BV was reported from Ghana by Konadu, 2015 on the prevalence of BV, trichomoniasis, and candidiasis among pregnant women. This report revealed that 50.55% of the BV positive pregnant woman were in the age group of 21-30 years followed by less than 20 years of age, with a prevalence of 29.67%. </w:t>
      </w:r>
    </w:p>
    <w:p w14:paraId="3B015C61" w14:textId="77777777" w:rsidR="000563E3" w:rsidRPr="00935AB2" w:rsidRDefault="000563E3" w:rsidP="00713EFE">
      <w:pPr>
        <w:spacing w:after="0" w:line="240" w:lineRule="auto"/>
        <w:jc w:val="both"/>
        <w:rPr>
          <w:rFonts w:ascii="Arial" w:hAnsi="Arial" w:cs="Arial"/>
          <w:noProof/>
          <w:sz w:val="20"/>
          <w:szCs w:val="20"/>
        </w:rPr>
      </w:pPr>
    </w:p>
    <w:p w14:paraId="1A5F5214" w14:textId="0EC20300"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 xml:space="preserve">In Ethiopia, a study conducted in Felegehiwot referral hospital, on common causes of vaginal infections and antibiotic susceptibility of aerobic bacterial isolates in women of reproductive age (pregnant and non-pregnant), reported that BV was higher among non pregnant women (5.6%) than pregnant women (0.5%) and significant association was seen in the age group of 40-49 years” </w:t>
      </w:r>
      <w:r w:rsidR="00935AB2" w:rsidRPr="00935AB2">
        <w:rPr>
          <w:rFonts w:ascii="Arial" w:hAnsi="Arial" w:cs="Arial"/>
          <w:noProof/>
          <w:sz w:val="20"/>
          <w:szCs w:val="20"/>
        </w:rPr>
        <w:t>[16]</w:t>
      </w:r>
      <w:r w:rsidRPr="00935AB2">
        <w:rPr>
          <w:rFonts w:ascii="Arial" w:hAnsi="Arial" w:cs="Arial"/>
          <w:noProof/>
          <w:sz w:val="20"/>
          <w:szCs w:val="20"/>
        </w:rPr>
        <w:t xml:space="preserve">. </w:t>
      </w:r>
    </w:p>
    <w:p w14:paraId="0EE7F0F1" w14:textId="77777777" w:rsidR="000563E3" w:rsidRPr="00935AB2" w:rsidRDefault="000563E3" w:rsidP="00713EFE">
      <w:pPr>
        <w:pStyle w:val="BodyText2"/>
        <w:spacing w:after="0" w:line="240" w:lineRule="auto"/>
        <w:rPr>
          <w:rFonts w:ascii="Arial" w:hAnsi="Arial" w:cs="Arial"/>
          <w:noProof/>
          <w:sz w:val="20"/>
          <w:szCs w:val="20"/>
        </w:rPr>
      </w:pPr>
    </w:p>
    <w:p w14:paraId="55DC81C3" w14:textId="7E956132" w:rsidR="001646B7" w:rsidRPr="00935AB2" w:rsidRDefault="001646B7" w:rsidP="00713EFE">
      <w:pPr>
        <w:pStyle w:val="BodyText2"/>
        <w:spacing w:after="0" w:line="240" w:lineRule="auto"/>
        <w:rPr>
          <w:rFonts w:ascii="Arial" w:hAnsi="Arial" w:cs="Arial"/>
          <w:noProof/>
          <w:sz w:val="20"/>
          <w:szCs w:val="20"/>
        </w:rPr>
      </w:pPr>
      <w:r w:rsidRPr="00935AB2">
        <w:rPr>
          <w:rFonts w:ascii="Arial" w:hAnsi="Arial" w:cs="Arial"/>
          <w:noProof/>
          <w:sz w:val="20"/>
          <w:szCs w:val="20"/>
        </w:rPr>
        <w:t xml:space="preserve">The study carried out in “Rwanda which was a prospective study for 297 patients with vaginal symptoms at the laboratory of Butare Teaching Hospital, south province reported that, the overall prevalence of bacterial vaginosis was 17.8%, and the highest percentage of 52.8% found in the age group 21-30 years compared with the lowest percentage of 1.9% in the age group less than 20 years. Almost half of patients with trichomoniasis were found to have bacterial </w:t>
      </w:r>
      <w:r w:rsidRPr="00935AB2">
        <w:rPr>
          <w:rFonts w:ascii="Arial" w:hAnsi="Arial" w:cs="Arial"/>
          <w:noProof/>
          <w:sz w:val="20"/>
          <w:szCs w:val="20"/>
        </w:rPr>
        <w:t xml:space="preserve">vaginosis”. </w:t>
      </w:r>
      <w:r w:rsidR="00935AB2" w:rsidRPr="00935AB2">
        <w:rPr>
          <w:rFonts w:ascii="Arial" w:hAnsi="Arial" w:cs="Arial"/>
          <w:noProof/>
          <w:sz w:val="20"/>
          <w:szCs w:val="20"/>
        </w:rPr>
        <w:t>[7]</w:t>
      </w:r>
      <w:r w:rsidRPr="00935AB2">
        <w:rPr>
          <w:rFonts w:ascii="Arial" w:hAnsi="Arial" w:cs="Arial"/>
          <w:noProof/>
          <w:sz w:val="20"/>
          <w:szCs w:val="20"/>
        </w:rPr>
        <w:t>. Strongly different from my study in table 3, overall BV prevalence was 40.36% among women attending Ruhengeri Referral Hospital. This study is different from my study findings which show  that post menopause women 11/25 (44%) have higher prevalence of BV than women in reproductive ages 123/307 (40.06%).</w:t>
      </w:r>
    </w:p>
    <w:p w14:paraId="5CCFB8FE" w14:textId="77777777" w:rsidR="000563E3" w:rsidRPr="00935AB2" w:rsidRDefault="000563E3" w:rsidP="00713EFE">
      <w:pPr>
        <w:spacing w:after="0" w:line="240" w:lineRule="auto"/>
        <w:jc w:val="both"/>
        <w:rPr>
          <w:rFonts w:ascii="Arial" w:hAnsi="Arial" w:cs="Arial"/>
          <w:noProof/>
          <w:sz w:val="20"/>
          <w:szCs w:val="20"/>
        </w:rPr>
      </w:pPr>
    </w:p>
    <w:p w14:paraId="076AEE09" w14:textId="60B00C2B"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Differences in prevalence reported in different settings could be due to environmental, behavioral, socioeconomic status and stressor differences with geographical variation. The high prevalence of BV reported in present study may be due to the lack of studies presenting the associated risk factor to the population. There are striking variations in prevalence among countries, races and even groups within the same country.</w:t>
      </w:r>
    </w:p>
    <w:p w14:paraId="797D8DA6" w14:textId="77777777" w:rsidR="000563E3" w:rsidRPr="00935AB2" w:rsidRDefault="000563E3" w:rsidP="00713EFE">
      <w:pPr>
        <w:spacing w:after="0" w:line="240" w:lineRule="auto"/>
        <w:jc w:val="both"/>
        <w:rPr>
          <w:rFonts w:ascii="Arial" w:hAnsi="Arial" w:cs="Arial"/>
          <w:noProof/>
          <w:sz w:val="20"/>
          <w:szCs w:val="20"/>
        </w:rPr>
      </w:pPr>
    </w:p>
    <w:p w14:paraId="2C3A7ABB" w14:textId="2C98B5A7"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 xml:space="preserve">The obtained prevalence is at high rate as long as the hospital used the nugent method through which Awoniyi et al. 2015 showed that in his study 33.3% were identified for BV with Amsel criteria while 60% were identified by Nugent criteria due to the fact that Amsel's criteria showed some limitations mainly because they were based on clinical signs that are neither quantifiable nor reproducible. The present study limitations include lacking the information on the </w:t>
      </w:r>
      <w:r w:rsidRPr="00935AB2">
        <w:rPr>
          <w:rFonts w:ascii="Arial" w:hAnsi="Arial" w:cs="Arial"/>
          <w:noProof/>
          <w:sz w:val="20"/>
          <w:szCs w:val="20"/>
        </w:rPr>
        <w:lastRenderedPageBreak/>
        <w:t>associated risk factor as the key point to guide physician to a treatment.</w:t>
      </w:r>
    </w:p>
    <w:p w14:paraId="079F9178" w14:textId="77777777" w:rsidR="00935AB2" w:rsidRPr="00935AB2" w:rsidRDefault="00935AB2" w:rsidP="00713EFE">
      <w:pPr>
        <w:spacing w:after="0" w:line="240" w:lineRule="auto"/>
        <w:jc w:val="both"/>
        <w:rPr>
          <w:rFonts w:ascii="Arial" w:hAnsi="Arial" w:cs="Arial"/>
          <w:noProof/>
          <w:sz w:val="20"/>
          <w:szCs w:val="20"/>
        </w:rPr>
      </w:pPr>
    </w:p>
    <w:p w14:paraId="5A8318E5" w14:textId="7B593D8F" w:rsidR="001646B7" w:rsidRPr="00935AB2" w:rsidRDefault="00935AB2" w:rsidP="00935AB2">
      <w:pPr>
        <w:pStyle w:val="Heading2"/>
      </w:pPr>
      <w:r w:rsidRPr="00935AB2">
        <w:t xml:space="preserve">5. CONCLUSION </w:t>
      </w:r>
    </w:p>
    <w:p w14:paraId="4664378B" w14:textId="77777777" w:rsidR="000563E3" w:rsidRPr="00935AB2" w:rsidRDefault="000563E3" w:rsidP="00713EFE">
      <w:pPr>
        <w:spacing w:after="0" w:line="240" w:lineRule="auto"/>
        <w:jc w:val="both"/>
        <w:rPr>
          <w:rFonts w:ascii="Arial" w:hAnsi="Arial" w:cs="Arial"/>
          <w:noProof/>
          <w:sz w:val="20"/>
          <w:szCs w:val="20"/>
        </w:rPr>
      </w:pPr>
    </w:p>
    <w:p w14:paraId="725EF589" w14:textId="398BE1DA"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In this study, Bacterial vaginosis was studied among women (reproductive and non reproductive women) attending Ruhengeri Referral Hospital. The findings showed that the prevalence of bacterial vaginosis is statistically significant different in both reproductive and non-reproductive women. However, the women ranging in ≥45 years of age were observed to be highly infected than 12- 44 age group, due to the fact that they have weakened immune system.</w:t>
      </w:r>
    </w:p>
    <w:p w14:paraId="3FFE7BA3" w14:textId="77777777" w:rsidR="001646B7" w:rsidRPr="00935AB2" w:rsidRDefault="001646B7" w:rsidP="00713EFE">
      <w:pPr>
        <w:spacing w:after="0" w:line="240" w:lineRule="auto"/>
        <w:jc w:val="both"/>
        <w:rPr>
          <w:rFonts w:ascii="Arial" w:hAnsi="Arial" w:cs="Arial"/>
          <w:noProof/>
          <w:sz w:val="20"/>
          <w:szCs w:val="20"/>
        </w:rPr>
      </w:pPr>
    </w:p>
    <w:p w14:paraId="6D93B859" w14:textId="1CE52869" w:rsidR="001646B7" w:rsidRPr="00935AB2" w:rsidRDefault="00935AB2" w:rsidP="00935AB2">
      <w:pPr>
        <w:pStyle w:val="Heading2"/>
        <w:rPr>
          <w:noProof/>
        </w:rPr>
      </w:pPr>
      <w:r w:rsidRPr="00935AB2">
        <w:rPr>
          <w:noProof/>
        </w:rPr>
        <w:t xml:space="preserve">CONSENT </w:t>
      </w:r>
    </w:p>
    <w:p w14:paraId="1B0C14EF" w14:textId="77777777" w:rsidR="000563E3" w:rsidRPr="00935AB2" w:rsidRDefault="000563E3" w:rsidP="00713EFE">
      <w:pPr>
        <w:spacing w:after="0" w:line="240" w:lineRule="auto"/>
        <w:jc w:val="both"/>
        <w:rPr>
          <w:rFonts w:ascii="Arial" w:hAnsi="Arial" w:cs="Arial"/>
          <w:noProof/>
          <w:sz w:val="20"/>
          <w:szCs w:val="20"/>
        </w:rPr>
      </w:pPr>
    </w:p>
    <w:p w14:paraId="5714113C" w14:textId="0936EC18"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As per international standard or university standard, patient(s) written consent has been collected and preserved by the author(s).</w:t>
      </w:r>
    </w:p>
    <w:p w14:paraId="3719A31F" w14:textId="77777777" w:rsidR="001646B7" w:rsidRPr="00935AB2" w:rsidRDefault="001646B7" w:rsidP="00713EFE">
      <w:pPr>
        <w:spacing w:after="0" w:line="240" w:lineRule="auto"/>
        <w:jc w:val="both"/>
        <w:rPr>
          <w:rFonts w:ascii="Arial" w:hAnsi="Arial" w:cs="Arial"/>
          <w:noProof/>
          <w:sz w:val="20"/>
          <w:szCs w:val="20"/>
        </w:rPr>
      </w:pPr>
    </w:p>
    <w:p w14:paraId="20D9E13A" w14:textId="7AC14BC9" w:rsidR="001646B7" w:rsidRPr="00935AB2" w:rsidRDefault="00935AB2" w:rsidP="00935AB2">
      <w:pPr>
        <w:pStyle w:val="Heading2"/>
        <w:rPr>
          <w:noProof/>
        </w:rPr>
      </w:pPr>
      <w:bookmarkStart w:id="11" w:name="_Toc90888439"/>
      <w:r w:rsidRPr="00935AB2">
        <w:rPr>
          <w:noProof/>
        </w:rPr>
        <w:t xml:space="preserve">ETHICAL </w:t>
      </w:r>
      <w:bookmarkEnd w:id="11"/>
      <w:r w:rsidRPr="00935AB2">
        <w:rPr>
          <w:noProof/>
        </w:rPr>
        <w:t xml:space="preserve">APPROVAL </w:t>
      </w:r>
    </w:p>
    <w:p w14:paraId="5CFA4BB3" w14:textId="77777777" w:rsidR="000563E3" w:rsidRPr="00935AB2" w:rsidRDefault="000563E3" w:rsidP="00713EFE">
      <w:pPr>
        <w:spacing w:after="0" w:line="240" w:lineRule="auto"/>
        <w:jc w:val="both"/>
        <w:rPr>
          <w:rFonts w:ascii="Arial" w:hAnsi="Arial" w:cs="Arial"/>
          <w:noProof/>
          <w:sz w:val="20"/>
          <w:szCs w:val="20"/>
        </w:rPr>
      </w:pPr>
    </w:p>
    <w:p w14:paraId="61A22CB5" w14:textId="5C3E4C19" w:rsidR="001646B7" w:rsidRPr="00935AB2" w:rsidRDefault="001646B7" w:rsidP="00713EFE">
      <w:pPr>
        <w:spacing w:after="0" w:line="240" w:lineRule="auto"/>
        <w:jc w:val="both"/>
        <w:rPr>
          <w:rFonts w:ascii="Arial" w:hAnsi="Arial" w:cs="Arial"/>
          <w:noProof/>
          <w:sz w:val="20"/>
          <w:szCs w:val="20"/>
        </w:rPr>
      </w:pPr>
      <w:r w:rsidRPr="00935AB2">
        <w:rPr>
          <w:rFonts w:ascii="Arial" w:hAnsi="Arial" w:cs="Arial"/>
          <w:noProof/>
          <w:sz w:val="20"/>
          <w:szCs w:val="20"/>
        </w:rPr>
        <w:t>The requesting letter of data collection in order to have access on the patients’ data result was submitted to the ethic committee of Ruhengeri Referral Hospital for approval. Therefore, the patients’ recorded results were collected anonymously and kept confidential only for research purpose.</w:t>
      </w:r>
    </w:p>
    <w:p w14:paraId="259A1643" w14:textId="77777777" w:rsidR="001646B7" w:rsidRPr="00935AB2" w:rsidRDefault="001646B7" w:rsidP="00713EFE">
      <w:pPr>
        <w:spacing w:after="0" w:line="240" w:lineRule="auto"/>
        <w:jc w:val="both"/>
        <w:rPr>
          <w:rFonts w:ascii="Arial" w:hAnsi="Arial" w:cs="Arial"/>
          <w:noProof/>
          <w:sz w:val="20"/>
          <w:szCs w:val="20"/>
        </w:rPr>
      </w:pPr>
    </w:p>
    <w:p w14:paraId="1E12A386" w14:textId="779CF839" w:rsidR="001646B7" w:rsidRPr="00935AB2" w:rsidRDefault="00935AB2" w:rsidP="00935AB2">
      <w:pPr>
        <w:pStyle w:val="Heading2"/>
      </w:pPr>
      <w:r w:rsidRPr="00935AB2">
        <w:t>COMPETING INTERESTS</w:t>
      </w:r>
    </w:p>
    <w:p w14:paraId="4C1820B9" w14:textId="77777777" w:rsidR="001646B7" w:rsidRPr="00935AB2" w:rsidRDefault="001646B7" w:rsidP="00713EFE">
      <w:pPr>
        <w:pStyle w:val="ReferHead"/>
        <w:spacing w:after="0"/>
        <w:jc w:val="both"/>
        <w:rPr>
          <w:rFonts w:ascii="Arial" w:hAnsi="Arial" w:cs="Arial"/>
          <w:sz w:val="20"/>
        </w:rPr>
      </w:pPr>
    </w:p>
    <w:p w14:paraId="54AC3944" w14:textId="77777777" w:rsidR="001646B7" w:rsidRPr="00935AB2" w:rsidRDefault="001646B7" w:rsidP="00713EFE">
      <w:pPr>
        <w:pStyle w:val="ReferHead"/>
        <w:spacing w:after="0"/>
        <w:jc w:val="both"/>
        <w:rPr>
          <w:rFonts w:ascii="Arial" w:hAnsi="Arial" w:cs="Arial"/>
          <w:b w:val="0"/>
          <w:caps w:val="0"/>
          <w:sz w:val="20"/>
        </w:rPr>
      </w:pPr>
      <w:r w:rsidRPr="00935AB2">
        <w:rPr>
          <w:rFonts w:ascii="Arial" w:hAnsi="Arial" w:cs="Arial"/>
          <w:b w:val="0"/>
          <w:caps w:val="0"/>
          <w:sz w:val="20"/>
        </w:rPr>
        <w:t>Authors have declared that no competing interests exist.</w:t>
      </w:r>
    </w:p>
    <w:p w14:paraId="4DC4C4AC" w14:textId="77777777" w:rsidR="001646B7" w:rsidRPr="00935AB2" w:rsidRDefault="001646B7" w:rsidP="00713EFE">
      <w:pPr>
        <w:spacing w:after="0" w:line="240" w:lineRule="auto"/>
        <w:jc w:val="both"/>
        <w:rPr>
          <w:rFonts w:ascii="Arial" w:hAnsi="Arial" w:cs="Arial"/>
          <w:noProof/>
          <w:sz w:val="20"/>
          <w:szCs w:val="20"/>
        </w:rPr>
      </w:pPr>
    </w:p>
    <w:p w14:paraId="10B9E5EF" w14:textId="602864AD" w:rsidR="001646B7" w:rsidRPr="00935AB2" w:rsidRDefault="00935AB2" w:rsidP="00935AB2">
      <w:pPr>
        <w:pStyle w:val="Heading2"/>
        <w:rPr>
          <w:rStyle w:val="Heading2Char"/>
          <w:rFonts w:cs="Arial"/>
          <w:b/>
          <w:sz w:val="20"/>
          <w:szCs w:val="20"/>
        </w:rPr>
      </w:pPr>
      <w:bookmarkStart w:id="12" w:name="_Toc90888450"/>
      <w:r w:rsidRPr="00935AB2">
        <w:rPr>
          <w:rStyle w:val="Heading2Char"/>
          <w:rFonts w:cs="Arial"/>
          <w:b/>
          <w:sz w:val="20"/>
          <w:szCs w:val="20"/>
        </w:rPr>
        <w:t>REFERENCES</w:t>
      </w:r>
      <w:bookmarkEnd w:id="12"/>
    </w:p>
    <w:p w14:paraId="610178BD" w14:textId="77777777" w:rsidR="00713EFE" w:rsidRPr="00935AB2" w:rsidRDefault="00713EFE" w:rsidP="00713EFE">
      <w:pPr>
        <w:spacing w:after="0" w:line="240" w:lineRule="auto"/>
        <w:rPr>
          <w:rFonts w:ascii="Arial" w:hAnsi="Arial" w:cs="Arial"/>
          <w:sz w:val="20"/>
          <w:szCs w:val="20"/>
        </w:rPr>
      </w:pPr>
    </w:p>
    <w:p w14:paraId="46B6C76F" w14:textId="199BC557"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bookmarkStart w:id="13" w:name="_Hlk137732306"/>
      <w:r w:rsidRPr="00935AB2">
        <w:rPr>
          <w:rFonts w:ascii="Arial" w:hAnsi="Arial" w:cs="Arial"/>
          <w:noProof/>
          <w:sz w:val="20"/>
          <w:szCs w:val="20"/>
        </w:rPr>
        <w:t>Greenbaum S, Greenbaum G, Moran-Gilad J, Weintraub</w:t>
      </w:r>
      <w:r w:rsidR="00713EFE" w:rsidRPr="00935AB2">
        <w:rPr>
          <w:rFonts w:ascii="Arial" w:hAnsi="Arial" w:cs="Arial"/>
          <w:noProof/>
          <w:sz w:val="20"/>
          <w:szCs w:val="20"/>
        </w:rPr>
        <w:t xml:space="preserve"> </w:t>
      </w:r>
      <w:r w:rsidRPr="00935AB2">
        <w:rPr>
          <w:rFonts w:ascii="Arial" w:hAnsi="Arial" w:cs="Arial"/>
          <w:noProof/>
          <w:sz w:val="20"/>
          <w:szCs w:val="20"/>
        </w:rPr>
        <w:t>AY. Ecological dynamics of the vaginal microbiome in relation to health and disease. American Journal of Obstetric Gynecology</w:t>
      </w:r>
      <w:r w:rsidR="00713EFE" w:rsidRPr="00935AB2">
        <w:rPr>
          <w:rFonts w:ascii="Arial" w:hAnsi="Arial" w:cs="Arial"/>
          <w:noProof/>
          <w:sz w:val="20"/>
          <w:szCs w:val="20"/>
        </w:rPr>
        <w:t>.</w:t>
      </w:r>
      <w:r w:rsidRPr="00935AB2">
        <w:rPr>
          <w:rFonts w:ascii="Arial" w:hAnsi="Arial" w:cs="Arial"/>
          <w:noProof/>
          <w:sz w:val="20"/>
          <w:szCs w:val="20"/>
        </w:rPr>
        <w:t xml:space="preserve"> </w:t>
      </w:r>
      <w:r w:rsidR="00713EFE" w:rsidRPr="00935AB2">
        <w:rPr>
          <w:rFonts w:ascii="Arial" w:hAnsi="Arial" w:cs="Arial"/>
          <w:noProof/>
          <w:sz w:val="20"/>
          <w:szCs w:val="20"/>
        </w:rPr>
        <w:t>2019;</w:t>
      </w:r>
      <w:r w:rsidRPr="00935AB2">
        <w:rPr>
          <w:rFonts w:ascii="Arial" w:hAnsi="Arial" w:cs="Arial"/>
          <w:noProof/>
          <w:sz w:val="20"/>
          <w:szCs w:val="20"/>
        </w:rPr>
        <w:t>220(4)</w:t>
      </w:r>
      <w:r w:rsidR="00713EFE" w:rsidRPr="00935AB2">
        <w:rPr>
          <w:rFonts w:ascii="Arial" w:hAnsi="Arial" w:cs="Arial"/>
          <w:noProof/>
          <w:sz w:val="20"/>
          <w:szCs w:val="20"/>
        </w:rPr>
        <w:t>:</w:t>
      </w:r>
      <w:r w:rsidRPr="00935AB2">
        <w:rPr>
          <w:rFonts w:ascii="Arial" w:hAnsi="Arial" w:cs="Arial"/>
          <w:noProof/>
          <w:sz w:val="20"/>
          <w:szCs w:val="20"/>
        </w:rPr>
        <w:t>324-335.</w:t>
      </w:r>
    </w:p>
    <w:p w14:paraId="6D0DBD58" w14:textId="6C669D8E"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Lobo RA. Menopause and the care of the mature woman: </w:t>
      </w:r>
      <w:r w:rsidR="00713EFE" w:rsidRPr="00935AB2">
        <w:rPr>
          <w:rFonts w:ascii="Arial" w:hAnsi="Arial" w:cs="Arial"/>
          <w:noProof/>
          <w:sz w:val="20"/>
          <w:szCs w:val="20"/>
        </w:rPr>
        <w:t>Endocrinology</w:t>
      </w:r>
      <w:r w:rsidRPr="00935AB2">
        <w:rPr>
          <w:rFonts w:ascii="Arial" w:hAnsi="Arial" w:cs="Arial"/>
          <w:noProof/>
          <w:sz w:val="20"/>
          <w:szCs w:val="20"/>
        </w:rPr>
        <w:t>, consequences of estrogen deficiency, effects of hormone replacement therapy and treatment regimens. In Lentz</w:t>
      </w:r>
      <w:r w:rsidR="00713EFE" w:rsidRPr="00935AB2">
        <w:rPr>
          <w:rFonts w:ascii="Arial" w:hAnsi="Arial" w:cs="Arial"/>
          <w:noProof/>
          <w:sz w:val="20"/>
          <w:szCs w:val="20"/>
        </w:rPr>
        <w:t xml:space="preserve"> GM</w:t>
      </w:r>
      <w:r w:rsidRPr="00935AB2">
        <w:rPr>
          <w:rFonts w:ascii="Arial" w:hAnsi="Arial" w:cs="Arial"/>
          <w:noProof/>
          <w:sz w:val="20"/>
          <w:szCs w:val="20"/>
        </w:rPr>
        <w:t>, Comprehensive Gynecology. Philadelphia: PA: Elsevier Mosby</w:t>
      </w:r>
      <w:r w:rsidR="00713EFE" w:rsidRPr="00935AB2">
        <w:rPr>
          <w:rFonts w:ascii="Arial" w:hAnsi="Arial" w:cs="Arial"/>
          <w:noProof/>
          <w:sz w:val="20"/>
          <w:szCs w:val="20"/>
        </w:rPr>
        <w:t>. 2012:273</w:t>
      </w:r>
      <w:r w:rsidRPr="00935AB2">
        <w:rPr>
          <w:rFonts w:ascii="Arial" w:hAnsi="Arial" w:cs="Arial"/>
          <w:noProof/>
          <w:sz w:val="20"/>
          <w:szCs w:val="20"/>
        </w:rPr>
        <w:t>.</w:t>
      </w:r>
    </w:p>
    <w:p w14:paraId="4325D8DF" w14:textId="3BD20282"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Schumm LP. A study of sexuality and health among older adults in the United States. The New England Journal of Medicine</w:t>
      </w:r>
      <w:r w:rsidR="00713EFE" w:rsidRPr="00935AB2">
        <w:rPr>
          <w:rFonts w:ascii="Arial" w:hAnsi="Arial" w:cs="Arial"/>
          <w:noProof/>
          <w:sz w:val="20"/>
          <w:szCs w:val="20"/>
        </w:rPr>
        <w:t>. 2007;</w:t>
      </w:r>
      <w:r w:rsidRPr="00935AB2">
        <w:rPr>
          <w:rFonts w:ascii="Arial" w:hAnsi="Arial" w:cs="Arial"/>
          <w:noProof/>
          <w:sz w:val="20"/>
          <w:szCs w:val="20"/>
        </w:rPr>
        <w:t>357(10)</w:t>
      </w:r>
      <w:r w:rsidR="00713EFE" w:rsidRPr="00935AB2">
        <w:rPr>
          <w:rFonts w:ascii="Arial" w:hAnsi="Arial" w:cs="Arial"/>
          <w:noProof/>
          <w:sz w:val="20"/>
          <w:szCs w:val="20"/>
        </w:rPr>
        <w:t>:</w:t>
      </w:r>
      <w:r w:rsidRPr="00935AB2">
        <w:rPr>
          <w:rFonts w:ascii="Arial" w:hAnsi="Arial" w:cs="Arial"/>
          <w:noProof/>
          <w:sz w:val="20"/>
          <w:szCs w:val="20"/>
        </w:rPr>
        <w:t>762-774.</w:t>
      </w:r>
    </w:p>
    <w:p w14:paraId="1DFDBF40" w14:textId="45002821"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Larsen B. Vaginal flora in health and disease. Clinical Obstetrics and Gynecology</w:t>
      </w:r>
      <w:r w:rsidR="00713EFE" w:rsidRPr="00935AB2">
        <w:rPr>
          <w:rFonts w:ascii="Arial" w:hAnsi="Arial" w:cs="Arial"/>
          <w:noProof/>
          <w:sz w:val="20"/>
          <w:szCs w:val="20"/>
        </w:rPr>
        <w:t>.</w:t>
      </w:r>
      <w:r w:rsidRPr="00935AB2">
        <w:rPr>
          <w:rFonts w:ascii="Arial" w:hAnsi="Arial" w:cs="Arial"/>
          <w:noProof/>
          <w:sz w:val="20"/>
          <w:szCs w:val="20"/>
        </w:rPr>
        <w:t xml:space="preserve"> </w:t>
      </w:r>
      <w:r w:rsidR="00713EFE" w:rsidRPr="00935AB2">
        <w:rPr>
          <w:rFonts w:ascii="Arial" w:hAnsi="Arial" w:cs="Arial"/>
          <w:noProof/>
          <w:sz w:val="20"/>
          <w:szCs w:val="20"/>
        </w:rPr>
        <w:t>1993;</w:t>
      </w:r>
      <w:r w:rsidRPr="00935AB2">
        <w:rPr>
          <w:rFonts w:ascii="Arial" w:hAnsi="Arial" w:cs="Arial"/>
          <w:noProof/>
          <w:sz w:val="20"/>
          <w:szCs w:val="20"/>
        </w:rPr>
        <w:t>36(5)</w:t>
      </w:r>
      <w:r w:rsidR="00713EFE" w:rsidRPr="00935AB2">
        <w:rPr>
          <w:rFonts w:ascii="Arial" w:hAnsi="Arial" w:cs="Arial"/>
          <w:noProof/>
          <w:sz w:val="20"/>
          <w:szCs w:val="20"/>
        </w:rPr>
        <w:t>:</w:t>
      </w:r>
      <w:r w:rsidRPr="00935AB2">
        <w:rPr>
          <w:rFonts w:ascii="Arial" w:hAnsi="Arial" w:cs="Arial"/>
          <w:noProof/>
          <w:sz w:val="20"/>
          <w:szCs w:val="20"/>
        </w:rPr>
        <w:t>107-121.</w:t>
      </w:r>
    </w:p>
    <w:p w14:paraId="2A9EC4BB" w14:textId="680DC28D"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Murray JL. Geriatric </w:t>
      </w:r>
      <w:r w:rsidR="00713EFE" w:rsidRPr="00935AB2">
        <w:rPr>
          <w:rFonts w:ascii="Arial" w:hAnsi="Arial" w:cs="Arial"/>
          <w:noProof/>
          <w:sz w:val="20"/>
          <w:szCs w:val="20"/>
        </w:rPr>
        <w:t>gynecology</w:t>
      </w:r>
      <w:r w:rsidRPr="00935AB2">
        <w:rPr>
          <w:rFonts w:ascii="Arial" w:hAnsi="Arial" w:cs="Arial"/>
          <w:noProof/>
          <w:sz w:val="20"/>
          <w:szCs w:val="20"/>
        </w:rPr>
        <w:t>. In Gallo</w:t>
      </w:r>
      <w:r w:rsidR="00713EFE" w:rsidRPr="00935AB2">
        <w:rPr>
          <w:rFonts w:ascii="Arial" w:hAnsi="Arial" w:cs="Arial"/>
          <w:noProof/>
          <w:sz w:val="20"/>
          <w:szCs w:val="20"/>
        </w:rPr>
        <w:t xml:space="preserve"> JJW</w:t>
      </w:r>
      <w:r w:rsidRPr="00935AB2">
        <w:rPr>
          <w:rFonts w:ascii="Arial" w:hAnsi="Arial" w:cs="Arial"/>
          <w:noProof/>
          <w:sz w:val="20"/>
          <w:szCs w:val="20"/>
        </w:rPr>
        <w:t xml:space="preserve">, clinical aspects of aging. Philadelphia : PA: Lippincott Williams &amp; Wilkins. </w:t>
      </w:r>
      <w:r w:rsidR="00713EFE" w:rsidRPr="00935AB2">
        <w:rPr>
          <w:rFonts w:ascii="Arial" w:hAnsi="Arial" w:cs="Arial"/>
          <w:noProof/>
          <w:sz w:val="20"/>
          <w:szCs w:val="20"/>
        </w:rPr>
        <w:t>1999:392</w:t>
      </w:r>
      <w:r w:rsidRPr="00935AB2">
        <w:rPr>
          <w:rFonts w:ascii="Arial" w:hAnsi="Arial" w:cs="Arial"/>
          <w:noProof/>
          <w:sz w:val="20"/>
          <w:szCs w:val="20"/>
        </w:rPr>
        <w:t>.</w:t>
      </w:r>
    </w:p>
    <w:p w14:paraId="27EE028A" w14:textId="576F4EA2"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García-Closas M, Herrero R, Bratti C, Hildesheim A, Sherman ME, Morera LA, Schiffman M. Epidemiologic determinants of vaginal pH. American Journal of Obstetrics and Gynecology</w:t>
      </w:r>
      <w:r w:rsidR="00713EFE" w:rsidRPr="00935AB2">
        <w:rPr>
          <w:rFonts w:ascii="Arial" w:hAnsi="Arial" w:cs="Arial"/>
          <w:noProof/>
          <w:sz w:val="20"/>
          <w:szCs w:val="20"/>
        </w:rPr>
        <w:t>.</w:t>
      </w:r>
      <w:r w:rsidRPr="00935AB2">
        <w:rPr>
          <w:rFonts w:ascii="Arial" w:hAnsi="Arial" w:cs="Arial"/>
          <w:noProof/>
          <w:sz w:val="20"/>
          <w:szCs w:val="20"/>
        </w:rPr>
        <w:t xml:space="preserve"> </w:t>
      </w:r>
      <w:r w:rsidR="00713EFE" w:rsidRPr="00935AB2">
        <w:rPr>
          <w:rFonts w:ascii="Arial" w:hAnsi="Arial" w:cs="Arial"/>
          <w:noProof/>
          <w:sz w:val="20"/>
          <w:szCs w:val="20"/>
        </w:rPr>
        <w:t>1999;</w:t>
      </w:r>
      <w:r w:rsidRPr="00935AB2">
        <w:rPr>
          <w:rFonts w:ascii="Arial" w:hAnsi="Arial" w:cs="Arial"/>
          <w:noProof/>
          <w:sz w:val="20"/>
          <w:szCs w:val="20"/>
        </w:rPr>
        <w:t>180(6)</w:t>
      </w:r>
      <w:r w:rsidR="00713EFE" w:rsidRPr="00935AB2">
        <w:rPr>
          <w:rFonts w:ascii="Arial" w:hAnsi="Arial" w:cs="Arial"/>
          <w:noProof/>
          <w:sz w:val="20"/>
          <w:szCs w:val="20"/>
        </w:rPr>
        <w:t>:</w:t>
      </w:r>
      <w:r w:rsidRPr="00935AB2">
        <w:rPr>
          <w:rFonts w:ascii="Arial" w:hAnsi="Arial" w:cs="Arial"/>
          <w:noProof/>
          <w:sz w:val="20"/>
          <w:szCs w:val="20"/>
        </w:rPr>
        <w:t>1060-1066.</w:t>
      </w:r>
    </w:p>
    <w:p w14:paraId="4B3DD1CC" w14:textId="77777777" w:rsidR="00713EFE"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Muvunyi CM, Hernandez TC. Prevalence of </w:t>
      </w:r>
      <w:r w:rsidR="00713EFE" w:rsidRPr="00935AB2">
        <w:rPr>
          <w:rFonts w:ascii="Arial" w:hAnsi="Arial" w:cs="Arial"/>
          <w:noProof/>
          <w:sz w:val="20"/>
          <w:szCs w:val="20"/>
        </w:rPr>
        <w:t>bacterial vaginosis in women with vaginal symptoms in south provinc</w:t>
      </w:r>
      <w:r w:rsidRPr="00935AB2">
        <w:rPr>
          <w:rFonts w:ascii="Arial" w:hAnsi="Arial" w:cs="Arial"/>
          <w:noProof/>
          <w:sz w:val="20"/>
          <w:szCs w:val="20"/>
        </w:rPr>
        <w:t>es, Rwanda</w:t>
      </w:r>
      <w:r w:rsidR="00713EFE" w:rsidRPr="00935AB2">
        <w:rPr>
          <w:rFonts w:ascii="Arial" w:hAnsi="Arial" w:cs="Arial"/>
          <w:noProof/>
          <w:sz w:val="20"/>
          <w:szCs w:val="20"/>
        </w:rPr>
        <w:t>; 2018</w:t>
      </w:r>
      <w:r w:rsidRPr="00935AB2">
        <w:rPr>
          <w:rFonts w:ascii="Arial" w:hAnsi="Arial" w:cs="Arial"/>
          <w:noProof/>
          <w:sz w:val="20"/>
          <w:szCs w:val="20"/>
        </w:rPr>
        <w:t xml:space="preserve">. </w:t>
      </w:r>
    </w:p>
    <w:p w14:paraId="70E44258" w14:textId="78AACB7F" w:rsidR="001646B7" w:rsidRPr="00935AB2" w:rsidRDefault="00713EFE" w:rsidP="00713EFE">
      <w:pPr>
        <w:pStyle w:val="Bibliography"/>
        <w:spacing w:after="0" w:line="240" w:lineRule="auto"/>
        <w:ind w:left="540"/>
        <w:jc w:val="both"/>
        <w:rPr>
          <w:rFonts w:ascii="Arial" w:hAnsi="Arial" w:cs="Arial"/>
          <w:noProof/>
          <w:sz w:val="20"/>
          <w:szCs w:val="20"/>
        </w:rPr>
      </w:pPr>
      <w:r w:rsidRPr="00935AB2">
        <w:rPr>
          <w:rFonts w:ascii="Arial" w:hAnsi="Arial" w:cs="Arial"/>
          <w:noProof/>
          <w:sz w:val="20"/>
          <w:szCs w:val="20"/>
        </w:rPr>
        <w:t>DOI</w:t>
      </w:r>
      <w:r w:rsidR="001646B7" w:rsidRPr="00935AB2">
        <w:rPr>
          <w:rFonts w:ascii="Arial" w:hAnsi="Arial" w:cs="Arial"/>
          <w:noProof/>
          <w:sz w:val="20"/>
          <w:szCs w:val="20"/>
        </w:rPr>
        <w:t>:</w:t>
      </w:r>
      <w:r w:rsidRPr="00935AB2">
        <w:rPr>
          <w:rFonts w:ascii="Arial" w:hAnsi="Arial" w:cs="Arial"/>
          <w:noProof/>
          <w:sz w:val="20"/>
          <w:szCs w:val="20"/>
        </w:rPr>
        <w:t xml:space="preserve"> </w:t>
      </w:r>
      <w:r w:rsidR="001646B7" w:rsidRPr="00935AB2">
        <w:rPr>
          <w:rFonts w:ascii="Arial" w:hAnsi="Arial" w:cs="Arial"/>
          <w:noProof/>
          <w:sz w:val="20"/>
          <w:szCs w:val="20"/>
        </w:rPr>
        <w:t>10.4314/ajcem.v10i3.43408</w:t>
      </w:r>
    </w:p>
    <w:p w14:paraId="7FD21E7B" w14:textId="4E1B2FEB"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Henn EW, Kruger TF</w:t>
      </w:r>
      <w:r w:rsidR="00713EFE" w:rsidRPr="00935AB2">
        <w:rPr>
          <w:rFonts w:ascii="Arial" w:hAnsi="Arial" w:cs="Arial"/>
          <w:noProof/>
          <w:sz w:val="20"/>
          <w:szCs w:val="20"/>
        </w:rPr>
        <w:t>,</w:t>
      </w:r>
      <w:r w:rsidRPr="00935AB2">
        <w:rPr>
          <w:rFonts w:ascii="Arial" w:hAnsi="Arial" w:cs="Arial"/>
          <w:noProof/>
          <w:sz w:val="20"/>
          <w:szCs w:val="20"/>
        </w:rPr>
        <w:t xml:space="preserve"> Siebert TI. Vaginal discharge reviewed: The adult pre-menopausal female. South African Fam Practice</w:t>
      </w:r>
      <w:r w:rsidR="00713EFE" w:rsidRPr="00935AB2">
        <w:rPr>
          <w:rFonts w:ascii="Arial" w:hAnsi="Arial" w:cs="Arial"/>
          <w:noProof/>
          <w:sz w:val="20"/>
          <w:szCs w:val="20"/>
        </w:rPr>
        <w:t>.</w:t>
      </w:r>
      <w:r w:rsidRPr="00935AB2">
        <w:rPr>
          <w:rFonts w:ascii="Arial" w:hAnsi="Arial" w:cs="Arial"/>
          <w:noProof/>
          <w:sz w:val="20"/>
          <w:szCs w:val="20"/>
        </w:rPr>
        <w:t xml:space="preserve"> </w:t>
      </w:r>
      <w:r w:rsidR="00713EFE" w:rsidRPr="00935AB2">
        <w:rPr>
          <w:rFonts w:ascii="Arial" w:hAnsi="Arial" w:cs="Arial"/>
          <w:noProof/>
          <w:sz w:val="20"/>
          <w:szCs w:val="20"/>
        </w:rPr>
        <w:t>2005;</w:t>
      </w:r>
      <w:r w:rsidRPr="00935AB2">
        <w:rPr>
          <w:rFonts w:ascii="Arial" w:hAnsi="Arial" w:cs="Arial"/>
          <w:noProof/>
          <w:sz w:val="20"/>
          <w:szCs w:val="20"/>
        </w:rPr>
        <w:t>47(2)</w:t>
      </w:r>
      <w:r w:rsidR="00713EFE" w:rsidRPr="00935AB2">
        <w:rPr>
          <w:rFonts w:ascii="Arial" w:hAnsi="Arial" w:cs="Arial"/>
          <w:noProof/>
          <w:sz w:val="20"/>
          <w:szCs w:val="20"/>
        </w:rPr>
        <w:t>:</w:t>
      </w:r>
      <w:r w:rsidRPr="00935AB2">
        <w:rPr>
          <w:rFonts w:ascii="Arial" w:hAnsi="Arial" w:cs="Arial"/>
          <w:noProof/>
          <w:sz w:val="20"/>
          <w:szCs w:val="20"/>
        </w:rPr>
        <w:t>30-38.</w:t>
      </w:r>
    </w:p>
    <w:p w14:paraId="5F016AF7" w14:textId="77777777" w:rsidR="00713EFE"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Nansel TR, Riggs MA, Yu KF, Andrews WW, Schwebke JR, Klebanoff MA. The association of psychosocial stress and bacterial vaginosis in a longitudinal cohort. Am. J. Obstet. Gynecol. </w:t>
      </w:r>
      <w:r w:rsidR="00713EFE" w:rsidRPr="00935AB2">
        <w:rPr>
          <w:rFonts w:ascii="Arial" w:hAnsi="Arial" w:cs="Arial"/>
          <w:noProof/>
          <w:sz w:val="20"/>
          <w:szCs w:val="20"/>
        </w:rPr>
        <w:t>2006;</w:t>
      </w:r>
      <w:r w:rsidRPr="00935AB2">
        <w:rPr>
          <w:rFonts w:ascii="Arial" w:hAnsi="Arial" w:cs="Arial"/>
          <w:noProof/>
          <w:sz w:val="20"/>
          <w:szCs w:val="20"/>
        </w:rPr>
        <w:t>194(2)</w:t>
      </w:r>
      <w:r w:rsidR="00713EFE" w:rsidRPr="00935AB2">
        <w:rPr>
          <w:rFonts w:ascii="Arial" w:hAnsi="Arial" w:cs="Arial"/>
          <w:noProof/>
          <w:sz w:val="20"/>
          <w:szCs w:val="20"/>
        </w:rPr>
        <w:t>:</w:t>
      </w:r>
      <w:r w:rsidRPr="00935AB2">
        <w:rPr>
          <w:rFonts w:ascii="Arial" w:hAnsi="Arial" w:cs="Arial"/>
          <w:noProof/>
          <w:sz w:val="20"/>
          <w:szCs w:val="20"/>
        </w:rPr>
        <w:t xml:space="preserve">381-386. </w:t>
      </w:r>
    </w:p>
    <w:p w14:paraId="3AE83FE8" w14:textId="67351C59" w:rsidR="001646B7" w:rsidRPr="00935AB2" w:rsidRDefault="00713EFE" w:rsidP="00713EFE">
      <w:pPr>
        <w:pStyle w:val="Bibliography"/>
        <w:spacing w:after="0" w:line="240" w:lineRule="auto"/>
        <w:ind w:left="540"/>
        <w:jc w:val="both"/>
        <w:rPr>
          <w:rFonts w:ascii="Arial" w:hAnsi="Arial" w:cs="Arial"/>
          <w:noProof/>
          <w:sz w:val="20"/>
          <w:szCs w:val="20"/>
        </w:rPr>
      </w:pPr>
      <w:r w:rsidRPr="00935AB2">
        <w:rPr>
          <w:rFonts w:ascii="Arial" w:hAnsi="Arial" w:cs="Arial"/>
          <w:noProof/>
          <w:sz w:val="20"/>
          <w:szCs w:val="20"/>
        </w:rPr>
        <w:t>DOI</w:t>
      </w:r>
      <w:r w:rsidR="001646B7" w:rsidRPr="00935AB2">
        <w:rPr>
          <w:rFonts w:ascii="Arial" w:hAnsi="Arial" w:cs="Arial"/>
          <w:noProof/>
          <w:sz w:val="20"/>
          <w:szCs w:val="20"/>
        </w:rPr>
        <w:t>:</w:t>
      </w:r>
      <w:r w:rsidRPr="00935AB2">
        <w:rPr>
          <w:rFonts w:ascii="Arial" w:hAnsi="Arial" w:cs="Arial"/>
          <w:noProof/>
          <w:sz w:val="20"/>
          <w:szCs w:val="20"/>
        </w:rPr>
        <w:t xml:space="preserve"> </w:t>
      </w:r>
      <w:r w:rsidR="001646B7" w:rsidRPr="00935AB2">
        <w:rPr>
          <w:rFonts w:ascii="Arial" w:hAnsi="Arial" w:cs="Arial"/>
          <w:noProof/>
          <w:sz w:val="20"/>
          <w:szCs w:val="20"/>
        </w:rPr>
        <w:t>10.1016/j.ajog.2005.07.047</w:t>
      </w:r>
    </w:p>
    <w:p w14:paraId="7AE87E6B" w14:textId="72082EC4"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Cook RL, Redondo-Lopez V, Schmitt C, Meriwether C, Sobel JD. Clinical, microbiological and biochemical factors in recurrent bacterial vaginosis. J. Clin. Microbiol. </w:t>
      </w:r>
      <w:r w:rsidR="00713EFE" w:rsidRPr="00935AB2">
        <w:rPr>
          <w:rFonts w:ascii="Arial" w:hAnsi="Arial" w:cs="Arial"/>
          <w:noProof/>
          <w:sz w:val="20"/>
          <w:szCs w:val="20"/>
        </w:rPr>
        <w:t>2012;</w:t>
      </w:r>
      <w:r w:rsidRPr="00935AB2">
        <w:rPr>
          <w:rFonts w:ascii="Arial" w:hAnsi="Arial" w:cs="Arial"/>
          <w:noProof/>
          <w:sz w:val="20"/>
          <w:szCs w:val="20"/>
        </w:rPr>
        <w:t>38(1)</w:t>
      </w:r>
      <w:r w:rsidR="00713EFE" w:rsidRPr="00935AB2">
        <w:rPr>
          <w:rFonts w:ascii="Arial" w:hAnsi="Arial" w:cs="Arial"/>
          <w:noProof/>
          <w:sz w:val="20"/>
          <w:szCs w:val="20"/>
        </w:rPr>
        <w:t>:</w:t>
      </w:r>
      <w:r w:rsidRPr="00935AB2">
        <w:rPr>
          <w:rFonts w:ascii="Arial" w:hAnsi="Arial" w:cs="Arial"/>
          <w:noProof/>
          <w:sz w:val="20"/>
          <w:szCs w:val="20"/>
        </w:rPr>
        <w:t>870-877.</w:t>
      </w:r>
    </w:p>
    <w:p w14:paraId="4446D897" w14:textId="32D89AA5"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 xml:space="preserve">Pendharkar S, Brandsborg E, Hammarström L, Marcotte H, Larsson PG. Vaginal colonisation by probiotic lactobacilli and clinical outcome in women conventionally treated for bacterial vaginosis and yeast infection. BMC </w:t>
      </w:r>
      <w:r w:rsidR="00713EFE" w:rsidRPr="00935AB2">
        <w:rPr>
          <w:rFonts w:ascii="Arial" w:hAnsi="Arial" w:cs="Arial"/>
          <w:noProof/>
          <w:sz w:val="20"/>
          <w:szCs w:val="20"/>
        </w:rPr>
        <w:t>Infectious D</w:t>
      </w:r>
      <w:r w:rsidRPr="00935AB2">
        <w:rPr>
          <w:rFonts w:ascii="Arial" w:hAnsi="Arial" w:cs="Arial"/>
          <w:noProof/>
          <w:sz w:val="20"/>
          <w:szCs w:val="20"/>
        </w:rPr>
        <w:t>isease</w:t>
      </w:r>
      <w:r w:rsidR="00713EFE" w:rsidRPr="00935AB2">
        <w:rPr>
          <w:rFonts w:ascii="Arial" w:hAnsi="Arial" w:cs="Arial"/>
          <w:noProof/>
          <w:sz w:val="20"/>
          <w:szCs w:val="20"/>
        </w:rPr>
        <w:t>. 2015;</w:t>
      </w:r>
      <w:r w:rsidRPr="00935AB2">
        <w:rPr>
          <w:rFonts w:ascii="Arial" w:hAnsi="Arial" w:cs="Arial"/>
          <w:noProof/>
          <w:sz w:val="20"/>
          <w:szCs w:val="20"/>
        </w:rPr>
        <w:t>15(1)</w:t>
      </w:r>
      <w:r w:rsidR="00713EFE" w:rsidRPr="00935AB2">
        <w:rPr>
          <w:rFonts w:ascii="Arial" w:hAnsi="Arial" w:cs="Arial"/>
          <w:noProof/>
          <w:sz w:val="20"/>
          <w:szCs w:val="20"/>
        </w:rPr>
        <w:t>:</w:t>
      </w:r>
      <w:r w:rsidRPr="00935AB2">
        <w:rPr>
          <w:rFonts w:ascii="Arial" w:hAnsi="Arial" w:cs="Arial"/>
          <w:noProof/>
          <w:sz w:val="20"/>
          <w:szCs w:val="20"/>
        </w:rPr>
        <w:t>1-12.</w:t>
      </w:r>
    </w:p>
    <w:p w14:paraId="6CEFED4C" w14:textId="182C7592"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Koumans EH, Sternberg M, Bruce C, McQuillan G, Kendrick J, Sutton M</w:t>
      </w:r>
      <w:r w:rsidR="00713EFE" w:rsidRPr="00935AB2">
        <w:rPr>
          <w:rFonts w:ascii="Arial" w:hAnsi="Arial" w:cs="Arial"/>
          <w:noProof/>
          <w:sz w:val="20"/>
          <w:szCs w:val="20"/>
        </w:rPr>
        <w:t>,</w:t>
      </w:r>
      <w:r w:rsidRPr="00935AB2">
        <w:rPr>
          <w:rFonts w:ascii="Arial" w:hAnsi="Arial" w:cs="Arial"/>
          <w:noProof/>
          <w:sz w:val="20"/>
          <w:szCs w:val="20"/>
        </w:rPr>
        <w:t xml:space="preserve"> Markowitz LE. The prevalence of bacterial vaginosis in the United States, 2001-2004; associations with symptoms, sexual behaviors, and reproductive healthexternal icon. Sexually Transmitted Disease</w:t>
      </w:r>
      <w:r w:rsidR="00713EFE" w:rsidRPr="00935AB2">
        <w:rPr>
          <w:rFonts w:ascii="Arial" w:hAnsi="Arial" w:cs="Arial"/>
          <w:noProof/>
          <w:sz w:val="20"/>
          <w:szCs w:val="20"/>
        </w:rPr>
        <w:t>.</w:t>
      </w:r>
      <w:r w:rsidRPr="00935AB2">
        <w:rPr>
          <w:rFonts w:ascii="Arial" w:hAnsi="Arial" w:cs="Arial"/>
          <w:noProof/>
          <w:sz w:val="20"/>
          <w:szCs w:val="20"/>
        </w:rPr>
        <w:t xml:space="preserve"> </w:t>
      </w:r>
      <w:r w:rsidR="00713EFE" w:rsidRPr="00935AB2">
        <w:rPr>
          <w:rFonts w:ascii="Arial" w:hAnsi="Arial" w:cs="Arial"/>
          <w:noProof/>
          <w:sz w:val="20"/>
          <w:szCs w:val="20"/>
        </w:rPr>
        <w:t>2007;</w:t>
      </w:r>
      <w:r w:rsidRPr="00935AB2">
        <w:rPr>
          <w:rFonts w:ascii="Arial" w:hAnsi="Arial" w:cs="Arial"/>
          <w:noProof/>
          <w:sz w:val="20"/>
          <w:szCs w:val="20"/>
        </w:rPr>
        <w:t>34(11)</w:t>
      </w:r>
      <w:r w:rsidR="00713EFE" w:rsidRPr="00935AB2">
        <w:rPr>
          <w:rFonts w:ascii="Arial" w:hAnsi="Arial" w:cs="Arial"/>
          <w:noProof/>
          <w:sz w:val="20"/>
          <w:szCs w:val="20"/>
        </w:rPr>
        <w:t>:</w:t>
      </w:r>
      <w:r w:rsidRPr="00935AB2">
        <w:rPr>
          <w:rFonts w:ascii="Arial" w:hAnsi="Arial" w:cs="Arial"/>
          <w:noProof/>
          <w:sz w:val="20"/>
          <w:szCs w:val="20"/>
        </w:rPr>
        <w:t>864-9.</w:t>
      </w:r>
    </w:p>
    <w:p w14:paraId="4B6F71A6" w14:textId="3CC72D69"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Mengistie Z,</w:t>
      </w:r>
      <w:r w:rsidR="00713EFE" w:rsidRPr="00935AB2">
        <w:rPr>
          <w:rFonts w:ascii="Arial" w:hAnsi="Arial" w:cs="Arial"/>
          <w:noProof/>
          <w:sz w:val="20"/>
          <w:szCs w:val="20"/>
        </w:rPr>
        <w:t xml:space="preserve"> </w:t>
      </w:r>
      <w:r w:rsidRPr="00935AB2">
        <w:rPr>
          <w:rFonts w:ascii="Arial" w:hAnsi="Arial" w:cs="Arial"/>
          <w:noProof/>
          <w:sz w:val="20"/>
          <w:szCs w:val="20"/>
        </w:rPr>
        <w:t>Woldeamanuel Y,</w:t>
      </w:r>
      <w:r w:rsidR="00713EFE" w:rsidRPr="00935AB2">
        <w:rPr>
          <w:rFonts w:ascii="Arial" w:hAnsi="Arial" w:cs="Arial"/>
          <w:noProof/>
          <w:sz w:val="20"/>
          <w:szCs w:val="20"/>
        </w:rPr>
        <w:t xml:space="preserve"> </w:t>
      </w:r>
      <w:r w:rsidRPr="00935AB2">
        <w:rPr>
          <w:rFonts w:ascii="Arial" w:hAnsi="Arial" w:cs="Arial"/>
          <w:noProof/>
          <w:sz w:val="20"/>
          <w:szCs w:val="20"/>
        </w:rPr>
        <w:t xml:space="preserve">Asrat D, Adera A. Prevalence of Bacterial vaginosis among pregnant women attending antenatal care in Tikur Anbessa University Hospital. </w:t>
      </w:r>
      <w:r w:rsidR="00713EFE" w:rsidRPr="00935AB2">
        <w:rPr>
          <w:rFonts w:ascii="Arial" w:hAnsi="Arial" w:cs="Arial"/>
          <w:noProof/>
          <w:sz w:val="20"/>
          <w:szCs w:val="20"/>
        </w:rPr>
        <w:t>2014</w:t>
      </w:r>
      <w:r w:rsidR="000563E3" w:rsidRPr="00935AB2">
        <w:rPr>
          <w:rFonts w:ascii="Arial" w:hAnsi="Arial" w:cs="Arial"/>
          <w:noProof/>
          <w:sz w:val="20"/>
          <w:szCs w:val="20"/>
        </w:rPr>
        <w:t>;</w:t>
      </w:r>
      <w:r w:rsidRPr="00935AB2">
        <w:rPr>
          <w:rFonts w:ascii="Arial" w:hAnsi="Arial" w:cs="Arial"/>
          <w:noProof/>
          <w:sz w:val="20"/>
          <w:szCs w:val="20"/>
        </w:rPr>
        <w:t>7(1)</w:t>
      </w:r>
      <w:r w:rsidR="000563E3" w:rsidRPr="00935AB2">
        <w:rPr>
          <w:rFonts w:ascii="Arial" w:hAnsi="Arial" w:cs="Arial"/>
          <w:noProof/>
          <w:sz w:val="20"/>
          <w:szCs w:val="20"/>
        </w:rPr>
        <w:t>:</w:t>
      </w:r>
      <w:r w:rsidRPr="00935AB2">
        <w:rPr>
          <w:rFonts w:ascii="Arial" w:hAnsi="Arial" w:cs="Arial"/>
          <w:noProof/>
          <w:sz w:val="20"/>
          <w:szCs w:val="20"/>
        </w:rPr>
        <w:t>1-5.</w:t>
      </w:r>
    </w:p>
    <w:p w14:paraId="0D67BCA8" w14:textId="6588F3A7"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Abdelaziz ZA, Ibrahim ME, Bilal NE</w:t>
      </w:r>
      <w:r w:rsidR="000563E3" w:rsidRPr="00935AB2">
        <w:rPr>
          <w:rFonts w:ascii="Arial" w:hAnsi="Arial" w:cs="Arial"/>
          <w:noProof/>
          <w:sz w:val="20"/>
          <w:szCs w:val="20"/>
        </w:rPr>
        <w:t>,</w:t>
      </w:r>
      <w:r w:rsidRPr="00935AB2">
        <w:rPr>
          <w:rFonts w:ascii="Arial" w:hAnsi="Arial" w:cs="Arial"/>
          <w:noProof/>
          <w:sz w:val="20"/>
          <w:szCs w:val="20"/>
        </w:rPr>
        <w:t xml:space="preserve"> Hamid ME. Vaginal infections among pregnant women at Omdurman Maternity Hospital in </w:t>
      </w:r>
      <w:r w:rsidRPr="00935AB2">
        <w:rPr>
          <w:rFonts w:ascii="Arial" w:hAnsi="Arial" w:cs="Arial"/>
          <w:noProof/>
          <w:sz w:val="20"/>
          <w:szCs w:val="20"/>
        </w:rPr>
        <w:lastRenderedPageBreak/>
        <w:t>Khartoum. Journal of Infectious Disease in Developed Countries</w:t>
      </w:r>
      <w:r w:rsidR="000563E3" w:rsidRPr="00935AB2">
        <w:rPr>
          <w:rFonts w:ascii="Arial" w:hAnsi="Arial" w:cs="Arial"/>
          <w:noProof/>
          <w:sz w:val="20"/>
          <w:szCs w:val="20"/>
        </w:rPr>
        <w:t>.</w:t>
      </w:r>
      <w:r w:rsidRPr="00935AB2">
        <w:rPr>
          <w:rFonts w:ascii="Arial" w:hAnsi="Arial" w:cs="Arial"/>
          <w:noProof/>
          <w:sz w:val="20"/>
          <w:szCs w:val="20"/>
        </w:rPr>
        <w:t xml:space="preserve"> </w:t>
      </w:r>
      <w:r w:rsidR="000563E3" w:rsidRPr="00935AB2">
        <w:rPr>
          <w:rFonts w:ascii="Arial" w:hAnsi="Arial" w:cs="Arial"/>
          <w:noProof/>
          <w:sz w:val="20"/>
          <w:szCs w:val="20"/>
        </w:rPr>
        <w:t>2014;</w:t>
      </w:r>
      <w:r w:rsidRPr="00935AB2">
        <w:rPr>
          <w:rFonts w:ascii="Arial" w:hAnsi="Arial" w:cs="Arial"/>
          <w:noProof/>
          <w:sz w:val="20"/>
          <w:szCs w:val="20"/>
        </w:rPr>
        <w:t>2(8)</w:t>
      </w:r>
      <w:r w:rsidR="000563E3" w:rsidRPr="00935AB2">
        <w:rPr>
          <w:rFonts w:ascii="Arial" w:hAnsi="Arial" w:cs="Arial"/>
          <w:noProof/>
          <w:sz w:val="20"/>
          <w:szCs w:val="20"/>
        </w:rPr>
        <w:t>:</w:t>
      </w:r>
      <w:r w:rsidRPr="00935AB2">
        <w:rPr>
          <w:rFonts w:ascii="Arial" w:hAnsi="Arial" w:cs="Arial"/>
          <w:noProof/>
          <w:sz w:val="20"/>
          <w:szCs w:val="20"/>
        </w:rPr>
        <w:t>490-497.</w:t>
      </w:r>
    </w:p>
    <w:p w14:paraId="5FBD3A38" w14:textId="6D1723CA"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Achondou AE, Fumoloh FF, Aseneck AC, Awah AR</w:t>
      </w:r>
      <w:r w:rsidR="000563E3" w:rsidRPr="00935AB2">
        <w:rPr>
          <w:rFonts w:ascii="Arial" w:hAnsi="Arial" w:cs="Arial"/>
          <w:noProof/>
          <w:sz w:val="20"/>
          <w:szCs w:val="20"/>
        </w:rPr>
        <w:t>,</w:t>
      </w:r>
      <w:r w:rsidRPr="00935AB2">
        <w:rPr>
          <w:rFonts w:ascii="Arial" w:hAnsi="Arial" w:cs="Arial"/>
          <w:noProof/>
          <w:sz w:val="20"/>
          <w:szCs w:val="20"/>
        </w:rPr>
        <w:t xml:space="preserve"> Utokoro AM. Prevalence of bacterial vaginosis among sexually active women attending the CDC central clinic tiko, South West Region, Cameroon . African Journal of Infectious Diseases</w:t>
      </w:r>
      <w:r w:rsidR="000563E3" w:rsidRPr="00935AB2">
        <w:rPr>
          <w:rFonts w:ascii="Arial" w:hAnsi="Arial" w:cs="Arial"/>
          <w:noProof/>
          <w:sz w:val="20"/>
          <w:szCs w:val="20"/>
        </w:rPr>
        <w:t>.</w:t>
      </w:r>
      <w:r w:rsidRPr="00935AB2">
        <w:rPr>
          <w:rFonts w:ascii="Arial" w:hAnsi="Arial" w:cs="Arial"/>
          <w:noProof/>
          <w:sz w:val="20"/>
          <w:szCs w:val="20"/>
        </w:rPr>
        <w:t xml:space="preserve"> </w:t>
      </w:r>
      <w:r w:rsidR="000563E3" w:rsidRPr="00935AB2">
        <w:rPr>
          <w:rFonts w:ascii="Arial" w:hAnsi="Arial" w:cs="Arial"/>
          <w:noProof/>
          <w:sz w:val="20"/>
          <w:szCs w:val="20"/>
        </w:rPr>
        <w:t>2016;</w:t>
      </w:r>
      <w:r w:rsidRPr="00935AB2">
        <w:rPr>
          <w:rFonts w:ascii="Arial" w:hAnsi="Arial" w:cs="Arial"/>
          <w:noProof/>
          <w:sz w:val="20"/>
          <w:szCs w:val="20"/>
        </w:rPr>
        <w:t>2(10)</w:t>
      </w:r>
      <w:r w:rsidR="000563E3" w:rsidRPr="00935AB2">
        <w:rPr>
          <w:rFonts w:ascii="Arial" w:hAnsi="Arial" w:cs="Arial"/>
          <w:noProof/>
          <w:sz w:val="20"/>
          <w:szCs w:val="20"/>
        </w:rPr>
        <w:t>:</w:t>
      </w:r>
      <w:r w:rsidRPr="00935AB2">
        <w:rPr>
          <w:rFonts w:ascii="Arial" w:hAnsi="Arial" w:cs="Arial"/>
          <w:noProof/>
          <w:sz w:val="20"/>
          <w:szCs w:val="20"/>
        </w:rPr>
        <w:t>96-101.</w:t>
      </w:r>
    </w:p>
    <w:p w14:paraId="796F513B" w14:textId="7D7713C4" w:rsidR="001646B7" w:rsidRPr="00935AB2" w:rsidRDefault="001646B7" w:rsidP="00713EFE">
      <w:pPr>
        <w:pStyle w:val="Bibliography"/>
        <w:numPr>
          <w:ilvl w:val="0"/>
          <w:numId w:val="6"/>
        </w:numPr>
        <w:spacing w:after="0" w:line="240" w:lineRule="auto"/>
        <w:ind w:left="540" w:hanging="540"/>
        <w:jc w:val="both"/>
        <w:rPr>
          <w:rFonts w:ascii="Arial" w:hAnsi="Arial" w:cs="Arial"/>
          <w:noProof/>
          <w:sz w:val="20"/>
          <w:szCs w:val="20"/>
        </w:rPr>
      </w:pPr>
      <w:r w:rsidRPr="00935AB2">
        <w:rPr>
          <w:rFonts w:ascii="Arial" w:hAnsi="Arial" w:cs="Arial"/>
          <w:noProof/>
          <w:sz w:val="20"/>
          <w:szCs w:val="20"/>
        </w:rPr>
        <w:t>Mulu W, Yimer M, Zenebe Y, Abera B. Common causes of vaginal infections and antibiotic susceptibility of aerobic bacterial isolates in women of reproductive age attending at Felegehiwot referral Hospital, Ethiopia. BMC Womens Health</w:t>
      </w:r>
      <w:r w:rsidR="000563E3" w:rsidRPr="00935AB2">
        <w:rPr>
          <w:rFonts w:ascii="Arial" w:hAnsi="Arial" w:cs="Arial"/>
          <w:noProof/>
          <w:sz w:val="20"/>
          <w:szCs w:val="20"/>
        </w:rPr>
        <w:t>.</w:t>
      </w:r>
      <w:r w:rsidRPr="00935AB2">
        <w:rPr>
          <w:rFonts w:ascii="Arial" w:hAnsi="Arial" w:cs="Arial"/>
          <w:noProof/>
          <w:sz w:val="20"/>
          <w:szCs w:val="20"/>
        </w:rPr>
        <w:t xml:space="preserve"> </w:t>
      </w:r>
      <w:r w:rsidR="000563E3" w:rsidRPr="00935AB2">
        <w:rPr>
          <w:rFonts w:ascii="Arial" w:hAnsi="Arial" w:cs="Arial"/>
          <w:noProof/>
          <w:sz w:val="20"/>
          <w:szCs w:val="20"/>
        </w:rPr>
        <w:t>2015;</w:t>
      </w:r>
      <w:r w:rsidRPr="00935AB2">
        <w:rPr>
          <w:rFonts w:ascii="Arial" w:hAnsi="Arial" w:cs="Arial"/>
          <w:noProof/>
          <w:sz w:val="20"/>
          <w:szCs w:val="20"/>
        </w:rPr>
        <w:t>3(15)</w:t>
      </w:r>
      <w:r w:rsidR="000563E3" w:rsidRPr="00935AB2">
        <w:rPr>
          <w:rFonts w:ascii="Arial" w:hAnsi="Arial" w:cs="Arial"/>
          <w:noProof/>
          <w:sz w:val="20"/>
          <w:szCs w:val="20"/>
        </w:rPr>
        <w:t>:</w:t>
      </w:r>
      <w:r w:rsidRPr="00935AB2">
        <w:rPr>
          <w:rFonts w:ascii="Arial" w:hAnsi="Arial" w:cs="Arial"/>
          <w:noProof/>
          <w:sz w:val="20"/>
          <w:szCs w:val="20"/>
        </w:rPr>
        <w:t>1-5.</w:t>
      </w:r>
    </w:p>
    <w:bookmarkEnd w:id="13"/>
    <w:p w14:paraId="663C1916" w14:textId="77777777" w:rsidR="00A549C2" w:rsidRPr="00935AB2" w:rsidRDefault="00A549C2" w:rsidP="005653C2">
      <w:pPr>
        <w:autoSpaceDE w:val="0"/>
        <w:autoSpaceDN w:val="0"/>
        <w:adjustRightInd w:val="0"/>
        <w:spacing w:after="0" w:line="240" w:lineRule="auto"/>
        <w:contextualSpacing/>
        <w:jc w:val="both"/>
        <w:rPr>
          <w:rFonts w:ascii="Arial" w:eastAsia="Times New Roman" w:hAnsi="Arial" w:cs="Arial"/>
          <w:sz w:val="20"/>
          <w:szCs w:val="20"/>
        </w:rPr>
        <w:sectPr w:rsidR="00A549C2" w:rsidRPr="00935AB2" w:rsidSect="00935AB2">
          <w:type w:val="continuous"/>
          <w:pgSz w:w="11909" w:h="16834" w:code="9"/>
          <w:pgMar w:top="1440" w:right="1440" w:bottom="1440" w:left="1440" w:header="720" w:footer="864" w:gutter="0"/>
          <w:cols w:num="2" w:space="288"/>
          <w:docGrid w:linePitch="360"/>
        </w:sectPr>
      </w:pPr>
    </w:p>
    <w:p w14:paraId="2A9B4253" w14:textId="77777777" w:rsidR="005B4F0E" w:rsidRPr="00935AB2" w:rsidRDefault="005B4F0E" w:rsidP="00B560C3">
      <w:pPr>
        <w:autoSpaceDE w:val="0"/>
        <w:autoSpaceDN w:val="0"/>
        <w:adjustRightInd w:val="0"/>
        <w:spacing w:after="0" w:line="240" w:lineRule="auto"/>
        <w:contextualSpacing/>
        <w:jc w:val="center"/>
        <w:rPr>
          <w:rFonts w:ascii="Arial" w:eastAsia="Times New Roman" w:hAnsi="Arial" w:cs="Arial"/>
          <w:sz w:val="20"/>
          <w:szCs w:val="20"/>
        </w:rPr>
      </w:pPr>
      <w:r w:rsidRPr="00935AB2">
        <w:rPr>
          <w:rFonts w:ascii="Arial" w:eastAsia="Times New Roman" w:hAnsi="Arial" w:cs="Arial"/>
          <w:sz w:val="20"/>
          <w:szCs w:val="20"/>
        </w:rPr>
        <w:t>_________________________</w:t>
      </w:r>
      <w:r w:rsidR="00F322DF" w:rsidRPr="00935AB2">
        <w:rPr>
          <w:rFonts w:ascii="Arial" w:eastAsia="Times New Roman" w:hAnsi="Arial" w:cs="Arial"/>
          <w:sz w:val="20"/>
          <w:szCs w:val="20"/>
        </w:rPr>
        <w:t>________</w:t>
      </w:r>
      <w:r w:rsidRPr="00935AB2">
        <w:rPr>
          <w:rFonts w:ascii="Arial" w:eastAsia="Times New Roman" w:hAnsi="Arial" w:cs="Arial"/>
          <w:sz w:val="20"/>
          <w:szCs w:val="20"/>
        </w:rPr>
        <w:t>________________________________________________</w:t>
      </w:r>
    </w:p>
    <w:p w14:paraId="214C421F" w14:textId="16EC119C" w:rsidR="00BD7A95" w:rsidRPr="005653C2" w:rsidRDefault="005B4F0E" w:rsidP="005653C2">
      <w:pPr>
        <w:spacing w:after="0" w:line="240" w:lineRule="auto"/>
        <w:jc w:val="both"/>
        <w:rPr>
          <w:rFonts w:ascii="Arial" w:hAnsi="Arial" w:cs="Arial"/>
          <w:sz w:val="20"/>
        </w:rPr>
      </w:pPr>
      <w:r w:rsidRPr="00935AB2">
        <w:rPr>
          <w:rFonts w:ascii="Arial" w:eastAsia="Times New Roman" w:hAnsi="Arial" w:cs="Arial"/>
          <w:i/>
          <w:sz w:val="16"/>
          <w:szCs w:val="20"/>
        </w:rPr>
        <w:t>© 20</w:t>
      </w:r>
      <w:r w:rsidR="002807DC" w:rsidRPr="00935AB2">
        <w:rPr>
          <w:rFonts w:ascii="Arial" w:eastAsia="Times New Roman" w:hAnsi="Arial" w:cs="Arial"/>
          <w:i/>
          <w:sz w:val="16"/>
          <w:szCs w:val="20"/>
        </w:rPr>
        <w:t>2</w:t>
      </w:r>
      <w:r w:rsidR="007A67B7" w:rsidRPr="00935AB2">
        <w:rPr>
          <w:rFonts w:ascii="Arial" w:eastAsia="Times New Roman" w:hAnsi="Arial" w:cs="Arial"/>
          <w:i/>
          <w:sz w:val="16"/>
          <w:szCs w:val="20"/>
        </w:rPr>
        <w:t>3</w:t>
      </w:r>
      <w:r w:rsidRPr="00935AB2">
        <w:rPr>
          <w:rFonts w:ascii="Arial" w:eastAsia="Times New Roman" w:hAnsi="Arial" w:cs="Arial"/>
          <w:i/>
          <w:sz w:val="16"/>
          <w:szCs w:val="20"/>
        </w:rPr>
        <w:t xml:space="preserve"> </w:t>
      </w:r>
      <w:r w:rsidR="00713EFE" w:rsidRPr="00935AB2">
        <w:rPr>
          <w:rFonts w:ascii="Arial" w:eastAsia="Times New Roman" w:hAnsi="Arial" w:cs="Arial"/>
          <w:i/>
          <w:sz w:val="16"/>
          <w:szCs w:val="20"/>
        </w:rPr>
        <w:t>Prudence et al.</w:t>
      </w:r>
      <w:r w:rsidR="0087462A" w:rsidRPr="00935AB2">
        <w:rPr>
          <w:rFonts w:ascii="Arial" w:eastAsia="Times New Roman" w:hAnsi="Arial" w:cs="Arial"/>
          <w:i/>
          <w:sz w:val="16"/>
          <w:szCs w:val="20"/>
          <w:lang w:val="id-ID"/>
        </w:rPr>
        <w:t xml:space="preserve">; </w:t>
      </w:r>
      <w:r w:rsidRPr="00935AB2">
        <w:rPr>
          <w:rFonts w:ascii="Arial" w:eastAsia="Times New Roman" w:hAnsi="Arial" w:cs="Arial"/>
          <w:i/>
          <w:sz w:val="16"/>
          <w:szCs w:val="20"/>
        </w:rPr>
        <w:t>This is an Open Access article distributed under the terms of the Creative Commons Attribution License (</w:t>
      </w:r>
      <w:hyperlink r:id="rId13" w:history="1">
        <w:r w:rsidR="00F322DF" w:rsidRPr="00935AB2">
          <w:rPr>
            <w:rStyle w:val="Hyperlink"/>
            <w:rFonts w:ascii="Arial" w:eastAsia="Times New Roman" w:hAnsi="Arial" w:cs="Arial"/>
            <w:i/>
            <w:color w:val="0000FF"/>
            <w:sz w:val="16"/>
            <w:szCs w:val="20"/>
            <w:u w:val="none"/>
          </w:rPr>
          <w:t>http://creativecommons.org/licenses/by/4.0</w:t>
        </w:r>
      </w:hyperlink>
      <w:r w:rsidRPr="00935AB2">
        <w:rPr>
          <w:rFonts w:ascii="Arial" w:eastAsia="Times New Roman" w:hAnsi="Arial" w:cs="Arial"/>
          <w:i/>
          <w:sz w:val="16"/>
          <w:szCs w:val="20"/>
        </w:rPr>
        <w:t>), which permits unrestricted use, distribution, and reproduction in any medium, provided the original work is properly cited.</w:t>
      </w:r>
    </w:p>
    <w:sectPr w:rsidR="00BD7A95" w:rsidRPr="005653C2" w:rsidSect="001309C8">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68A7" w14:textId="77777777" w:rsidR="00030109" w:rsidRDefault="00030109" w:rsidP="00BC3A09">
      <w:pPr>
        <w:spacing w:after="0" w:line="240" w:lineRule="auto"/>
      </w:pPr>
      <w:r>
        <w:separator/>
      </w:r>
    </w:p>
  </w:endnote>
  <w:endnote w:type="continuationSeparator" w:id="0">
    <w:p w14:paraId="154C57E4" w14:textId="77777777" w:rsidR="00030109" w:rsidRDefault="00030109"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33681"/>
      <w:docPartObj>
        <w:docPartGallery w:val="Page Numbers (Bottom of Page)"/>
        <w:docPartUnique/>
      </w:docPartObj>
    </w:sdtPr>
    <w:sdtEndPr/>
    <w:sdtContent>
      <w:p w14:paraId="16A99D79" w14:textId="77777777" w:rsidR="008939AF" w:rsidRPr="0047754D" w:rsidRDefault="008939AF">
        <w:pPr>
          <w:pStyle w:val="Footer"/>
          <w:jc w:val="center"/>
          <w:rPr>
            <w:rFonts w:ascii="Arial" w:hAnsi="Arial" w:cs="Arial"/>
            <w:sz w:val="28"/>
          </w:rPr>
        </w:pPr>
      </w:p>
      <w:p w14:paraId="040AED59" w14:textId="2BFE3CBB" w:rsidR="0047754D" w:rsidRDefault="002E5E7A">
        <w:pPr>
          <w:pStyle w:val="Footer"/>
          <w:jc w:val="center"/>
          <w:rPr>
            <w:rFonts w:ascii="Arial" w:hAnsi="Arial" w:cs="Arial"/>
            <w:sz w:val="20"/>
          </w:rPr>
        </w:pPr>
        <w:r w:rsidRPr="008939AF">
          <w:rPr>
            <w:rFonts w:ascii="Arial" w:hAnsi="Arial" w:cs="Arial"/>
            <w:sz w:val="20"/>
          </w:rPr>
          <w:fldChar w:fldCharType="begin"/>
        </w:r>
        <w:r w:rsidR="008939AF" w:rsidRPr="008939AF">
          <w:rPr>
            <w:rFonts w:ascii="Arial" w:hAnsi="Arial" w:cs="Arial"/>
            <w:sz w:val="20"/>
          </w:rPr>
          <w:instrText xml:space="preserve"> PAGE   \* MERGEFORMAT </w:instrText>
        </w:r>
        <w:r w:rsidRPr="008939AF">
          <w:rPr>
            <w:rFonts w:ascii="Arial" w:hAnsi="Arial" w:cs="Arial"/>
            <w:sz w:val="20"/>
          </w:rPr>
          <w:fldChar w:fldCharType="separate"/>
        </w:r>
        <w:r w:rsidR="00CB4516">
          <w:rPr>
            <w:rFonts w:ascii="Arial" w:hAnsi="Arial" w:cs="Arial"/>
            <w:noProof/>
            <w:sz w:val="20"/>
          </w:rPr>
          <w:t>2</w:t>
        </w:r>
        <w:r w:rsidRPr="008939AF">
          <w:rPr>
            <w:rFonts w:ascii="Arial" w:hAnsi="Arial" w:cs="Arial"/>
            <w:sz w:val="20"/>
          </w:rPr>
          <w:fldChar w:fldCharType="end"/>
        </w:r>
      </w:p>
      <w:p w14:paraId="32402043" w14:textId="77777777" w:rsidR="008939AF" w:rsidRPr="0047754D" w:rsidRDefault="00030109">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A41F" w14:textId="77777777" w:rsidR="008939AF" w:rsidRPr="00F322DF" w:rsidRDefault="008939AF" w:rsidP="00F322DF">
    <w:pPr>
      <w:pStyle w:val="Footer"/>
      <w:jc w:val="both"/>
      <w:rPr>
        <w:rFonts w:ascii="Arial" w:hAnsi="Arial" w:cs="Arial"/>
        <w:i/>
        <w:sz w:val="16"/>
      </w:rPr>
    </w:pPr>
    <w:r w:rsidRPr="00F322DF">
      <w:rPr>
        <w:rFonts w:ascii="Arial" w:hAnsi="Arial" w:cs="Arial"/>
        <w:i/>
        <w:sz w:val="16"/>
      </w:rPr>
      <w:t>____________________________________________________________________________________________</w:t>
    </w:r>
    <w:r w:rsidR="00153D47">
      <w:rPr>
        <w:rFonts w:ascii="Arial" w:hAnsi="Arial" w:cs="Arial"/>
        <w:i/>
        <w:sz w:val="16"/>
      </w:rPr>
      <w:t>_________</w:t>
    </w:r>
  </w:p>
  <w:p w14:paraId="18CCEE70" w14:textId="7BA361AF" w:rsidR="008939AF" w:rsidRDefault="008939AF" w:rsidP="00F322DF">
    <w:pPr>
      <w:pStyle w:val="Footer"/>
      <w:jc w:val="both"/>
      <w:rPr>
        <w:rFonts w:ascii="Arial" w:hAnsi="Arial" w:cs="Arial"/>
        <w:b/>
        <w:i/>
        <w:color w:val="FF0000"/>
        <w:sz w:val="20"/>
      </w:rPr>
    </w:pPr>
  </w:p>
  <w:p w14:paraId="08E3F9BC" w14:textId="77777777" w:rsidR="0047754D" w:rsidRPr="0047754D" w:rsidRDefault="0047754D" w:rsidP="00F322DF">
    <w:pPr>
      <w:pStyle w:val="Footer"/>
      <w:jc w:val="both"/>
      <w:rPr>
        <w:rFonts w:ascii="Arial" w:hAnsi="Arial" w:cs="Arial"/>
        <w:b/>
        <w:i/>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8491" w14:textId="77777777" w:rsidR="00030109" w:rsidRDefault="00030109" w:rsidP="00BC3A09">
      <w:pPr>
        <w:spacing w:after="0" w:line="240" w:lineRule="auto"/>
      </w:pPr>
      <w:r>
        <w:separator/>
      </w:r>
    </w:p>
  </w:footnote>
  <w:footnote w:type="continuationSeparator" w:id="0">
    <w:p w14:paraId="6573BE67" w14:textId="77777777" w:rsidR="00030109" w:rsidRDefault="00030109"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5E97" w14:textId="227559C4" w:rsidR="00935AB2" w:rsidRDefault="00030109">
    <w:pPr>
      <w:pStyle w:val="Header"/>
    </w:pPr>
    <w:r>
      <w:rPr>
        <w:noProof/>
      </w:rPr>
      <w:pict w14:anchorId="67181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047"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01B3" w14:textId="16D0A62B" w:rsidR="008939AF" w:rsidRDefault="00030109" w:rsidP="0002037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B3F4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048"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D002463"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3980ED8A"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22259F7A"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1863C4B8" w14:textId="5A453F8A" w:rsidR="008939AF" w:rsidRPr="00713EFE" w:rsidRDefault="00713EFE" w:rsidP="0002037D">
    <w:pPr>
      <w:tabs>
        <w:tab w:val="center" w:pos="4320"/>
        <w:tab w:val="right" w:pos="8640"/>
      </w:tabs>
      <w:spacing w:after="0" w:line="240" w:lineRule="auto"/>
      <w:jc w:val="right"/>
      <w:rPr>
        <w:rFonts w:ascii="Arial" w:eastAsia="Times New Roman" w:hAnsi="Arial" w:cs="Arial"/>
        <w:i/>
        <w:sz w:val="16"/>
        <w:szCs w:val="20"/>
      </w:rPr>
    </w:pPr>
    <w:r w:rsidRPr="001646B7">
      <w:rPr>
        <w:rFonts w:ascii="Arial" w:eastAsia="Times New Roman" w:hAnsi="Arial" w:cs="Arial"/>
        <w:i/>
        <w:sz w:val="16"/>
        <w:szCs w:val="20"/>
      </w:rPr>
      <w:t>Prudence</w:t>
    </w:r>
    <w:r w:rsidRPr="00713EFE">
      <w:rPr>
        <w:rFonts w:ascii="Arial" w:eastAsia="Times New Roman" w:hAnsi="Arial" w:cs="Arial"/>
        <w:i/>
        <w:sz w:val="16"/>
        <w:szCs w:val="20"/>
      </w:rPr>
      <w:t xml:space="preserve"> et al.</w:t>
    </w:r>
    <w:r w:rsidR="0087462A" w:rsidRPr="00713EFE">
      <w:rPr>
        <w:rFonts w:ascii="Arial" w:eastAsia="Times New Roman" w:hAnsi="Arial" w:cs="Arial"/>
        <w:i/>
        <w:sz w:val="16"/>
        <w:szCs w:val="20"/>
      </w:rPr>
      <w:t xml:space="preserve">; </w:t>
    </w:r>
    <w:r w:rsidR="00C7135B" w:rsidRPr="00713EFE">
      <w:rPr>
        <w:rFonts w:ascii="Arial" w:eastAsia="Times New Roman" w:hAnsi="Arial" w:cs="Arial"/>
        <w:i/>
        <w:sz w:val="16"/>
        <w:szCs w:val="20"/>
      </w:rPr>
      <w:t>Int. J. Trop. Dis. Health, vol. xx, no. xx, pp. xx-xx, 20</w:t>
    </w:r>
    <w:r w:rsidR="007A67B7" w:rsidRPr="00713EFE">
      <w:rPr>
        <w:rFonts w:ascii="Arial" w:eastAsia="Times New Roman" w:hAnsi="Arial" w:cs="Arial"/>
        <w:i/>
        <w:sz w:val="16"/>
        <w:szCs w:val="20"/>
      </w:rPr>
      <w:t>YY</w:t>
    </w:r>
    <w:r w:rsidR="008D51AB" w:rsidRPr="00713EFE">
      <w:rPr>
        <w:rFonts w:ascii="Arial" w:eastAsia="Times New Roman" w:hAnsi="Arial" w:cs="Arial"/>
        <w:i/>
        <w:sz w:val="16"/>
        <w:szCs w:val="20"/>
      </w:rPr>
      <w:t>; Article no.IJTDH</w:t>
    </w:r>
    <w:r w:rsidR="001646B7" w:rsidRPr="00713EFE">
      <w:rPr>
        <w:rFonts w:ascii="Arial" w:eastAsia="Times New Roman" w:hAnsi="Arial" w:cs="Arial"/>
        <w:i/>
        <w:sz w:val="16"/>
        <w:szCs w:val="20"/>
      </w:rPr>
      <w:t>.100685</w:t>
    </w:r>
  </w:p>
  <w:p w14:paraId="467E7F90"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rPr>
    </w:pPr>
  </w:p>
  <w:p w14:paraId="7DF0A468" w14:textId="77777777" w:rsidR="008939AF" w:rsidRPr="0002037D" w:rsidRDefault="008939AF" w:rsidP="0002037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763F" w14:textId="7DD002F6" w:rsidR="00935AB2" w:rsidRDefault="00030109">
    <w:pPr>
      <w:pStyle w:val="Header"/>
    </w:pPr>
    <w:r>
      <w:rPr>
        <w:noProof/>
      </w:rPr>
      <w:pict w14:anchorId="4D9F9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046"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A05"/>
    <w:multiLevelType w:val="hybridMultilevel"/>
    <w:tmpl w:val="33FC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C460280"/>
    <w:multiLevelType w:val="hybridMultilevel"/>
    <w:tmpl w:val="24B8F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C3A09"/>
    <w:rsid w:val="00004C81"/>
    <w:rsid w:val="0001745C"/>
    <w:rsid w:val="0002037D"/>
    <w:rsid w:val="0002270C"/>
    <w:rsid w:val="00030109"/>
    <w:rsid w:val="00031321"/>
    <w:rsid w:val="0004319C"/>
    <w:rsid w:val="00052AB8"/>
    <w:rsid w:val="00054FD9"/>
    <w:rsid w:val="000563E3"/>
    <w:rsid w:val="00063E5A"/>
    <w:rsid w:val="00074145"/>
    <w:rsid w:val="000A611E"/>
    <w:rsid w:val="000A688C"/>
    <w:rsid w:val="000B75DD"/>
    <w:rsid w:val="000C7013"/>
    <w:rsid w:val="000E7EDB"/>
    <w:rsid w:val="00115CDF"/>
    <w:rsid w:val="0011683D"/>
    <w:rsid w:val="001272FB"/>
    <w:rsid w:val="001309C8"/>
    <w:rsid w:val="001363DE"/>
    <w:rsid w:val="00147B62"/>
    <w:rsid w:val="00153D47"/>
    <w:rsid w:val="00154EBD"/>
    <w:rsid w:val="00163935"/>
    <w:rsid w:val="00164538"/>
    <w:rsid w:val="001646B7"/>
    <w:rsid w:val="0019514B"/>
    <w:rsid w:val="001C19A9"/>
    <w:rsid w:val="001D1F82"/>
    <w:rsid w:val="001D2F14"/>
    <w:rsid w:val="001D4826"/>
    <w:rsid w:val="001D50F4"/>
    <w:rsid w:val="001E0BAC"/>
    <w:rsid w:val="001E22DD"/>
    <w:rsid w:val="001E3265"/>
    <w:rsid w:val="001E5AC6"/>
    <w:rsid w:val="002065A5"/>
    <w:rsid w:val="00213E6F"/>
    <w:rsid w:val="002312C9"/>
    <w:rsid w:val="00234E86"/>
    <w:rsid w:val="002552B9"/>
    <w:rsid w:val="002807DC"/>
    <w:rsid w:val="00296A5F"/>
    <w:rsid w:val="002B26BC"/>
    <w:rsid w:val="002B2994"/>
    <w:rsid w:val="002C32DF"/>
    <w:rsid w:val="002C53FA"/>
    <w:rsid w:val="002D6FAD"/>
    <w:rsid w:val="002E579A"/>
    <w:rsid w:val="002E5E7A"/>
    <w:rsid w:val="002F3BB5"/>
    <w:rsid w:val="003043FB"/>
    <w:rsid w:val="00306B41"/>
    <w:rsid w:val="0031146C"/>
    <w:rsid w:val="00317B75"/>
    <w:rsid w:val="00320D35"/>
    <w:rsid w:val="0032479F"/>
    <w:rsid w:val="00335795"/>
    <w:rsid w:val="00344E76"/>
    <w:rsid w:val="00366A72"/>
    <w:rsid w:val="00375577"/>
    <w:rsid w:val="00376AF4"/>
    <w:rsid w:val="00397809"/>
    <w:rsid w:val="00397F4E"/>
    <w:rsid w:val="003C12B0"/>
    <w:rsid w:val="003F10FB"/>
    <w:rsid w:val="0040165C"/>
    <w:rsid w:val="00406503"/>
    <w:rsid w:val="004150AA"/>
    <w:rsid w:val="0041735E"/>
    <w:rsid w:val="0043212D"/>
    <w:rsid w:val="00435722"/>
    <w:rsid w:val="00442AED"/>
    <w:rsid w:val="0044483A"/>
    <w:rsid w:val="004624CB"/>
    <w:rsid w:val="0046526B"/>
    <w:rsid w:val="004763DA"/>
    <w:rsid w:val="0047754D"/>
    <w:rsid w:val="004826D4"/>
    <w:rsid w:val="004966C0"/>
    <w:rsid w:val="004A5CC2"/>
    <w:rsid w:val="004A7912"/>
    <w:rsid w:val="004B7F30"/>
    <w:rsid w:val="004D0C13"/>
    <w:rsid w:val="005158EF"/>
    <w:rsid w:val="0053189F"/>
    <w:rsid w:val="005347CE"/>
    <w:rsid w:val="005536C0"/>
    <w:rsid w:val="005653C2"/>
    <w:rsid w:val="00572B3D"/>
    <w:rsid w:val="00590A2B"/>
    <w:rsid w:val="005929CC"/>
    <w:rsid w:val="00592D54"/>
    <w:rsid w:val="00597875"/>
    <w:rsid w:val="005A0B3E"/>
    <w:rsid w:val="005B297E"/>
    <w:rsid w:val="005B4F0E"/>
    <w:rsid w:val="005D1256"/>
    <w:rsid w:val="005D677B"/>
    <w:rsid w:val="005D7836"/>
    <w:rsid w:val="005E7448"/>
    <w:rsid w:val="005E7F8D"/>
    <w:rsid w:val="005F5E49"/>
    <w:rsid w:val="006077CA"/>
    <w:rsid w:val="006201EB"/>
    <w:rsid w:val="006238A2"/>
    <w:rsid w:val="00627B0B"/>
    <w:rsid w:val="00644648"/>
    <w:rsid w:val="00655F2A"/>
    <w:rsid w:val="00663B00"/>
    <w:rsid w:val="00671515"/>
    <w:rsid w:val="00675FED"/>
    <w:rsid w:val="006937C6"/>
    <w:rsid w:val="006B5C1B"/>
    <w:rsid w:val="006B5C9B"/>
    <w:rsid w:val="006C277A"/>
    <w:rsid w:val="006F5DFF"/>
    <w:rsid w:val="007126E6"/>
    <w:rsid w:val="00713EFE"/>
    <w:rsid w:val="00716BD1"/>
    <w:rsid w:val="00723F29"/>
    <w:rsid w:val="007240B3"/>
    <w:rsid w:val="007409AB"/>
    <w:rsid w:val="00743A24"/>
    <w:rsid w:val="00755696"/>
    <w:rsid w:val="00767FE9"/>
    <w:rsid w:val="00776EC5"/>
    <w:rsid w:val="007A67B7"/>
    <w:rsid w:val="007B17CB"/>
    <w:rsid w:val="007C6473"/>
    <w:rsid w:val="007F0DFF"/>
    <w:rsid w:val="007F3163"/>
    <w:rsid w:val="0080393A"/>
    <w:rsid w:val="00806B8B"/>
    <w:rsid w:val="008071AC"/>
    <w:rsid w:val="008109C6"/>
    <w:rsid w:val="00821B8D"/>
    <w:rsid w:val="0083061C"/>
    <w:rsid w:val="00840027"/>
    <w:rsid w:val="00841957"/>
    <w:rsid w:val="00841BF7"/>
    <w:rsid w:val="00866A99"/>
    <w:rsid w:val="0087462A"/>
    <w:rsid w:val="00884A41"/>
    <w:rsid w:val="00893243"/>
    <w:rsid w:val="008939AF"/>
    <w:rsid w:val="008A1ECA"/>
    <w:rsid w:val="008B267E"/>
    <w:rsid w:val="008B7B29"/>
    <w:rsid w:val="008D415A"/>
    <w:rsid w:val="008D51AB"/>
    <w:rsid w:val="00905958"/>
    <w:rsid w:val="00911ECE"/>
    <w:rsid w:val="00925100"/>
    <w:rsid w:val="00930D3C"/>
    <w:rsid w:val="00935AB2"/>
    <w:rsid w:val="00943F97"/>
    <w:rsid w:val="00944A6A"/>
    <w:rsid w:val="00956CBB"/>
    <w:rsid w:val="009577AA"/>
    <w:rsid w:val="00970654"/>
    <w:rsid w:val="0097414C"/>
    <w:rsid w:val="0099154E"/>
    <w:rsid w:val="009966D2"/>
    <w:rsid w:val="009A14F0"/>
    <w:rsid w:val="009B0843"/>
    <w:rsid w:val="009B1CAD"/>
    <w:rsid w:val="009B2761"/>
    <w:rsid w:val="009B5826"/>
    <w:rsid w:val="009E448C"/>
    <w:rsid w:val="009F517F"/>
    <w:rsid w:val="00A00ED0"/>
    <w:rsid w:val="00A037E5"/>
    <w:rsid w:val="00A30706"/>
    <w:rsid w:val="00A30E78"/>
    <w:rsid w:val="00A34505"/>
    <w:rsid w:val="00A42E0D"/>
    <w:rsid w:val="00A51176"/>
    <w:rsid w:val="00A549C2"/>
    <w:rsid w:val="00A5521D"/>
    <w:rsid w:val="00A553F8"/>
    <w:rsid w:val="00A61C65"/>
    <w:rsid w:val="00A64300"/>
    <w:rsid w:val="00A650DC"/>
    <w:rsid w:val="00A65E3A"/>
    <w:rsid w:val="00A66868"/>
    <w:rsid w:val="00A8336F"/>
    <w:rsid w:val="00A869BD"/>
    <w:rsid w:val="00A8786E"/>
    <w:rsid w:val="00A95ECC"/>
    <w:rsid w:val="00A96A52"/>
    <w:rsid w:val="00AB4B93"/>
    <w:rsid w:val="00AC2729"/>
    <w:rsid w:val="00AD0948"/>
    <w:rsid w:val="00AE35F3"/>
    <w:rsid w:val="00AF7A67"/>
    <w:rsid w:val="00AF7D05"/>
    <w:rsid w:val="00B02F26"/>
    <w:rsid w:val="00B03B79"/>
    <w:rsid w:val="00B13A5D"/>
    <w:rsid w:val="00B22D82"/>
    <w:rsid w:val="00B3120B"/>
    <w:rsid w:val="00B511D3"/>
    <w:rsid w:val="00B544F1"/>
    <w:rsid w:val="00B548AA"/>
    <w:rsid w:val="00B560C3"/>
    <w:rsid w:val="00B85892"/>
    <w:rsid w:val="00B8647D"/>
    <w:rsid w:val="00B86553"/>
    <w:rsid w:val="00BA3857"/>
    <w:rsid w:val="00BA6187"/>
    <w:rsid w:val="00BB19E8"/>
    <w:rsid w:val="00BC2F0F"/>
    <w:rsid w:val="00BC3A09"/>
    <w:rsid w:val="00BD7A95"/>
    <w:rsid w:val="00BE7BE0"/>
    <w:rsid w:val="00BF2592"/>
    <w:rsid w:val="00BF36C3"/>
    <w:rsid w:val="00BF6987"/>
    <w:rsid w:val="00C12B3C"/>
    <w:rsid w:val="00C2147A"/>
    <w:rsid w:val="00C31F03"/>
    <w:rsid w:val="00C35B09"/>
    <w:rsid w:val="00C40A3C"/>
    <w:rsid w:val="00C410C6"/>
    <w:rsid w:val="00C45470"/>
    <w:rsid w:val="00C6169B"/>
    <w:rsid w:val="00C623BD"/>
    <w:rsid w:val="00C64D2C"/>
    <w:rsid w:val="00C7135B"/>
    <w:rsid w:val="00C73BDF"/>
    <w:rsid w:val="00C77F06"/>
    <w:rsid w:val="00C84A92"/>
    <w:rsid w:val="00C94008"/>
    <w:rsid w:val="00C96CB5"/>
    <w:rsid w:val="00CB28AA"/>
    <w:rsid w:val="00CB4516"/>
    <w:rsid w:val="00CB7D0D"/>
    <w:rsid w:val="00CC520E"/>
    <w:rsid w:val="00CD3504"/>
    <w:rsid w:val="00CD6C91"/>
    <w:rsid w:val="00CE0240"/>
    <w:rsid w:val="00CF14D9"/>
    <w:rsid w:val="00CF5B96"/>
    <w:rsid w:val="00D048FB"/>
    <w:rsid w:val="00D13AB8"/>
    <w:rsid w:val="00D2012D"/>
    <w:rsid w:val="00D201DB"/>
    <w:rsid w:val="00D24B4E"/>
    <w:rsid w:val="00D278CF"/>
    <w:rsid w:val="00D62180"/>
    <w:rsid w:val="00DC3E47"/>
    <w:rsid w:val="00DE088D"/>
    <w:rsid w:val="00DE3090"/>
    <w:rsid w:val="00DE3256"/>
    <w:rsid w:val="00DE68B2"/>
    <w:rsid w:val="00DF5D9D"/>
    <w:rsid w:val="00E03241"/>
    <w:rsid w:val="00E07987"/>
    <w:rsid w:val="00E20FC7"/>
    <w:rsid w:val="00E46028"/>
    <w:rsid w:val="00E57DD7"/>
    <w:rsid w:val="00E65F9F"/>
    <w:rsid w:val="00E66450"/>
    <w:rsid w:val="00E706AE"/>
    <w:rsid w:val="00E84B06"/>
    <w:rsid w:val="00E90DD2"/>
    <w:rsid w:val="00E95A1A"/>
    <w:rsid w:val="00EA06D3"/>
    <w:rsid w:val="00EA5A30"/>
    <w:rsid w:val="00EF1D40"/>
    <w:rsid w:val="00EF2987"/>
    <w:rsid w:val="00F07AF3"/>
    <w:rsid w:val="00F271A2"/>
    <w:rsid w:val="00F322DF"/>
    <w:rsid w:val="00F450B7"/>
    <w:rsid w:val="00F73FB3"/>
    <w:rsid w:val="00F8060B"/>
    <w:rsid w:val="00F93609"/>
    <w:rsid w:val="00FB2D2D"/>
    <w:rsid w:val="00FB6958"/>
    <w:rsid w:val="00FC78DC"/>
    <w:rsid w:val="00FD315A"/>
    <w:rsid w:val="00F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238"/>
      </o:rules>
    </o:shapelayout>
  </w:shapeDefaults>
  <w:decimalSymbol w:val="."/>
  <w:listSeparator w:val=","/>
  <w14:docId w14:val="588D458C"/>
  <w15:docId w15:val="{E370813B-5AC7-4FF2-85D4-2516DC03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AED"/>
  </w:style>
  <w:style w:type="paragraph" w:styleId="Heading1">
    <w:name w:val="heading 1"/>
    <w:basedOn w:val="Normal"/>
    <w:next w:val="Normal"/>
    <w:link w:val="Heading1Char"/>
    <w:uiPriority w:val="9"/>
    <w:qFormat/>
    <w:rsid w:val="00A61C65"/>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61C6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61C65"/>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7F316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rsid w:val="00CD6C9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FB2D2D"/>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AF7D0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61C6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61C6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61C65"/>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7F3163"/>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1646B7"/>
    <w:rPr>
      <w:color w:val="605E5C"/>
      <w:shd w:val="clear" w:color="auto" w:fill="E1DFDD"/>
    </w:rPr>
  </w:style>
  <w:style w:type="paragraph" w:customStyle="1" w:styleId="msonormal0">
    <w:name w:val="msonormal"/>
    <w:basedOn w:val="Normal"/>
    <w:rsid w:val="001646B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1646B7"/>
    <w:pPr>
      <w:spacing w:line="240" w:lineRule="auto"/>
    </w:pPr>
    <w:rPr>
      <w:rFonts w:eastAsiaTheme="minorHAnsi"/>
      <w:i/>
      <w:iCs/>
      <w:color w:val="1F497D" w:themeColor="text2"/>
      <w:sz w:val="18"/>
      <w:szCs w:val="18"/>
    </w:rPr>
  </w:style>
  <w:style w:type="paragraph" w:styleId="BodyText2">
    <w:name w:val="Body Text 2"/>
    <w:basedOn w:val="Normal"/>
    <w:link w:val="BodyText2Char"/>
    <w:uiPriority w:val="99"/>
    <w:semiHidden/>
    <w:unhideWhenUsed/>
    <w:rsid w:val="001646B7"/>
    <w:pPr>
      <w:jc w:val="both"/>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semiHidden/>
    <w:rsid w:val="001646B7"/>
    <w:rPr>
      <w:rFonts w:ascii="Times New Roman" w:eastAsiaTheme="minorHAnsi" w:hAnsi="Times New Roman" w:cs="Times New Roman"/>
      <w:sz w:val="24"/>
      <w:szCs w:val="24"/>
    </w:rPr>
  </w:style>
  <w:style w:type="paragraph" w:styleId="Bibliography">
    <w:name w:val="Bibliography"/>
    <w:basedOn w:val="Normal"/>
    <w:next w:val="Normal"/>
    <w:uiPriority w:val="37"/>
    <w:semiHidden/>
    <w:unhideWhenUsed/>
    <w:rsid w:val="001646B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7744">
      <w:bodyDiv w:val="1"/>
      <w:marLeft w:val="0"/>
      <w:marRight w:val="0"/>
      <w:marTop w:val="0"/>
      <w:marBottom w:val="0"/>
      <w:divBdr>
        <w:top w:val="none" w:sz="0" w:space="0" w:color="auto"/>
        <w:left w:val="none" w:sz="0" w:space="0" w:color="auto"/>
        <w:bottom w:val="none" w:sz="0" w:space="0" w:color="auto"/>
        <w:right w:val="none" w:sz="0" w:space="0" w:color="auto"/>
      </w:divBdr>
    </w:div>
    <w:div w:id="144317356">
      <w:bodyDiv w:val="1"/>
      <w:marLeft w:val="0"/>
      <w:marRight w:val="0"/>
      <w:marTop w:val="0"/>
      <w:marBottom w:val="0"/>
      <w:divBdr>
        <w:top w:val="none" w:sz="0" w:space="0" w:color="auto"/>
        <w:left w:val="none" w:sz="0" w:space="0" w:color="auto"/>
        <w:bottom w:val="none" w:sz="0" w:space="0" w:color="auto"/>
        <w:right w:val="none" w:sz="0" w:space="0" w:color="auto"/>
      </w:divBdr>
    </w:div>
    <w:div w:id="178935600">
      <w:bodyDiv w:val="1"/>
      <w:marLeft w:val="0"/>
      <w:marRight w:val="0"/>
      <w:marTop w:val="0"/>
      <w:marBottom w:val="0"/>
      <w:divBdr>
        <w:top w:val="none" w:sz="0" w:space="0" w:color="auto"/>
        <w:left w:val="none" w:sz="0" w:space="0" w:color="auto"/>
        <w:bottom w:val="none" w:sz="0" w:space="0" w:color="auto"/>
        <w:right w:val="none" w:sz="0" w:space="0" w:color="auto"/>
      </w:divBdr>
    </w:div>
    <w:div w:id="252276913">
      <w:bodyDiv w:val="1"/>
      <w:marLeft w:val="0"/>
      <w:marRight w:val="0"/>
      <w:marTop w:val="0"/>
      <w:marBottom w:val="0"/>
      <w:divBdr>
        <w:top w:val="none" w:sz="0" w:space="0" w:color="auto"/>
        <w:left w:val="none" w:sz="0" w:space="0" w:color="auto"/>
        <w:bottom w:val="none" w:sz="0" w:space="0" w:color="auto"/>
        <w:right w:val="none" w:sz="0" w:space="0" w:color="auto"/>
      </w:divBdr>
    </w:div>
    <w:div w:id="340401209">
      <w:bodyDiv w:val="1"/>
      <w:marLeft w:val="0"/>
      <w:marRight w:val="0"/>
      <w:marTop w:val="0"/>
      <w:marBottom w:val="0"/>
      <w:divBdr>
        <w:top w:val="none" w:sz="0" w:space="0" w:color="auto"/>
        <w:left w:val="none" w:sz="0" w:space="0" w:color="auto"/>
        <w:bottom w:val="none" w:sz="0" w:space="0" w:color="auto"/>
        <w:right w:val="none" w:sz="0" w:space="0" w:color="auto"/>
      </w:divBdr>
    </w:div>
    <w:div w:id="349768111">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832721944">
      <w:bodyDiv w:val="1"/>
      <w:marLeft w:val="0"/>
      <w:marRight w:val="0"/>
      <w:marTop w:val="0"/>
      <w:marBottom w:val="0"/>
      <w:divBdr>
        <w:top w:val="none" w:sz="0" w:space="0" w:color="auto"/>
        <w:left w:val="none" w:sz="0" w:space="0" w:color="auto"/>
        <w:bottom w:val="none" w:sz="0" w:space="0" w:color="auto"/>
        <w:right w:val="none" w:sz="0" w:space="0" w:color="auto"/>
      </w:divBdr>
    </w:div>
    <w:div w:id="839348363">
      <w:bodyDiv w:val="1"/>
      <w:marLeft w:val="0"/>
      <w:marRight w:val="0"/>
      <w:marTop w:val="0"/>
      <w:marBottom w:val="0"/>
      <w:divBdr>
        <w:top w:val="none" w:sz="0" w:space="0" w:color="auto"/>
        <w:left w:val="none" w:sz="0" w:space="0" w:color="auto"/>
        <w:bottom w:val="none" w:sz="0" w:space="0" w:color="auto"/>
        <w:right w:val="none" w:sz="0" w:space="0" w:color="auto"/>
      </w:divBdr>
    </w:div>
    <w:div w:id="962927934">
      <w:bodyDiv w:val="1"/>
      <w:marLeft w:val="0"/>
      <w:marRight w:val="0"/>
      <w:marTop w:val="0"/>
      <w:marBottom w:val="0"/>
      <w:divBdr>
        <w:top w:val="none" w:sz="0" w:space="0" w:color="auto"/>
        <w:left w:val="none" w:sz="0" w:space="0" w:color="auto"/>
        <w:bottom w:val="none" w:sz="0" w:space="0" w:color="auto"/>
        <w:right w:val="none" w:sz="0" w:space="0" w:color="auto"/>
      </w:divBdr>
    </w:div>
    <w:div w:id="1118599995">
      <w:bodyDiv w:val="1"/>
      <w:marLeft w:val="0"/>
      <w:marRight w:val="0"/>
      <w:marTop w:val="0"/>
      <w:marBottom w:val="0"/>
      <w:divBdr>
        <w:top w:val="none" w:sz="0" w:space="0" w:color="auto"/>
        <w:left w:val="none" w:sz="0" w:space="0" w:color="auto"/>
        <w:bottom w:val="none" w:sz="0" w:space="0" w:color="auto"/>
        <w:right w:val="none" w:sz="0" w:space="0" w:color="auto"/>
      </w:divBdr>
    </w:div>
    <w:div w:id="1160001747">
      <w:bodyDiv w:val="1"/>
      <w:marLeft w:val="0"/>
      <w:marRight w:val="0"/>
      <w:marTop w:val="0"/>
      <w:marBottom w:val="0"/>
      <w:divBdr>
        <w:top w:val="none" w:sz="0" w:space="0" w:color="auto"/>
        <w:left w:val="none" w:sz="0" w:space="0" w:color="auto"/>
        <w:bottom w:val="none" w:sz="0" w:space="0" w:color="auto"/>
        <w:right w:val="none" w:sz="0" w:space="0" w:color="auto"/>
      </w:divBdr>
    </w:div>
    <w:div w:id="1446651663">
      <w:bodyDiv w:val="1"/>
      <w:marLeft w:val="0"/>
      <w:marRight w:val="0"/>
      <w:marTop w:val="0"/>
      <w:marBottom w:val="0"/>
      <w:divBdr>
        <w:top w:val="none" w:sz="0" w:space="0" w:color="auto"/>
        <w:left w:val="none" w:sz="0" w:space="0" w:color="auto"/>
        <w:bottom w:val="none" w:sz="0" w:space="0" w:color="auto"/>
        <w:right w:val="none" w:sz="0" w:space="0" w:color="auto"/>
      </w:divBdr>
    </w:div>
    <w:div w:id="1526165670">
      <w:bodyDiv w:val="1"/>
      <w:marLeft w:val="0"/>
      <w:marRight w:val="0"/>
      <w:marTop w:val="0"/>
      <w:marBottom w:val="0"/>
      <w:divBdr>
        <w:top w:val="none" w:sz="0" w:space="0" w:color="auto"/>
        <w:left w:val="none" w:sz="0" w:space="0" w:color="auto"/>
        <w:bottom w:val="none" w:sz="0" w:space="0" w:color="auto"/>
        <w:right w:val="none" w:sz="0" w:space="0" w:color="auto"/>
      </w:divBdr>
    </w:div>
    <w:div w:id="1530097519">
      <w:bodyDiv w:val="1"/>
      <w:marLeft w:val="0"/>
      <w:marRight w:val="0"/>
      <w:marTop w:val="0"/>
      <w:marBottom w:val="0"/>
      <w:divBdr>
        <w:top w:val="none" w:sz="0" w:space="0" w:color="auto"/>
        <w:left w:val="none" w:sz="0" w:space="0" w:color="auto"/>
        <w:bottom w:val="none" w:sz="0" w:space="0" w:color="auto"/>
        <w:right w:val="none" w:sz="0" w:space="0" w:color="auto"/>
      </w:divBdr>
    </w:div>
    <w:div w:id="1757705729">
      <w:bodyDiv w:val="1"/>
      <w:marLeft w:val="0"/>
      <w:marRight w:val="0"/>
      <w:marTop w:val="0"/>
      <w:marBottom w:val="0"/>
      <w:divBdr>
        <w:top w:val="none" w:sz="0" w:space="0" w:color="auto"/>
        <w:left w:val="none" w:sz="0" w:space="0" w:color="auto"/>
        <w:bottom w:val="none" w:sz="0" w:space="0" w:color="auto"/>
        <w:right w:val="none" w:sz="0" w:space="0" w:color="auto"/>
      </w:divBdr>
    </w:div>
    <w:div w:id="1845587142">
      <w:bodyDiv w:val="1"/>
      <w:marLeft w:val="0"/>
      <w:marRight w:val="0"/>
      <w:marTop w:val="0"/>
      <w:marBottom w:val="0"/>
      <w:divBdr>
        <w:top w:val="none" w:sz="0" w:space="0" w:color="auto"/>
        <w:left w:val="none" w:sz="0" w:space="0" w:color="auto"/>
        <w:bottom w:val="none" w:sz="0" w:space="0" w:color="auto"/>
        <w:right w:val="none" w:sz="0" w:space="0" w:color="auto"/>
      </w:divBdr>
    </w:div>
    <w:div w:id="19587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DFD0-D414-422D-A00D-17DF078F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1039</cp:lastModifiedBy>
  <cp:revision>154</cp:revision>
  <dcterms:created xsi:type="dcterms:W3CDTF">2014-09-23T05:53:00Z</dcterms:created>
  <dcterms:modified xsi:type="dcterms:W3CDTF">2025-11-07T07:08:00Z</dcterms:modified>
</cp:coreProperties>
</file>