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4EEB3" w14:textId="14FABDDB" w:rsidR="00462B59" w:rsidRDefault="00D72218" w:rsidP="00055D83">
      <w:pPr>
        <w:spacing w:before="0" w:line="240" w:lineRule="auto"/>
        <w:jc w:val="center"/>
        <w:rPr>
          <w:rFonts w:cs="Times New Roman"/>
          <w:b/>
          <w:bCs/>
          <w:color w:val="000000" w:themeColor="text1"/>
          <w:sz w:val="36"/>
          <w:szCs w:val="36"/>
        </w:rPr>
      </w:pPr>
      <w:r w:rsidRPr="00BE754B">
        <w:rPr>
          <w:rFonts w:cs="Times New Roman"/>
          <w:b/>
          <w:bCs/>
          <w:color w:val="000000" w:themeColor="text1"/>
          <w:sz w:val="36"/>
          <w:szCs w:val="36"/>
        </w:rPr>
        <w:t xml:space="preserve">Tax Policies </w:t>
      </w:r>
      <w:r>
        <w:rPr>
          <w:rFonts w:cs="Times New Roman"/>
          <w:b/>
          <w:bCs/>
          <w:color w:val="000000" w:themeColor="text1"/>
          <w:sz w:val="36"/>
          <w:szCs w:val="36"/>
        </w:rPr>
        <w:t>a</w:t>
      </w:r>
      <w:r w:rsidRPr="00BE754B">
        <w:rPr>
          <w:rFonts w:cs="Times New Roman"/>
          <w:b/>
          <w:bCs/>
          <w:color w:val="000000" w:themeColor="text1"/>
          <w:sz w:val="36"/>
          <w:szCs w:val="36"/>
        </w:rPr>
        <w:t xml:space="preserve">nd Financial Performance </w:t>
      </w:r>
      <w:r>
        <w:rPr>
          <w:rFonts w:cs="Times New Roman"/>
          <w:b/>
          <w:bCs/>
          <w:color w:val="000000" w:themeColor="text1"/>
          <w:sz w:val="36"/>
          <w:szCs w:val="36"/>
        </w:rPr>
        <w:t>o</w:t>
      </w:r>
      <w:r w:rsidRPr="00BE754B">
        <w:rPr>
          <w:rFonts w:cs="Times New Roman"/>
          <w:b/>
          <w:bCs/>
          <w:color w:val="000000" w:themeColor="text1"/>
          <w:sz w:val="36"/>
          <w:szCs w:val="36"/>
        </w:rPr>
        <w:t xml:space="preserve">f Selected Registered Manufacturing Firms </w:t>
      </w:r>
      <w:r>
        <w:rPr>
          <w:rFonts w:cs="Times New Roman"/>
          <w:b/>
          <w:bCs/>
          <w:color w:val="000000" w:themeColor="text1"/>
          <w:sz w:val="36"/>
          <w:szCs w:val="36"/>
        </w:rPr>
        <w:t>in</w:t>
      </w:r>
      <w:r w:rsidRPr="00BE754B">
        <w:rPr>
          <w:rFonts w:cs="Times New Roman"/>
          <w:b/>
          <w:bCs/>
          <w:color w:val="000000" w:themeColor="text1"/>
          <w:sz w:val="36"/>
          <w:szCs w:val="36"/>
        </w:rPr>
        <w:t xml:space="preserve"> Kenya</w:t>
      </w:r>
    </w:p>
    <w:p w14:paraId="41DC4703" w14:textId="77777777" w:rsidR="00462B59" w:rsidRPr="007A56B8" w:rsidRDefault="00462B59" w:rsidP="00055D83">
      <w:pPr>
        <w:spacing w:before="0" w:line="240" w:lineRule="auto"/>
        <w:jc w:val="center"/>
        <w:rPr>
          <w:rFonts w:cs="Times New Roman"/>
          <w:b/>
          <w:bCs/>
          <w:color w:val="000000" w:themeColor="text1"/>
          <w:sz w:val="36"/>
          <w:szCs w:val="36"/>
        </w:rPr>
      </w:pPr>
    </w:p>
    <w:p w14:paraId="3F108D69" w14:textId="77777777" w:rsidR="003607E2" w:rsidRPr="007A56B8" w:rsidRDefault="003607E2" w:rsidP="00055D83">
      <w:pPr>
        <w:spacing w:before="0" w:line="240" w:lineRule="auto"/>
        <w:jc w:val="center"/>
        <w:rPr>
          <w:rFonts w:cs="Times New Roman"/>
          <w:b/>
          <w:color w:val="000000" w:themeColor="text1"/>
          <w:szCs w:val="24"/>
        </w:rPr>
      </w:pPr>
    </w:p>
    <w:p w14:paraId="43D2AA90" w14:textId="77777777" w:rsidR="007C3182" w:rsidRDefault="007C3182" w:rsidP="00055D83">
      <w:pPr>
        <w:spacing w:before="0" w:line="240" w:lineRule="auto"/>
        <w:jc w:val="center"/>
        <w:rPr>
          <w:rFonts w:cs="Times New Roman"/>
          <w:color w:val="000000" w:themeColor="text1"/>
          <w:szCs w:val="24"/>
        </w:rPr>
      </w:pPr>
    </w:p>
    <w:p w14:paraId="43CC6E1F" w14:textId="77777777" w:rsidR="00E50F0F" w:rsidRDefault="00E50F0F" w:rsidP="00055D83">
      <w:pPr>
        <w:spacing w:before="0" w:line="240" w:lineRule="auto"/>
        <w:jc w:val="center"/>
        <w:rPr>
          <w:rFonts w:cs="Times New Roman"/>
          <w:color w:val="000000" w:themeColor="text1"/>
          <w:szCs w:val="24"/>
        </w:rPr>
      </w:pPr>
    </w:p>
    <w:p w14:paraId="1A1DCA2E" w14:textId="77777777" w:rsidR="00E50F0F" w:rsidRPr="007A56B8" w:rsidRDefault="00E50F0F" w:rsidP="00055D83">
      <w:pPr>
        <w:spacing w:before="0" w:line="240" w:lineRule="auto"/>
        <w:jc w:val="center"/>
        <w:rPr>
          <w:rFonts w:cs="Times New Roman"/>
          <w:color w:val="000000" w:themeColor="text1"/>
          <w:szCs w:val="24"/>
        </w:rPr>
      </w:pPr>
    </w:p>
    <w:p w14:paraId="42946DD8" w14:textId="77777777" w:rsidR="00055D83" w:rsidRPr="007A56B8" w:rsidRDefault="00055D83" w:rsidP="004737A8">
      <w:pPr>
        <w:spacing w:before="0" w:line="240" w:lineRule="auto"/>
        <w:jc w:val="center"/>
        <w:rPr>
          <w:b/>
          <w:sz w:val="28"/>
        </w:rPr>
      </w:pPr>
      <w:bookmarkStart w:id="0" w:name="_Toc488404692"/>
      <w:bookmarkStart w:id="1" w:name="_Toc102409737"/>
      <w:r w:rsidRPr="007A56B8">
        <w:rPr>
          <w:b/>
          <w:sz w:val="28"/>
        </w:rPr>
        <w:t>ABSTRACT</w:t>
      </w:r>
      <w:bookmarkEnd w:id="0"/>
      <w:bookmarkEnd w:id="1"/>
    </w:p>
    <w:p w14:paraId="2D4F7016" w14:textId="315764B1" w:rsidR="000C57D5" w:rsidRPr="000C57D5" w:rsidRDefault="0098144D" w:rsidP="000C57D5">
      <w:pPr>
        <w:spacing w:line="240" w:lineRule="auto"/>
        <w:rPr>
          <w:rFonts w:cs="Times New Roman"/>
          <w:color w:val="000000" w:themeColor="text1"/>
          <w:szCs w:val="24"/>
        </w:rPr>
      </w:pPr>
      <w:r w:rsidRPr="000B4C23">
        <w:rPr>
          <w:rFonts w:cs="Times New Roman"/>
          <w:color w:val="000000" w:themeColor="text1"/>
          <w:szCs w:val="24"/>
          <w:highlight w:val="yellow"/>
        </w:rPr>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w:t>
      </w:r>
      <w:r>
        <w:rPr>
          <w:rFonts w:cs="Times New Roman"/>
          <w:color w:val="000000" w:themeColor="text1"/>
          <w:szCs w:val="24"/>
        </w:rPr>
        <w:t xml:space="preserve"> </w:t>
      </w:r>
      <w:r w:rsidR="000C57D5" w:rsidRPr="000C57D5">
        <w:rPr>
          <w:rFonts w:cs="Times New Roman"/>
          <w:color w:val="000000" w:themeColor="text1"/>
          <w:szCs w:val="24"/>
        </w:rPr>
        <w:t xml:space="preserve">The financial performance of manufacturing firms in Kenya has been constrained by a complex tax policy environment </w:t>
      </w:r>
      <w:proofErr w:type="spellStart"/>
      <w:r w:rsidR="00EE5387" w:rsidRPr="000B4C23">
        <w:rPr>
          <w:rFonts w:cs="Times New Roman"/>
          <w:color w:val="000000" w:themeColor="text1"/>
          <w:szCs w:val="24"/>
          <w:highlight w:val="yellow"/>
        </w:rPr>
        <w:t>characterised</w:t>
      </w:r>
      <w:proofErr w:type="spellEnd"/>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by high</w:t>
      </w:r>
      <w:r w:rsidR="000C57D5" w:rsidRPr="000C57D5">
        <w:rPr>
          <w:rFonts w:cs="Times New Roman"/>
          <w:color w:val="000000" w:themeColor="text1"/>
          <w:szCs w:val="24"/>
        </w:rPr>
        <w:t xml:space="preserve"> corporate tax rates, cumbersome VAT compliance, inconsistent tax incentives, and heavy customs duties. This study examined the effects of tax policies on the financial performance of registered manufacturing firms, focusing on corporate income tax rates, VAT policies, tax incentives, and customs and excise duties. Anchored on the Modigliani and Miller Theory of Corporate Taxation, the </w:t>
      </w:r>
      <w:proofErr w:type="spellStart"/>
      <w:r w:rsidR="000C57D5" w:rsidRPr="000C57D5">
        <w:rPr>
          <w:rFonts w:cs="Times New Roman"/>
          <w:color w:val="000000" w:themeColor="text1"/>
          <w:szCs w:val="24"/>
        </w:rPr>
        <w:t>Laffer</w:t>
      </w:r>
      <w:proofErr w:type="spellEnd"/>
      <w:r w:rsidR="000C57D5" w:rsidRPr="000C57D5">
        <w:rPr>
          <w:rFonts w:cs="Times New Roman"/>
          <w:color w:val="000000" w:themeColor="text1"/>
          <w:szCs w:val="24"/>
        </w:rPr>
        <w:t xml:space="preserve"> Curve Theory, and </w:t>
      </w:r>
      <w:proofErr w:type="spellStart"/>
      <w:r w:rsidR="000C57D5" w:rsidRPr="000C57D5">
        <w:rPr>
          <w:rFonts w:cs="Times New Roman"/>
          <w:color w:val="000000" w:themeColor="text1"/>
          <w:szCs w:val="24"/>
        </w:rPr>
        <w:t>Harberger’s</w:t>
      </w:r>
      <w:proofErr w:type="spellEnd"/>
      <w:r w:rsidR="000C57D5" w:rsidRPr="000C57D5">
        <w:rPr>
          <w:rFonts w:cs="Times New Roman"/>
          <w:color w:val="000000" w:themeColor="text1"/>
          <w:szCs w:val="24"/>
        </w:rPr>
        <w:t xml:space="preserve"> Excess Burden of Taxation Theory, the study adopted a descriptive research design targeting 100 firms across Nairobi, Mombasa, Kisumu, and </w:t>
      </w:r>
      <w:proofErr w:type="spellStart"/>
      <w:r w:rsidR="000C57D5" w:rsidRPr="000C57D5">
        <w:rPr>
          <w:rFonts w:cs="Times New Roman"/>
          <w:color w:val="000000" w:themeColor="text1"/>
          <w:szCs w:val="24"/>
        </w:rPr>
        <w:t>Nakuru</w:t>
      </w:r>
      <w:proofErr w:type="spellEnd"/>
      <w:r w:rsidR="000C57D5" w:rsidRPr="000C57D5">
        <w:rPr>
          <w:rFonts w:cs="Times New Roman"/>
          <w:color w:val="000000" w:themeColor="text1"/>
          <w:szCs w:val="24"/>
        </w:rPr>
        <w:t xml:space="preserve">. </w:t>
      </w:r>
      <w:proofErr w:type="gramStart"/>
      <w:r w:rsidR="000C57D5" w:rsidRPr="000C57D5">
        <w:rPr>
          <w:rFonts w:cs="Times New Roman"/>
          <w:color w:val="000000" w:themeColor="text1"/>
          <w:szCs w:val="24"/>
        </w:rPr>
        <w:t>Stratified random sampling and Yamane’s (1967) formula ensured representative and statistically sound data collection.</w:t>
      </w:r>
      <w:proofErr w:type="gramEnd"/>
      <w:r w:rsidR="000C57D5" w:rsidRPr="000C57D5">
        <w:rPr>
          <w:rFonts w:cs="Times New Roman"/>
          <w:color w:val="000000" w:themeColor="text1"/>
          <w:szCs w:val="24"/>
        </w:rPr>
        <w:t xml:space="preserve"> Secondary data were obtained from audited financial statements, KRA, and KAM reports covering the period 2020–2024. Data were </w:t>
      </w:r>
      <w:proofErr w:type="spellStart"/>
      <w:r w:rsidR="00EE5387" w:rsidRPr="000B4C23">
        <w:rPr>
          <w:rFonts w:cs="Times New Roman"/>
          <w:color w:val="000000" w:themeColor="text1"/>
          <w:szCs w:val="24"/>
          <w:highlight w:val="yellow"/>
        </w:rPr>
        <w:t>analysed</w:t>
      </w:r>
      <w:proofErr w:type="spellEnd"/>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usin</w:t>
      </w:r>
      <w:r w:rsidR="000C57D5" w:rsidRPr="000C57D5">
        <w:rPr>
          <w:rFonts w:cs="Times New Roman"/>
          <w:color w:val="000000" w:themeColor="text1"/>
          <w:szCs w:val="24"/>
        </w:rPr>
        <w:t xml:space="preserve">g descriptive and inferential statistics, including multiple regression analysis, with diagnostic tests ensuring model robustness. Findings revealed that VAT, tax incentives, and customs and excise duties positively and significantly influenced financial performance, while corporate income tax rates had a positive but insignificant effect. </w:t>
      </w:r>
      <w:r w:rsidRPr="000B4C23">
        <w:rPr>
          <w:rFonts w:cs="Times New Roman"/>
          <w:color w:val="000000" w:themeColor="text1"/>
          <w:szCs w:val="24"/>
          <w:highlight w:val="yellow"/>
        </w:rPr>
        <w:t xml:space="preserve">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The </w:t>
      </w:r>
      <w:proofErr w:type="spellStart"/>
      <w:r w:rsidRPr="000B4C23">
        <w:rPr>
          <w:rFonts w:cs="Times New Roman"/>
          <w:color w:val="000000" w:themeColor="text1"/>
          <w:szCs w:val="24"/>
          <w:highlight w:val="yellow"/>
        </w:rPr>
        <w:t>Heteroscedasticity</w:t>
      </w:r>
      <w:proofErr w:type="spellEnd"/>
      <w:r w:rsidRPr="000B4C23">
        <w:rPr>
          <w:rFonts w:cs="Times New Roman"/>
          <w:color w:val="000000" w:themeColor="text1"/>
          <w:szCs w:val="24"/>
          <w:highlight w:val="yellow"/>
        </w:rPr>
        <w:t xml:space="preserve"> Test yielded a significance value of p = 0.000 (p &lt; 0.05), revealing the presence of </w:t>
      </w:r>
      <w:proofErr w:type="spellStart"/>
      <w:r w:rsidRPr="000B4C23">
        <w:rPr>
          <w:rFonts w:cs="Times New Roman"/>
          <w:color w:val="000000" w:themeColor="text1"/>
          <w:szCs w:val="24"/>
          <w:highlight w:val="yellow"/>
        </w:rPr>
        <w:t>heteroscedasticity</w:t>
      </w:r>
      <w:proofErr w:type="spellEnd"/>
      <w:r w:rsidRPr="000B4C23">
        <w:rPr>
          <w:rFonts w:cs="Times New Roman"/>
          <w:color w:val="000000" w:themeColor="text1"/>
          <w:szCs w:val="24"/>
          <w:highlight w:val="yellow"/>
        </w:rPr>
        <w:t>. Results of correlation analysis showed that the corporate income tax rate (CITR) had a strong positive correlation with return on assets (ROA) (ρ = 0.928, p &lt; 0.01).</w:t>
      </w:r>
      <w:r w:rsidRPr="0098144D">
        <w:rPr>
          <w:rFonts w:cs="Times New Roman"/>
          <w:color w:val="000000" w:themeColor="text1"/>
          <w:szCs w:val="24"/>
        </w:rPr>
        <w:t xml:space="preserve"> </w:t>
      </w:r>
      <w:r w:rsidR="000C57D5" w:rsidRPr="000C57D5">
        <w:rPr>
          <w:rFonts w:cs="Times New Roman"/>
          <w:color w:val="000000" w:themeColor="text1"/>
          <w:szCs w:val="24"/>
        </w:rPr>
        <w:t xml:space="preserve">The study concluded that firms should strategically manage tax burdens, strengthen VAT compliance to improve liquidity, and </w:t>
      </w:r>
      <w:proofErr w:type="spellStart"/>
      <w:r w:rsidR="00EE5387" w:rsidRPr="000B4C23">
        <w:rPr>
          <w:rFonts w:cs="Times New Roman"/>
          <w:color w:val="000000" w:themeColor="text1"/>
          <w:szCs w:val="24"/>
          <w:highlight w:val="yellow"/>
        </w:rPr>
        <w:t>maximise</w:t>
      </w:r>
      <w:proofErr w:type="spellEnd"/>
      <w:r w:rsidR="00EE5387" w:rsidRPr="000B4C23">
        <w:rPr>
          <w:rFonts w:cs="Times New Roman"/>
          <w:color w:val="000000" w:themeColor="text1"/>
          <w:szCs w:val="24"/>
          <w:highlight w:val="yellow"/>
        </w:rPr>
        <w:t xml:space="preserve"> </w:t>
      </w:r>
      <w:r w:rsidR="000C57D5" w:rsidRPr="000B4C23">
        <w:rPr>
          <w:rFonts w:cs="Times New Roman"/>
          <w:color w:val="000000" w:themeColor="text1"/>
          <w:szCs w:val="24"/>
          <w:highlight w:val="yellow"/>
        </w:rPr>
        <w:t>tax</w:t>
      </w:r>
      <w:r w:rsidR="000C57D5" w:rsidRPr="000C57D5">
        <w:rPr>
          <w:rFonts w:cs="Times New Roman"/>
          <w:color w:val="000000" w:themeColor="text1"/>
          <w:szCs w:val="24"/>
        </w:rPr>
        <w:t xml:space="preserve"> incentives for growth. Policymakers are urged to maintain predictable tax regimes, streamline VAT systems, enhance transparency in incentives, and formulate excise duty policies that promote industrial competitiveness.</w:t>
      </w:r>
    </w:p>
    <w:p w14:paraId="5B8BB5C3" w14:textId="77777777" w:rsidR="000C57D5" w:rsidRPr="000C57D5" w:rsidRDefault="000C57D5" w:rsidP="000C57D5">
      <w:pPr>
        <w:spacing w:line="240" w:lineRule="auto"/>
        <w:rPr>
          <w:rFonts w:cs="Times New Roman"/>
          <w:color w:val="000000" w:themeColor="text1"/>
          <w:szCs w:val="24"/>
        </w:rPr>
      </w:pPr>
    </w:p>
    <w:p w14:paraId="4ADC39E1" w14:textId="22BA475E" w:rsidR="00462B59" w:rsidRPr="00462B59" w:rsidRDefault="000C57D5" w:rsidP="000C57D5">
      <w:pPr>
        <w:spacing w:line="240" w:lineRule="auto"/>
        <w:rPr>
          <w:rFonts w:cs="Times New Roman"/>
          <w:color w:val="000000" w:themeColor="text1"/>
          <w:szCs w:val="24"/>
        </w:rPr>
      </w:pPr>
      <w:r w:rsidRPr="000C57D5">
        <w:rPr>
          <w:rFonts w:cs="Times New Roman"/>
          <w:b/>
          <w:bCs/>
          <w:color w:val="000000" w:themeColor="text1"/>
          <w:szCs w:val="24"/>
        </w:rPr>
        <w:t>Keywords:</w:t>
      </w:r>
      <w:r w:rsidRPr="000C57D5">
        <w:rPr>
          <w:rFonts w:cs="Times New Roman"/>
          <w:color w:val="000000" w:themeColor="text1"/>
          <w:szCs w:val="24"/>
        </w:rPr>
        <w:t xml:space="preserve"> </w:t>
      </w:r>
      <w:r w:rsidRPr="000B4C23">
        <w:rPr>
          <w:rFonts w:cs="Times New Roman"/>
          <w:i/>
          <w:iCs/>
          <w:color w:val="000000" w:themeColor="text1"/>
          <w:szCs w:val="24"/>
        </w:rPr>
        <w:t xml:space="preserve">Tax policies, financial performance, manufacturing firms, corporate income </w:t>
      </w:r>
      <w:r w:rsidRPr="000B4C23">
        <w:rPr>
          <w:rFonts w:cs="Times New Roman"/>
          <w:i/>
          <w:iCs/>
          <w:color w:val="000000" w:themeColor="text1"/>
          <w:szCs w:val="24"/>
          <w:highlight w:val="yellow"/>
        </w:rPr>
        <w:t xml:space="preserve">tax, </w:t>
      </w:r>
      <w:r w:rsidRPr="000B4C23">
        <w:rPr>
          <w:rFonts w:cs="Times New Roman"/>
          <w:i/>
          <w:iCs/>
          <w:color w:val="000000" w:themeColor="text1"/>
          <w:szCs w:val="24"/>
        </w:rPr>
        <w:t>customs duties</w:t>
      </w:r>
      <w:r w:rsidRPr="000C57D5">
        <w:rPr>
          <w:rFonts w:cs="Times New Roman"/>
          <w:color w:val="000000" w:themeColor="text1"/>
          <w:szCs w:val="24"/>
        </w:rPr>
        <w:t xml:space="preserve"> </w:t>
      </w:r>
    </w:p>
    <w:p w14:paraId="2B23006F" w14:textId="77777777" w:rsidR="00185BCB" w:rsidRPr="007A56B8" w:rsidRDefault="00185BCB" w:rsidP="00185BCB">
      <w:pPr>
        <w:spacing w:line="240" w:lineRule="auto"/>
        <w:rPr>
          <w:rFonts w:cs="Times New Roman"/>
          <w:color w:val="000000" w:themeColor="text1"/>
          <w:szCs w:val="24"/>
        </w:rPr>
      </w:pPr>
    </w:p>
    <w:p w14:paraId="60C890DF" w14:textId="77777777"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1.0 INTRODUCTION</w:t>
      </w:r>
    </w:p>
    <w:p w14:paraId="323E97AD" w14:textId="56583F04"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Operational performance within manufacturing firms is a central determinant of industrial competitiveness, investment attraction, and economic sustainability. The manufacturing sector remains a critical pillar of global economic growth, contributing approximately 16% of the world’s GDP in 2022 (UNCTAD, 2022). Its financial sustainability is influenced by several factors, with taxation playing a particularly significant role in determining profitability, investment potential, and long-term viability. According to </w:t>
      </w:r>
      <w:proofErr w:type="spellStart"/>
      <w:r w:rsidRPr="000C57D5">
        <w:rPr>
          <w:rFonts w:cs="Times New Roman"/>
          <w:color w:val="000000" w:themeColor="text1"/>
          <w:szCs w:val="24"/>
        </w:rPr>
        <w:t>Cin</w:t>
      </w:r>
      <w:proofErr w:type="spellEnd"/>
      <w:r w:rsidRPr="000C57D5">
        <w:rPr>
          <w:rFonts w:cs="Times New Roman"/>
          <w:color w:val="000000" w:themeColor="text1"/>
          <w:szCs w:val="24"/>
        </w:rPr>
        <w:t xml:space="preserve"> et al. (2017), firms with higher profitability can reinvest in advanced production technologies, enhance efficiency, and improve product quality</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key drivers of competitiveness and resilience.</w:t>
      </w:r>
      <w:r w:rsidR="00EB117E">
        <w:rPr>
          <w:rFonts w:cs="Times New Roman"/>
          <w:color w:val="000000" w:themeColor="text1"/>
          <w:szCs w:val="24"/>
        </w:rPr>
        <w:t xml:space="preserve"> </w:t>
      </w:r>
      <w:r w:rsidR="00EB117E" w:rsidRPr="000B4C23">
        <w:rPr>
          <w:rFonts w:cs="Times New Roman"/>
          <w:color w:val="000000" w:themeColor="text1"/>
          <w:szCs w:val="24"/>
          <w:highlight w:val="yellow"/>
        </w:rPr>
        <w:t xml:space="preserve">The complex interplay between tax policies and financial outcomes </w:t>
      </w:r>
      <w:r w:rsidR="00EB117E" w:rsidRPr="000B4C23">
        <w:rPr>
          <w:rFonts w:cs="Times New Roman"/>
          <w:color w:val="000000" w:themeColor="text1"/>
          <w:szCs w:val="24"/>
          <w:highlight w:val="yellow"/>
        </w:rPr>
        <w:lastRenderedPageBreak/>
        <w:t xml:space="preserve">is multifaceted, and understanding these dynamics is crucial for effective tax strategies and financial </w:t>
      </w:r>
      <w:proofErr w:type="spellStart"/>
      <w:r w:rsidR="00EB117E">
        <w:rPr>
          <w:rFonts w:cs="Times New Roman"/>
          <w:color w:val="000000" w:themeColor="text1"/>
          <w:szCs w:val="24"/>
          <w:highlight w:val="yellow"/>
        </w:rPr>
        <w:t>optimisation</w:t>
      </w:r>
      <w:proofErr w:type="spellEnd"/>
      <w:r w:rsidR="00EB117E">
        <w:rPr>
          <w:rFonts w:cs="Times New Roman"/>
          <w:color w:val="000000" w:themeColor="text1"/>
          <w:szCs w:val="24"/>
          <w:highlight w:val="yellow"/>
        </w:rPr>
        <w:t xml:space="preserve"> (</w:t>
      </w:r>
      <w:proofErr w:type="spellStart"/>
      <w:r w:rsidR="00EB117E" w:rsidRPr="00EB117E">
        <w:rPr>
          <w:rFonts w:cs="Times New Roman"/>
          <w:color w:val="000000" w:themeColor="text1"/>
          <w:szCs w:val="24"/>
          <w:highlight w:val="yellow"/>
        </w:rPr>
        <w:t>Aringo</w:t>
      </w:r>
      <w:proofErr w:type="spellEnd"/>
      <w:r w:rsidR="00EB117E">
        <w:rPr>
          <w:rFonts w:cs="Times New Roman"/>
          <w:color w:val="000000" w:themeColor="text1"/>
          <w:szCs w:val="24"/>
          <w:highlight w:val="yellow"/>
        </w:rPr>
        <w:t>, 2023)</w:t>
      </w:r>
      <w:r w:rsidR="00EB117E" w:rsidRPr="000B4C23">
        <w:rPr>
          <w:rFonts w:cs="Times New Roman"/>
          <w:color w:val="000000" w:themeColor="text1"/>
          <w:szCs w:val="24"/>
          <w:highlight w:val="yellow"/>
        </w:rPr>
        <w:t>.</w:t>
      </w:r>
    </w:p>
    <w:p w14:paraId="08834E2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Globally, tax regulations continue to shape the fiscal and operational outcomes of manufacturing enterprises. In the United States, corporate tax reforms implemented in 2017 reduced rates from 35% to 21%, contributing to a 12% rise in manufacturing firms’ net earnings within two years (</w:t>
      </w:r>
      <w:proofErr w:type="spellStart"/>
      <w:r w:rsidRPr="000C57D5">
        <w:rPr>
          <w:rFonts w:cs="Times New Roman"/>
          <w:color w:val="000000" w:themeColor="text1"/>
          <w:szCs w:val="24"/>
        </w:rPr>
        <w:t>Amiti</w:t>
      </w:r>
      <w:proofErr w:type="spellEnd"/>
      <w:r w:rsidRPr="000C57D5">
        <w:rPr>
          <w:rFonts w:cs="Times New Roman"/>
          <w:color w:val="000000" w:themeColor="text1"/>
          <w:szCs w:val="24"/>
        </w:rPr>
        <w:t xml:space="preserve"> et al., 2019). Conversely, in France, a persistently high tax rate of 28% led to an average 15% decline in manufacturing profit margins over a decade, largely due to heavy compliance costs (</w:t>
      </w:r>
      <w:proofErr w:type="spellStart"/>
      <w:r w:rsidRPr="000C57D5">
        <w:rPr>
          <w:rFonts w:cs="Times New Roman"/>
          <w:color w:val="000000" w:themeColor="text1"/>
          <w:szCs w:val="24"/>
        </w:rPr>
        <w:t>Bilicka</w:t>
      </w:r>
      <w:proofErr w:type="spellEnd"/>
      <w:r w:rsidRPr="000C57D5">
        <w:rPr>
          <w:rFonts w:cs="Times New Roman"/>
          <w:color w:val="000000" w:themeColor="text1"/>
          <w:szCs w:val="24"/>
        </w:rPr>
        <w:t xml:space="preserve"> et al., 2023). Similar dynamics are evident in India, where the pre-2019 corporate tax rate of 30% suppressed industrial growth. Tax reforms later reduced the rate to 25% for large firms and 22% for new manufacturers, boosting the sector’s contribution to national GDP (</w:t>
      </w:r>
      <w:proofErr w:type="spellStart"/>
      <w:r w:rsidRPr="000C57D5">
        <w:rPr>
          <w:rFonts w:cs="Times New Roman"/>
          <w:color w:val="000000" w:themeColor="text1"/>
          <w:szCs w:val="24"/>
        </w:rPr>
        <w:t>Arora</w:t>
      </w:r>
      <w:proofErr w:type="spellEnd"/>
      <w:r w:rsidRPr="000C57D5">
        <w:rPr>
          <w:rFonts w:cs="Times New Roman"/>
          <w:color w:val="000000" w:themeColor="text1"/>
          <w:szCs w:val="24"/>
        </w:rPr>
        <w:t xml:space="preserve"> &amp; </w:t>
      </w:r>
      <w:proofErr w:type="spellStart"/>
      <w:r w:rsidRPr="000C57D5">
        <w:rPr>
          <w:rFonts w:cs="Times New Roman"/>
          <w:color w:val="000000" w:themeColor="text1"/>
          <w:szCs w:val="24"/>
        </w:rPr>
        <w:t>Rakhyani</w:t>
      </w:r>
      <w:proofErr w:type="spellEnd"/>
      <w:r w:rsidRPr="000C57D5">
        <w:rPr>
          <w:rFonts w:cs="Times New Roman"/>
          <w:color w:val="000000" w:themeColor="text1"/>
          <w:szCs w:val="24"/>
        </w:rPr>
        <w:t>, 2020).</w:t>
      </w:r>
    </w:p>
    <w:p w14:paraId="1B567291" w14:textId="326A789C" w:rsidR="000C57D5" w:rsidRPr="000C57D5" w:rsidRDefault="0098144D" w:rsidP="000C57D5">
      <w:pPr>
        <w:shd w:val="clear" w:color="auto" w:fill="FFFFFF"/>
        <w:spacing w:line="240" w:lineRule="auto"/>
        <w:rPr>
          <w:rFonts w:cs="Times New Roman"/>
          <w:color w:val="000000" w:themeColor="text1"/>
          <w:szCs w:val="24"/>
        </w:rPr>
      </w:pPr>
      <w:r w:rsidRPr="000B4C23">
        <w:rPr>
          <w:rFonts w:cs="Times New Roman"/>
          <w:color w:val="000000" w:themeColor="text1"/>
          <w:szCs w:val="24"/>
          <w:highlight w:val="yellow"/>
        </w:rPr>
        <w:t>In many developing countries, the tax environment remains challenging, with excessive tax rates, complicated regulations,</w:t>
      </w:r>
      <w:r w:rsidR="006A5077"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and a lack of enforcement of tax laws, further discouraging the growth of small enterprises (</w:t>
      </w:r>
      <w:proofErr w:type="spellStart"/>
      <w:r w:rsidRPr="000B4C23">
        <w:rPr>
          <w:rFonts w:cs="Times New Roman"/>
          <w:color w:val="000000" w:themeColor="text1"/>
          <w:szCs w:val="24"/>
          <w:highlight w:val="yellow"/>
        </w:rPr>
        <w:t>Mariki</w:t>
      </w:r>
      <w:proofErr w:type="spellEnd"/>
      <w:r w:rsidRPr="000B4C23">
        <w:rPr>
          <w:rFonts w:cs="Times New Roman"/>
          <w:color w:val="000000" w:themeColor="text1"/>
          <w:szCs w:val="24"/>
          <w:highlight w:val="yellow"/>
        </w:rPr>
        <w:t xml:space="preserve"> et al., 2025).</w:t>
      </w:r>
      <w:r>
        <w:rPr>
          <w:rFonts w:cs="Times New Roman"/>
          <w:color w:val="000000" w:themeColor="text1"/>
          <w:szCs w:val="24"/>
        </w:rPr>
        <w:t xml:space="preserve"> </w:t>
      </w:r>
      <w:r w:rsidR="000C57D5" w:rsidRPr="000C57D5">
        <w:rPr>
          <w:rFonts w:cs="Times New Roman"/>
          <w:color w:val="000000" w:themeColor="text1"/>
          <w:szCs w:val="24"/>
        </w:rPr>
        <w:t>Across Africa, manufacturing contributes approximately 11% to total GDP</w:t>
      </w:r>
      <w:r w:rsidR="00DE4ECB">
        <w:rPr>
          <w:rFonts w:cs="Times New Roman"/>
          <w:color w:val="000000" w:themeColor="text1"/>
          <w:szCs w:val="24"/>
        </w:rPr>
        <w:t>,</w:t>
      </w:r>
      <w:r w:rsidR="00E207BA">
        <w:rPr>
          <w:rFonts w:cs="Times New Roman"/>
          <w:color w:val="000000" w:themeColor="text1"/>
          <w:szCs w:val="24"/>
        </w:rPr>
        <w:t xml:space="preserve"> </w:t>
      </w:r>
      <w:r w:rsidR="000C57D5" w:rsidRPr="000C57D5">
        <w:rPr>
          <w:rFonts w:cs="Times New Roman"/>
          <w:color w:val="000000" w:themeColor="text1"/>
          <w:szCs w:val="24"/>
        </w:rPr>
        <w:t>far below the global average</w:t>
      </w:r>
      <w:r w:rsidR="00DE4ECB">
        <w:rPr>
          <w:rFonts w:cs="Times New Roman"/>
          <w:color w:val="000000" w:themeColor="text1"/>
          <w:szCs w:val="24"/>
        </w:rPr>
        <w:t>,</w:t>
      </w:r>
      <w:r w:rsidR="00E207BA">
        <w:rPr>
          <w:rFonts w:cs="Times New Roman"/>
          <w:color w:val="000000" w:themeColor="text1"/>
          <w:szCs w:val="24"/>
        </w:rPr>
        <w:t xml:space="preserve"> </w:t>
      </w:r>
      <w:r w:rsidR="000C57D5" w:rsidRPr="000C57D5">
        <w:rPr>
          <w:rFonts w:cs="Times New Roman"/>
          <w:color w:val="000000" w:themeColor="text1"/>
          <w:szCs w:val="24"/>
        </w:rPr>
        <w:t>indicating substantial untapped potential (</w:t>
      </w:r>
      <w:proofErr w:type="spellStart"/>
      <w:r w:rsidR="000C57D5" w:rsidRPr="000C57D5">
        <w:rPr>
          <w:rFonts w:cs="Times New Roman"/>
          <w:color w:val="000000" w:themeColor="text1"/>
          <w:szCs w:val="24"/>
        </w:rPr>
        <w:t>AfDB</w:t>
      </w:r>
      <w:proofErr w:type="spellEnd"/>
      <w:r w:rsidR="000C57D5" w:rsidRPr="000C57D5">
        <w:rPr>
          <w:rFonts w:cs="Times New Roman"/>
          <w:color w:val="000000" w:themeColor="text1"/>
          <w:szCs w:val="24"/>
        </w:rPr>
        <w:t>, 2023). Taxation remains both an enabler and a constraint on this sector’s performance. In Nigeria, inconsistent VAT regimes and compliance burdens reduced manufacturing profit margins by 12% between 2017 and 2021 (</w:t>
      </w:r>
      <w:proofErr w:type="spellStart"/>
      <w:r w:rsidR="000C57D5" w:rsidRPr="000C57D5">
        <w:rPr>
          <w:rFonts w:cs="Times New Roman"/>
          <w:color w:val="000000" w:themeColor="text1"/>
          <w:szCs w:val="24"/>
        </w:rPr>
        <w:t>Oyerogba</w:t>
      </w:r>
      <w:proofErr w:type="spellEnd"/>
      <w:r w:rsidR="000C57D5" w:rsidRPr="000C57D5">
        <w:rPr>
          <w:rFonts w:cs="Times New Roman"/>
          <w:color w:val="000000" w:themeColor="text1"/>
          <w:szCs w:val="24"/>
        </w:rPr>
        <w:t xml:space="preserve"> et al., 2024). Conversely, Rwanda’s tax-friendly policies, including exemptions on imported machinery and raw materials, spurred an average 8% annual revenue growth from 2018 to 2022 (World Bank, 2022). In contrast, South Africa’s imposition of excise duties on imported inputs raised production costs by 10%, diminishing competitiveness (</w:t>
      </w:r>
      <w:proofErr w:type="spellStart"/>
      <w:r w:rsidR="000C57D5" w:rsidRPr="000C57D5">
        <w:rPr>
          <w:rFonts w:cs="Times New Roman"/>
          <w:color w:val="000000" w:themeColor="text1"/>
          <w:szCs w:val="24"/>
        </w:rPr>
        <w:t>Matlala</w:t>
      </w:r>
      <w:proofErr w:type="spellEnd"/>
      <w:r w:rsidR="000C57D5" w:rsidRPr="000C57D5">
        <w:rPr>
          <w:rFonts w:cs="Times New Roman"/>
          <w:color w:val="000000" w:themeColor="text1"/>
          <w:szCs w:val="24"/>
        </w:rPr>
        <w:t>, 2024).</w:t>
      </w:r>
    </w:p>
    <w:p w14:paraId="6A201FC5" w14:textId="03B9EFC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In Kenya, manufacturing accounts for about 8% of GDP</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well below the Vision 2030 target of 15% (KNBS, 2023). Fiscal and taxation policies have significantly shaped the performance and growth trajectory of this sector. Kenya’s corporate income tax rate stands at 30%, among the highest in East Africa (KRA, 2022). The Finance Act 2022 introduced new VAT regulations that increased compliance costs, resulting in a 10% rise in operational expenses (KAM, 2023). Additionally, high levies on imported raw materials have raised production costs, thereby reducing the competitiveness of exports and constraining small and medium-sized enterprises (</w:t>
      </w:r>
      <w:proofErr w:type="spellStart"/>
      <w:r w:rsidRPr="000C57D5">
        <w:rPr>
          <w:rFonts w:cs="Times New Roman"/>
          <w:color w:val="000000" w:themeColor="text1"/>
          <w:szCs w:val="24"/>
        </w:rPr>
        <w:t>Mwangi</w:t>
      </w:r>
      <w:proofErr w:type="spellEnd"/>
      <w:r w:rsidRPr="000C57D5">
        <w:rPr>
          <w:rFonts w:cs="Times New Roman"/>
          <w:color w:val="000000" w:themeColor="text1"/>
          <w:szCs w:val="24"/>
        </w:rPr>
        <w:t xml:space="preserve"> &amp; </w:t>
      </w:r>
      <w:proofErr w:type="spellStart"/>
      <w:r w:rsidRPr="000C57D5">
        <w:rPr>
          <w:rFonts w:cs="Times New Roman"/>
          <w:color w:val="000000" w:themeColor="text1"/>
          <w:szCs w:val="24"/>
        </w:rPr>
        <w:t>Gitau</w:t>
      </w:r>
      <w:proofErr w:type="spellEnd"/>
      <w:r w:rsidRPr="000C57D5">
        <w:rPr>
          <w:rFonts w:cs="Times New Roman"/>
          <w:color w:val="000000" w:themeColor="text1"/>
          <w:szCs w:val="24"/>
        </w:rPr>
        <w:t>, 2022). Nonetheless, targeted tax incentives such as capital allowances on machinery purchases have spurred a 4% increase in manufacturing investments over the past two years (</w:t>
      </w:r>
      <w:proofErr w:type="spellStart"/>
      <w:r w:rsidRPr="000C57D5">
        <w:rPr>
          <w:rFonts w:cs="Times New Roman"/>
          <w:color w:val="000000" w:themeColor="text1"/>
          <w:szCs w:val="24"/>
        </w:rPr>
        <w:t>Córdova</w:t>
      </w:r>
      <w:proofErr w:type="spellEnd"/>
      <w:r w:rsidRPr="000C57D5">
        <w:rPr>
          <w:rFonts w:cs="Times New Roman"/>
          <w:color w:val="000000" w:themeColor="text1"/>
          <w:szCs w:val="24"/>
        </w:rPr>
        <w:t>-León et al., 2022).</w:t>
      </w:r>
    </w:p>
    <w:p w14:paraId="7042EF9A" w14:textId="5F50AC90"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Kenyan manufacturing firms play an essential role in </w:t>
      </w:r>
      <w:proofErr w:type="spellStart"/>
      <w:r w:rsidR="00DE4ECB" w:rsidRPr="000B4C23">
        <w:rPr>
          <w:rFonts w:cs="Times New Roman"/>
          <w:color w:val="000000" w:themeColor="text1"/>
          <w:szCs w:val="24"/>
          <w:highlight w:val="yellow"/>
        </w:rPr>
        <w:t>industrialisation</w:t>
      </w:r>
      <w:proofErr w:type="spellEnd"/>
      <w:r w:rsidRPr="000B4C23">
        <w:rPr>
          <w:rFonts w:cs="Times New Roman"/>
          <w:color w:val="000000" w:themeColor="text1"/>
          <w:szCs w:val="24"/>
          <w:highlight w:val="yellow"/>
        </w:rPr>
        <w:t>, employment</w:t>
      </w:r>
      <w:r w:rsidRPr="000C57D5">
        <w:rPr>
          <w:rFonts w:cs="Times New Roman"/>
          <w:color w:val="000000" w:themeColor="text1"/>
          <w:szCs w:val="24"/>
        </w:rPr>
        <w:t xml:space="preserve"> generation, and export growth</w:t>
      </w:r>
      <w:r w:rsidR="009A129E">
        <w:rPr>
          <w:rFonts w:cs="Times New Roman"/>
          <w:color w:val="000000" w:themeColor="text1"/>
          <w:szCs w:val="24"/>
        </w:rPr>
        <w:t xml:space="preserve"> </w:t>
      </w:r>
      <w:r w:rsidR="009A129E" w:rsidRPr="000B4C23">
        <w:rPr>
          <w:rFonts w:cs="Times New Roman"/>
          <w:color w:val="000000" w:themeColor="text1"/>
          <w:szCs w:val="24"/>
          <w:highlight w:val="yellow"/>
        </w:rPr>
        <w:t>(</w:t>
      </w:r>
      <w:proofErr w:type="spellStart"/>
      <w:r w:rsidR="009A129E" w:rsidRPr="000B4C23">
        <w:rPr>
          <w:rFonts w:cs="Times New Roman"/>
          <w:color w:val="000000" w:themeColor="text1"/>
          <w:szCs w:val="24"/>
          <w:highlight w:val="yellow"/>
        </w:rPr>
        <w:t>Esaku</w:t>
      </w:r>
      <w:proofErr w:type="spellEnd"/>
      <w:r w:rsidR="009A129E" w:rsidRPr="000B4C23">
        <w:rPr>
          <w:rFonts w:cs="Times New Roman"/>
          <w:color w:val="000000" w:themeColor="text1"/>
          <w:szCs w:val="24"/>
          <w:highlight w:val="yellow"/>
        </w:rPr>
        <w:t>, 2022)</w:t>
      </w:r>
      <w:r w:rsidRPr="000B4C23">
        <w:rPr>
          <w:rFonts w:cs="Times New Roman"/>
          <w:color w:val="000000" w:themeColor="text1"/>
          <w:szCs w:val="24"/>
          <w:highlight w:val="yellow"/>
        </w:rPr>
        <w:t>.</w:t>
      </w:r>
      <w:r w:rsidRPr="000C57D5">
        <w:rPr>
          <w:rFonts w:cs="Times New Roman"/>
          <w:color w:val="000000" w:themeColor="text1"/>
          <w:szCs w:val="24"/>
        </w:rPr>
        <w:t xml:space="preserve"> Yet, high corporate taxes, delayed VAT refunds, and heavy customs duties continue to undermine operational efficiency. Delays in VAT refunds</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averaging six months</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have caused liquidity constraints, limiting firms’ cash flow and reinvestment capacity (</w:t>
      </w:r>
      <w:proofErr w:type="spellStart"/>
      <w:r w:rsidRPr="000C57D5">
        <w:rPr>
          <w:rFonts w:cs="Times New Roman"/>
          <w:color w:val="000000" w:themeColor="text1"/>
          <w:szCs w:val="24"/>
        </w:rPr>
        <w:t>Gachigo</w:t>
      </w:r>
      <w:proofErr w:type="spellEnd"/>
      <w:r w:rsidRPr="000C57D5">
        <w:rPr>
          <w:rFonts w:cs="Times New Roman"/>
          <w:color w:val="000000" w:themeColor="text1"/>
          <w:szCs w:val="24"/>
        </w:rPr>
        <w:t xml:space="preserve">, 2024). Although tax incentives such as the Manufacturing </w:t>
      </w:r>
      <w:proofErr w:type="gramStart"/>
      <w:r w:rsidRPr="000C57D5">
        <w:rPr>
          <w:rFonts w:cs="Times New Roman"/>
          <w:color w:val="000000" w:themeColor="text1"/>
          <w:szCs w:val="24"/>
        </w:rPr>
        <w:t>Under</w:t>
      </w:r>
      <w:proofErr w:type="gramEnd"/>
      <w:r w:rsidRPr="000C57D5">
        <w:rPr>
          <w:rFonts w:cs="Times New Roman"/>
          <w:color w:val="000000" w:themeColor="text1"/>
          <w:szCs w:val="24"/>
        </w:rPr>
        <w:t xml:space="preserve"> Bond program have benefitted sectors like agro-processing and textiles, smaller firms face barriers in accessing these incentives due to bureaucratic procedures </w:t>
      </w:r>
      <w:r w:rsidRPr="000B4C23">
        <w:rPr>
          <w:rFonts w:cs="Times New Roman"/>
          <w:color w:val="000000" w:themeColor="text1"/>
          <w:szCs w:val="24"/>
          <w:highlight w:val="yellow"/>
        </w:rPr>
        <w:t xml:space="preserve">and </w:t>
      </w:r>
      <w:r w:rsidR="00DE4ECB" w:rsidRPr="000B4C23">
        <w:rPr>
          <w:rFonts w:cs="Times New Roman"/>
          <w:color w:val="000000" w:themeColor="text1"/>
          <w:szCs w:val="24"/>
          <w:highlight w:val="yellow"/>
        </w:rPr>
        <w:t xml:space="preserve">a </w:t>
      </w:r>
      <w:r w:rsidRPr="000B4C23">
        <w:rPr>
          <w:rFonts w:cs="Times New Roman"/>
          <w:color w:val="000000" w:themeColor="text1"/>
          <w:szCs w:val="24"/>
          <w:highlight w:val="yellow"/>
        </w:rPr>
        <w:t>lack of</w:t>
      </w:r>
      <w:r w:rsidRPr="00F341C6">
        <w:rPr>
          <w:rFonts w:cs="Times New Roman"/>
          <w:color w:val="000000" w:themeColor="text1"/>
          <w:szCs w:val="24"/>
        </w:rPr>
        <w:t xml:space="preserve"> transparency (</w:t>
      </w:r>
      <w:proofErr w:type="spellStart"/>
      <w:r w:rsidRPr="00F341C6">
        <w:rPr>
          <w:rFonts w:cs="Times New Roman"/>
          <w:color w:val="000000" w:themeColor="text1"/>
          <w:szCs w:val="24"/>
        </w:rPr>
        <w:t>Chebii</w:t>
      </w:r>
      <w:proofErr w:type="spellEnd"/>
      <w:r w:rsidRPr="00F341C6">
        <w:rPr>
          <w:rFonts w:cs="Times New Roman"/>
          <w:color w:val="000000" w:themeColor="text1"/>
          <w:szCs w:val="24"/>
        </w:rPr>
        <w:t xml:space="preserve">, 2020). Consequently, the current fiscal regime requires </w:t>
      </w:r>
      <w:r w:rsidR="00DE4ECB" w:rsidRPr="00F341C6">
        <w:rPr>
          <w:rFonts w:cs="Times New Roman"/>
          <w:color w:val="000000" w:themeColor="text1"/>
          <w:szCs w:val="24"/>
        </w:rPr>
        <w:t xml:space="preserve">a </w:t>
      </w:r>
      <w:r w:rsidRPr="00F341C6">
        <w:rPr>
          <w:rFonts w:cs="Times New Roman"/>
          <w:color w:val="000000" w:themeColor="text1"/>
          <w:szCs w:val="24"/>
        </w:rPr>
        <w:t>comprehensive reassessment</w:t>
      </w:r>
      <w:r w:rsidRPr="000C57D5">
        <w:rPr>
          <w:rFonts w:cs="Times New Roman"/>
          <w:color w:val="000000" w:themeColor="text1"/>
          <w:szCs w:val="24"/>
        </w:rPr>
        <w:t xml:space="preserve"> to foster a more enabling business environment for industrial growth and sustainability.</w:t>
      </w:r>
    </w:p>
    <w:p w14:paraId="69102A43" w14:textId="4E14868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Financial performance denotes an </w:t>
      </w:r>
      <w:proofErr w:type="spellStart"/>
      <w:r w:rsidR="00DE4ECB" w:rsidRPr="000B4C23">
        <w:rPr>
          <w:rFonts w:cs="Times New Roman"/>
          <w:color w:val="000000" w:themeColor="text1"/>
          <w:szCs w:val="24"/>
          <w:highlight w:val="yellow"/>
        </w:rPr>
        <w:t>organisation’s</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effectiveness</w:t>
      </w:r>
      <w:r w:rsidRPr="000C57D5">
        <w:rPr>
          <w:rFonts w:cs="Times New Roman"/>
          <w:color w:val="000000" w:themeColor="text1"/>
          <w:szCs w:val="24"/>
        </w:rPr>
        <w:t xml:space="preserve"> in achieving profitability, maintaining liquidity, and ensuring long-term solvency (</w:t>
      </w:r>
      <w:proofErr w:type="spellStart"/>
      <w:r w:rsidRPr="000C57D5">
        <w:rPr>
          <w:rFonts w:cs="Times New Roman"/>
          <w:color w:val="000000" w:themeColor="text1"/>
          <w:szCs w:val="24"/>
        </w:rPr>
        <w:t>Kamau</w:t>
      </w:r>
      <w:proofErr w:type="spellEnd"/>
      <w:r w:rsidRPr="000C57D5">
        <w:rPr>
          <w:rFonts w:cs="Times New Roman"/>
          <w:color w:val="000000" w:themeColor="text1"/>
          <w:szCs w:val="24"/>
        </w:rPr>
        <w:t xml:space="preserve"> et al., 2021). It represents a firm’s ability to deploy resources efficiently to generate sustainable income while navigating dynamic market conditions (</w:t>
      </w:r>
      <w:proofErr w:type="spellStart"/>
      <w:r w:rsidRPr="000C57D5">
        <w:rPr>
          <w:rFonts w:cs="Times New Roman"/>
          <w:color w:val="000000" w:themeColor="text1"/>
          <w:szCs w:val="24"/>
        </w:rPr>
        <w:t>Kimani</w:t>
      </w:r>
      <w:proofErr w:type="spellEnd"/>
      <w:r w:rsidRPr="000C57D5">
        <w:rPr>
          <w:rFonts w:cs="Times New Roman"/>
          <w:color w:val="000000" w:themeColor="text1"/>
          <w:szCs w:val="24"/>
        </w:rPr>
        <w:t>, 2023). For manufacturing enterprises</w:t>
      </w:r>
      <w:r w:rsidR="00E207BA">
        <w:rPr>
          <w:rFonts w:cs="Times New Roman"/>
          <w:color w:val="000000" w:themeColor="text1"/>
          <w:szCs w:val="24"/>
        </w:rPr>
        <w:t xml:space="preserve"> </w:t>
      </w:r>
      <w:r w:rsidRPr="000C57D5">
        <w:rPr>
          <w:rFonts w:cs="Times New Roman"/>
          <w:color w:val="000000" w:themeColor="text1"/>
          <w:szCs w:val="24"/>
        </w:rPr>
        <w:t>often capital-intensive and sensitive to fiscal policy</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financial performance is a critical determinant of growth and competitiveness (</w:t>
      </w:r>
      <w:proofErr w:type="spellStart"/>
      <w:r w:rsidRPr="000C57D5">
        <w:rPr>
          <w:rFonts w:cs="Times New Roman"/>
          <w:color w:val="000000" w:themeColor="text1"/>
          <w:szCs w:val="24"/>
        </w:rPr>
        <w:t>Mukui</w:t>
      </w:r>
      <w:proofErr w:type="spellEnd"/>
      <w:r w:rsidRPr="000C57D5">
        <w:rPr>
          <w:rFonts w:cs="Times New Roman"/>
          <w:color w:val="000000" w:themeColor="text1"/>
          <w:szCs w:val="24"/>
        </w:rPr>
        <w:t xml:space="preserve">, 2022). Strong financial outcomes enhance </w:t>
      </w:r>
      <w:proofErr w:type="spellStart"/>
      <w:r w:rsidR="00DE4ECB" w:rsidRPr="000B4C23">
        <w:rPr>
          <w:rFonts w:cs="Times New Roman"/>
          <w:color w:val="000000" w:themeColor="text1"/>
          <w:szCs w:val="24"/>
          <w:highlight w:val="yellow"/>
        </w:rPr>
        <w:t>organisational</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resilience, allowi</w:t>
      </w:r>
      <w:r w:rsidRPr="000C57D5">
        <w:rPr>
          <w:rFonts w:cs="Times New Roman"/>
          <w:color w:val="000000" w:themeColor="text1"/>
          <w:szCs w:val="24"/>
        </w:rPr>
        <w:t>ng firms to adapt to macroeconomic fluctuations and seize investment opportunities (Nguyen et al., 2023).</w:t>
      </w:r>
    </w:p>
    <w:p w14:paraId="204AA6B2" w14:textId="78358A08"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Data from the Kenya National Bureau of Statistics (KNBS, 2023) indicates steady growth in the sector’s financial indicators between 2018 and 2022. The value-added rose from KES 785.4 billion in 2018 to KES 1,046.3 billion in 2022</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a 33.2% increase</w:t>
      </w:r>
      <w:r w:rsidR="00DE4ECB">
        <w:rPr>
          <w:rFonts w:cs="Times New Roman"/>
          <w:color w:val="000000" w:themeColor="text1"/>
          <w:szCs w:val="24"/>
        </w:rPr>
        <w:t>,</w:t>
      </w:r>
      <w:r w:rsidR="00E207BA">
        <w:rPr>
          <w:rFonts w:cs="Times New Roman"/>
          <w:color w:val="000000" w:themeColor="text1"/>
          <w:szCs w:val="24"/>
        </w:rPr>
        <w:t xml:space="preserve"> </w:t>
      </w:r>
      <w:r w:rsidRPr="000C57D5">
        <w:rPr>
          <w:rFonts w:cs="Times New Roman"/>
          <w:color w:val="000000" w:themeColor="text1"/>
          <w:szCs w:val="24"/>
        </w:rPr>
        <w:t xml:space="preserve">while output value expanded by 43.2%. Despite rising intermediate consumption costs, </w:t>
      </w:r>
      <w:r w:rsidRPr="000C57D5">
        <w:rPr>
          <w:rFonts w:cs="Times New Roman"/>
          <w:color w:val="000000" w:themeColor="text1"/>
          <w:szCs w:val="24"/>
        </w:rPr>
        <w:lastRenderedPageBreak/>
        <w:t>the sector demonstrated improved productivity and profitability, alongside a 21.1% increase in employee compensation. These gains underscore the sector’s contribution to economic stability and employment creation.</w:t>
      </w:r>
    </w:p>
    <w:p w14:paraId="24317D0C" w14:textId="77777777" w:rsidR="000C57D5" w:rsidRPr="000C57D5" w:rsidRDefault="000C57D5" w:rsidP="000C57D5">
      <w:pPr>
        <w:spacing w:before="0" w:line="240" w:lineRule="auto"/>
        <w:rPr>
          <w:b/>
          <w:bCs/>
          <w:i/>
          <w:iCs/>
        </w:rPr>
      </w:pPr>
      <w:bookmarkStart w:id="2" w:name="_Toc193784747"/>
      <w:r w:rsidRPr="000C57D5">
        <w:rPr>
          <w:b/>
          <w:bCs/>
          <w:i/>
          <w:iCs/>
        </w:rPr>
        <w:t>Table 1 Manufacturing Sector Financial Indicators in Kenya (KES Billion)</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0C57D5" w14:paraId="1A1BB6C0" w14:textId="77777777" w:rsidTr="0062367B">
        <w:tc>
          <w:tcPr>
            <w:tcW w:w="1728" w:type="dxa"/>
          </w:tcPr>
          <w:p w14:paraId="1996E923" w14:textId="77777777" w:rsidR="000C57D5" w:rsidRPr="000D1508" w:rsidRDefault="000C57D5" w:rsidP="000C57D5">
            <w:pPr>
              <w:spacing w:before="0" w:line="240" w:lineRule="auto"/>
              <w:rPr>
                <w:b/>
                <w:bCs/>
              </w:rPr>
            </w:pPr>
            <w:r w:rsidRPr="000D1508">
              <w:rPr>
                <w:b/>
                <w:bCs/>
              </w:rPr>
              <w:t>Year</w:t>
            </w:r>
          </w:p>
        </w:tc>
        <w:tc>
          <w:tcPr>
            <w:tcW w:w="1728" w:type="dxa"/>
          </w:tcPr>
          <w:p w14:paraId="4D7AAAE5" w14:textId="77777777" w:rsidR="000C57D5" w:rsidRPr="000D1508" w:rsidRDefault="000C57D5" w:rsidP="000C57D5">
            <w:pPr>
              <w:spacing w:before="0" w:line="240" w:lineRule="auto"/>
              <w:rPr>
                <w:b/>
                <w:bCs/>
              </w:rPr>
            </w:pPr>
            <w:r w:rsidRPr="000D1508">
              <w:rPr>
                <w:b/>
                <w:bCs/>
              </w:rPr>
              <w:t>Value of Output</w:t>
            </w:r>
          </w:p>
        </w:tc>
        <w:tc>
          <w:tcPr>
            <w:tcW w:w="1728" w:type="dxa"/>
          </w:tcPr>
          <w:p w14:paraId="75FB0275" w14:textId="77777777" w:rsidR="000C57D5" w:rsidRPr="000D1508" w:rsidRDefault="000C57D5" w:rsidP="000C57D5">
            <w:pPr>
              <w:spacing w:before="0" w:line="240" w:lineRule="auto"/>
              <w:rPr>
                <w:b/>
                <w:bCs/>
              </w:rPr>
            </w:pPr>
            <w:r w:rsidRPr="000D1508">
              <w:rPr>
                <w:b/>
                <w:bCs/>
              </w:rPr>
              <w:t>Intermediate Consumption</w:t>
            </w:r>
          </w:p>
        </w:tc>
        <w:tc>
          <w:tcPr>
            <w:tcW w:w="1728" w:type="dxa"/>
          </w:tcPr>
          <w:p w14:paraId="399A3897" w14:textId="77777777" w:rsidR="000C57D5" w:rsidRPr="000D1508" w:rsidRDefault="000C57D5" w:rsidP="000C57D5">
            <w:pPr>
              <w:spacing w:before="0" w:line="240" w:lineRule="auto"/>
              <w:rPr>
                <w:b/>
                <w:bCs/>
              </w:rPr>
            </w:pPr>
            <w:r w:rsidRPr="000D1508">
              <w:rPr>
                <w:b/>
                <w:bCs/>
              </w:rPr>
              <w:t>Value Added</w:t>
            </w:r>
          </w:p>
        </w:tc>
        <w:tc>
          <w:tcPr>
            <w:tcW w:w="1728" w:type="dxa"/>
          </w:tcPr>
          <w:p w14:paraId="6C79DCE2" w14:textId="77777777" w:rsidR="000C57D5" w:rsidRPr="000D1508" w:rsidRDefault="000C57D5" w:rsidP="000C57D5">
            <w:pPr>
              <w:spacing w:before="0" w:line="240" w:lineRule="auto"/>
              <w:rPr>
                <w:b/>
                <w:bCs/>
              </w:rPr>
            </w:pPr>
            <w:r w:rsidRPr="000D1508">
              <w:rPr>
                <w:b/>
                <w:bCs/>
              </w:rPr>
              <w:t>Compensation of Employees</w:t>
            </w:r>
          </w:p>
        </w:tc>
      </w:tr>
      <w:tr w:rsidR="000C57D5" w14:paraId="2413C75D" w14:textId="77777777" w:rsidTr="0062367B">
        <w:tc>
          <w:tcPr>
            <w:tcW w:w="1728" w:type="dxa"/>
          </w:tcPr>
          <w:p w14:paraId="343EA5EA" w14:textId="77777777" w:rsidR="000C57D5" w:rsidRDefault="000C57D5" w:rsidP="000C57D5">
            <w:pPr>
              <w:spacing w:before="0" w:line="240" w:lineRule="auto"/>
            </w:pPr>
            <w:r>
              <w:t>2018</w:t>
            </w:r>
          </w:p>
        </w:tc>
        <w:tc>
          <w:tcPr>
            <w:tcW w:w="1728" w:type="dxa"/>
          </w:tcPr>
          <w:p w14:paraId="626FC464" w14:textId="77777777" w:rsidR="000C57D5" w:rsidRDefault="000C57D5" w:rsidP="000C57D5">
            <w:pPr>
              <w:spacing w:before="0" w:line="240" w:lineRule="auto"/>
            </w:pPr>
            <w:r>
              <w:t>2,216.5</w:t>
            </w:r>
          </w:p>
        </w:tc>
        <w:tc>
          <w:tcPr>
            <w:tcW w:w="1728" w:type="dxa"/>
          </w:tcPr>
          <w:p w14:paraId="74CE2DFB" w14:textId="77777777" w:rsidR="000C57D5" w:rsidRDefault="000C57D5" w:rsidP="000C57D5">
            <w:pPr>
              <w:spacing w:before="0" w:line="240" w:lineRule="auto"/>
            </w:pPr>
            <w:r>
              <w:t>1,431.2</w:t>
            </w:r>
          </w:p>
        </w:tc>
        <w:tc>
          <w:tcPr>
            <w:tcW w:w="1728" w:type="dxa"/>
          </w:tcPr>
          <w:p w14:paraId="24C6E77A" w14:textId="77777777" w:rsidR="000C57D5" w:rsidRDefault="000C57D5" w:rsidP="000C57D5">
            <w:pPr>
              <w:spacing w:before="0" w:line="240" w:lineRule="auto"/>
            </w:pPr>
            <w:r>
              <w:t>785.4</w:t>
            </w:r>
          </w:p>
        </w:tc>
        <w:tc>
          <w:tcPr>
            <w:tcW w:w="1728" w:type="dxa"/>
          </w:tcPr>
          <w:p w14:paraId="7DAAFF5E" w14:textId="77777777" w:rsidR="000C57D5" w:rsidRDefault="000C57D5" w:rsidP="000C57D5">
            <w:pPr>
              <w:spacing w:before="0" w:line="240" w:lineRule="auto"/>
            </w:pPr>
            <w:r>
              <w:t>206.4</w:t>
            </w:r>
          </w:p>
        </w:tc>
      </w:tr>
      <w:tr w:rsidR="000C57D5" w14:paraId="351024BB" w14:textId="77777777" w:rsidTr="0062367B">
        <w:tc>
          <w:tcPr>
            <w:tcW w:w="1728" w:type="dxa"/>
          </w:tcPr>
          <w:p w14:paraId="25D40B56" w14:textId="77777777" w:rsidR="000C57D5" w:rsidRDefault="000C57D5" w:rsidP="000C57D5">
            <w:pPr>
              <w:spacing w:before="0" w:line="240" w:lineRule="auto"/>
            </w:pPr>
            <w:r>
              <w:t>2019</w:t>
            </w:r>
          </w:p>
        </w:tc>
        <w:tc>
          <w:tcPr>
            <w:tcW w:w="1728" w:type="dxa"/>
          </w:tcPr>
          <w:p w14:paraId="52C39FD5" w14:textId="77777777" w:rsidR="000C57D5" w:rsidRDefault="000C57D5" w:rsidP="000C57D5">
            <w:pPr>
              <w:spacing w:before="0" w:line="240" w:lineRule="auto"/>
            </w:pPr>
            <w:r>
              <w:t>2,311.6</w:t>
            </w:r>
          </w:p>
        </w:tc>
        <w:tc>
          <w:tcPr>
            <w:tcW w:w="1728" w:type="dxa"/>
          </w:tcPr>
          <w:p w14:paraId="35D7940F" w14:textId="77777777" w:rsidR="000C57D5" w:rsidRDefault="000C57D5" w:rsidP="000C57D5">
            <w:pPr>
              <w:spacing w:before="0" w:line="240" w:lineRule="auto"/>
            </w:pPr>
            <w:r>
              <w:t>1,502.3</w:t>
            </w:r>
          </w:p>
        </w:tc>
        <w:tc>
          <w:tcPr>
            <w:tcW w:w="1728" w:type="dxa"/>
          </w:tcPr>
          <w:p w14:paraId="2A57C995" w14:textId="77777777" w:rsidR="000C57D5" w:rsidRDefault="000C57D5" w:rsidP="000C57D5">
            <w:pPr>
              <w:spacing w:before="0" w:line="240" w:lineRule="auto"/>
            </w:pPr>
            <w:r>
              <w:t>809.3</w:t>
            </w:r>
          </w:p>
        </w:tc>
        <w:tc>
          <w:tcPr>
            <w:tcW w:w="1728" w:type="dxa"/>
          </w:tcPr>
          <w:p w14:paraId="04DD3392" w14:textId="77777777" w:rsidR="000C57D5" w:rsidRDefault="000C57D5" w:rsidP="000C57D5">
            <w:pPr>
              <w:spacing w:before="0" w:line="240" w:lineRule="auto"/>
            </w:pPr>
            <w:r>
              <w:t>218.3</w:t>
            </w:r>
          </w:p>
        </w:tc>
      </w:tr>
      <w:tr w:rsidR="000C57D5" w14:paraId="7D93B506" w14:textId="77777777" w:rsidTr="0062367B">
        <w:tc>
          <w:tcPr>
            <w:tcW w:w="1728" w:type="dxa"/>
          </w:tcPr>
          <w:p w14:paraId="475DF8B8" w14:textId="77777777" w:rsidR="000C57D5" w:rsidRDefault="000C57D5" w:rsidP="000C57D5">
            <w:pPr>
              <w:spacing w:before="0" w:line="240" w:lineRule="auto"/>
            </w:pPr>
            <w:r>
              <w:t>2020</w:t>
            </w:r>
          </w:p>
        </w:tc>
        <w:tc>
          <w:tcPr>
            <w:tcW w:w="1728" w:type="dxa"/>
          </w:tcPr>
          <w:p w14:paraId="7B1B7C10" w14:textId="77777777" w:rsidR="000C57D5" w:rsidRDefault="000C57D5" w:rsidP="000C57D5">
            <w:pPr>
              <w:spacing w:before="0" w:line="240" w:lineRule="auto"/>
            </w:pPr>
            <w:r>
              <w:t>2,376.4</w:t>
            </w:r>
          </w:p>
        </w:tc>
        <w:tc>
          <w:tcPr>
            <w:tcW w:w="1728" w:type="dxa"/>
          </w:tcPr>
          <w:p w14:paraId="68736E1E" w14:textId="77777777" w:rsidR="000C57D5" w:rsidRDefault="000C57D5" w:rsidP="000C57D5">
            <w:pPr>
              <w:spacing w:before="0" w:line="240" w:lineRule="auto"/>
            </w:pPr>
            <w:r>
              <w:t>1,562.1</w:t>
            </w:r>
          </w:p>
        </w:tc>
        <w:tc>
          <w:tcPr>
            <w:tcW w:w="1728" w:type="dxa"/>
          </w:tcPr>
          <w:p w14:paraId="2F545BED" w14:textId="77777777" w:rsidR="000C57D5" w:rsidRDefault="000C57D5" w:rsidP="000C57D5">
            <w:pPr>
              <w:spacing w:before="0" w:line="240" w:lineRule="auto"/>
            </w:pPr>
            <w:r>
              <w:t>814.3</w:t>
            </w:r>
          </w:p>
        </w:tc>
        <w:tc>
          <w:tcPr>
            <w:tcW w:w="1728" w:type="dxa"/>
          </w:tcPr>
          <w:p w14:paraId="52576392" w14:textId="77777777" w:rsidR="000C57D5" w:rsidRDefault="000C57D5" w:rsidP="000C57D5">
            <w:pPr>
              <w:spacing w:before="0" w:line="240" w:lineRule="auto"/>
            </w:pPr>
            <w:r>
              <w:t>215.5</w:t>
            </w:r>
          </w:p>
        </w:tc>
      </w:tr>
      <w:tr w:rsidR="000C57D5" w14:paraId="5712BDB4" w14:textId="77777777" w:rsidTr="0062367B">
        <w:tc>
          <w:tcPr>
            <w:tcW w:w="1728" w:type="dxa"/>
          </w:tcPr>
          <w:p w14:paraId="269490FB" w14:textId="77777777" w:rsidR="000C57D5" w:rsidRDefault="000C57D5" w:rsidP="000C57D5">
            <w:pPr>
              <w:spacing w:before="0" w:line="240" w:lineRule="auto"/>
            </w:pPr>
            <w:r>
              <w:t>2021</w:t>
            </w:r>
          </w:p>
        </w:tc>
        <w:tc>
          <w:tcPr>
            <w:tcW w:w="1728" w:type="dxa"/>
          </w:tcPr>
          <w:p w14:paraId="2C8AB2F1" w14:textId="77777777" w:rsidR="000C57D5" w:rsidRDefault="000C57D5" w:rsidP="000C57D5">
            <w:pPr>
              <w:spacing w:before="0" w:line="240" w:lineRule="auto"/>
            </w:pPr>
            <w:r>
              <w:t>2,700.2</w:t>
            </w:r>
          </w:p>
        </w:tc>
        <w:tc>
          <w:tcPr>
            <w:tcW w:w="1728" w:type="dxa"/>
          </w:tcPr>
          <w:p w14:paraId="5FFFA582" w14:textId="77777777" w:rsidR="000C57D5" w:rsidRDefault="000C57D5" w:rsidP="000C57D5">
            <w:pPr>
              <w:spacing w:before="0" w:line="240" w:lineRule="auto"/>
            </w:pPr>
            <w:r>
              <w:t>1,814.5</w:t>
            </w:r>
          </w:p>
        </w:tc>
        <w:tc>
          <w:tcPr>
            <w:tcW w:w="1728" w:type="dxa"/>
          </w:tcPr>
          <w:p w14:paraId="6D7D63E2" w14:textId="77777777" w:rsidR="000C57D5" w:rsidRDefault="000C57D5" w:rsidP="000C57D5">
            <w:pPr>
              <w:spacing w:before="0" w:line="240" w:lineRule="auto"/>
            </w:pPr>
            <w:r>
              <w:t>885.6</w:t>
            </w:r>
          </w:p>
        </w:tc>
        <w:tc>
          <w:tcPr>
            <w:tcW w:w="1728" w:type="dxa"/>
          </w:tcPr>
          <w:p w14:paraId="7E6DD85F" w14:textId="77777777" w:rsidR="000C57D5" w:rsidRDefault="000C57D5" w:rsidP="000C57D5">
            <w:pPr>
              <w:spacing w:before="0" w:line="240" w:lineRule="auto"/>
            </w:pPr>
            <w:r>
              <w:t>231.4</w:t>
            </w:r>
          </w:p>
        </w:tc>
      </w:tr>
      <w:tr w:rsidR="000C57D5" w14:paraId="10AEB3A3" w14:textId="77777777" w:rsidTr="0062367B">
        <w:tc>
          <w:tcPr>
            <w:tcW w:w="1728" w:type="dxa"/>
          </w:tcPr>
          <w:p w14:paraId="050492B6" w14:textId="77777777" w:rsidR="000C57D5" w:rsidRDefault="000C57D5" w:rsidP="000C57D5">
            <w:pPr>
              <w:spacing w:before="0" w:line="240" w:lineRule="auto"/>
            </w:pPr>
            <w:r>
              <w:t>2022*</w:t>
            </w:r>
          </w:p>
        </w:tc>
        <w:tc>
          <w:tcPr>
            <w:tcW w:w="1728" w:type="dxa"/>
          </w:tcPr>
          <w:p w14:paraId="1B7D0E4F" w14:textId="77777777" w:rsidR="000C57D5" w:rsidRDefault="000C57D5" w:rsidP="000C57D5">
            <w:pPr>
              <w:spacing w:before="0" w:line="240" w:lineRule="auto"/>
            </w:pPr>
            <w:r>
              <w:t>3,175.3</w:t>
            </w:r>
          </w:p>
        </w:tc>
        <w:tc>
          <w:tcPr>
            <w:tcW w:w="1728" w:type="dxa"/>
          </w:tcPr>
          <w:p w14:paraId="279ABD66" w14:textId="77777777" w:rsidR="000C57D5" w:rsidRDefault="000C57D5" w:rsidP="000C57D5">
            <w:pPr>
              <w:spacing w:before="0" w:line="240" w:lineRule="auto"/>
            </w:pPr>
            <w:r>
              <w:t>2,129.1</w:t>
            </w:r>
          </w:p>
        </w:tc>
        <w:tc>
          <w:tcPr>
            <w:tcW w:w="1728" w:type="dxa"/>
          </w:tcPr>
          <w:p w14:paraId="7660BD94" w14:textId="77777777" w:rsidR="000C57D5" w:rsidRDefault="000C57D5" w:rsidP="000C57D5">
            <w:pPr>
              <w:spacing w:before="0" w:line="240" w:lineRule="auto"/>
            </w:pPr>
            <w:r>
              <w:t>1,046.3</w:t>
            </w:r>
          </w:p>
        </w:tc>
        <w:tc>
          <w:tcPr>
            <w:tcW w:w="1728" w:type="dxa"/>
          </w:tcPr>
          <w:p w14:paraId="7855DA90" w14:textId="77777777" w:rsidR="000C57D5" w:rsidRDefault="000C57D5" w:rsidP="000C57D5">
            <w:pPr>
              <w:spacing w:before="0" w:line="240" w:lineRule="auto"/>
            </w:pPr>
            <w:r>
              <w:t>250.0 (est.)</w:t>
            </w:r>
          </w:p>
        </w:tc>
      </w:tr>
    </w:tbl>
    <w:p w14:paraId="192E284B" w14:textId="77777777" w:rsidR="000C57D5" w:rsidRDefault="000C57D5" w:rsidP="000C57D5">
      <w:pPr>
        <w:spacing w:before="0" w:line="240" w:lineRule="auto"/>
        <w:rPr>
          <w:i/>
          <w:iCs/>
        </w:rPr>
      </w:pPr>
      <w:r w:rsidRPr="00993978">
        <w:rPr>
          <w:i/>
          <w:iCs/>
        </w:rPr>
        <w:t xml:space="preserve">Source: Kenya National Bureau of Statistics (KNBS, 2023). </w:t>
      </w:r>
    </w:p>
    <w:p w14:paraId="26175B38" w14:textId="21AC8276"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Measurement of financial performance typically relies on profitability, liquidity, and efficiency ratios. Profitability indicators such as Return on Assets (ROA), Return on Equity (ROE), and net profit margin evaluate the ability to generate income from existing resources (</w:t>
      </w:r>
      <w:proofErr w:type="spellStart"/>
      <w:r w:rsidRPr="000C57D5">
        <w:rPr>
          <w:rFonts w:cs="Times New Roman"/>
          <w:color w:val="000000" w:themeColor="text1"/>
          <w:szCs w:val="24"/>
        </w:rPr>
        <w:t>Kamau</w:t>
      </w:r>
      <w:proofErr w:type="spellEnd"/>
      <w:r w:rsidRPr="000C57D5">
        <w:rPr>
          <w:rFonts w:cs="Times New Roman"/>
          <w:color w:val="000000" w:themeColor="text1"/>
          <w:szCs w:val="24"/>
        </w:rPr>
        <w:t xml:space="preserve"> et al., 2021). Liquidity measures, including current and quick ratios, assess the capacity to meet short-term obligations, while asset turnover ratios evaluate operational efficiency (</w:t>
      </w:r>
      <w:proofErr w:type="spellStart"/>
      <w:r w:rsidRPr="000C57D5">
        <w:rPr>
          <w:rFonts w:cs="Times New Roman"/>
          <w:color w:val="000000" w:themeColor="text1"/>
          <w:szCs w:val="24"/>
        </w:rPr>
        <w:t>Itumo</w:t>
      </w:r>
      <w:proofErr w:type="spellEnd"/>
      <w:r w:rsidRPr="000C57D5">
        <w:rPr>
          <w:rFonts w:cs="Times New Roman"/>
          <w:color w:val="000000" w:themeColor="text1"/>
          <w:szCs w:val="24"/>
        </w:rPr>
        <w:t>, 2023). For taxation studies, additional indicators</w:t>
      </w:r>
      <w:r w:rsidR="00E207BA">
        <w:rPr>
          <w:rFonts w:cs="Times New Roman"/>
          <w:color w:val="000000" w:themeColor="text1"/>
          <w:szCs w:val="24"/>
        </w:rPr>
        <w:t xml:space="preserve"> </w:t>
      </w:r>
      <w:r w:rsidRPr="000C57D5">
        <w:rPr>
          <w:rFonts w:cs="Times New Roman"/>
          <w:color w:val="000000" w:themeColor="text1"/>
          <w:szCs w:val="24"/>
        </w:rPr>
        <w:t>such as effective tax rate and tax-adjusted earnings</w:t>
      </w:r>
      <w:r w:rsidR="00E207BA">
        <w:rPr>
          <w:rFonts w:cs="Times New Roman"/>
          <w:color w:val="000000" w:themeColor="text1"/>
          <w:szCs w:val="24"/>
        </w:rPr>
        <w:t xml:space="preserve"> </w:t>
      </w:r>
      <w:r w:rsidRPr="000C57D5">
        <w:rPr>
          <w:rFonts w:cs="Times New Roman"/>
          <w:color w:val="000000" w:themeColor="text1"/>
          <w:szCs w:val="24"/>
        </w:rPr>
        <w:t>illustrate firms’ adaptability to fiscal changes (</w:t>
      </w:r>
      <w:proofErr w:type="spellStart"/>
      <w:r w:rsidRPr="000C57D5">
        <w:rPr>
          <w:rFonts w:cs="Times New Roman"/>
          <w:color w:val="000000" w:themeColor="text1"/>
          <w:szCs w:val="24"/>
        </w:rPr>
        <w:t>Bilicka</w:t>
      </w:r>
      <w:proofErr w:type="spellEnd"/>
      <w:r w:rsidRPr="000C57D5">
        <w:rPr>
          <w:rFonts w:cs="Times New Roman"/>
          <w:color w:val="000000" w:themeColor="text1"/>
          <w:szCs w:val="24"/>
        </w:rPr>
        <w:t xml:space="preserve"> et al., 2023).</w:t>
      </w:r>
    </w:p>
    <w:p w14:paraId="23A49FD6" w14:textId="06D565A4" w:rsid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This study employs ROA as the primary indicator of financial performance, as it effectively captures how total assets are </w:t>
      </w:r>
      <w:proofErr w:type="spellStart"/>
      <w:r w:rsidR="00DE4ECB" w:rsidRPr="000B4C23">
        <w:rPr>
          <w:rFonts w:cs="Times New Roman"/>
          <w:color w:val="000000" w:themeColor="text1"/>
          <w:szCs w:val="24"/>
          <w:highlight w:val="yellow"/>
        </w:rPr>
        <w:t>utilised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to generate</w:t>
      </w:r>
      <w:r w:rsidRPr="000C57D5">
        <w:rPr>
          <w:rFonts w:cs="Times New Roman"/>
          <w:color w:val="000000" w:themeColor="text1"/>
          <w:szCs w:val="24"/>
        </w:rPr>
        <w:t xml:space="preserve"> profit. Given that tax policies directly influence net income, ROA provides a </w:t>
      </w:r>
      <w:proofErr w:type="spellStart"/>
      <w:r w:rsidR="00DE4ECB" w:rsidRPr="000B4C23">
        <w:rPr>
          <w:rFonts w:cs="Times New Roman"/>
          <w:color w:val="000000" w:themeColor="text1"/>
          <w:szCs w:val="24"/>
          <w:highlight w:val="yellow"/>
        </w:rPr>
        <w:t>standardised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metric</w:t>
      </w:r>
      <w:r w:rsidRPr="000C57D5">
        <w:rPr>
          <w:rFonts w:cs="Times New Roman"/>
          <w:color w:val="000000" w:themeColor="text1"/>
          <w:szCs w:val="24"/>
        </w:rPr>
        <w:t xml:space="preserve"> for assessing firm-level profitability and efficiency (</w:t>
      </w:r>
      <w:proofErr w:type="spellStart"/>
      <w:r w:rsidRPr="000C57D5">
        <w:rPr>
          <w:rFonts w:cs="Times New Roman"/>
          <w:color w:val="000000" w:themeColor="text1"/>
          <w:szCs w:val="24"/>
        </w:rPr>
        <w:t>Mukui</w:t>
      </w:r>
      <w:proofErr w:type="spellEnd"/>
      <w:r w:rsidRPr="000C57D5">
        <w:rPr>
          <w:rFonts w:cs="Times New Roman"/>
          <w:color w:val="000000" w:themeColor="text1"/>
          <w:szCs w:val="24"/>
        </w:rPr>
        <w:t xml:space="preserve">, 2022). Accordingly, it serves as the dependent variable in </w:t>
      </w:r>
      <w:proofErr w:type="spellStart"/>
      <w:r w:rsidR="00DE4ECB" w:rsidRPr="000B4C23">
        <w:rPr>
          <w:rFonts w:cs="Times New Roman"/>
          <w:color w:val="000000" w:themeColor="text1"/>
          <w:szCs w:val="24"/>
          <w:highlight w:val="yellow"/>
        </w:rPr>
        <w:t>analysing</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the relationship</w:t>
      </w:r>
      <w:r w:rsidRPr="000C57D5">
        <w:rPr>
          <w:rFonts w:cs="Times New Roman"/>
          <w:color w:val="000000" w:themeColor="text1"/>
          <w:szCs w:val="24"/>
        </w:rPr>
        <w:t xml:space="preserve"> between financial outcomes and tax policy dimensions such as corporate income tax, VAT, and tax incentives.</w:t>
      </w:r>
    </w:p>
    <w:p w14:paraId="26B84A8F"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policy refers to the framework of laws and administrative measures through which governments collect revenue to fund public services and regulate economic activity (OECD, 2022). In Kenya, such policies include corporate income tax, value-added tax (VAT), customs and excise duties, and fiscal incentives designed to encourage investment. When well-structured, these policies can enhance competitiveness and stimulate industrial growth; however, poorly designed regimes increase compliance costs and erode profitability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w:t>
      </w:r>
    </w:p>
    <w:p w14:paraId="33A8F3AA" w14:textId="23BA5AFB"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 xml:space="preserve">Corporate income tax, levied at 30% for resident companies and 37.5% for non-residents (KRA, 2022), directly affects profitability and reinvestment capacity. </w:t>
      </w:r>
      <w:proofErr w:type="spellStart"/>
      <w:r w:rsidRPr="000C57D5">
        <w:rPr>
          <w:rFonts w:cs="Times New Roman"/>
          <w:color w:val="000000" w:themeColor="text1"/>
          <w:szCs w:val="24"/>
        </w:rPr>
        <w:t>Kariuki</w:t>
      </w:r>
      <w:proofErr w:type="spellEnd"/>
      <w:r w:rsidRPr="000C57D5">
        <w:rPr>
          <w:rFonts w:cs="Times New Roman"/>
          <w:color w:val="000000" w:themeColor="text1"/>
          <w:szCs w:val="24"/>
        </w:rPr>
        <w:t xml:space="preserve"> (2023) observed that high corporate tax rates discourage investment and reduce investor confidence, while frequent fiscal policy changes undermine long-term planning. Similarly, VAT, charged at 16%, imposes additional administrative and cash flow burdens. Delays in refund processing</w:t>
      </w:r>
      <w:r w:rsidR="00E207BA">
        <w:rPr>
          <w:rFonts w:cs="Times New Roman"/>
          <w:color w:val="000000" w:themeColor="text1"/>
          <w:szCs w:val="24"/>
        </w:rPr>
        <w:t xml:space="preserve"> </w:t>
      </w:r>
      <w:r w:rsidRPr="000C57D5">
        <w:rPr>
          <w:rFonts w:cs="Times New Roman"/>
          <w:color w:val="000000" w:themeColor="text1"/>
          <w:szCs w:val="24"/>
        </w:rPr>
        <w:t>valued at over KES 27 billion by the end of 2020</w:t>
      </w:r>
      <w:r w:rsidR="00E207BA">
        <w:rPr>
          <w:rFonts w:cs="Times New Roman"/>
          <w:color w:val="000000" w:themeColor="text1"/>
          <w:szCs w:val="24"/>
        </w:rPr>
        <w:t xml:space="preserve"> </w:t>
      </w:r>
      <w:r w:rsidRPr="000C57D5">
        <w:rPr>
          <w:rFonts w:cs="Times New Roman"/>
          <w:color w:val="000000" w:themeColor="text1"/>
          <w:szCs w:val="24"/>
        </w:rPr>
        <w:t xml:space="preserve">have strained liquidity and hindered production cycles (KAM, 2021; </w:t>
      </w:r>
      <w:proofErr w:type="spellStart"/>
      <w:r w:rsidRPr="000C57D5">
        <w:rPr>
          <w:rFonts w:cs="Times New Roman"/>
          <w:color w:val="000000" w:themeColor="text1"/>
          <w:szCs w:val="24"/>
        </w:rPr>
        <w:t>Gachigo</w:t>
      </w:r>
      <w:proofErr w:type="spellEnd"/>
      <w:r w:rsidRPr="000C57D5">
        <w:rPr>
          <w:rFonts w:cs="Times New Roman"/>
          <w:color w:val="000000" w:themeColor="text1"/>
          <w:szCs w:val="24"/>
        </w:rPr>
        <w:t>, 2024).</w:t>
      </w:r>
    </w:p>
    <w:p w14:paraId="4178255B"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Customs and excise duties further complicate the operational environment. Manufacturing firms often face high import tariffs on machinery and raw materials, which inflate production costs and reduce competitiveness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 Omar (2020) noted that small and medium enterprises in coastal regions experienced significant financial strain from customs compliance costs. Likewise, inconsistent tariff policies limit firms’ ability to forecast production expenses, affecting long-term strategic planning (KAM, 2021).</w:t>
      </w:r>
    </w:p>
    <w:p w14:paraId="187D5AFD" w14:textId="2A7E935F"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Tax incentives</w:t>
      </w:r>
      <w:r w:rsidR="00E207BA">
        <w:rPr>
          <w:rFonts w:cs="Times New Roman"/>
          <w:color w:val="000000" w:themeColor="text1"/>
          <w:szCs w:val="24"/>
        </w:rPr>
        <w:t xml:space="preserve"> </w:t>
      </w:r>
      <w:r w:rsidRPr="000C57D5">
        <w:rPr>
          <w:rFonts w:cs="Times New Roman"/>
          <w:color w:val="000000" w:themeColor="text1"/>
          <w:szCs w:val="24"/>
        </w:rPr>
        <w:t>comprising exemptions, deductions, and credits</w:t>
      </w:r>
      <w:r w:rsidR="00E207BA">
        <w:rPr>
          <w:rFonts w:cs="Times New Roman"/>
          <w:color w:val="000000" w:themeColor="text1"/>
          <w:szCs w:val="24"/>
        </w:rPr>
        <w:t xml:space="preserve"> </w:t>
      </w:r>
      <w:r w:rsidRPr="000C57D5">
        <w:rPr>
          <w:rFonts w:cs="Times New Roman"/>
          <w:color w:val="000000" w:themeColor="text1"/>
          <w:szCs w:val="24"/>
        </w:rPr>
        <w:t>are designed to stimulate investment and industrial expansion. In Kenya, incentives under special economic zones and priority sectors have encouraged capital investment and improved profitability (</w:t>
      </w:r>
      <w:proofErr w:type="spellStart"/>
      <w:r w:rsidRPr="000C57D5">
        <w:rPr>
          <w:rFonts w:cs="Times New Roman"/>
          <w:color w:val="000000" w:themeColor="text1"/>
          <w:szCs w:val="24"/>
        </w:rPr>
        <w:t>Karimi</w:t>
      </w:r>
      <w:proofErr w:type="spellEnd"/>
      <w:r w:rsidRPr="000C57D5">
        <w:rPr>
          <w:rFonts w:cs="Times New Roman"/>
          <w:color w:val="000000" w:themeColor="text1"/>
          <w:szCs w:val="24"/>
        </w:rPr>
        <w:t xml:space="preserve"> &amp; </w:t>
      </w:r>
      <w:proofErr w:type="spellStart"/>
      <w:r w:rsidRPr="000C57D5">
        <w:rPr>
          <w:rFonts w:cs="Times New Roman"/>
          <w:color w:val="000000" w:themeColor="text1"/>
          <w:szCs w:val="24"/>
        </w:rPr>
        <w:t>Wanjohi</w:t>
      </w:r>
      <w:proofErr w:type="spellEnd"/>
      <w:r w:rsidRPr="000C57D5">
        <w:rPr>
          <w:rFonts w:cs="Times New Roman"/>
          <w:color w:val="000000" w:themeColor="text1"/>
          <w:szCs w:val="24"/>
        </w:rPr>
        <w:t>, 2024). However, unequal access and bureaucratic complexity have limited their reach, particularly for SMEs (</w:t>
      </w:r>
      <w:proofErr w:type="spellStart"/>
      <w:r w:rsidRPr="000C57D5">
        <w:rPr>
          <w:rFonts w:cs="Times New Roman"/>
          <w:color w:val="000000" w:themeColor="text1"/>
          <w:szCs w:val="24"/>
        </w:rPr>
        <w:t>Karugu</w:t>
      </w:r>
      <w:proofErr w:type="spellEnd"/>
      <w:r w:rsidRPr="000C57D5">
        <w:rPr>
          <w:rFonts w:cs="Times New Roman"/>
          <w:color w:val="000000" w:themeColor="text1"/>
          <w:szCs w:val="24"/>
        </w:rPr>
        <w:t>, 2021). Thus, while incentives are a vital fiscal tool, their effectiveness depends on transparent administration and alignment with national development objectives.</w:t>
      </w:r>
    </w:p>
    <w:p w14:paraId="4518BDC5" w14:textId="43A8F189"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lastRenderedPageBreak/>
        <w:t xml:space="preserve">Manufacturing firms, defined as enterprises that transform raw materials into finished goods for domestic consumption or export, are pivotal to Kenya’s economic development. The sector encompasses sub-industries such as agro-processing, textiles, pharmaceuticals, and construction materials (Were, 2016), collectively contributing about 7.2% to GDP and employing over 300,000 people as of 2023 (KNBS, 2023). Despite its potential, the sector operates under a challenging fiscal regime </w:t>
      </w:r>
      <w:proofErr w:type="spellStart"/>
      <w:r w:rsidR="00DE4ECB" w:rsidRPr="000B4C23">
        <w:rPr>
          <w:rFonts w:cs="Times New Roman"/>
          <w:color w:val="000000" w:themeColor="text1"/>
          <w:szCs w:val="24"/>
          <w:highlight w:val="yellow"/>
        </w:rPr>
        <w:t>characterised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by</w:t>
      </w:r>
      <w:r w:rsidRPr="000C57D5">
        <w:rPr>
          <w:rFonts w:cs="Times New Roman"/>
          <w:color w:val="000000" w:themeColor="text1"/>
          <w:szCs w:val="24"/>
        </w:rPr>
        <w:t xml:space="preserve"> high corporate tax rates, delayed VAT refunds, and elevated import duties on raw materials and machinery (KRA, 2022).</w:t>
      </w:r>
    </w:p>
    <w:p w14:paraId="4B25C8BA" w14:textId="15F8B78D"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These fiscal challenges have inflated production costs and constrained profitability (</w:t>
      </w:r>
      <w:proofErr w:type="spellStart"/>
      <w:r w:rsidRPr="000C57D5">
        <w:rPr>
          <w:rFonts w:cs="Times New Roman"/>
          <w:color w:val="000000" w:themeColor="text1"/>
          <w:szCs w:val="24"/>
        </w:rPr>
        <w:t>Mutua</w:t>
      </w:r>
      <w:proofErr w:type="spellEnd"/>
      <w:r w:rsidRPr="000C57D5">
        <w:rPr>
          <w:rFonts w:cs="Times New Roman"/>
          <w:color w:val="000000" w:themeColor="text1"/>
          <w:szCs w:val="24"/>
        </w:rPr>
        <w:t xml:space="preserve"> &amp; </w:t>
      </w:r>
      <w:proofErr w:type="spellStart"/>
      <w:r w:rsidRPr="000C57D5">
        <w:rPr>
          <w:rFonts w:cs="Times New Roman"/>
          <w:color w:val="000000" w:themeColor="text1"/>
          <w:szCs w:val="24"/>
        </w:rPr>
        <w:t>Atheru</w:t>
      </w:r>
      <w:proofErr w:type="spellEnd"/>
      <w:r w:rsidRPr="000C57D5">
        <w:rPr>
          <w:rFonts w:cs="Times New Roman"/>
          <w:color w:val="000000" w:themeColor="text1"/>
          <w:szCs w:val="24"/>
        </w:rPr>
        <w:t>, 2020). SMEs, in particular, suffer the most due to limited access to incentives and delayed refunds that disrupt cash flow cycles (Apollo, 2022). To mitigate these constraints, firms</w:t>
      </w:r>
      <w:r w:rsidR="00E207BA">
        <w:rPr>
          <w:rFonts w:cs="Times New Roman"/>
          <w:color w:val="000000" w:themeColor="text1"/>
          <w:szCs w:val="24"/>
        </w:rPr>
        <w:t xml:space="preserve"> </w:t>
      </w:r>
      <w:r w:rsidRPr="000C57D5">
        <w:rPr>
          <w:rFonts w:cs="Times New Roman"/>
          <w:color w:val="000000" w:themeColor="text1"/>
          <w:szCs w:val="24"/>
        </w:rPr>
        <w:t>often</w:t>
      </w:r>
      <w:r w:rsidR="00DE4ECB">
        <w:rPr>
          <w:rFonts w:cs="Times New Roman"/>
          <w:color w:val="000000" w:themeColor="text1"/>
          <w:szCs w:val="24"/>
        </w:rPr>
        <w:t>,</w:t>
      </w:r>
      <w:r w:rsidRPr="000C57D5">
        <w:rPr>
          <w:rFonts w:cs="Times New Roman"/>
          <w:color w:val="000000" w:themeColor="text1"/>
          <w:szCs w:val="24"/>
        </w:rPr>
        <w:t xml:space="preserve"> through the Kenya Association of Manufacturers (KAM)</w:t>
      </w:r>
      <w:r w:rsidR="00E207BA">
        <w:rPr>
          <w:rFonts w:cs="Times New Roman"/>
          <w:color w:val="000000" w:themeColor="text1"/>
          <w:szCs w:val="24"/>
        </w:rPr>
        <w:t xml:space="preserve"> </w:t>
      </w:r>
      <w:r w:rsidRPr="000C57D5">
        <w:rPr>
          <w:rFonts w:cs="Times New Roman"/>
          <w:color w:val="000000" w:themeColor="text1"/>
          <w:szCs w:val="24"/>
        </w:rPr>
        <w:t>advocate for tax reforms and greater administrative transparency (KAM, 2023). Nevertheless, disparities persist in incentive distribution and policy consistency, limiting sector-wide efficiency (</w:t>
      </w:r>
      <w:proofErr w:type="spellStart"/>
      <w:r w:rsidRPr="000C57D5">
        <w:rPr>
          <w:rFonts w:cs="Times New Roman"/>
          <w:color w:val="000000" w:themeColor="text1"/>
          <w:szCs w:val="24"/>
        </w:rPr>
        <w:t>Ndungi</w:t>
      </w:r>
      <w:proofErr w:type="spellEnd"/>
      <w:r w:rsidRPr="000C57D5">
        <w:rPr>
          <w:rFonts w:cs="Times New Roman"/>
          <w:color w:val="000000" w:themeColor="text1"/>
          <w:szCs w:val="24"/>
        </w:rPr>
        <w:t xml:space="preserve"> </w:t>
      </w:r>
      <w:proofErr w:type="spellStart"/>
      <w:r w:rsidRPr="000C57D5">
        <w:rPr>
          <w:rFonts w:cs="Times New Roman"/>
          <w:color w:val="000000" w:themeColor="text1"/>
          <w:szCs w:val="24"/>
        </w:rPr>
        <w:t>Njoroge</w:t>
      </w:r>
      <w:proofErr w:type="spellEnd"/>
      <w:r w:rsidRPr="000C57D5">
        <w:rPr>
          <w:rFonts w:cs="Times New Roman"/>
          <w:color w:val="000000" w:themeColor="text1"/>
          <w:szCs w:val="24"/>
        </w:rPr>
        <w:t>, 2021).</w:t>
      </w:r>
    </w:p>
    <w:p w14:paraId="23FFF02D" w14:textId="77777777" w:rsidR="000C57D5" w:rsidRPr="000C57D5"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Empirical studies provide valuable insights into the intersection between taxation and manufacturing performance. In the U.S., high corporate taxes constrained firms’ innovation capacities (Jacob, 2022), while in India, inconsistent VAT regimes delayed business expansion (</w:t>
      </w:r>
      <w:proofErr w:type="spellStart"/>
      <w:r w:rsidRPr="000C57D5">
        <w:rPr>
          <w:rFonts w:cs="Times New Roman"/>
          <w:color w:val="000000" w:themeColor="text1"/>
          <w:szCs w:val="24"/>
        </w:rPr>
        <w:t>Arora</w:t>
      </w:r>
      <w:proofErr w:type="spellEnd"/>
      <w:r w:rsidRPr="000C57D5">
        <w:rPr>
          <w:rFonts w:cs="Times New Roman"/>
          <w:color w:val="000000" w:themeColor="text1"/>
          <w:szCs w:val="24"/>
        </w:rPr>
        <w:t xml:space="preserve"> &amp; </w:t>
      </w:r>
      <w:proofErr w:type="spellStart"/>
      <w:r w:rsidRPr="000C57D5">
        <w:rPr>
          <w:rFonts w:cs="Times New Roman"/>
          <w:color w:val="000000" w:themeColor="text1"/>
          <w:szCs w:val="24"/>
        </w:rPr>
        <w:t>Rakhyani</w:t>
      </w:r>
      <w:proofErr w:type="spellEnd"/>
      <w:r w:rsidRPr="000C57D5">
        <w:rPr>
          <w:rFonts w:cs="Times New Roman"/>
          <w:color w:val="000000" w:themeColor="text1"/>
          <w:szCs w:val="24"/>
        </w:rPr>
        <w:t>, 2020). In Sub-Saharan Africa, tax incentives enhanced multinational firms’ profitability but had minimal benefits for local manufacturers (Brown, 2021). Kenyan studies similarly highlight fiscal inefficiencies: VAT refund delays disrupted liquidity for 80% of manufacturers (Apollo, 2022), and customs duties inflated production costs by up to 25% (</w:t>
      </w:r>
      <w:proofErr w:type="spellStart"/>
      <w:r w:rsidRPr="000C57D5">
        <w:rPr>
          <w:rFonts w:cs="Times New Roman"/>
          <w:color w:val="000000" w:themeColor="text1"/>
          <w:szCs w:val="24"/>
        </w:rPr>
        <w:t>Omosa</w:t>
      </w:r>
      <w:proofErr w:type="spellEnd"/>
      <w:r w:rsidRPr="000C57D5">
        <w:rPr>
          <w:rFonts w:cs="Times New Roman"/>
          <w:color w:val="000000" w:themeColor="text1"/>
          <w:szCs w:val="24"/>
        </w:rPr>
        <w:t>, 2021).</w:t>
      </w:r>
    </w:p>
    <w:p w14:paraId="408A58F9" w14:textId="2116B46C" w:rsidR="00416E73" w:rsidRPr="007A56B8" w:rsidRDefault="000C57D5" w:rsidP="000C57D5">
      <w:pPr>
        <w:shd w:val="clear" w:color="auto" w:fill="FFFFFF"/>
        <w:spacing w:line="240" w:lineRule="auto"/>
        <w:rPr>
          <w:rFonts w:cs="Times New Roman"/>
          <w:color w:val="000000" w:themeColor="text1"/>
          <w:szCs w:val="24"/>
        </w:rPr>
      </w:pPr>
      <w:r w:rsidRPr="000C57D5">
        <w:rPr>
          <w:rFonts w:cs="Times New Roman"/>
          <w:color w:val="000000" w:themeColor="text1"/>
          <w:szCs w:val="24"/>
        </w:rPr>
        <w:t>Despite these findings, existing research has largely examined individual tax elements in isolation, overlooking their combined effects. This study therefore seeks to fill that gap by analyzing how corporate income tax, VAT policies, customs duties, and tax incentives jointly influence the financial performance of registered manufacturing firms in Kenya. The results will provide evidence-based insights to inform equitable and growth-oriented tax reforms aligned with Kenya’s Vision 2030 agenda for industrialization and sustainable economic transformation</w:t>
      </w:r>
      <w:r w:rsidR="00185BCB" w:rsidRPr="007A56B8">
        <w:rPr>
          <w:rFonts w:cs="Times New Roman"/>
          <w:color w:val="000000" w:themeColor="text1"/>
          <w:szCs w:val="24"/>
        </w:rPr>
        <w:t>.</w:t>
      </w:r>
    </w:p>
    <w:p w14:paraId="48C38FDC" w14:textId="6CD37EFA" w:rsidR="00055D83" w:rsidRPr="00D352C1" w:rsidRDefault="00055D83" w:rsidP="00CE4C91">
      <w:pPr>
        <w:shd w:val="clear" w:color="auto" w:fill="FFFFFF"/>
        <w:spacing w:line="240" w:lineRule="auto"/>
        <w:rPr>
          <w:rFonts w:eastAsia="Times New Roman" w:cs="Times New Roman"/>
          <w:b/>
          <w:bCs/>
          <w:i/>
          <w:iCs/>
          <w:color w:val="000000" w:themeColor="text1"/>
          <w:sz w:val="28"/>
          <w:szCs w:val="28"/>
        </w:rPr>
      </w:pPr>
      <w:r w:rsidRPr="00D352C1">
        <w:rPr>
          <w:rFonts w:eastAsia="Times New Roman" w:cs="Times New Roman"/>
          <w:b/>
          <w:bCs/>
          <w:i/>
          <w:iCs/>
          <w:color w:val="000000" w:themeColor="text1"/>
          <w:sz w:val="28"/>
          <w:szCs w:val="28"/>
        </w:rPr>
        <w:t>Research Problem</w:t>
      </w:r>
    </w:p>
    <w:p w14:paraId="1B8515A5" w14:textId="0BDAC4F5" w:rsidR="005C09D0" w:rsidRP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Kenya’s manufacturing sector, a critical driver of economic growth, has experienced persistent financial underperformance over the past decade. Profitability has declined sharply, with the return on assets dropping from 6.3% in 2015 to 4.9% in 2020, largely due to high operational costs, stiff competition, and burdensome taxation (KNBS, 2021). Tax-related expenses, including a 30% corporate income tax rate</w:t>
      </w:r>
      <w:r w:rsidR="00DE4ECB">
        <w:rPr>
          <w:rFonts w:cs="Times New Roman"/>
          <w:color w:val="000000" w:themeColor="text1"/>
          <w:szCs w:val="24"/>
        </w:rPr>
        <w:t>,</w:t>
      </w:r>
      <w:r w:rsidR="00E207BA">
        <w:rPr>
          <w:rFonts w:cs="Times New Roman"/>
          <w:color w:val="000000" w:themeColor="text1"/>
          <w:szCs w:val="24"/>
        </w:rPr>
        <w:t xml:space="preserve"> </w:t>
      </w:r>
      <w:r w:rsidRPr="005C09D0">
        <w:rPr>
          <w:rFonts w:cs="Times New Roman"/>
          <w:color w:val="000000" w:themeColor="text1"/>
          <w:szCs w:val="24"/>
        </w:rPr>
        <w:t>the highest in East Africa</w:t>
      </w:r>
      <w:r w:rsidR="00E207BA">
        <w:rPr>
          <w:rFonts w:cs="Times New Roman"/>
          <w:color w:val="000000" w:themeColor="text1"/>
          <w:szCs w:val="24"/>
        </w:rPr>
        <w:t xml:space="preserve"> </w:t>
      </w:r>
      <w:r w:rsidRPr="005C09D0">
        <w:rPr>
          <w:rFonts w:cs="Times New Roman"/>
          <w:color w:val="000000" w:themeColor="text1"/>
          <w:szCs w:val="24"/>
        </w:rPr>
        <w:t>and complex value-added tax (VAT) compliance procedures, have increased production costs and reduced competitiveness both locally and globally (</w:t>
      </w:r>
      <w:proofErr w:type="spellStart"/>
      <w:r w:rsidRPr="005C09D0">
        <w:rPr>
          <w:rFonts w:cs="Times New Roman"/>
          <w:color w:val="000000" w:themeColor="text1"/>
          <w:szCs w:val="24"/>
        </w:rPr>
        <w:t>Karimi</w:t>
      </w:r>
      <w:proofErr w:type="spellEnd"/>
      <w:r w:rsidRPr="005C09D0">
        <w:rPr>
          <w:rFonts w:cs="Times New Roman"/>
          <w:color w:val="000000" w:themeColor="text1"/>
          <w:szCs w:val="24"/>
        </w:rPr>
        <w:t xml:space="preserve"> &amp; </w:t>
      </w:r>
      <w:proofErr w:type="spellStart"/>
      <w:r w:rsidRPr="005C09D0">
        <w:rPr>
          <w:rFonts w:cs="Times New Roman"/>
          <w:color w:val="000000" w:themeColor="text1"/>
          <w:szCs w:val="24"/>
        </w:rPr>
        <w:t>Wanjohi</w:t>
      </w:r>
      <w:proofErr w:type="spellEnd"/>
      <w:r w:rsidRPr="005C09D0">
        <w:rPr>
          <w:rFonts w:cs="Times New Roman"/>
          <w:color w:val="000000" w:themeColor="text1"/>
          <w:szCs w:val="24"/>
        </w:rPr>
        <w:t>, 2024). Escalating customs duties on imported raw materials have further constrained profitability, hindering the sector’s ability to achieve the Vision 2030 target of contributing 15% to GDP (UNCTAD, 2022).</w:t>
      </w:r>
    </w:p>
    <w:p w14:paraId="6CA09799" w14:textId="77777777" w:rsidR="005C09D0" w:rsidRDefault="005C09D0" w:rsidP="005C09D0">
      <w:pPr>
        <w:spacing w:after="240" w:line="240" w:lineRule="auto"/>
        <w:rPr>
          <w:rFonts w:cs="Times New Roman"/>
          <w:color w:val="000000" w:themeColor="text1"/>
          <w:szCs w:val="24"/>
        </w:rPr>
      </w:pPr>
      <w:r w:rsidRPr="005C09D0">
        <w:rPr>
          <w:rFonts w:cs="Times New Roman"/>
          <w:color w:val="000000" w:themeColor="text1"/>
          <w:szCs w:val="24"/>
        </w:rPr>
        <w:t>Globally, studies reveal that tax reforms significantly affect firm performance (</w:t>
      </w:r>
      <w:proofErr w:type="spellStart"/>
      <w:r w:rsidRPr="005C09D0">
        <w:rPr>
          <w:rFonts w:cs="Times New Roman"/>
          <w:color w:val="000000" w:themeColor="text1"/>
          <w:szCs w:val="24"/>
        </w:rPr>
        <w:t>Bührle</w:t>
      </w:r>
      <w:proofErr w:type="spellEnd"/>
      <w:r w:rsidRPr="005C09D0">
        <w:rPr>
          <w:rFonts w:cs="Times New Roman"/>
          <w:color w:val="000000" w:themeColor="text1"/>
          <w:szCs w:val="24"/>
        </w:rPr>
        <w:t xml:space="preserve"> et al., 2023; </w:t>
      </w:r>
      <w:proofErr w:type="spellStart"/>
      <w:r w:rsidRPr="005C09D0">
        <w:rPr>
          <w:rFonts w:cs="Times New Roman"/>
          <w:color w:val="000000" w:themeColor="text1"/>
          <w:szCs w:val="24"/>
        </w:rPr>
        <w:t>Cin</w:t>
      </w:r>
      <w:proofErr w:type="spellEnd"/>
      <w:r w:rsidRPr="005C09D0">
        <w:rPr>
          <w:rFonts w:cs="Times New Roman"/>
          <w:color w:val="000000" w:themeColor="text1"/>
          <w:szCs w:val="24"/>
        </w:rPr>
        <w:t xml:space="preserve"> et al., 2017). Locally, research has examined specific tax components but rarely their combined influence. Limited empirical evidence exists on how corporate taxes, VAT, and customs duties jointly impact profitability, investment decisions, and production efficiency. This study, therefore, seeks to address this gap by examining the holistic effect of tax policies on the financial performance of manufacturing firms in Kenya, providing insights for policy reform and sustainable growth.</w:t>
      </w:r>
    </w:p>
    <w:p w14:paraId="4D6DCA8F" w14:textId="77777777" w:rsidR="005C09D0" w:rsidRDefault="005C09D0" w:rsidP="005C09D0">
      <w:pPr>
        <w:spacing w:after="240" w:line="240" w:lineRule="auto"/>
        <w:rPr>
          <w:rFonts w:cs="Times New Roman"/>
          <w:color w:val="000000" w:themeColor="text1"/>
          <w:szCs w:val="24"/>
        </w:rPr>
      </w:pPr>
    </w:p>
    <w:p w14:paraId="27FDC211" w14:textId="67E4BE84" w:rsidR="00BD15A0" w:rsidRPr="007A56B8" w:rsidRDefault="00BD15A0" w:rsidP="005C09D0">
      <w:pPr>
        <w:spacing w:after="240" w:line="240" w:lineRule="auto"/>
        <w:rPr>
          <w:rFonts w:cs="Times New Roman"/>
          <w:b/>
          <w:szCs w:val="24"/>
        </w:rPr>
      </w:pPr>
      <w:r w:rsidRPr="007A56B8">
        <w:rPr>
          <w:rFonts w:cs="Times New Roman"/>
          <w:b/>
          <w:szCs w:val="24"/>
        </w:rPr>
        <w:t xml:space="preserve"> </w:t>
      </w:r>
    </w:p>
    <w:p w14:paraId="7860FC20" w14:textId="14987297" w:rsidR="00055D83" w:rsidRPr="00D352C1" w:rsidRDefault="00055D83" w:rsidP="00E5141C">
      <w:pPr>
        <w:spacing w:line="240" w:lineRule="auto"/>
        <w:rPr>
          <w:rFonts w:cs="Times New Roman"/>
          <w:b/>
          <w:bCs/>
          <w:i/>
          <w:iCs/>
          <w:color w:val="000000" w:themeColor="text1"/>
          <w:sz w:val="28"/>
          <w:szCs w:val="28"/>
        </w:rPr>
      </w:pPr>
      <w:r w:rsidRPr="00D352C1">
        <w:rPr>
          <w:rFonts w:cs="Times New Roman"/>
          <w:b/>
          <w:bCs/>
          <w:i/>
          <w:iCs/>
          <w:color w:val="000000" w:themeColor="text1"/>
          <w:sz w:val="28"/>
          <w:szCs w:val="28"/>
        </w:rPr>
        <w:t>Research Objective</w:t>
      </w:r>
    </w:p>
    <w:p w14:paraId="3A006523" w14:textId="4346EE02" w:rsidR="0054398C" w:rsidRPr="007A56B8" w:rsidRDefault="00055D83" w:rsidP="0054398C">
      <w:pPr>
        <w:spacing w:line="240" w:lineRule="auto"/>
        <w:rPr>
          <w:rFonts w:cs="Times New Roman"/>
          <w:color w:val="000000" w:themeColor="text1"/>
          <w:szCs w:val="24"/>
        </w:rPr>
      </w:pPr>
      <w:r w:rsidRPr="007A56B8">
        <w:rPr>
          <w:rFonts w:cs="Times New Roman"/>
          <w:color w:val="000000" w:themeColor="text1"/>
          <w:szCs w:val="24"/>
        </w:rPr>
        <w:lastRenderedPageBreak/>
        <w:t>This study was guided by the following general objective</w:t>
      </w:r>
      <w:r w:rsidR="00DE4ECB">
        <w:rPr>
          <w:rFonts w:cs="Times New Roman"/>
          <w:color w:val="000000" w:themeColor="text1"/>
          <w:szCs w:val="24"/>
        </w:rPr>
        <w:t>:</w:t>
      </w:r>
      <w:r w:rsidRPr="007A56B8">
        <w:rPr>
          <w:rFonts w:cs="Times New Roman"/>
          <w:color w:val="000000" w:themeColor="text1"/>
          <w:szCs w:val="24"/>
        </w:rPr>
        <w:t xml:space="preserve"> to</w:t>
      </w:r>
      <w:r w:rsidR="00784B96" w:rsidRPr="007A56B8">
        <w:rPr>
          <w:rFonts w:cs="Times New Roman"/>
          <w:color w:val="000000" w:themeColor="text1"/>
          <w:szCs w:val="24"/>
        </w:rPr>
        <w:t xml:space="preserve"> </w:t>
      </w:r>
      <w:r w:rsidR="005C09D0" w:rsidRPr="005C09D0">
        <w:rPr>
          <w:rFonts w:cs="Times New Roman"/>
          <w:color w:val="000000" w:themeColor="text1"/>
          <w:szCs w:val="24"/>
        </w:rPr>
        <w:t>determine the effects of tax policies on the financial performance of registered manufacturing firms in Kenya</w:t>
      </w:r>
      <w:r w:rsidR="00D54CAA" w:rsidRPr="007A56B8">
        <w:rPr>
          <w:rFonts w:cs="Times New Roman"/>
          <w:color w:val="000000" w:themeColor="text1"/>
          <w:szCs w:val="24"/>
        </w:rPr>
        <w:t>.</w:t>
      </w:r>
    </w:p>
    <w:p w14:paraId="6B071E8F" w14:textId="77777777" w:rsidR="00E448DE" w:rsidRPr="007A56B8" w:rsidRDefault="0054398C" w:rsidP="00F42A52">
      <w:pPr>
        <w:spacing w:line="240" w:lineRule="auto"/>
        <w:rPr>
          <w:rFonts w:cs="Times New Roman"/>
          <w:color w:val="000000" w:themeColor="text1"/>
          <w:szCs w:val="24"/>
        </w:rPr>
      </w:pPr>
      <w:r w:rsidRPr="007A56B8">
        <w:rPr>
          <w:rFonts w:cs="Times New Roman"/>
          <w:color w:val="000000" w:themeColor="text1"/>
          <w:szCs w:val="24"/>
        </w:rPr>
        <w:t>Specific Objectives were to;</w:t>
      </w:r>
      <w:r w:rsidR="00784B96" w:rsidRPr="007A56B8">
        <w:rPr>
          <w:rFonts w:cs="Times New Roman"/>
          <w:color w:val="000000" w:themeColor="text1"/>
          <w:szCs w:val="24"/>
        </w:rPr>
        <w:t xml:space="preserve"> </w:t>
      </w:r>
    </w:p>
    <w:p w14:paraId="25BF9AEE"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determine the effect of corporate income tax rates on the financial performance of registered manufacturing firms in Kenya.</w:t>
      </w:r>
    </w:p>
    <w:p w14:paraId="42A7689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evaluate the effect of value-added tax (VAT) policies on the financial performance of registered manufacturing firms in Kenya.</w:t>
      </w:r>
    </w:p>
    <w:p w14:paraId="2B643150"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examine the effect of tax incentives on the financial performance of registered manufacturing firms in Kenya.</w:t>
      </w:r>
    </w:p>
    <w:p w14:paraId="3DC49657" w14:textId="77777777" w:rsidR="005C09D0" w:rsidRPr="005C09D0" w:rsidRDefault="005C09D0" w:rsidP="005C09D0">
      <w:pPr>
        <w:pStyle w:val="ListParagraph"/>
        <w:numPr>
          <w:ilvl w:val="0"/>
          <w:numId w:val="23"/>
        </w:numPr>
        <w:shd w:val="clear" w:color="auto" w:fill="FFFFFF"/>
        <w:spacing w:line="240" w:lineRule="auto"/>
        <w:rPr>
          <w:rFonts w:ascii="Times New Roman" w:hAnsi="Times New Roman"/>
          <w:sz w:val="24"/>
          <w:szCs w:val="28"/>
        </w:rPr>
      </w:pPr>
      <w:r w:rsidRPr="005C09D0">
        <w:rPr>
          <w:rFonts w:ascii="Times New Roman" w:hAnsi="Times New Roman"/>
          <w:sz w:val="24"/>
          <w:szCs w:val="28"/>
        </w:rPr>
        <w:t>To investigate the effect of changes in customs and excise duties policies on the financial performance of registered manufacturing firms in Kenya.</w:t>
      </w:r>
    </w:p>
    <w:p w14:paraId="0B5F07F3" w14:textId="77777777" w:rsidR="0052143B" w:rsidRPr="00AD51A6" w:rsidRDefault="0052143B" w:rsidP="000F4C94">
      <w:pPr>
        <w:spacing w:before="0" w:line="240" w:lineRule="auto"/>
        <w:rPr>
          <w:b/>
          <w:bCs/>
          <w:i/>
          <w:iCs/>
          <w:sz w:val="28"/>
          <w:szCs w:val="24"/>
        </w:rPr>
      </w:pPr>
      <w:r w:rsidRPr="00AD51A6">
        <w:rPr>
          <w:b/>
          <w:bCs/>
          <w:i/>
          <w:iCs/>
          <w:sz w:val="28"/>
          <w:szCs w:val="24"/>
        </w:rPr>
        <w:t>Significance of the Study</w:t>
      </w:r>
    </w:p>
    <w:p w14:paraId="56D2C776" w14:textId="0094F3D5" w:rsidR="0052143B" w:rsidRPr="0052143B" w:rsidRDefault="000F4C94" w:rsidP="000F4C94">
      <w:pPr>
        <w:spacing w:before="0" w:line="240" w:lineRule="auto"/>
      </w:pPr>
      <w:r w:rsidRPr="000F4C94">
        <w:t>The study is significant as it bridges practical and theoretical gaps on the influence of tax policies on the profitability of registered manufacturing firms in Kenya. It provides policymakers with evidence-based insights for developing equitable tax frameworks that foster industrial growth and sustainability in line with Vision 2030. For industry stakeholders, it highlights how corporate tax rates, VAT policies, tax incentives, and customs duties affect operational costs and profitability. Additionally, it offers valuable reference material for future scholarly research on fiscal policy and economic outcomes</w:t>
      </w:r>
      <w:r w:rsidR="00AD51A6">
        <w:t>.</w:t>
      </w:r>
    </w:p>
    <w:p w14:paraId="371713CA" w14:textId="77777777" w:rsidR="0052143B" w:rsidRPr="007A56B8" w:rsidRDefault="0052143B" w:rsidP="00D352C1">
      <w:pPr>
        <w:autoSpaceDE w:val="0"/>
        <w:autoSpaceDN w:val="0"/>
        <w:adjustRightInd w:val="0"/>
        <w:spacing w:before="0" w:after="240" w:line="240" w:lineRule="auto"/>
        <w:rPr>
          <w:color w:val="000000" w:themeColor="text1"/>
          <w:szCs w:val="24"/>
        </w:rPr>
      </w:pPr>
    </w:p>
    <w:p w14:paraId="01448711" w14:textId="62325650" w:rsidR="001E21F0" w:rsidRPr="007A56B8" w:rsidRDefault="001E21F0" w:rsidP="00AE4AA5">
      <w:pPr>
        <w:spacing w:before="0" w:line="240" w:lineRule="auto"/>
        <w:rPr>
          <w:rFonts w:cs="Times New Roman"/>
          <w:color w:val="000000" w:themeColor="text1"/>
        </w:rPr>
      </w:pPr>
      <w:r w:rsidRPr="007A56B8">
        <w:rPr>
          <w:rFonts w:cs="Times New Roman"/>
          <w:color w:val="000000" w:themeColor="text1"/>
        </w:rPr>
        <w:br w:type="page"/>
      </w:r>
    </w:p>
    <w:p w14:paraId="60555E06" w14:textId="2D326474" w:rsidR="00055D83" w:rsidRPr="007A56B8"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7A56B8">
        <w:rPr>
          <w:rFonts w:ascii="Times New Roman" w:hAnsi="Times New Roman"/>
          <w:b/>
          <w:color w:val="000000" w:themeColor="text1"/>
          <w:sz w:val="28"/>
          <w:szCs w:val="28"/>
          <w:lang w:val="en-GB"/>
        </w:rPr>
        <w:lastRenderedPageBreak/>
        <w:t xml:space="preserve">2.0 LITERATURE REVIEW  </w:t>
      </w:r>
    </w:p>
    <w:p w14:paraId="4D81049F" w14:textId="77777777" w:rsidR="00001A44" w:rsidRPr="00001A44" w:rsidRDefault="00001A44" w:rsidP="00001A44">
      <w:pPr>
        <w:spacing w:before="0" w:after="160" w:line="259" w:lineRule="auto"/>
        <w:rPr>
          <w:rFonts w:cs="Times New Roman"/>
          <w:b/>
          <w:i/>
          <w:iCs/>
          <w:color w:val="000000" w:themeColor="text1"/>
          <w:kern w:val="2"/>
          <w:szCs w:val="24"/>
          <w:lang w:val="en-GB"/>
        </w:rPr>
      </w:pPr>
      <w:r w:rsidRPr="00001A44">
        <w:rPr>
          <w:rFonts w:cs="Times New Roman"/>
          <w:b/>
          <w:i/>
          <w:iCs/>
          <w:color w:val="000000" w:themeColor="text1"/>
          <w:kern w:val="2"/>
          <w:szCs w:val="24"/>
          <w:lang w:val="en-GB"/>
        </w:rPr>
        <w:t>Theoretical Review</w:t>
      </w:r>
    </w:p>
    <w:p w14:paraId="02787F30" w14:textId="4DDE6409"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This study draws upon three key theoretical foundations</w:t>
      </w:r>
      <w:r w:rsidR="00DE4ECB">
        <w:rPr>
          <w:rFonts w:cs="Times New Roman"/>
          <w:bCs/>
          <w:color w:val="000000" w:themeColor="text1"/>
          <w:kern w:val="2"/>
          <w:szCs w:val="24"/>
          <w:lang w:val="en-GB"/>
        </w:rPr>
        <w:t>:</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Modigliani and Miller (M&amp;M) Theory of Corporate Taxation (1963), the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Curve Theory (2004), and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Excess Burden of Taxation Theory (1964)</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to explain how tax structures influence the financial performance of manufacturing firms in Kenya. These theories collectively provide insights into the relationship between corporate taxation, fiscal incentives, and firm profitability.</w:t>
      </w:r>
    </w:p>
    <w:p w14:paraId="00393D3E" w14:textId="1325A962"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Modigliani and Miller extended their capital structure theory in 1963 to include the effect of corporate taxation, </w:t>
      </w:r>
      <w:proofErr w:type="gramStart"/>
      <w:r w:rsidRPr="00001A44">
        <w:rPr>
          <w:rFonts w:cs="Times New Roman"/>
          <w:bCs/>
          <w:color w:val="000000" w:themeColor="text1"/>
          <w:kern w:val="2"/>
          <w:szCs w:val="24"/>
          <w:lang w:val="en-GB"/>
        </w:rPr>
        <w:t>proposing</w:t>
      </w:r>
      <w:proofErr w:type="gramEnd"/>
      <w:r w:rsidRPr="00001A44">
        <w:rPr>
          <w:rFonts w:cs="Times New Roman"/>
          <w:bCs/>
          <w:color w:val="000000" w:themeColor="text1"/>
          <w:kern w:val="2"/>
          <w:szCs w:val="24"/>
          <w:lang w:val="en-GB"/>
        </w:rPr>
        <w:t xml:space="preserve"> that debt financing creates a tax shield since interest payments are deductible from taxable income. This implies that firms operating under higher corporate tax rates are likely to increase debt </w:t>
      </w:r>
      <w:r w:rsidRPr="000B4C23">
        <w:rPr>
          <w:rFonts w:cs="Times New Roman"/>
          <w:bCs/>
          <w:color w:val="000000" w:themeColor="text1"/>
          <w:kern w:val="2"/>
          <w:szCs w:val="24"/>
          <w:highlight w:val="yellow"/>
          <w:lang w:val="en-GB"/>
        </w:rPr>
        <w:t xml:space="preserve">levels to </w:t>
      </w:r>
      <w:r w:rsidR="00DE4ECB" w:rsidRPr="000B4C23">
        <w:rPr>
          <w:rFonts w:cs="Times New Roman"/>
          <w:bCs/>
          <w:color w:val="000000" w:themeColor="text1"/>
          <w:kern w:val="2"/>
          <w:szCs w:val="24"/>
          <w:highlight w:val="yellow"/>
          <w:lang w:val="en-GB"/>
        </w:rPr>
        <w:t>minimise</w:t>
      </w:r>
      <w:r w:rsidR="00DE4ECB" w:rsidRPr="00001A44">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taxable income and enhance profitability (Modigliani &amp; Miller, 1963). The theory assumes perfect capital markets, where financing decisions are primarily driven by tax advantages.</w:t>
      </w:r>
    </w:p>
    <w:p w14:paraId="2553B839" w14:textId="712B4306"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In the context of this study, the M&amp;M theory offers a framework for </w:t>
      </w:r>
      <w:r w:rsidR="00DE4ECB" w:rsidRPr="000B4C23">
        <w:rPr>
          <w:rFonts w:cs="Times New Roman"/>
          <w:bCs/>
          <w:color w:val="000000" w:themeColor="text1"/>
          <w:kern w:val="2"/>
          <w:szCs w:val="24"/>
          <w:highlight w:val="yellow"/>
          <w:lang w:val="en-GB"/>
        </w:rPr>
        <w:t xml:space="preserve">analysing </w:t>
      </w:r>
      <w:r w:rsidRPr="000B4C23">
        <w:rPr>
          <w:rFonts w:cs="Times New Roman"/>
          <w:bCs/>
          <w:color w:val="000000" w:themeColor="text1"/>
          <w:kern w:val="2"/>
          <w:szCs w:val="24"/>
          <w:highlight w:val="yellow"/>
          <w:lang w:val="en-GB"/>
        </w:rPr>
        <w:t>how various</w:t>
      </w:r>
      <w:r w:rsidRPr="00001A44">
        <w:rPr>
          <w:rFonts w:cs="Times New Roman"/>
          <w:bCs/>
          <w:color w:val="000000" w:themeColor="text1"/>
          <w:kern w:val="2"/>
          <w:szCs w:val="24"/>
          <w:lang w:val="en-GB"/>
        </w:rPr>
        <w:t xml:space="preserve"> tax components</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corporate income tax, VAT, customs duties, and fiscal incentives</w:t>
      </w:r>
      <w:r w:rsidR="00DE4ECB">
        <w:rPr>
          <w:rFonts w:cs="Times New Roman"/>
          <w:bCs/>
          <w:color w:val="000000" w:themeColor="text1"/>
          <w:kern w:val="2"/>
          <w:szCs w:val="24"/>
          <w:lang w:val="en-GB"/>
        </w:rPr>
        <w:t>,</w:t>
      </w:r>
      <w:r w:rsidR="00E207BA">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affect financial indicators such as return on assets (ROA) and net profit margin (NPM). High corporate taxes reduce net earnings, potentially pushing firms to restructure financing through debt, while tax incentives can improve reinvestment capacity and profitability. The theory</w:t>
      </w:r>
      <w:r w:rsidR="00DE4ECB">
        <w:rPr>
          <w:rFonts w:cs="Times New Roman"/>
          <w:bCs/>
          <w:color w:val="000000" w:themeColor="text1"/>
          <w:kern w:val="2"/>
          <w:szCs w:val="24"/>
          <w:lang w:val="en-GB"/>
        </w:rPr>
        <w:t>,</w:t>
      </w:r>
      <w:r w:rsidRPr="00001A44">
        <w:rPr>
          <w:rFonts w:cs="Times New Roman"/>
          <w:bCs/>
          <w:color w:val="000000" w:themeColor="text1"/>
          <w:kern w:val="2"/>
          <w:szCs w:val="24"/>
          <w:lang w:val="en-GB"/>
        </w:rPr>
        <w:t xml:space="preserve"> therefore</w:t>
      </w:r>
      <w:r w:rsidR="00DE4ECB">
        <w:rPr>
          <w:rFonts w:cs="Times New Roman"/>
          <w:bCs/>
          <w:color w:val="000000" w:themeColor="text1"/>
          <w:kern w:val="2"/>
          <w:szCs w:val="24"/>
          <w:lang w:val="en-GB"/>
        </w:rPr>
        <w:t>,</w:t>
      </w:r>
      <w:r w:rsidRPr="00001A44">
        <w:rPr>
          <w:rFonts w:cs="Times New Roman"/>
          <w:bCs/>
          <w:color w:val="000000" w:themeColor="text1"/>
          <w:kern w:val="2"/>
          <w:szCs w:val="24"/>
          <w:lang w:val="en-GB"/>
        </w:rPr>
        <w:t xml:space="preserve"> helps explain how tax policies shape firms’ financing and </w:t>
      </w:r>
      <w:r w:rsidRPr="000B4C23">
        <w:rPr>
          <w:rFonts w:cs="Times New Roman"/>
          <w:bCs/>
          <w:color w:val="000000" w:themeColor="text1"/>
          <w:kern w:val="2"/>
          <w:szCs w:val="24"/>
          <w:highlight w:val="yellow"/>
          <w:lang w:val="en-GB"/>
        </w:rPr>
        <w:t xml:space="preserve">investment </w:t>
      </w:r>
      <w:r w:rsidR="00DE4ECB" w:rsidRPr="000B4C23">
        <w:rPr>
          <w:rFonts w:cs="Times New Roman"/>
          <w:bCs/>
          <w:color w:val="000000" w:themeColor="text1"/>
          <w:kern w:val="2"/>
          <w:szCs w:val="24"/>
          <w:highlight w:val="yellow"/>
          <w:lang w:val="en-GB"/>
        </w:rPr>
        <w:t>behaviour</w:t>
      </w:r>
      <w:r w:rsidRPr="000B4C23">
        <w:rPr>
          <w:rFonts w:cs="Times New Roman"/>
          <w:bCs/>
          <w:color w:val="000000" w:themeColor="text1"/>
          <w:kern w:val="2"/>
          <w:szCs w:val="24"/>
          <w:highlight w:val="yellow"/>
          <w:lang w:val="en-GB"/>
        </w:rPr>
        <w:t>.</w:t>
      </w:r>
    </w:p>
    <w:p w14:paraId="7FFA2A94" w14:textId="4E07F41D"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However, the M&amp;M theory has been critiqued for its unrealistic assumptions of perfect markets and unlimited borrowing capacity. </w:t>
      </w:r>
      <w:proofErr w:type="spellStart"/>
      <w:r w:rsidRPr="00001A44">
        <w:rPr>
          <w:rFonts w:cs="Times New Roman"/>
          <w:bCs/>
          <w:color w:val="000000" w:themeColor="text1"/>
          <w:kern w:val="2"/>
          <w:szCs w:val="24"/>
          <w:lang w:val="en-GB"/>
        </w:rPr>
        <w:t>Fama</w:t>
      </w:r>
      <w:proofErr w:type="spellEnd"/>
      <w:r w:rsidRPr="00001A44">
        <w:rPr>
          <w:rFonts w:cs="Times New Roman"/>
          <w:bCs/>
          <w:color w:val="000000" w:themeColor="text1"/>
          <w:kern w:val="2"/>
          <w:szCs w:val="24"/>
          <w:lang w:val="en-GB"/>
        </w:rPr>
        <w:t xml:space="preserve"> and French (2002) argued that firms consider multiple factors beyond tax benefits when determining capital structure, often avoiding excessive leverage to prevent financial distress. Similarly, Graham (2000) contended that firms </w:t>
      </w:r>
      <w:r w:rsidR="00DE4ECB" w:rsidRPr="000B4C23">
        <w:rPr>
          <w:rFonts w:cs="Times New Roman"/>
          <w:bCs/>
          <w:color w:val="000000" w:themeColor="text1"/>
          <w:kern w:val="2"/>
          <w:szCs w:val="24"/>
          <w:highlight w:val="yellow"/>
          <w:lang w:val="en-GB"/>
        </w:rPr>
        <w:t xml:space="preserve">prioritise </w:t>
      </w:r>
      <w:r w:rsidRPr="000B4C23">
        <w:rPr>
          <w:rFonts w:cs="Times New Roman"/>
          <w:bCs/>
          <w:color w:val="000000" w:themeColor="text1"/>
          <w:kern w:val="2"/>
          <w:szCs w:val="24"/>
          <w:highlight w:val="yellow"/>
          <w:lang w:val="en-GB"/>
        </w:rPr>
        <w:t>finan</w:t>
      </w:r>
      <w:r w:rsidRPr="00001A44">
        <w:rPr>
          <w:rFonts w:cs="Times New Roman"/>
          <w:bCs/>
          <w:color w:val="000000" w:themeColor="text1"/>
          <w:kern w:val="2"/>
          <w:szCs w:val="24"/>
          <w:lang w:val="en-GB"/>
        </w:rPr>
        <w:t xml:space="preserve">cial stability over </w:t>
      </w:r>
      <w:r w:rsidR="00DE4ECB" w:rsidRPr="000B4C23">
        <w:rPr>
          <w:rFonts w:cs="Times New Roman"/>
          <w:bCs/>
          <w:color w:val="000000" w:themeColor="text1"/>
          <w:kern w:val="2"/>
          <w:szCs w:val="24"/>
          <w:highlight w:val="yellow"/>
          <w:lang w:val="en-GB"/>
        </w:rPr>
        <w:t xml:space="preserve">maximising </w:t>
      </w:r>
      <w:r w:rsidRPr="000B4C23">
        <w:rPr>
          <w:rFonts w:cs="Times New Roman"/>
          <w:bCs/>
          <w:color w:val="000000" w:themeColor="text1"/>
          <w:kern w:val="2"/>
          <w:szCs w:val="24"/>
          <w:highlight w:val="yellow"/>
          <w:lang w:val="en-GB"/>
        </w:rPr>
        <w:t>tax</w:t>
      </w:r>
      <w:r w:rsidRPr="00001A44">
        <w:rPr>
          <w:rFonts w:cs="Times New Roman"/>
          <w:bCs/>
          <w:color w:val="000000" w:themeColor="text1"/>
          <w:kern w:val="2"/>
          <w:szCs w:val="24"/>
          <w:lang w:val="en-GB"/>
        </w:rPr>
        <w:t xml:space="preserve"> shields. Despite these criticisms, the theory remains relevant as it </w:t>
      </w:r>
      <w:r w:rsidR="00DE4ECB" w:rsidRPr="000B4C23">
        <w:rPr>
          <w:rFonts w:cs="Times New Roman"/>
          <w:bCs/>
          <w:color w:val="000000" w:themeColor="text1"/>
          <w:kern w:val="2"/>
          <w:szCs w:val="24"/>
          <w:highlight w:val="yellow"/>
          <w:lang w:val="en-GB"/>
        </w:rPr>
        <w:t xml:space="preserve">emphasises </w:t>
      </w:r>
      <w:r w:rsidRPr="00F341C6">
        <w:rPr>
          <w:rFonts w:cs="Times New Roman"/>
          <w:bCs/>
          <w:color w:val="000000" w:themeColor="text1"/>
          <w:kern w:val="2"/>
          <w:szCs w:val="24"/>
          <w:lang w:val="en-GB"/>
        </w:rPr>
        <w:t>how corporate tax policies influence firm-level financial decisions and profitability within Kenya’s manufacturing sector.</w:t>
      </w:r>
    </w:p>
    <w:p w14:paraId="35CB819B"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Proposed by Arthur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the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Curve Theory posits that tax rates and government revenue share an inverted-U relationship. While moderate tax increases may enhance revenue, excessively high rates discourage economic participation, reduce compliance, and ultimately lower total revenue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1974). For firms, higher tax rates can suppress investment and profitability, whereas moderate rates and incentives may stimulate growth and compliance.</w:t>
      </w:r>
    </w:p>
    <w:p w14:paraId="082E9E64" w14:textId="2F9B965B"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Within this study, the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w:t>
      </w:r>
      <w:proofErr w:type="gramStart"/>
      <w:r w:rsidRPr="00001A44">
        <w:rPr>
          <w:rFonts w:cs="Times New Roman"/>
          <w:bCs/>
          <w:color w:val="000000" w:themeColor="text1"/>
          <w:kern w:val="2"/>
          <w:szCs w:val="24"/>
          <w:lang w:val="en-GB"/>
        </w:rPr>
        <w:t>Curve</w:t>
      </w:r>
      <w:proofErr w:type="gramEnd"/>
      <w:r w:rsidRPr="00001A44">
        <w:rPr>
          <w:rFonts w:cs="Times New Roman"/>
          <w:bCs/>
          <w:color w:val="000000" w:themeColor="text1"/>
          <w:kern w:val="2"/>
          <w:szCs w:val="24"/>
          <w:lang w:val="en-GB"/>
        </w:rPr>
        <w:t xml:space="preserve"> framework </w:t>
      </w:r>
      <w:r w:rsidRPr="000B4C23">
        <w:rPr>
          <w:rFonts w:cs="Times New Roman"/>
          <w:bCs/>
          <w:color w:val="000000" w:themeColor="text1"/>
          <w:kern w:val="2"/>
          <w:szCs w:val="24"/>
          <w:highlight w:val="yellow"/>
          <w:lang w:val="en-GB"/>
        </w:rPr>
        <w:t xml:space="preserve">helps </w:t>
      </w:r>
      <w:r w:rsidR="00DE4ECB" w:rsidRPr="000B4C23">
        <w:rPr>
          <w:rFonts w:cs="Times New Roman"/>
          <w:bCs/>
          <w:color w:val="000000" w:themeColor="text1"/>
          <w:kern w:val="2"/>
          <w:szCs w:val="24"/>
          <w:highlight w:val="yellow"/>
          <w:lang w:val="en-GB"/>
        </w:rPr>
        <w:t xml:space="preserve">analyse </w:t>
      </w:r>
      <w:r w:rsidRPr="000B4C23">
        <w:rPr>
          <w:rFonts w:cs="Times New Roman"/>
          <w:bCs/>
          <w:color w:val="000000" w:themeColor="text1"/>
          <w:kern w:val="2"/>
          <w:szCs w:val="24"/>
          <w:highlight w:val="yellow"/>
          <w:lang w:val="en-GB"/>
        </w:rPr>
        <w:t>how Kenya’s</w:t>
      </w:r>
      <w:r w:rsidRPr="00001A44">
        <w:rPr>
          <w:rFonts w:cs="Times New Roman"/>
          <w:bCs/>
          <w:color w:val="000000" w:themeColor="text1"/>
          <w:kern w:val="2"/>
          <w:szCs w:val="24"/>
          <w:lang w:val="en-GB"/>
        </w:rPr>
        <w:t xml:space="preserve"> corporate income tax, VAT systems, customs duties, and fiscal incentives affect firm profitability. Excessive taxation could deter investment and operational expansion, while optimal tax structures might foster growth. The theory is therefore instrumental in assessing whether Kenya’s tax regime operates within a </w:t>
      </w:r>
      <w:r w:rsidR="00DE4ECB" w:rsidRPr="000B4C23">
        <w:rPr>
          <w:rFonts w:cs="Times New Roman"/>
          <w:bCs/>
          <w:color w:val="000000" w:themeColor="text1"/>
          <w:kern w:val="2"/>
          <w:szCs w:val="24"/>
          <w:highlight w:val="yellow"/>
          <w:lang w:val="en-GB"/>
        </w:rPr>
        <w:t>revenue-maximising</w:t>
      </w:r>
      <w:r w:rsidRPr="000B4C23">
        <w:rPr>
          <w:rFonts w:cs="Times New Roman"/>
          <w:bCs/>
          <w:color w:val="000000" w:themeColor="text1"/>
          <w:kern w:val="2"/>
          <w:szCs w:val="24"/>
          <w:highlight w:val="yellow"/>
          <w:lang w:val="en-GB"/>
        </w:rPr>
        <w:t xml:space="preserve"> range</w:t>
      </w:r>
      <w:r w:rsidRPr="00001A44">
        <w:rPr>
          <w:rFonts w:cs="Times New Roman"/>
          <w:bCs/>
          <w:color w:val="000000" w:themeColor="text1"/>
          <w:kern w:val="2"/>
          <w:szCs w:val="24"/>
          <w:lang w:val="en-GB"/>
        </w:rPr>
        <w:t xml:space="preserve"> that also supports industrial productivity.</w:t>
      </w:r>
    </w:p>
    <w:p w14:paraId="4A29695C"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Nevertheless, critics highlight the theory’s simplicity and its lack of empirical precision in determining optimal tax rates. </w:t>
      </w:r>
      <w:proofErr w:type="spellStart"/>
      <w:r w:rsidRPr="00001A44">
        <w:rPr>
          <w:rFonts w:cs="Times New Roman"/>
          <w:bCs/>
          <w:color w:val="000000" w:themeColor="text1"/>
          <w:kern w:val="2"/>
          <w:szCs w:val="24"/>
          <w:lang w:val="en-GB"/>
        </w:rPr>
        <w:t>Piketty</w:t>
      </w:r>
      <w:proofErr w:type="spellEnd"/>
      <w:r w:rsidRPr="00001A44">
        <w:rPr>
          <w:rFonts w:cs="Times New Roman"/>
          <w:bCs/>
          <w:color w:val="000000" w:themeColor="text1"/>
          <w:kern w:val="2"/>
          <w:szCs w:val="24"/>
          <w:lang w:val="en-GB"/>
        </w:rPr>
        <w:t xml:space="preserve">, </w:t>
      </w:r>
      <w:proofErr w:type="spellStart"/>
      <w:r w:rsidRPr="00001A44">
        <w:rPr>
          <w:rFonts w:cs="Times New Roman"/>
          <w:bCs/>
          <w:color w:val="000000" w:themeColor="text1"/>
          <w:kern w:val="2"/>
          <w:szCs w:val="24"/>
          <w:lang w:val="en-GB"/>
        </w:rPr>
        <w:t>Saez</w:t>
      </w:r>
      <w:proofErr w:type="spellEnd"/>
      <w:r w:rsidRPr="00001A44">
        <w:rPr>
          <w:rFonts w:cs="Times New Roman"/>
          <w:bCs/>
          <w:color w:val="000000" w:themeColor="text1"/>
          <w:kern w:val="2"/>
          <w:szCs w:val="24"/>
          <w:lang w:val="en-GB"/>
        </w:rPr>
        <w:t xml:space="preserve">, and </w:t>
      </w:r>
      <w:proofErr w:type="spellStart"/>
      <w:r w:rsidRPr="00001A44">
        <w:rPr>
          <w:rFonts w:cs="Times New Roman"/>
          <w:bCs/>
          <w:color w:val="000000" w:themeColor="text1"/>
          <w:kern w:val="2"/>
          <w:szCs w:val="24"/>
          <w:lang w:val="en-GB"/>
        </w:rPr>
        <w:t>Stantcheva</w:t>
      </w:r>
      <w:proofErr w:type="spellEnd"/>
      <w:r w:rsidRPr="00001A44">
        <w:rPr>
          <w:rFonts w:cs="Times New Roman"/>
          <w:bCs/>
          <w:color w:val="000000" w:themeColor="text1"/>
          <w:kern w:val="2"/>
          <w:szCs w:val="24"/>
          <w:lang w:val="en-GB"/>
        </w:rPr>
        <w:t xml:space="preserve"> (2014) argued that economic activity depends on multiple factors, including public spending and enforcement mechanisms, not merely tax rates. </w:t>
      </w:r>
      <w:proofErr w:type="spellStart"/>
      <w:r w:rsidRPr="00001A44">
        <w:rPr>
          <w:rFonts w:cs="Times New Roman"/>
          <w:bCs/>
          <w:color w:val="000000" w:themeColor="text1"/>
          <w:kern w:val="2"/>
          <w:szCs w:val="24"/>
          <w:lang w:val="en-GB"/>
        </w:rPr>
        <w:t>Romer</w:t>
      </w:r>
      <w:proofErr w:type="spellEnd"/>
      <w:r w:rsidRPr="00001A44">
        <w:rPr>
          <w:rFonts w:cs="Times New Roman"/>
          <w:bCs/>
          <w:color w:val="000000" w:themeColor="text1"/>
          <w:kern w:val="2"/>
          <w:szCs w:val="24"/>
          <w:lang w:val="en-GB"/>
        </w:rPr>
        <w:t xml:space="preserve"> and </w:t>
      </w:r>
      <w:proofErr w:type="spellStart"/>
      <w:r w:rsidRPr="00001A44">
        <w:rPr>
          <w:rFonts w:cs="Times New Roman"/>
          <w:bCs/>
          <w:color w:val="000000" w:themeColor="text1"/>
          <w:kern w:val="2"/>
          <w:szCs w:val="24"/>
          <w:lang w:val="en-GB"/>
        </w:rPr>
        <w:t>Romer</w:t>
      </w:r>
      <w:proofErr w:type="spellEnd"/>
      <w:r w:rsidRPr="00001A44">
        <w:rPr>
          <w:rFonts w:cs="Times New Roman"/>
          <w:bCs/>
          <w:color w:val="000000" w:themeColor="text1"/>
          <w:kern w:val="2"/>
          <w:szCs w:val="24"/>
          <w:lang w:val="en-GB"/>
        </w:rPr>
        <w:t xml:space="preserve"> (2010) further observed that tax cuts do not always yield higher revenues, as implied by the theory, but can instead create budget deficits. Despite these limitations, the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Curve Theory remains relevant for this research as it illuminates the balance governments must strike between taxation and firm performance.</w:t>
      </w:r>
    </w:p>
    <w:p w14:paraId="2E813407" w14:textId="08A4B7AF"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Arnold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Excess Burden of Taxation Theory (1964) explains that taxation creates deadweight loss by distorting market decisions and reducing economic efficiency. High taxes discourage investment and productivity </w:t>
      </w:r>
      <w:r w:rsidRPr="00001A44">
        <w:rPr>
          <w:rFonts w:cs="Times New Roman"/>
          <w:bCs/>
          <w:color w:val="000000" w:themeColor="text1"/>
          <w:kern w:val="2"/>
          <w:szCs w:val="24"/>
          <w:lang w:val="en-GB"/>
        </w:rPr>
        <w:lastRenderedPageBreak/>
        <w:t xml:space="preserve">as firms adjust </w:t>
      </w:r>
      <w:r w:rsidR="00DE4ECB" w:rsidRPr="000B4C23">
        <w:rPr>
          <w:rFonts w:cs="Times New Roman"/>
          <w:bCs/>
          <w:color w:val="000000" w:themeColor="text1"/>
          <w:kern w:val="2"/>
          <w:szCs w:val="24"/>
          <w:highlight w:val="yellow"/>
          <w:lang w:val="en-GB"/>
        </w:rPr>
        <w:t xml:space="preserve">their behaviour </w:t>
      </w:r>
      <w:r w:rsidRPr="000B4C23">
        <w:rPr>
          <w:rFonts w:cs="Times New Roman"/>
          <w:bCs/>
          <w:color w:val="000000" w:themeColor="text1"/>
          <w:kern w:val="2"/>
          <w:szCs w:val="24"/>
          <w:highlight w:val="yellow"/>
          <w:lang w:val="en-GB"/>
        </w:rPr>
        <w:t xml:space="preserve">to </w:t>
      </w:r>
      <w:r w:rsidR="00DE4ECB" w:rsidRPr="000B4C23">
        <w:rPr>
          <w:rFonts w:cs="Times New Roman"/>
          <w:bCs/>
          <w:color w:val="000000" w:themeColor="text1"/>
          <w:kern w:val="2"/>
          <w:szCs w:val="24"/>
          <w:highlight w:val="yellow"/>
          <w:lang w:val="en-GB"/>
        </w:rPr>
        <w:t xml:space="preserve">minimise </w:t>
      </w:r>
      <w:r w:rsidRPr="00F341C6">
        <w:rPr>
          <w:rFonts w:cs="Times New Roman"/>
          <w:bCs/>
          <w:color w:val="000000" w:themeColor="text1"/>
          <w:kern w:val="2"/>
          <w:szCs w:val="24"/>
          <w:lang w:val="en-GB"/>
        </w:rPr>
        <w:t>tax exposure. For manufacturing firms, this can manifest through reduced output, slower expansion, or resource reallocation</w:t>
      </w:r>
      <w:r w:rsidRPr="00001A44">
        <w:rPr>
          <w:rFonts w:cs="Times New Roman"/>
          <w:bCs/>
          <w:color w:val="000000" w:themeColor="text1"/>
          <w:kern w:val="2"/>
          <w:szCs w:val="24"/>
          <w:lang w:val="en-GB"/>
        </w:rPr>
        <w:t xml:space="preserve"> to less productive sectors.</w:t>
      </w:r>
    </w:p>
    <w:p w14:paraId="2D595A5E" w14:textId="77777777" w:rsidR="00001A44" w:rsidRPr="00001A44" w:rsidRDefault="00001A44" w:rsidP="00001A44">
      <w:pPr>
        <w:spacing w:before="0" w:after="160" w:line="259" w:lineRule="auto"/>
        <w:rPr>
          <w:rFonts w:cs="Times New Roman"/>
          <w:bCs/>
          <w:color w:val="000000" w:themeColor="text1"/>
          <w:kern w:val="2"/>
          <w:szCs w:val="24"/>
          <w:lang w:val="en-GB"/>
        </w:rPr>
      </w:pPr>
      <w:r w:rsidRPr="00001A44">
        <w:rPr>
          <w:rFonts w:cs="Times New Roman"/>
          <w:bCs/>
          <w:color w:val="000000" w:themeColor="text1"/>
          <w:kern w:val="2"/>
          <w:szCs w:val="24"/>
          <w:lang w:val="en-GB"/>
        </w:rPr>
        <w:t xml:space="preserve">Applied to this study,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theory provides a foundation for examining how corporate income taxes, VAT, customs duties, and fiscal incentives influence firm performance. Excessive taxation may constrain reinvestment and profitability, while tax incentives can mitigate inefficiencies and enhance financial sustainability. The theory thus sheds light on the economic costs of inefficient tax structures and their implications for Kenya’s manufacturing competitiveness.</w:t>
      </w:r>
    </w:p>
    <w:p w14:paraId="6C213BBC" w14:textId="7C7A6D12" w:rsidR="00B449E1" w:rsidRPr="007A56B8" w:rsidRDefault="00001A44" w:rsidP="00001A44">
      <w:pPr>
        <w:spacing w:before="0" w:after="160" w:line="259" w:lineRule="auto"/>
        <w:rPr>
          <w:rFonts w:cs="Times New Roman"/>
          <w:bCs/>
          <w:color w:val="000000" w:themeColor="text1"/>
          <w:szCs w:val="24"/>
        </w:rPr>
      </w:pPr>
      <w:r w:rsidRPr="00001A44">
        <w:rPr>
          <w:rFonts w:cs="Times New Roman"/>
          <w:bCs/>
          <w:color w:val="000000" w:themeColor="text1"/>
          <w:kern w:val="2"/>
          <w:szCs w:val="24"/>
          <w:lang w:val="en-GB"/>
        </w:rPr>
        <w:t xml:space="preserve">However, scholars such as Diamond and </w:t>
      </w:r>
      <w:proofErr w:type="spellStart"/>
      <w:r w:rsidRPr="00001A44">
        <w:rPr>
          <w:rFonts w:cs="Times New Roman"/>
          <w:bCs/>
          <w:color w:val="000000" w:themeColor="text1"/>
          <w:kern w:val="2"/>
          <w:szCs w:val="24"/>
          <w:lang w:val="en-GB"/>
        </w:rPr>
        <w:t>Mirrlees</w:t>
      </w:r>
      <w:proofErr w:type="spellEnd"/>
      <w:r w:rsidRPr="00001A44">
        <w:rPr>
          <w:rFonts w:cs="Times New Roman"/>
          <w:bCs/>
          <w:color w:val="000000" w:themeColor="text1"/>
          <w:kern w:val="2"/>
          <w:szCs w:val="24"/>
          <w:lang w:val="en-GB"/>
        </w:rPr>
        <w:t xml:space="preserve"> (1971) </w:t>
      </w:r>
      <w:r w:rsidR="00DE4ECB" w:rsidRPr="000B4C23">
        <w:rPr>
          <w:rFonts w:cs="Times New Roman"/>
          <w:bCs/>
          <w:color w:val="000000" w:themeColor="text1"/>
          <w:kern w:val="2"/>
          <w:szCs w:val="24"/>
          <w:highlight w:val="yellow"/>
          <w:lang w:val="en-GB"/>
        </w:rPr>
        <w:t xml:space="preserve">criticised </w:t>
      </w:r>
      <w:r w:rsidRPr="000B4C23">
        <w:rPr>
          <w:rFonts w:cs="Times New Roman"/>
          <w:bCs/>
          <w:color w:val="000000" w:themeColor="text1"/>
          <w:kern w:val="2"/>
          <w:szCs w:val="24"/>
          <w:highlight w:val="yellow"/>
          <w:lang w:val="en-GB"/>
        </w:rPr>
        <w:t>the theory</w:t>
      </w:r>
      <w:r w:rsidRPr="00001A44">
        <w:rPr>
          <w:rFonts w:cs="Times New Roman"/>
          <w:bCs/>
          <w:color w:val="000000" w:themeColor="text1"/>
          <w:kern w:val="2"/>
          <w:szCs w:val="24"/>
          <w:lang w:val="en-GB"/>
        </w:rPr>
        <w:t xml:space="preserve"> for </w:t>
      </w:r>
      <w:r w:rsidR="00DE4ECB" w:rsidRPr="000B4C23">
        <w:rPr>
          <w:rFonts w:cs="Times New Roman"/>
          <w:bCs/>
          <w:color w:val="000000" w:themeColor="text1"/>
          <w:kern w:val="2"/>
          <w:szCs w:val="24"/>
          <w:highlight w:val="yellow"/>
          <w:lang w:val="en-GB"/>
        </w:rPr>
        <w:t>generalising</w:t>
      </w:r>
      <w:r w:rsidR="00DE4ECB" w:rsidRPr="00001A44">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that all taxes create inefficiencies, overlooking instances where well-structured taxation supports growth through productive public investment. Similarly, </w:t>
      </w:r>
      <w:proofErr w:type="spellStart"/>
      <w:r w:rsidRPr="00001A44">
        <w:rPr>
          <w:rFonts w:cs="Times New Roman"/>
          <w:bCs/>
          <w:color w:val="000000" w:themeColor="text1"/>
          <w:kern w:val="2"/>
          <w:szCs w:val="24"/>
          <w:lang w:val="en-GB"/>
        </w:rPr>
        <w:t>Saez</w:t>
      </w:r>
      <w:proofErr w:type="spellEnd"/>
      <w:r w:rsidRPr="00001A44">
        <w:rPr>
          <w:rFonts w:cs="Times New Roman"/>
          <w:bCs/>
          <w:color w:val="000000" w:themeColor="text1"/>
          <w:kern w:val="2"/>
          <w:szCs w:val="24"/>
          <w:lang w:val="en-GB"/>
        </w:rPr>
        <w:t xml:space="preserve"> (2001) argued that firms often adapt to taxation through innovation rather than reducing productivity. Nonetheless,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framework remains relevant as it underscores how poorly designed tax regimes can impose financial constraints on firms, while efficient tax policies enhance productivity and profitability.</w:t>
      </w:r>
      <w:r>
        <w:rPr>
          <w:rFonts w:cs="Times New Roman"/>
          <w:bCs/>
          <w:color w:val="000000" w:themeColor="text1"/>
          <w:kern w:val="2"/>
          <w:szCs w:val="24"/>
          <w:lang w:val="en-GB"/>
        </w:rPr>
        <w:t xml:space="preserve"> </w:t>
      </w:r>
      <w:r w:rsidRPr="00001A44">
        <w:rPr>
          <w:rFonts w:cs="Times New Roman"/>
          <w:bCs/>
          <w:color w:val="000000" w:themeColor="text1"/>
          <w:kern w:val="2"/>
          <w:szCs w:val="24"/>
          <w:lang w:val="en-GB"/>
        </w:rPr>
        <w:t xml:space="preserve">Together, these theories provide a robust conceptual foundation for this study. The M&amp;M Theory </w:t>
      </w:r>
      <w:r w:rsidR="00DE4ECB" w:rsidRPr="000B4C23">
        <w:rPr>
          <w:rFonts w:cs="Times New Roman"/>
          <w:bCs/>
          <w:color w:val="000000" w:themeColor="text1"/>
          <w:kern w:val="2"/>
          <w:szCs w:val="24"/>
          <w:highlight w:val="yellow"/>
          <w:lang w:val="en-GB"/>
        </w:rPr>
        <w:t xml:space="preserve">emphasises </w:t>
      </w:r>
      <w:r w:rsidRPr="000B4C23">
        <w:rPr>
          <w:rFonts w:cs="Times New Roman"/>
          <w:bCs/>
          <w:color w:val="000000" w:themeColor="text1"/>
          <w:kern w:val="2"/>
          <w:szCs w:val="24"/>
          <w:highlight w:val="yellow"/>
          <w:lang w:val="en-GB"/>
        </w:rPr>
        <w:t>the role</w:t>
      </w:r>
      <w:r w:rsidRPr="00001A44">
        <w:rPr>
          <w:rFonts w:cs="Times New Roman"/>
          <w:bCs/>
          <w:color w:val="000000" w:themeColor="text1"/>
          <w:kern w:val="2"/>
          <w:szCs w:val="24"/>
          <w:lang w:val="en-GB"/>
        </w:rPr>
        <w:t xml:space="preserve"> of tax policies in shaping financing and investment decisions; the </w:t>
      </w:r>
      <w:proofErr w:type="spellStart"/>
      <w:r w:rsidRPr="00001A44">
        <w:rPr>
          <w:rFonts w:cs="Times New Roman"/>
          <w:bCs/>
          <w:color w:val="000000" w:themeColor="text1"/>
          <w:kern w:val="2"/>
          <w:szCs w:val="24"/>
          <w:lang w:val="en-GB"/>
        </w:rPr>
        <w:t>Laffer</w:t>
      </w:r>
      <w:proofErr w:type="spellEnd"/>
      <w:r w:rsidRPr="00001A44">
        <w:rPr>
          <w:rFonts w:cs="Times New Roman"/>
          <w:bCs/>
          <w:color w:val="000000" w:themeColor="text1"/>
          <w:kern w:val="2"/>
          <w:szCs w:val="24"/>
          <w:lang w:val="en-GB"/>
        </w:rPr>
        <w:t xml:space="preserve"> </w:t>
      </w:r>
      <w:proofErr w:type="gramStart"/>
      <w:r w:rsidRPr="00001A44">
        <w:rPr>
          <w:rFonts w:cs="Times New Roman"/>
          <w:bCs/>
          <w:color w:val="000000" w:themeColor="text1"/>
          <w:kern w:val="2"/>
          <w:szCs w:val="24"/>
          <w:lang w:val="en-GB"/>
        </w:rPr>
        <w:t>Curve</w:t>
      </w:r>
      <w:proofErr w:type="gramEnd"/>
      <w:r w:rsidRPr="00001A44">
        <w:rPr>
          <w:rFonts w:cs="Times New Roman"/>
          <w:bCs/>
          <w:color w:val="000000" w:themeColor="text1"/>
          <w:kern w:val="2"/>
          <w:szCs w:val="24"/>
          <w:lang w:val="en-GB"/>
        </w:rPr>
        <w:t xml:space="preserve"> illustrates the trade-off between tax rates and economic activity; and </w:t>
      </w:r>
      <w:proofErr w:type="spellStart"/>
      <w:r w:rsidRPr="00001A44">
        <w:rPr>
          <w:rFonts w:cs="Times New Roman"/>
          <w:bCs/>
          <w:color w:val="000000" w:themeColor="text1"/>
          <w:kern w:val="2"/>
          <w:szCs w:val="24"/>
          <w:lang w:val="en-GB"/>
        </w:rPr>
        <w:t>Harberger’s</w:t>
      </w:r>
      <w:proofErr w:type="spellEnd"/>
      <w:r w:rsidRPr="00001A44">
        <w:rPr>
          <w:rFonts w:cs="Times New Roman"/>
          <w:bCs/>
          <w:color w:val="000000" w:themeColor="text1"/>
          <w:kern w:val="2"/>
          <w:szCs w:val="24"/>
          <w:lang w:val="en-GB"/>
        </w:rPr>
        <w:t xml:space="preserve"> framework highlights the efficiency costs of taxation. Collectively, they offer a multidimensional lens for understanding how Kenya’s corporate income tax, VAT, customs duties, and fiscal incentives influence the financial performance and sustainability of manufacturing firms</w:t>
      </w:r>
      <w:r w:rsidR="00147E4C" w:rsidRPr="007A56B8">
        <w:rPr>
          <w:rFonts w:cs="Times New Roman"/>
          <w:bCs/>
          <w:color w:val="000000" w:themeColor="text1"/>
          <w:kern w:val="2"/>
          <w:szCs w:val="24"/>
          <w:lang w:val="en-GB"/>
        </w:rPr>
        <w:t>.</w:t>
      </w:r>
    </w:p>
    <w:p w14:paraId="278E39F4" w14:textId="77777777" w:rsidR="00001A44" w:rsidRDefault="00001A44" w:rsidP="00151266">
      <w:pPr>
        <w:spacing w:before="0" w:after="160" w:line="259" w:lineRule="auto"/>
        <w:rPr>
          <w:rFonts w:cs="Times New Roman"/>
          <w:b/>
          <w:bCs/>
          <w:i/>
          <w:iCs/>
          <w:color w:val="000000" w:themeColor="text1"/>
          <w:sz w:val="28"/>
          <w:szCs w:val="28"/>
        </w:rPr>
      </w:pPr>
      <w:r w:rsidRPr="00001A44">
        <w:rPr>
          <w:rFonts w:cs="Times New Roman"/>
          <w:b/>
          <w:bCs/>
          <w:i/>
          <w:iCs/>
          <w:color w:val="000000" w:themeColor="text1"/>
          <w:sz w:val="28"/>
          <w:szCs w:val="28"/>
        </w:rPr>
        <w:t xml:space="preserve">Empirical Review </w:t>
      </w:r>
    </w:p>
    <w:p w14:paraId="180876D8" w14:textId="7FB744EB"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empirical review </w:t>
      </w:r>
      <w:proofErr w:type="spellStart"/>
      <w:r w:rsidR="00DE4ECB" w:rsidRPr="000B4C23">
        <w:rPr>
          <w:rFonts w:cs="Times New Roman"/>
          <w:color w:val="000000" w:themeColor="text1"/>
          <w:szCs w:val="24"/>
          <w:highlight w:val="yellow"/>
        </w:rPr>
        <w:t>synthesises</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prior research</w:t>
      </w:r>
      <w:r w:rsidRPr="00EF2DD5">
        <w:rPr>
          <w:rFonts w:cs="Times New Roman"/>
          <w:color w:val="000000" w:themeColor="text1"/>
          <w:szCs w:val="24"/>
        </w:rPr>
        <w:t xml:space="preserve"> on tax policies and firm performance, critically evaluating studies by purpose, scope, methodology, findings, and limitations. This analysis identifies gaps in existing literature and informs the development of a robust framework for examining the Kenyan manufacturing sector.</w:t>
      </w:r>
    </w:p>
    <w:p w14:paraId="5352D350" w14:textId="13788639"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Djankov</w:t>
      </w:r>
      <w:proofErr w:type="spellEnd"/>
      <w:r w:rsidRPr="00EF2DD5">
        <w:rPr>
          <w:rFonts w:cs="Times New Roman"/>
          <w:color w:val="000000" w:themeColor="text1"/>
          <w:szCs w:val="24"/>
        </w:rPr>
        <w:t xml:space="preserve"> et al. (2010) assessed corporate tax burdens across 85 countries using PricewaterhouseCoopers survey data. A 10% rise in effective tax rates reduced the investment-to-GDP ratio by 2%, alongside declines in FDI and entrepreneurship. However, the cross-sectional design limited temporal insights. The current study addresses this by employing panel data to capture evolving effects on Kenyan firms.</w:t>
      </w:r>
      <w:r>
        <w:rPr>
          <w:rFonts w:cs="Times New Roman"/>
          <w:color w:val="000000" w:themeColor="text1"/>
          <w:szCs w:val="24"/>
        </w:rPr>
        <w:t xml:space="preserve"> </w:t>
      </w:r>
      <w:r w:rsidRPr="00EF2DD5">
        <w:rPr>
          <w:rFonts w:cs="Times New Roman"/>
          <w:color w:val="000000" w:themeColor="text1"/>
          <w:szCs w:val="24"/>
        </w:rPr>
        <w:t>Lee and Gordon (2005) analyzed 70 countries (1970–1997) and found that a 10-point reduction in statutory corporate tax rates increased GDP growth by 1–2%. While highlighting macroeconomic benefits, the study overlooked firm-level outcomes. The present research narrows this gap by focusing on financial indicators within Kenyan manufacturing.</w:t>
      </w:r>
    </w:p>
    <w:p w14:paraId="24113F54" w14:textId="34DBF577"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Dartey</w:t>
      </w:r>
      <w:proofErr w:type="spellEnd"/>
      <w:r w:rsidRPr="00EF2DD5">
        <w:rPr>
          <w:rFonts w:cs="Times New Roman"/>
          <w:color w:val="000000" w:themeColor="text1"/>
          <w:szCs w:val="24"/>
        </w:rPr>
        <w:t xml:space="preserve"> (2023) examined firms in Ghana, Nigeria, and South Africa (2010–2020) using GMM estimation. Results showed that a 5% tax increase reduced firm growth by 1.5%, as higher taxes constrained reinvestment and debt servicing. While regionally broad, the study lacked Kenya-specific insights, which this research provides.</w:t>
      </w:r>
      <w:r>
        <w:rPr>
          <w:rFonts w:cs="Times New Roman"/>
          <w:color w:val="000000" w:themeColor="text1"/>
          <w:szCs w:val="24"/>
        </w:rPr>
        <w:t xml:space="preserve"> </w:t>
      </w:r>
      <w:proofErr w:type="spellStart"/>
      <w:r w:rsidRPr="00EF2DD5">
        <w:rPr>
          <w:rFonts w:cs="Times New Roman"/>
          <w:color w:val="000000" w:themeColor="text1"/>
          <w:szCs w:val="24"/>
        </w:rPr>
        <w:t>Mushunje</w:t>
      </w:r>
      <w:proofErr w:type="spellEnd"/>
      <w:r w:rsidRPr="00EF2DD5">
        <w:rPr>
          <w:rFonts w:cs="Times New Roman"/>
          <w:color w:val="000000" w:themeColor="text1"/>
          <w:szCs w:val="24"/>
        </w:rPr>
        <w:t xml:space="preserve"> (2023) applied a predator-prey model in South Africa, finding that tax rates above 30% reduced firm viability and tax revenue. Although conceptually valuable, the reliance on simulations lacked empirical grounding. The current study uses audited Kenyan data to validate such dynamics.</w:t>
      </w:r>
      <w:r>
        <w:rPr>
          <w:rFonts w:cs="Times New Roman"/>
          <w:color w:val="000000" w:themeColor="text1"/>
          <w:szCs w:val="24"/>
        </w:rPr>
        <w:t xml:space="preserve"> </w:t>
      </w:r>
      <w:proofErr w:type="spellStart"/>
      <w:r w:rsidRPr="00EF2DD5">
        <w:rPr>
          <w:rFonts w:cs="Times New Roman"/>
          <w:color w:val="000000" w:themeColor="text1"/>
          <w:szCs w:val="24"/>
        </w:rPr>
        <w:t>Otwani</w:t>
      </w:r>
      <w:proofErr w:type="spellEnd"/>
      <w:r w:rsidRPr="00EF2DD5">
        <w:rPr>
          <w:rFonts w:cs="Times New Roman"/>
          <w:color w:val="000000" w:themeColor="text1"/>
          <w:szCs w:val="24"/>
        </w:rPr>
        <w:t xml:space="preserve"> et al. (2017) </w:t>
      </w:r>
      <w:proofErr w:type="spellStart"/>
      <w:r w:rsidR="00DE4ECB" w:rsidRPr="000B4C23">
        <w:rPr>
          <w:rFonts w:cs="Times New Roman"/>
          <w:color w:val="000000" w:themeColor="text1"/>
          <w:szCs w:val="24"/>
          <w:highlight w:val="yellow"/>
        </w:rPr>
        <w:t>analysed</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20 Kenyan manufacturing firms (2006–2015) and found that a 3% tax increase reduced ROA by 1%. However, the focus on listed firms limited generalizability. This study expands coverage to both listed and unlisted firms.</w:t>
      </w:r>
      <w:r>
        <w:rPr>
          <w:rFonts w:cs="Times New Roman"/>
          <w:color w:val="000000" w:themeColor="text1"/>
          <w:szCs w:val="24"/>
        </w:rPr>
        <w:t xml:space="preserve"> </w:t>
      </w:r>
      <w:proofErr w:type="spellStart"/>
      <w:r w:rsidRPr="00EF2DD5">
        <w:rPr>
          <w:rFonts w:cs="Times New Roman"/>
          <w:color w:val="000000" w:themeColor="text1"/>
          <w:szCs w:val="24"/>
        </w:rPr>
        <w:t>Kariuki</w:t>
      </w:r>
      <w:proofErr w:type="spellEnd"/>
      <w:r w:rsidRPr="00EF2DD5">
        <w:rPr>
          <w:rFonts w:cs="Times New Roman"/>
          <w:color w:val="000000" w:themeColor="text1"/>
          <w:szCs w:val="24"/>
        </w:rPr>
        <w:t xml:space="preserve"> (2017) surveyed 50 listed Kenyan firms (2012–2016), showing that strategic tax planning raised net profit margins by 2%. Yet, reliance on self-reported data risked bias. The present study mitigates this by using audited financial statements.</w:t>
      </w:r>
    </w:p>
    <w:p w14:paraId="589FBFFC" w14:textId="7564A713" w:rsidR="00EF2DD5" w:rsidRPr="00EF2DD5"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Liu et al. (2023) studied China’s VAT reform (2012–2020) using DID estimation on 500,000 firms. A VAT cut from 16% to 13% increased profitability by 4.2% and employment by 8.5%. However, the focus was on </w:t>
      </w:r>
      <w:r w:rsidRPr="00EF2DD5">
        <w:rPr>
          <w:rFonts w:cs="Times New Roman"/>
          <w:color w:val="000000" w:themeColor="text1"/>
          <w:szCs w:val="24"/>
        </w:rPr>
        <w:lastRenderedPageBreak/>
        <w:t>employment rather than direct financial metrics. The current study addresses this by examining ROA and revenue growth in Kenya.</w:t>
      </w:r>
      <w:r>
        <w:rPr>
          <w:rFonts w:cs="Times New Roman"/>
          <w:color w:val="000000" w:themeColor="text1"/>
          <w:szCs w:val="24"/>
        </w:rPr>
        <w:t xml:space="preserve"> </w:t>
      </w:r>
      <w:proofErr w:type="spellStart"/>
      <w:r w:rsidRPr="00EF2DD5">
        <w:rPr>
          <w:rFonts w:cs="Times New Roman"/>
          <w:color w:val="000000" w:themeColor="text1"/>
          <w:szCs w:val="24"/>
        </w:rPr>
        <w:t>Ogbonnaya</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Okereke</w:t>
      </w:r>
      <w:proofErr w:type="spellEnd"/>
      <w:r w:rsidRPr="00EF2DD5">
        <w:rPr>
          <w:rFonts w:cs="Times New Roman"/>
          <w:color w:val="000000" w:themeColor="text1"/>
          <w:szCs w:val="24"/>
        </w:rPr>
        <w:t xml:space="preserve"> (2022) </w:t>
      </w:r>
      <w:proofErr w:type="spellStart"/>
      <w:r w:rsidR="00DE4ECB" w:rsidRPr="000B4C23">
        <w:rPr>
          <w:rFonts w:cs="Times New Roman"/>
          <w:color w:val="000000" w:themeColor="text1"/>
          <w:szCs w:val="24"/>
          <w:highlight w:val="yellow"/>
        </w:rPr>
        <w:t>analysed</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150 Nigerian firms (2010–2020). VAT exemptions on raw materials raised GPM by 12.4%, while exemptions on capital goods improved ROE by 9.8%. Yet, inflation and exchange rates were ignored. This study incorporates such macroeconomic controls.</w:t>
      </w:r>
    </w:p>
    <w:p w14:paraId="3026D3EE" w14:textId="604F566F"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Omodero</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Eriabie</w:t>
      </w:r>
      <w:proofErr w:type="spellEnd"/>
      <w:r w:rsidRPr="00EF2DD5">
        <w:rPr>
          <w:rFonts w:cs="Times New Roman"/>
          <w:color w:val="000000" w:themeColor="text1"/>
          <w:szCs w:val="24"/>
        </w:rPr>
        <w:t xml:space="preserve"> (2022) linked VAT revenue growth in Nigeria (2010–2021) to a 15% rise in industrial production. However, reliance on national aggregates limited firm-level insights. The present study uses audited Kenyan firm data for specificity.</w:t>
      </w:r>
      <w:r>
        <w:rPr>
          <w:rFonts w:cs="Times New Roman"/>
          <w:color w:val="000000" w:themeColor="text1"/>
          <w:szCs w:val="24"/>
        </w:rPr>
        <w:t xml:space="preserve"> </w:t>
      </w:r>
      <w:proofErr w:type="spellStart"/>
      <w:r w:rsidRPr="00EF2DD5">
        <w:rPr>
          <w:rFonts w:cs="Times New Roman"/>
          <w:color w:val="000000" w:themeColor="text1"/>
          <w:szCs w:val="24"/>
        </w:rPr>
        <w:t>Mwangi</w:t>
      </w:r>
      <w:proofErr w:type="spellEnd"/>
      <w:r w:rsidRPr="00EF2DD5">
        <w:rPr>
          <w:rFonts w:cs="Times New Roman"/>
          <w:color w:val="000000" w:themeColor="text1"/>
          <w:szCs w:val="24"/>
        </w:rPr>
        <w:t xml:space="preserve"> et al. (2021) examined 447 Nairobi firms (2009–2018). Zero-rated VAT improved NPM by 12%, while exemptions on capital goods raised ROA by 9%. Yet, macroeconomic influences were overlooked. This study integrates such variables for robustness.</w:t>
      </w:r>
    </w:p>
    <w:p w14:paraId="016D0846" w14:textId="316A83BB"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Gachigo</w:t>
      </w:r>
      <w:proofErr w:type="spellEnd"/>
      <w:r w:rsidRPr="00EF2DD5">
        <w:rPr>
          <w:rFonts w:cs="Times New Roman"/>
          <w:color w:val="000000" w:themeColor="text1"/>
          <w:szCs w:val="24"/>
        </w:rPr>
        <w:t xml:space="preserve"> (2024) studied Kenyan telecom firms (2016–2022), finding that a VAT rise from 14% to 16% reduced NPM by 3.5% and raised costs by 7%. However, telecoms differ structurally from manufacturers. The current study fills this contextual gap.</w:t>
      </w:r>
      <w:r>
        <w:rPr>
          <w:rFonts w:cs="Times New Roman"/>
          <w:color w:val="000000" w:themeColor="text1"/>
          <w:szCs w:val="24"/>
        </w:rPr>
        <w:t xml:space="preserve"> </w:t>
      </w:r>
      <w:proofErr w:type="spellStart"/>
      <w:r w:rsidRPr="00EF2DD5">
        <w:rPr>
          <w:rFonts w:cs="Times New Roman"/>
          <w:color w:val="000000" w:themeColor="text1"/>
          <w:szCs w:val="24"/>
        </w:rPr>
        <w:t>Mwangi</w:t>
      </w:r>
      <w:proofErr w:type="spellEnd"/>
      <w:r w:rsidRPr="00EF2DD5">
        <w:rPr>
          <w:rFonts w:cs="Times New Roman"/>
          <w:color w:val="000000" w:themeColor="text1"/>
          <w:szCs w:val="24"/>
        </w:rPr>
        <w:t xml:space="preserve"> et al. (2021) also found that VAT-compliant pricing strategies increased revenue by 8%, while late remittances reduced earnings by 5%. Yet, the lack of industry-specific breakdowns limited insights. This study </w:t>
      </w:r>
      <w:proofErr w:type="spellStart"/>
      <w:r w:rsidR="00DE4ECB" w:rsidRPr="000B4C23">
        <w:rPr>
          <w:rFonts w:cs="Times New Roman"/>
          <w:color w:val="000000" w:themeColor="text1"/>
          <w:szCs w:val="24"/>
          <w:highlight w:val="yellow"/>
        </w:rPr>
        <w:t>categorises</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firms by size and sector for nuanced analysis.</w:t>
      </w:r>
    </w:p>
    <w:p w14:paraId="4811DCBC" w14:textId="76C72AE4"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Córdova</w:t>
      </w:r>
      <w:proofErr w:type="spellEnd"/>
      <w:r w:rsidRPr="00EF2DD5">
        <w:rPr>
          <w:rFonts w:cs="Times New Roman"/>
          <w:color w:val="000000" w:themeColor="text1"/>
          <w:szCs w:val="24"/>
        </w:rPr>
        <w:t xml:space="preserve">-León et al. (2022) studied 120 Ecuadorian firms, finding that tax incentives raised ROA by 14%. However, the focus on Ecuador limited African applicability. This study </w:t>
      </w:r>
      <w:proofErr w:type="spellStart"/>
      <w:r w:rsidR="00DE4ECB" w:rsidRPr="000B4C23">
        <w:rPr>
          <w:rFonts w:cs="Times New Roman"/>
          <w:color w:val="000000" w:themeColor="text1"/>
          <w:szCs w:val="24"/>
          <w:highlight w:val="yellow"/>
        </w:rPr>
        <w:t>contextualises</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findings</w:t>
      </w:r>
      <w:r w:rsidRPr="00EF2DD5">
        <w:rPr>
          <w:rFonts w:cs="Times New Roman"/>
          <w:color w:val="000000" w:themeColor="text1"/>
          <w:szCs w:val="24"/>
        </w:rPr>
        <w:t xml:space="preserve"> within Kenya’s fiscal environment.</w:t>
      </w:r>
      <w:r>
        <w:rPr>
          <w:rFonts w:cs="Times New Roman"/>
          <w:color w:val="000000" w:themeColor="text1"/>
          <w:szCs w:val="24"/>
        </w:rPr>
        <w:t xml:space="preserve"> </w:t>
      </w:r>
      <w:proofErr w:type="spellStart"/>
      <w:r w:rsidRPr="00EF2DD5">
        <w:rPr>
          <w:rFonts w:cs="Times New Roman"/>
          <w:color w:val="000000" w:themeColor="text1"/>
          <w:szCs w:val="24"/>
        </w:rPr>
        <w:t>Zeng</w:t>
      </w:r>
      <w:proofErr w:type="spellEnd"/>
      <w:r w:rsidRPr="00EF2DD5">
        <w:rPr>
          <w:rFonts w:cs="Times New Roman"/>
          <w:color w:val="000000" w:themeColor="text1"/>
          <w:szCs w:val="24"/>
        </w:rPr>
        <w:t xml:space="preserve"> et al. (2025) </w:t>
      </w:r>
      <w:proofErr w:type="spellStart"/>
      <w:r w:rsidR="00DE4ECB" w:rsidRPr="000B4C23">
        <w:rPr>
          <w:rFonts w:cs="Times New Roman"/>
          <w:color w:val="000000" w:themeColor="text1"/>
          <w:szCs w:val="24"/>
          <w:highlight w:val="yellow"/>
        </w:rPr>
        <w:t>analysed</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 xml:space="preserve">300 Chinese NEV firms (2010–2024) using DID models. Tax incentives boosted sales by 20% and NPM by 9%. Yet, sector-specificity limited </w:t>
      </w:r>
      <w:proofErr w:type="spellStart"/>
      <w:r w:rsidR="00DE4ECB" w:rsidRPr="000B4C23">
        <w:rPr>
          <w:rFonts w:cs="Times New Roman"/>
          <w:color w:val="000000" w:themeColor="text1"/>
          <w:szCs w:val="24"/>
          <w:highlight w:val="yellow"/>
        </w:rPr>
        <w:t>generalisation</w:t>
      </w:r>
      <w:proofErr w:type="spellEnd"/>
      <w:r w:rsidRPr="000B4C23">
        <w:rPr>
          <w:rFonts w:cs="Times New Roman"/>
          <w:color w:val="000000" w:themeColor="text1"/>
          <w:szCs w:val="24"/>
          <w:highlight w:val="yellow"/>
        </w:rPr>
        <w:t>.</w:t>
      </w:r>
      <w:r w:rsidRPr="00EF2DD5">
        <w:rPr>
          <w:rFonts w:cs="Times New Roman"/>
          <w:color w:val="000000" w:themeColor="text1"/>
          <w:szCs w:val="24"/>
        </w:rPr>
        <w:t xml:space="preserve"> The current study </w:t>
      </w:r>
      <w:r w:rsidRPr="000B4C23">
        <w:rPr>
          <w:rFonts w:cs="Times New Roman"/>
          <w:color w:val="000000" w:themeColor="text1"/>
          <w:szCs w:val="24"/>
          <w:highlight w:val="yellow"/>
        </w:rPr>
        <w:t xml:space="preserve">broadens </w:t>
      </w:r>
      <w:r w:rsidR="00DE4ECB" w:rsidRPr="000B4C23">
        <w:rPr>
          <w:rFonts w:cs="Times New Roman"/>
          <w:color w:val="000000" w:themeColor="text1"/>
          <w:szCs w:val="24"/>
          <w:highlight w:val="yellow"/>
        </w:rPr>
        <w:t xml:space="preserve">the </w:t>
      </w:r>
      <w:r w:rsidRPr="000B4C23">
        <w:rPr>
          <w:rFonts w:cs="Times New Roman"/>
          <w:color w:val="000000" w:themeColor="text1"/>
          <w:szCs w:val="24"/>
          <w:highlight w:val="yellow"/>
        </w:rPr>
        <w:t>scope</w:t>
      </w:r>
      <w:r w:rsidRPr="00EF2DD5">
        <w:rPr>
          <w:rFonts w:cs="Times New Roman"/>
          <w:color w:val="000000" w:themeColor="text1"/>
          <w:szCs w:val="24"/>
        </w:rPr>
        <w:t xml:space="preserve"> to diverse Kenyan manufacturers.</w:t>
      </w:r>
    </w:p>
    <w:p w14:paraId="34DA9EA4" w14:textId="59FBA3EC"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Mayende</w:t>
      </w:r>
      <w:proofErr w:type="spellEnd"/>
      <w:r w:rsidRPr="00EF2DD5">
        <w:rPr>
          <w:rFonts w:cs="Times New Roman"/>
          <w:color w:val="000000" w:themeColor="text1"/>
          <w:szCs w:val="24"/>
        </w:rPr>
        <w:t xml:space="preserve"> (2013) examined Ugandan firms (2006–2011), finding that tax incentives raised ROI by 10% and retained earnings by 12%. However, external economic factors were not controlled. This study incorporates inflation and GDP growth as controls.</w:t>
      </w:r>
      <w:r>
        <w:rPr>
          <w:rFonts w:cs="Times New Roman"/>
          <w:color w:val="000000" w:themeColor="text1"/>
          <w:szCs w:val="24"/>
        </w:rPr>
        <w:t xml:space="preserve"> </w:t>
      </w:r>
      <w:proofErr w:type="spellStart"/>
      <w:r w:rsidRPr="00EF2DD5">
        <w:rPr>
          <w:rFonts w:cs="Times New Roman"/>
          <w:color w:val="000000" w:themeColor="text1"/>
          <w:szCs w:val="24"/>
        </w:rPr>
        <w:t>Oyerogba</w:t>
      </w:r>
      <w:proofErr w:type="spellEnd"/>
      <w:r w:rsidRPr="00EF2DD5">
        <w:rPr>
          <w:rFonts w:cs="Times New Roman"/>
          <w:color w:val="000000" w:themeColor="text1"/>
          <w:szCs w:val="24"/>
        </w:rPr>
        <w:t xml:space="preserve"> et al. (2024) </w:t>
      </w:r>
      <w:proofErr w:type="spellStart"/>
      <w:r w:rsidR="00DE4ECB" w:rsidRPr="000B4C23">
        <w:rPr>
          <w:rFonts w:cs="Times New Roman"/>
          <w:color w:val="000000" w:themeColor="text1"/>
          <w:szCs w:val="24"/>
          <w:highlight w:val="yellow"/>
        </w:rPr>
        <w:t>analysed</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50 Nigerian listed firms (2012–2022). Tax incentives improved ROE by 17% and cash flow by 13%. Yet, small firms were excluded. This study includes both listed and unlisted Kenyan firms.</w:t>
      </w:r>
      <w:r>
        <w:rPr>
          <w:rFonts w:cs="Times New Roman"/>
          <w:color w:val="000000" w:themeColor="text1"/>
          <w:szCs w:val="24"/>
        </w:rPr>
        <w:t xml:space="preserve"> </w:t>
      </w:r>
      <w:proofErr w:type="spellStart"/>
      <w:r w:rsidRPr="00EF2DD5">
        <w:rPr>
          <w:rFonts w:cs="Times New Roman"/>
          <w:color w:val="000000" w:themeColor="text1"/>
          <w:szCs w:val="24"/>
        </w:rPr>
        <w:t>Karimi</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Wanjohi</w:t>
      </w:r>
      <w:proofErr w:type="spellEnd"/>
      <w:r w:rsidRPr="00EF2DD5">
        <w:rPr>
          <w:rFonts w:cs="Times New Roman"/>
          <w:color w:val="000000" w:themeColor="text1"/>
          <w:szCs w:val="24"/>
        </w:rPr>
        <w:t xml:space="preserve"> (2024) studied 100 Nairobi firms, finding that incentives improved NPM by 10% and ROA by 15%. However, the county-specific scope limited </w:t>
      </w:r>
      <w:proofErr w:type="spellStart"/>
      <w:r w:rsidR="00DE4ECB" w:rsidRPr="000B4C23">
        <w:rPr>
          <w:rFonts w:cs="Times New Roman"/>
          <w:color w:val="000000" w:themeColor="text1"/>
          <w:szCs w:val="24"/>
          <w:highlight w:val="yellow"/>
        </w:rPr>
        <w:t>generalisatio</w:t>
      </w:r>
      <w:r w:rsidR="00DE4ECB">
        <w:rPr>
          <w:rFonts w:cs="Times New Roman"/>
          <w:color w:val="000000" w:themeColor="text1"/>
          <w:szCs w:val="24"/>
        </w:rPr>
        <w:t>n</w:t>
      </w:r>
      <w:proofErr w:type="spellEnd"/>
      <w:r w:rsidRPr="00EF2DD5">
        <w:rPr>
          <w:rFonts w:cs="Times New Roman"/>
          <w:color w:val="000000" w:themeColor="text1"/>
          <w:szCs w:val="24"/>
        </w:rPr>
        <w:t>. This study expands to multiple counties.</w:t>
      </w:r>
      <w:r>
        <w:rPr>
          <w:rFonts w:cs="Times New Roman"/>
          <w:color w:val="000000" w:themeColor="text1"/>
          <w:szCs w:val="24"/>
        </w:rPr>
        <w:t xml:space="preserve"> </w:t>
      </w:r>
      <w:proofErr w:type="spellStart"/>
      <w:r w:rsidRPr="00EF2DD5">
        <w:rPr>
          <w:rFonts w:cs="Times New Roman"/>
          <w:color w:val="000000" w:themeColor="text1"/>
          <w:szCs w:val="24"/>
        </w:rPr>
        <w:t>Ochieng</w:t>
      </w:r>
      <w:proofErr w:type="spellEnd"/>
      <w:r w:rsidRPr="00EF2DD5">
        <w:rPr>
          <w:rFonts w:cs="Times New Roman"/>
          <w:color w:val="000000" w:themeColor="text1"/>
          <w:szCs w:val="24"/>
        </w:rPr>
        <w:t xml:space="preserve"> (2020) examined 30 EPZ firms in Mombasa (2015–2019). Tax exemptions raised ROCE by 18% and operating margins by 12%. Yet, EPZ-specific regimes limited applicability. This study includes both EPZ and non-EPZ firms.</w:t>
      </w:r>
    </w:p>
    <w:p w14:paraId="1AB287E2" w14:textId="25CC7851"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Amiti</w:t>
      </w:r>
      <w:proofErr w:type="spellEnd"/>
      <w:r w:rsidRPr="00EF2DD5">
        <w:rPr>
          <w:rFonts w:cs="Times New Roman"/>
          <w:color w:val="000000" w:themeColor="text1"/>
          <w:szCs w:val="24"/>
        </w:rPr>
        <w:t xml:space="preserve"> et al. (2019) </w:t>
      </w:r>
      <w:proofErr w:type="spellStart"/>
      <w:r w:rsidR="00DE4ECB" w:rsidRPr="000B4C23">
        <w:rPr>
          <w:rFonts w:cs="Times New Roman"/>
          <w:color w:val="000000" w:themeColor="text1"/>
          <w:szCs w:val="24"/>
          <w:highlight w:val="yellow"/>
        </w:rPr>
        <w:t>analysed</w:t>
      </w:r>
      <w:proofErr w:type="spellEnd"/>
      <w:r w:rsidR="00DE4ECB" w:rsidRPr="00EF2DD5">
        <w:rPr>
          <w:rFonts w:cs="Times New Roman"/>
          <w:color w:val="000000" w:themeColor="text1"/>
          <w:szCs w:val="24"/>
        </w:rPr>
        <w:t xml:space="preserve"> </w:t>
      </w:r>
      <w:r w:rsidRPr="00EF2DD5">
        <w:rPr>
          <w:rFonts w:cs="Times New Roman"/>
          <w:color w:val="000000" w:themeColor="text1"/>
          <w:szCs w:val="24"/>
        </w:rPr>
        <w:t>U.S. tariffs (2018), finding that a 10% tariff increase raised producer costs by 0.3% and consumer prices by 0.4%. While highlighting cost burdens, the study overlooked firm-level financial indicators. The current study addresses this gap in Kenya.</w:t>
      </w:r>
      <w:r>
        <w:rPr>
          <w:rFonts w:cs="Times New Roman"/>
          <w:color w:val="000000" w:themeColor="text1"/>
          <w:szCs w:val="24"/>
        </w:rPr>
        <w:t xml:space="preserve"> </w:t>
      </w:r>
      <w:proofErr w:type="spellStart"/>
      <w:r w:rsidRPr="00EF2DD5">
        <w:rPr>
          <w:rFonts w:cs="Times New Roman"/>
          <w:color w:val="000000" w:themeColor="text1"/>
          <w:szCs w:val="24"/>
        </w:rPr>
        <w:t>Fajgelbaum</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Khandelwal</w:t>
      </w:r>
      <w:proofErr w:type="spellEnd"/>
      <w:r w:rsidRPr="00EF2DD5">
        <w:rPr>
          <w:rFonts w:cs="Times New Roman"/>
          <w:color w:val="000000" w:themeColor="text1"/>
          <w:szCs w:val="24"/>
        </w:rPr>
        <w:t xml:space="preserve"> (2022) examined the U.S.–China trade war, finding that reliance on Chinese imports raised costs by 6.2% and reduced margins by 4.5%. Yet, firm adaptation strategies were not explored. This study investigates how Kenyan firms navigate such pressures.</w:t>
      </w:r>
    </w:p>
    <w:p w14:paraId="5833FC5F" w14:textId="30307E43"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Okereke</w:t>
      </w:r>
      <w:proofErr w:type="spellEnd"/>
      <w:r w:rsidRPr="00EF2DD5">
        <w:rPr>
          <w:rFonts w:cs="Times New Roman"/>
          <w:color w:val="000000" w:themeColor="text1"/>
          <w:szCs w:val="24"/>
        </w:rPr>
        <w:t xml:space="preserve"> et al. (2023) studied 150 Nigerian textile firms, finding that tariffs reduced imports by 12% but raised raw material costs by 2.5%. While insightful, the sector-specific scope </w:t>
      </w:r>
      <w:r w:rsidRPr="000B4C23">
        <w:rPr>
          <w:rFonts w:cs="Times New Roman"/>
          <w:color w:val="000000" w:themeColor="text1"/>
          <w:szCs w:val="24"/>
          <w:highlight w:val="yellow"/>
        </w:rPr>
        <w:t xml:space="preserve">limited </w:t>
      </w:r>
      <w:proofErr w:type="spellStart"/>
      <w:r w:rsidR="00DE4ECB" w:rsidRPr="000B4C23">
        <w:rPr>
          <w:rFonts w:cs="Times New Roman"/>
          <w:color w:val="000000" w:themeColor="text1"/>
          <w:szCs w:val="24"/>
          <w:highlight w:val="yellow"/>
        </w:rPr>
        <w:t>generalisation</w:t>
      </w:r>
      <w:proofErr w:type="spellEnd"/>
      <w:r w:rsidRPr="000B4C23">
        <w:rPr>
          <w:rFonts w:cs="Times New Roman"/>
          <w:color w:val="000000" w:themeColor="text1"/>
          <w:szCs w:val="24"/>
          <w:highlight w:val="yellow"/>
        </w:rPr>
        <w:t xml:space="preserve">. </w:t>
      </w:r>
      <w:r w:rsidRPr="00F341C6">
        <w:rPr>
          <w:rFonts w:cs="Times New Roman"/>
          <w:color w:val="000000" w:themeColor="text1"/>
          <w:szCs w:val="24"/>
        </w:rPr>
        <w:t xml:space="preserve">This study extends </w:t>
      </w:r>
      <w:r w:rsidR="00DE4ECB" w:rsidRPr="00F341C6">
        <w:rPr>
          <w:rFonts w:cs="Times New Roman"/>
          <w:color w:val="000000" w:themeColor="text1"/>
          <w:szCs w:val="24"/>
        </w:rPr>
        <w:t xml:space="preserve">the </w:t>
      </w:r>
      <w:r w:rsidRPr="00F341C6">
        <w:rPr>
          <w:rFonts w:cs="Times New Roman"/>
          <w:color w:val="000000" w:themeColor="text1"/>
          <w:szCs w:val="24"/>
        </w:rPr>
        <w:t xml:space="preserve">analysis to multiple Kenyan industries. </w:t>
      </w:r>
      <w:proofErr w:type="spellStart"/>
      <w:r w:rsidRPr="00F341C6">
        <w:rPr>
          <w:rFonts w:cs="Times New Roman"/>
          <w:color w:val="000000" w:themeColor="text1"/>
          <w:szCs w:val="24"/>
        </w:rPr>
        <w:t>Matlala</w:t>
      </w:r>
      <w:proofErr w:type="spellEnd"/>
      <w:r w:rsidRPr="00F341C6">
        <w:rPr>
          <w:rFonts w:cs="Times New Roman"/>
          <w:color w:val="000000" w:themeColor="text1"/>
          <w:szCs w:val="24"/>
        </w:rPr>
        <w:t xml:space="preserve"> (2024) examined South African tobacco firms</w:t>
      </w:r>
      <w:r w:rsidRPr="00EF2DD5">
        <w:rPr>
          <w:rFonts w:cs="Times New Roman"/>
          <w:color w:val="000000" w:themeColor="text1"/>
          <w:szCs w:val="24"/>
        </w:rPr>
        <w:t xml:space="preserve"> (2010–2023), finding that a 15% excise duty increase raised illicit trade by 10.5%, reducing legal firms’ revenue. Yet, the focus on tobacco limited applicability. This study explores broader </w:t>
      </w:r>
      <w:proofErr w:type="spellStart"/>
      <w:r w:rsidRPr="00EF2DD5">
        <w:rPr>
          <w:rFonts w:cs="Times New Roman"/>
          <w:color w:val="000000" w:themeColor="text1"/>
          <w:szCs w:val="24"/>
        </w:rPr>
        <w:t>sectoral</w:t>
      </w:r>
      <w:proofErr w:type="spellEnd"/>
      <w:r w:rsidRPr="00EF2DD5">
        <w:rPr>
          <w:rFonts w:cs="Times New Roman"/>
          <w:color w:val="000000" w:themeColor="text1"/>
          <w:szCs w:val="24"/>
        </w:rPr>
        <w:t xml:space="preserve"> impacts.</w:t>
      </w:r>
    </w:p>
    <w:p w14:paraId="6DEDDCA1" w14:textId="4F68AB14" w:rsidR="00EF2DD5" w:rsidRPr="00EF2DD5" w:rsidRDefault="00EF2DD5" w:rsidP="00EF2DD5">
      <w:pPr>
        <w:spacing w:before="0" w:after="160" w:line="259" w:lineRule="auto"/>
        <w:rPr>
          <w:rFonts w:cs="Times New Roman"/>
          <w:color w:val="000000" w:themeColor="text1"/>
          <w:szCs w:val="24"/>
        </w:rPr>
      </w:pPr>
      <w:proofErr w:type="spellStart"/>
      <w:r w:rsidRPr="00EF2DD5">
        <w:rPr>
          <w:rFonts w:cs="Times New Roman"/>
          <w:color w:val="000000" w:themeColor="text1"/>
          <w:szCs w:val="24"/>
        </w:rPr>
        <w:t>Mwangi</w:t>
      </w:r>
      <w:proofErr w:type="spellEnd"/>
      <w:r w:rsidRPr="00EF2DD5">
        <w:rPr>
          <w:rFonts w:cs="Times New Roman"/>
          <w:color w:val="000000" w:themeColor="text1"/>
          <w:szCs w:val="24"/>
        </w:rPr>
        <w:t xml:space="preserve"> and </w:t>
      </w:r>
      <w:proofErr w:type="spellStart"/>
      <w:r w:rsidRPr="00EF2DD5">
        <w:rPr>
          <w:rFonts w:cs="Times New Roman"/>
          <w:color w:val="000000" w:themeColor="text1"/>
          <w:szCs w:val="24"/>
        </w:rPr>
        <w:t>Gitau</w:t>
      </w:r>
      <w:proofErr w:type="spellEnd"/>
      <w:r w:rsidRPr="00EF2DD5">
        <w:rPr>
          <w:rFonts w:cs="Times New Roman"/>
          <w:color w:val="000000" w:themeColor="text1"/>
          <w:szCs w:val="24"/>
        </w:rPr>
        <w:t xml:space="preserve"> (2022) </w:t>
      </w:r>
      <w:proofErr w:type="spellStart"/>
      <w:r w:rsidR="00DE4ECB" w:rsidRPr="000B4C23">
        <w:rPr>
          <w:rFonts w:cs="Times New Roman"/>
          <w:color w:val="000000" w:themeColor="text1"/>
          <w:szCs w:val="24"/>
          <w:highlight w:val="yellow"/>
        </w:rPr>
        <w:t>analysed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Kenyan</w:t>
      </w:r>
      <w:r w:rsidRPr="00EF2DD5">
        <w:rPr>
          <w:rFonts w:cs="Times New Roman"/>
          <w:color w:val="000000" w:themeColor="text1"/>
          <w:szCs w:val="24"/>
        </w:rPr>
        <w:t xml:space="preserve"> firms (2015–2021), finding that customs duty incentives raised ROA by 8.5% and NPM by 5.2%. However, risks of overreliance on incentives were not addressed. This study evaluates both benefits and risks.</w:t>
      </w:r>
      <w:r>
        <w:rPr>
          <w:rFonts w:cs="Times New Roman"/>
          <w:color w:val="000000" w:themeColor="text1"/>
          <w:szCs w:val="24"/>
        </w:rPr>
        <w:t xml:space="preserve"> </w:t>
      </w:r>
      <w:proofErr w:type="spellStart"/>
      <w:r w:rsidRPr="00EF2DD5">
        <w:rPr>
          <w:rFonts w:cs="Times New Roman"/>
          <w:color w:val="000000" w:themeColor="text1"/>
          <w:szCs w:val="24"/>
        </w:rPr>
        <w:t>Otieno</w:t>
      </w:r>
      <w:proofErr w:type="spellEnd"/>
      <w:r w:rsidRPr="00EF2DD5">
        <w:rPr>
          <w:rFonts w:cs="Times New Roman"/>
          <w:color w:val="000000" w:themeColor="text1"/>
          <w:szCs w:val="24"/>
        </w:rPr>
        <w:t xml:space="preserve"> (2011) studied Kenyan sugar firms (2005–2010), finding that higher </w:t>
      </w:r>
      <w:r w:rsidRPr="00EF2DD5">
        <w:rPr>
          <w:rFonts w:cs="Times New Roman"/>
          <w:color w:val="000000" w:themeColor="text1"/>
          <w:szCs w:val="24"/>
        </w:rPr>
        <w:lastRenderedPageBreak/>
        <w:t>taxes reduced NPM by 7.3%. However, the outdated scope limited relevance. This study updates the analysis with recent data (2018–2025) across multiple sectors.</w:t>
      </w:r>
    </w:p>
    <w:p w14:paraId="1211445F" w14:textId="7D77F6D4" w:rsidR="00CB6E82" w:rsidRPr="007A56B8" w:rsidRDefault="00EF2DD5" w:rsidP="00EF2DD5">
      <w:pPr>
        <w:spacing w:before="0" w:after="160" w:line="259" w:lineRule="auto"/>
        <w:rPr>
          <w:rFonts w:cs="Times New Roman"/>
          <w:color w:val="000000" w:themeColor="text1"/>
          <w:szCs w:val="24"/>
        </w:rPr>
      </w:pPr>
      <w:r w:rsidRPr="00EF2DD5">
        <w:rPr>
          <w:rFonts w:cs="Times New Roman"/>
          <w:color w:val="000000" w:themeColor="text1"/>
          <w:szCs w:val="24"/>
        </w:rPr>
        <w:t xml:space="preserve">The reviewed literature demonstrates that tax policies significantly influence firm performance across contexts. Corporate tax rates affect investment, leverage, and profitability; VAT policies shape margins and compliance costs; tax incentives enhance competitiveness and growth; and customs/excise duties alter cost structures and sustainability. However, gaps persist in temporal scope, methodological </w:t>
      </w:r>
      <w:proofErr w:type="spellStart"/>
      <w:r w:rsidR="00DE4ECB" w:rsidRPr="000B4C23">
        <w:rPr>
          <w:rFonts w:cs="Times New Roman"/>
          <w:color w:val="000000" w:themeColor="text1"/>
          <w:szCs w:val="24"/>
          <w:highlight w:val="yellow"/>
        </w:rPr>
        <w:t>rigour</w:t>
      </w:r>
      <w:proofErr w:type="spellEnd"/>
      <w:r w:rsidRPr="000B4C23">
        <w:rPr>
          <w:rFonts w:cs="Times New Roman"/>
          <w:color w:val="000000" w:themeColor="text1"/>
          <w:szCs w:val="24"/>
          <w:highlight w:val="yellow"/>
        </w:rPr>
        <w:t>, and contextual</w:t>
      </w:r>
      <w:r w:rsidRPr="00EF2DD5">
        <w:rPr>
          <w:rFonts w:cs="Times New Roman"/>
          <w:color w:val="000000" w:themeColor="text1"/>
          <w:szCs w:val="24"/>
        </w:rPr>
        <w:t xml:space="preserve"> relevance. By focusing on Kenyan manufacturing firms, this study addresses these limitations, offering a comprehensive and empirically grounded evaluation of tax policies’ financial implications</w:t>
      </w:r>
      <w:r w:rsidR="00151266" w:rsidRPr="00151266">
        <w:rPr>
          <w:rFonts w:cs="Times New Roman"/>
          <w:color w:val="000000" w:themeColor="text1"/>
          <w:szCs w:val="24"/>
        </w:rPr>
        <w:t>.</w:t>
      </w:r>
    </w:p>
    <w:p w14:paraId="35BCEF5F" w14:textId="1EFB8069" w:rsidR="00055D83" w:rsidRPr="007A56B8" w:rsidRDefault="00055D83" w:rsidP="002C6F25">
      <w:pPr>
        <w:spacing w:line="240" w:lineRule="auto"/>
        <w:rPr>
          <w:rFonts w:cs="Times New Roman"/>
          <w:b/>
          <w:bCs/>
          <w:color w:val="000000" w:themeColor="text1"/>
          <w:sz w:val="28"/>
          <w:szCs w:val="28"/>
        </w:rPr>
      </w:pPr>
      <w:r w:rsidRPr="007A56B8">
        <w:rPr>
          <w:rFonts w:cs="Times New Roman"/>
          <w:b/>
          <w:bCs/>
          <w:color w:val="000000" w:themeColor="text1"/>
          <w:sz w:val="28"/>
          <w:szCs w:val="28"/>
        </w:rPr>
        <w:t>3.0 RESEARCH METHODOLOGY</w:t>
      </w:r>
    </w:p>
    <w:p w14:paraId="3EAF2507"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This study adopted a descriptive research design to examine the relationship between tax policies and the financial performance of manufacturing firms in Kenya. The design was appropriate for observing and describing real-world relationships without manipulating variables, thus enabling a deeper understanding of how corporate income tax rates, value-added tax (VAT) policies, tax incentives, and customs duties influence firms’ profitability. Descriptive research is also effective in handling cross-sectional data, allowing comparison across firms and sub-sectors (</w:t>
      </w:r>
      <w:proofErr w:type="spellStart"/>
      <w:r w:rsidRPr="00442282">
        <w:rPr>
          <w:rFonts w:cs="Times New Roman"/>
          <w:color w:val="000000" w:themeColor="text1"/>
          <w:szCs w:val="24"/>
        </w:rPr>
        <w:t>Bryman</w:t>
      </w:r>
      <w:proofErr w:type="spellEnd"/>
      <w:r w:rsidRPr="00442282">
        <w:rPr>
          <w:rFonts w:cs="Times New Roman"/>
          <w:color w:val="000000" w:themeColor="text1"/>
          <w:szCs w:val="24"/>
        </w:rPr>
        <w:t>, 2021). This approach provided reliable and policy-relevant insights into the impacts of taxation on manufacturing performance.</w:t>
      </w:r>
    </w:p>
    <w:p w14:paraId="1DE7F5E2"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The target population comprised 243 registered manufacturing firms in Kenya, as listed in the Kenya Association of Manufacturers (KAM) 2023 Industrial Survey. These firms operate across diverse sub-sectors such as food processing, textiles, chemicals, construction materials, and metal products, which together contribute significantly to Kenya’s GDP. The sector was selected because it generates substantial tax revenue and is highly responsive to fiscal policy changes. The KAM registry provided a dependable sampling frame for this study.</w:t>
      </w:r>
    </w:p>
    <w:p w14:paraId="6C0F785D" w14:textId="7E4517AD"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A stratified random sampling design was employed to ensure fair representation across all manufacturing sub-sectors. This approach </w:t>
      </w:r>
      <w:proofErr w:type="spellStart"/>
      <w:r w:rsidR="00DE4ECB" w:rsidRPr="000B4C23">
        <w:rPr>
          <w:rFonts w:cs="Times New Roman"/>
          <w:color w:val="000000" w:themeColor="text1"/>
          <w:szCs w:val="24"/>
          <w:highlight w:val="yellow"/>
        </w:rPr>
        <w:t>categorised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the</w:t>
      </w:r>
      <w:r w:rsidRPr="00442282">
        <w:rPr>
          <w:rFonts w:cs="Times New Roman"/>
          <w:color w:val="000000" w:themeColor="text1"/>
          <w:szCs w:val="24"/>
        </w:rPr>
        <w:t xml:space="preserve"> firms into homogeneous groups</w:t>
      </w:r>
      <w:r w:rsidR="00DE4ECB">
        <w:rPr>
          <w:rFonts w:cs="Times New Roman"/>
          <w:color w:val="000000" w:themeColor="text1"/>
          <w:szCs w:val="24"/>
        </w:rPr>
        <w:t>:</w:t>
      </w:r>
      <w:r w:rsidR="00E207BA">
        <w:rPr>
          <w:rFonts w:cs="Times New Roman"/>
          <w:color w:val="000000" w:themeColor="text1"/>
          <w:szCs w:val="24"/>
        </w:rPr>
        <w:t xml:space="preserve"> </w:t>
      </w:r>
      <w:r w:rsidRPr="00442282">
        <w:rPr>
          <w:rFonts w:cs="Times New Roman"/>
          <w:color w:val="000000" w:themeColor="text1"/>
          <w:szCs w:val="24"/>
        </w:rPr>
        <w:t>food processing, textiles, chemicals, construction materials, metal products, and other manufacturing</w:t>
      </w:r>
      <w:r w:rsidR="00E207BA">
        <w:rPr>
          <w:rFonts w:cs="Times New Roman"/>
          <w:color w:val="000000" w:themeColor="text1"/>
          <w:szCs w:val="24"/>
        </w:rPr>
        <w:t xml:space="preserve"> </w:t>
      </w:r>
      <w:r w:rsidRPr="00442282">
        <w:rPr>
          <w:rFonts w:cs="Times New Roman"/>
          <w:color w:val="000000" w:themeColor="text1"/>
          <w:szCs w:val="24"/>
        </w:rPr>
        <w:t xml:space="preserve">to capture </w:t>
      </w:r>
      <w:proofErr w:type="spellStart"/>
      <w:r w:rsidRPr="00442282">
        <w:rPr>
          <w:rFonts w:cs="Times New Roman"/>
          <w:color w:val="000000" w:themeColor="text1"/>
          <w:szCs w:val="24"/>
        </w:rPr>
        <w:t>sectoral</w:t>
      </w:r>
      <w:proofErr w:type="spellEnd"/>
      <w:r w:rsidRPr="00442282">
        <w:rPr>
          <w:rFonts w:cs="Times New Roman"/>
          <w:color w:val="000000" w:themeColor="text1"/>
          <w:szCs w:val="24"/>
        </w:rPr>
        <w:t xml:space="preserve"> variations in tax effects. Using Yamane’s (1973) formula with a 5% margin of error, a representative sample size of 100 firms was derived. The sample was proportionately allocated across sub-sectors to maintain representativeness; for instance, 28 firms were drawn from food processing, 19 from chemicals, and 14 from textiles.</w:t>
      </w:r>
    </w:p>
    <w:p w14:paraId="3E191355" w14:textId="3BAA4102"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Secondary data were collected using a </w:t>
      </w:r>
      <w:proofErr w:type="spellStart"/>
      <w:r w:rsidR="00DE4ECB" w:rsidRPr="000B4C23">
        <w:rPr>
          <w:rFonts w:cs="Times New Roman"/>
          <w:color w:val="000000" w:themeColor="text1"/>
          <w:szCs w:val="24"/>
          <w:highlight w:val="yellow"/>
        </w:rPr>
        <w:t>standardised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data</w:t>
      </w:r>
      <w:r w:rsidRPr="00442282">
        <w:rPr>
          <w:rFonts w:cs="Times New Roman"/>
          <w:color w:val="000000" w:themeColor="text1"/>
          <w:szCs w:val="24"/>
        </w:rPr>
        <w:t xml:space="preserve"> collection sheet developed to extract financial and tax-related information from verified sources such as audited company reports, Kenya Revenue Authority (KRA) databases, and KAM publications for the 2020–2024 </w:t>
      </w:r>
      <w:proofErr w:type="gramStart"/>
      <w:r w:rsidRPr="00442282">
        <w:rPr>
          <w:rFonts w:cs="Times New Roman"/>
          <w:color w:val="000000" w:themeColor="text1"/>
          <w:szCs w:val="24"/>
        </w:rPr>
        <w:t>period</w:t>
      </w:r>
      <w:proofErr w:type="gramEnd"/>
      <w:r w:rsidRPr="00442282">
        <w:rPr>
          <w:rFonts w:cs="Times New Roman"/>
          <w:color w:val="000000" w:themeColor="text1"/>
          <w:szCs w:val="24"/>
        </w:rPr>
        <w:t>. The sheet focused on key indicators</w:t>
      </w:r>
      <w:r w:rsidR="00DE4ECB">
        <w:rPr>
          <w:rFonts w:cs="Times New Roman"/>
          <w:color w:val="000000" w:themeColor="text1"/>
          <w:szCs w:val="24"/>
        </w:rPr>
        <w:t>,</w:t>
      </w:r>
      <w:r w:rsidR="00E207BA">
        <w:rPr>
          <w:rFonts w:cs="Times New Roman"/>
          <w:color w:val="000000" w:themeColor="text1"/>
          <w:szCs w:val="24"/>
        </w:rPr>
        <w:t xml:space="preserve"> </w:t>
      </w:r>
      <w:r w:rsidRPr="00442282">
        <w:rPr>
          <w:rFonts w:cs="Times New Roman"/>
          <w:color w:val="000000" w:themeColor="text1"/>
          <w:szCs w:val="24"/>
        </w:rPr>
        <w:t>corporate income tax rate, VAT, tax incentives, customs duties, and financial performance measured by Return on Assets (ROA). Expert reviews and pre-testing enhanced the instrument’s clarity, while data reliability was ensured by using consistent, audited, and verifiable secondary sources (</w:t>
      </w:r>
      <w:proofErr w:type="spellStart"/>
      <w:r w:rsidRPr="00442282">
        <w:rPr>
          <w:rFonts w:cs="Times New Roman"/>
          <w:color w:val="000000" w:themeColor="text1"/>
          <w:szCs w:val="24"/>
        </w:rPr>
        <w:t>Dalati</w:t>
      </w:r>
      <w:proofErr w:type="spellEnd"/>
      <w:r w:rsidRPr="00442282">
        <w:rPr>
          <w:rFonts w:cs="Times New Roman"/>
          <w:color w:val="000000" w:themeColor="text1"/>
          <w:szCs w:val="24"/>
        </w:rPr>
        <w:t xml:space="preserve"> &amp; Gómez, 2018).</w:t>
      </w:r>
    </w:p>
    <w:p w14:paraId="2FB14190" w14:textId="6A93B63A"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Validity was established through expert evaluation and pilot testing on a small subset of non-sampled firms, confirming the tool’s accuracy and alignment with the study objectives (</w:t>
      </w:r>
      <w:proofErr w:type="spellStart"/>
      <w:r w:rsidRPr="00442282">
        <w:rPr>
          <w:rFonts w:cs="Times New Roman"/>
          <w:color w:val="000000" w:themeColor="text1"/>
          <w:szCs w:val="24"/>
        </w:rPr>
        <w:t>Mugenda</w:t>
      </w:r>
      <w:proofErr w:type="spellEnd"/>
      <w:r w:rsidRPr="00442282">
        <w:rPr>
          <w:rFonts w:cs="Times New Roman"/>
          <w:color w:val="000000" w:themeColor="text1"/>
          <w:szCs w:val="24"/>
        </w:rPr>
        <w:t xml:space="preserve"> &amp; </w:t>
      </w:r>
      <w:proofErr w:type="spellStart"/>
      <w:r w:rsidRPr="00442282">
        <w:rPr>
          <w:rFonts w:cs="Times New Roman"/>
          <w:color w:val="000000" w:themeColor="text1"/>
          <w:szCs w:val="24"/>
        </w:rPr>
        <w:t>Mugenda</w:t>
      </w:r>
      <w:proofErr w:type="spellEnd"/>
      <w:r w:rsidRPr="00442282">
        <w:rPr>
          <w:rFonts w:cs="Times New Roman"/>
          <w:color w:val="000000" w:themeColor="text1"/>
          <w:szCs w:val="24"/>
        </w:rPr>
        <w:t xml:space="preserve">, 2003). Reliability was strengthened by relying on </w:t>
      </w:r>
      <w:proofErr w:type="spellStart"/>
      <w:r w:rsidR="00DE4ECB" w:rsidRPr="000B4C23">
        <w:rPr>
          <w:rFonts w:cs="Times New Roman"/>
          <w:color w:val="000000" w:themeColor="text1"/>
          <w:szCs w:val="24"/>
          <w:highlight w:val="yellow"/>
        </w:rPr>
        <w:t>standardised</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data</w:t>
      </w:r>
      <w:r w:rsidRPr="00442282">
        <w:rPr>
          <w:rFonts w:cs="Times New Roman"/>
          <w:color w:val="000000" w:themeColor="text1"/>
          <w:szCs w:val="24"/>
        </w:rPr>
        <w:t xml:space="preserve"> sources and uniform data extraction procedures, </w:t>
      </w:r>
      <w:proofErr w:type="spellStart"/>
      <w:r w:rsidR="00DE4ECB" w:rsidRPr="000B4C23">
        <w:rPr>
          <w:rFonts w:cs="Times New Roman"/>
          <w:color w:val="000000" w:themeColor="text1"/>
          <w:szCs w:val="24"/>
          <w:highlight w:val="yellow"/>
        </w:rPr>
        <w:t>minimising</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bias and ensuring</w:t>
      </w:r>
      <w:r w:rsidRPr="00442282">
        <w:rPr>
          <w:rFonts w:cs="Times New Roman"/>
          <w:color w:val="000000" w:themeColor="text1"/>
          <w:szCs w:val="24"/>
        </w:rPr>
        <w:t xml:space="preserve"> replicable results (</w:t>
      </w:r>
      <w:proofErr w:type="spellStart"/>
      <w:r w:rsidRPr="00442282">
        <w:rPr>
          <w:rFonts w:cs="Times New Roman"/>
          <w:color w:val="000000" w:themeColor="text1"/>
          <w:szCs w:val="24"/>
        </w:rPr>
        <w:t>Gliem</w:t>
      </w:r>
      <w:proofErr w:type="spellEnd"/>
      <w:r w:rsidRPr="00442282">
        <w:rPr>
          <w:rFonts w:cs="Times New Roman"/>
          <w:color w:val="000000" w:themeColor="text1"/>
          <w:szCs w:val="24"/>
        </w:rPr>
        <w:t xml:space="preserve"> &amp; </w:t>
      </w:r>
      <w:proofErr w:type="spellStart"/>
      <w:r w:rsidRPr="00442282">
        <w:rPr>
          <w:rFonts w:cs="Times New Roman"/>
          <w:color w:val="000000" w:themeColor="text1"/>
          <w:szCs w:val="24"/>
        </w:rPr>
        <w:t>Gliem</w:t>
      </w:r>
      <w:proofErr w:type="spellEnd"/>
      <w:r w:rsidRPr="00442282">
        <w:rPr>
          <w:rFonts w:cs="Times New Roman"/>
          <w:color w:val="000000" w:themeColor="text1"/>
          <w:szCs w:val="24"/>
        </w:rPr>
        <w:t>, 2003).</w:t>
      </w:r>
    </w:p>
    <w:p w14:paraId="5EFDE0C3"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The data collection procedure involved systematic extraction of information from audited reports and official records, following the acquisition of research permits from relevant authorities such as NACOSTI and Kenyatta </w:t>
      </w:r>
      <w:r w:rsidRPr="00442282">
        <w:rPr>
          <w:rFonts w:cs="Times New Roman"/>
          <w:color w:val="000000" w:themeColor="text1"/>
          <w:szCs w:val="24"/>
        </w:rPr>
        <w:lastRenderedPageBreak/>
        <w:t>University’s Graduate School. The process was conducted solely by the researcher over a four-week period to ensure precision and compliance with ethical standards.</w:t>
      </w:r>
    </w:p>
    <w:p w14:paraId="60C3F5D9" w14:textId="7777777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Data analysis combined descriptive and inferential statistics. Descriptive analysis involved computing means, standard deviations, and frequencies to identify trends in taxation and profitability variables. Inferential analysis employed panel data regression, either using Fixed or Random Effects models, to examine the relationship between tax measures and financial performance. The regression model was specified as:</w:t>
      </w:r>
    </w:p>
    <w:p w14:paraId="2ADB926C" w14:textId="77777777" w:rsidR="00442282" w:rsidRPr="00442282" w:rsidRDefault="00442282" w:rsidP="00442282">
      <w:pPr>
        <w:spacing w:after="160" w:line="259" w:lineRule="auto"/>
        <w:rPr>
          <w:rFonts w:cs="Times New Roman"/>
          <w:color w:val="000000" w:themeColor="text1"/>
          <w:szCs w:val="24"/>
        </w:rPr>
      </w:pPr>
      <w:proofErr w:type="spellStart"/>
      <w:r w:rsidRPr="00442282">
        <w:rPr>
          <w:rFonts w:cs="Times New Roman"/>
          <w:color w:val="000000" w:themeColor="text1"/>
          <w:szCs w:val="24"/>
        </w:rPr>
        <w:t>FP_it</w:t>
      </w:r>
      <w:proofErr w:type="spellEnd"/>
      <w:r w:rsidRPr="00442282">
        <w:rPr>
          <w:rFonts w:cs="Times New Roman"/>
          <w:color w:val="000000" w:themeColor="text1"/>
          <w:szCs w:val="24"/>
        </w:rPr>
        <w:t xml:space="preserve"> = β₀ + β₁</w:t>
      </w:r>
      <w:proofErr w:type="spellStart"/>
      <w:r w:rsidRPr="00442282">
        <w:rPr>
          <w:rFonts w:cs="Times New Roman"/>
          <w:color w:val="000000" w:themeColor="text1"/>
          <w:szCs w:val="24"/>
        </w:rPr>
        <w:t>CITR_it</w:t>
      </w:r>
      <w:proofErr w:type="spellEnd"/>
      <w:r w:rsidRPr="00442282">
        <w:rPr>
          <w:rFonts w:cs="Times New Roman"/>
          <w:color w:val="000000" w:themeColor="text1"/>
          <w:szCs w:val="24"/>
        </w:rPr>
        <w:t xml:space="preserve"> + β₂</w:t>
      </w:r>
      <w:proofErr w:type="spellStart"/>
      <w:r w:rsidRPr="00442282">
        <w:rPr>
          <w:rFonts w:cs="Times New Roman"/>
          <w:color w:val="000000" w:themeColor="text1"/>
          <w:szCs w:val="24"/>
        </w:rPr>
        <w:t>VAT_it</w:t>
      </w:r>
      <w:proofErr w:type="spellEnd"/>
      <w:r w:rsidRPr="00442282">
        <w:rPr>
          <w:rFonts w:cs="Times New Roman"/>
          <w:color w:val="000000" w:themeColor="text1"/>
          <w:szCs w:val="24"/>
        </w:rPr>
        <w:t xml:space="preserve"> + β₃</w:t>
      </w:r>
      <w:proofErr w:type="spellStart"/>
      <w:r w:rsidRPr="00442282">
        <w:rPr>
          <w:rFonts w:cs="Times New Roman"/>
          <w:color w:val="000000" w:themeColor="text1"/>
          <w:szCs w:val="24"/>
        </w:rPr>
        <w:t>TI_it</w:t>
      </w:r>
      <w:proofErr w:type="spellEnd"/>
      <w:r w:rsidRPr="00442282">
        <w:rPr>
          <w:rFonts w:cs="Times New Roman"/>
          <w:color w:val="000000" w:themeColor="text1"/>
          <w:szCs w:val="24"/>
        </w:rPr>
        <w:t xml:space="preserve"> + β₄</w:t>
      </w:r>
      <w:proofErr w:type="spellStart"/>
      <w:r w:rsidRPr="00442282">
        <w:rPr>
          <w:rFonts w:cs="Times New Roman"/>
          <w:color w:val="000000" w:themeColor="text1"/>
          <w:szCs w:val="24"/>
        </w:rPr>
        <w:t>CED_it</w:t>
      </w:r>
      <w:proofErr w:type="spellEnd"/>
      <w:r w:rsidRPr="00442282">
        <w:rPr>
          <w:rFonts w:cs="Times New Roman"/>
          <w:color w:val="000000" w:themeColor="text1"/>
          <w:szCs w:val="24"/>
        </w:rPr>
        <w:t xml:space="preserve"> + </w:t>
      </w:r>
      <w:proofErr w:type="spellStart"/>
      <w:r w:rsidRPr="00442282">
        <w:rPr>
          <w:rFonts w:cs="Times New Roman"/>
          <w:color w:val="000000" w:themeColor="text1"/>
          <w:szCs w:val="24"/>
        </w:rPr>
        <w:t>μ_i</w:t>
      </w:r>
      <w:proofErr w:type="spellEnd"/>
      <w:r w:rsidRPr="00442282">
        <w:rPr>
          <w:rFonts w:cs="Times New Roman"/>
          <w:color w:val="000000" w:themeColor="text1"/>
          <w:szCs w:val="24"/>
        </w:rPr>
        <w:t xml:space="preserve"> + </w:t>
      </w:r>
      <w:proofErr w:type="spellStart"/>
      <w:r w:rsidRPr="00442282">
        <w:rPr>
          <w:rFonts w:cs="Times New Roman"/>
          <w:color w:val="000000" w:themeColor="text1"/>
          <w:szCs w:val="24"/>
        </w:rPr>
        <w:t>ε_it</w:t>
      </w:r>
      <w:proofErr w:type="spellEnd"/>
      <w:r w:rsidRPr="00442282">
        <w:rPr>
          <w:rFonts w:cs="Times New Roman"/>
          <w:color w:val="000000" w:themeColor="text1"/>
          <w:szCs w:val="24"/>
        </w:rPr>
        <w:t>,</w:t>
      </w:r>
    </w:p>
    <w:p w14:paraId="6E3F29D4" w14:textId="77777777" w:rsidR="00442282" w:rsidRPr="00442282" w:rsidRDefault="00442282" w:rsidP="00442282">
      <w:pPr>
        <w:spacing w:after="160" w:line="259" w:lineRule="auto"/>
        <w:rPr>
          <w:rFonts w:cs="Times New Roman"/>
          <w:color w:val="000000" w:themeColor="text1"/>
          <w:szCs w:val="24"/>
        </w:rPr>
      </w:pPr>
      <w:proofErr w:type="gramStart"/>
      <w:r w:rsidRPr="00442282">
        <w:rPr>
          <w:rFonts w:cs="Times New Roman"/>
          <w:color w:val="000000" w:themeColor="text1"/>
          <w:szCs w:val="24"/>
        </w:rPr>
        <w:t>where</w:t>
      </w:r>
      <w:proofErr w:type="gramEnd"/>
      <w:r w:rsidRPr="00442282">
        <w:rPr>
          <w:rFonts w:cs="Times New Roman"/>
          <w:color w:val="000000" w:themeColor="text1"/>
          <w:szCs w:val="24"/>
        </w:rPr>
        <w:t xml:space="preserve"> financial performance (FP) was measured by ROA, and CITR, VAT, TI, and CED represented the tax policy variables. Correlation analysis complemented regression results by assessing the strength and direction of variable relationships.</w:t>
      </w:r>
    </w:p>
    <w:p w14:paraId="65D22AEA" w14:textId="06A82617" w:rsidR="00442282" w:rsidRPr="00442282"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Diagnostic tests were performed to ensure model robustness. </w:t>
      </w:r>
      <w:proofErr w:type="spellStart"/>
      <w:r w:rsidRPr="00442282">
        <w:rPr>
          <w:rFonts w:cs="Times New Roman"/>
          <w:color w:val="000000" w:themeColor="text1"/>
          <w:szCs w:val="24"/>
        </w:rPr>
        <w:t>Multicollinearity</w:t>
      </w:r>
      <w:proofErr w:type="spellEnd"/>
      <w:r w:rsidRPr="00442282">
        <w:rPr>
          <w:rFonts w:cs="Times New Roman"/>
          <w:color w:val="000000" w:themeColor="text1"/>
          <w:szCs w:val="24"/>
        </w:rPr>
        <w:t xml:space="preserve"> was checked using the Variance Inflation Factor (VIF), with acceptable values below 5. </w:t>
      </w:r>
      <w:proofErr w:type="spellStart"/>
      <w:r w:rsidRPr="00442282">
        <w:rPr>
          <w:rFonts w:cs="Times New Roman"/>
          <w:color w:val="000000" w:themeColor="text1"/>
          <w:szCs w:val="24"/>
        </w:rPr>
        <w:t>Heteroscedasticity</w:t>
      </w:r>
      <w:proofErr w:type="spellEnd"/>
      <w:r w:rsidRPr="00442282">
        <w:rPr>
          <w:rFonts w:cs="Times New Roman"/>
          <w:color w:val="000000" w:themeColor="text1"/>
          <w:szCs w:val="24"/>
        </w:rPr>
        <w:t xml:space="preserve"> was tested through the </w:t>
      </w:r>
      <w:proofErr w:type="spellStart"/>
      <w:r w:rsidRPr="00442282">
        <w:rPr>
          <w:rFonts w:cs="Times New Roman"/>
          <w:color w:val="000000" w:themeColor="text1"/>
          <w:szCs w:val="24"/>
        </w:rPr>
        <w:t>Breusch</w:t>
      </w:r>
      <w:proofErr w:type="spellEnd"/>
      <w:r w:rsidRPr="00442282">
        <w:rPr>
          <w:rFonts w:cs="Times New Roman"/>
          <w:color w:val="000000" w:themeColor="text1"/>
          <w:szCs w:val="24"/>
        </w:rPr>
        <w:t>-Pagan test, while autocorrelation was assessed using the Durbin-Watson statistic, where values near 2 indicated no autocorrelation. The Shapiro-</w:t>
      </w:r>
      <w:proofErr w:type="spellStart"/>
      <w:r w:rsidRPr="00442282">
        <w:rPr>
          <w:rFonts w:cs="Times New Roman"/>
          <w:color w:val="000000" w:themeColor="text1"/>
          <w:szCs w:val="24"/>
        </w:rPr>
        <w:t>Wilk</w:t>
      </w:r>
      <w:proofErr w:type="spellEnd"/>
      <w:r w:rsidRPr="00442282">
        <w:rPr>
          <w:rFonts w:cs="Times New Roman"/>
          <w:color w:val="000000" w:themeColor="text1"/>
          <w:szCs w:val="24"/>
        </w:rPr>
        <w:t xml:space="preserve"> test, alongside Q-Q plots, was applied to </w:t>
      </w:r>
      <w:r w:rsidRPr="000B4C23">
        <w:rPr>
          <w:rFonts w:cs="Times New Roman"/>
          <w:color w:val="000000" w:themeColor="text1"/>
          <w:szCs w:val="24"/>
          <w:highlight w:val="yellow"/>
        </w:rPr>
        <w:t xml:space="preserve">verify </w:t>
      </w:r>
      <w:r w:rsidR="00DE4ECB" w:rsidRPr="000B4C23">
        <w:rPr>
          <w:rFonts w:cs="Times New Roman"/>
          <w:color w:val="000000" w:themeColor="text1"/>
          <w:szCs w:val="24"/>
          <w:highlight w:val="yellow"/>
        </w:rPr>
        <w:t xml:space="preserve">the </w:t>
      </w:r>
      <w:r w:rsidRPr="000B4C23">
        <w:rPr>
          <w:rFonts w:cs="Times New Roman"/>
          <w:color w:val="000000" w:themeColor="text1"/>
          <w:szCs w:val="24"/>
          <w:highlight w:val="yellow"/>
        </w:rPr>
        <w:t>normality of residuals</w:t>
      </w:r>
      <w:r w:rsidRPr="00442282">
        <w:rPr>
          <w:rFonts w:cs="Times New Roman"/>
          <w:color w:val="000000" w:themeColor="text1"/>
          <w:szCs w:val="24"/>
        </w:rPr>
        <w:t>. Where violations occurred, corrective measures such as transformation or robust estimation techniques were applied.</w:t>
      </w:r>
    </w:p>
    <w:p w14:paraId="0EABB514" w14:textId="2DB397D4" w:rsidR="00442282" w:rsidRPr="00442282" w:rsidRDefault="00DE4ECB" w:rsidP="00442282">
      <w:pPr>
        <w:spacing w:after="160" w:line="259" w:lineRule="auto"/>
        <w:rPr>
          <w:rFonts w:cs="Times New Roman"/>
          <w:color w:val="000000" w:themeColor="text1"/>
          <w:szCs w:val="24"/>
        </w:rPr>
      </w:pPr>
      <w:proofErr w:type="spellStart"/>
      <w:r w:rsidRPr="000B4C23">
        <w:rPr>
          <w:rFonts w:cs="Times New Roman"/>
          <w:color w:val="000000" w:themeColor="text1"/>
          <w:szCs w:val="24"/>
          <w:highlight w:val="yellow"/>
        </w:rPr>
        <w:t>Operationalisation</w:t>
      </w:r>
      <w:proofErr w:type="spellEnd"/>
      <w:r w:rsidRPr="000B4C23">
        <w:rPr>
          <w:rFonts w:cs="Times New Roman"/>
          <w:color w:val="000000" w:themeColor="text1"/>
          <w:szCs w:val="24"/>
          <w:highlight w:val="yellow"/>
        </w:rPr>
        <w:t xml:space="preserve"> </w:t>
      </w:r>
      <w:r w:rsidR="00442282" w:rsidRPr="000B4C23">
        <w:rPr>
          <w:rFonts w:cs="Times New Roman"/>
          <w:color w:val="000000" w:themeColor="text1"/>
          <w:szCs w:val="24"/>
          <w:highlight w:val="yellow"/>
        </w:rPr>
        <w:t>of variables</w:t>
      </w:r>
      <w:r w:rsidR="00442282" w:rsidRPr="00442282">
        <w:rPr>
          <w:rFonts w:cs="Times New Roman"/>
          <w:color w:val="000000" w:themeColor="text1"/>
          <w:szCs w:val="24"/>
        </w:rPr>
        <w:t xml:space="preserve"> defined financial performance (dependent variable) as Return on Assets (ROA). Independent variables included corporate income tax rate, VAT, tax incentives, and customs and excise duties, each measured as continuous percentages or ratios reflecting their fiscal impact on firms. Positive or negative </w:t>
      </w:r>
      <w:proofErr w:type="spellStart"/>
      <w:r w:rsidRPr="000B4C23">
        <w:rPr>
          <w:rFonts w:cs="Times New Roman"/>
          <w:color w:val="000000" w:themeColor="text1"/>
          <w:szCs w:val="24"/>
          <w:highlight w:val="yellow"/>
        </w:rPr>
        <w:t>hypothesised</w:t>
      </w:r>
      <w:proofErr w:type="spellEnd"/>
      <w:r w:rsidRPr="000B4C23">
        <w:rPr>
          <w:rFonts w:cs="Times New Roman"/>
          <w:color w:val="000000" w:themeColor="text1"/>
          <w:szCs w:val="24"/>
          <w:highlight w:val="yellow"/>
        </w:rPr>
        <w:t xml:space="preserve"> </w:t>
      </w:r>
      <w:r w:rsidR="00442282" w:rsidRPr="000B4C23">
        <w:rPr>
          <w:rFonts w:cs="Times New Roman"/>
          <w:color w:val="000000" w:themeColor="text1"/>
          <w:szCs w:val="24"/>
          <w:highlight w:val="yellow"/>
        </w:rPr>
        <w:t>effects</w:t>
      </w:r>
      <w:r w:rsidR="00442282" w:rsidRPr="00442282">
        <w:rPr>
          <w:rFonts w:cs="Times New Roman"/>
          <w:color w:val="000000" w:themeColor="text1"/>
          <w:szCs w:val="24"/>
        </w:rPr>
        <w:t xml:space="preserve"> were assigned based on theoretical expectations.</w:t>
      </w:r>
    </w:p>
    <w:p w14:paraId="68ECED9B" w14:textId="5DD47B34" w:rsidR="009B3203" w:rsidRPr="007A56B8" w:rsidRDefault="00442282" w:rsidP="00442282">
      <w:pPr>
        <w:spacing w:after="160" w:line="259" w:lineRule="auto"/>
        <w:rPr>
          <w:rFonts w:cs="Times New Roman"/>
          <w:color w:val="000000" w:themeColor="text1"/>
          <w:szCs w:val="24"/>
        </w:rPr>
      </w:pPr>
      <w:r w:rsidRPr="00442282">
        <w:rPr>
          <w:rFonts w:cs="Times New Roman"/>
          <w:color w:val="000000" w:themeColor="text1"/>
          <w:szCs w:val="24"/>
        </w:rPr>
        <w:t xml:space="preserve">Ethical considerations were strictly observed. The study safeguarded confidentiality, avoided data manipulation, and ensured accurate referencing of all secondary sources. Research </w:t>
      </w:r>
      <w:proofErr w:type="spellStart"/>
      <w:r w:rsidR="00DE4ECB" w:rsidRPr="000B4C23">
        <w:rPr>
          <w:rFonts w:cs="Times New Roman"/>
          <w:color w:val="000000" w:themeColor="text1"/>
          <w:szCs w:val="24"/>
          <w:highlight w:val="yellow"/>
        </w:rPr>
        <w:t>authorisation</w:t>
      </w:r>
      <w:proofErr w:type="spellEnd"/>
      <w:r w:rsidR="00DE4ECB" w:rsidRPr="000B4C23">
        <w:rPr>
          <w:rFonts w:cs="Times New Roman"/>
          <w:color w:val="000000" w:themeColor="text1"/>
          <w:szCs w:val="24"/>
          <w:highlight w:val="yellow"/>
        </w:rPr>
        <w:t xml:space="preserve"> </w:t>
      </w:r>
      <w:r w:rsidRPr="000B4C23">
        <w:rPr>
          <w:rFonts w:cs="Times New Roman"/>
          <w:color w:val="000000" w:themeColor="text1"/>
          <w:szCs w:val="24"/>
          <w:highlight w:val="yellow"/>
        </w:rPr>
        <w:t>was</w:t>
      </w:r>
      <w:r w:rsidRPr="00442282">
        <w:rPr>
          <w:rFonts w:cs="Times New Roman"/>
          <w:color w:val="000000" w:themeColor="text1"/>
          <w:szCs w:val="24"/>
        </w:rPr>
        <w:t xml:space="preserve"> obtained from NACOSTI and relevant institutional review boards, underscoring adherence to legal and ethical standards. These methodological procedures collectively ensured that the study’s findings were valid, reliable, and credible for informing fiscal policy and industrial performance in Kenya’s manufacturing sector.</w:t>
      </w:r>
    </w:p>
    <w:p w14:paraId="7C961926" w14:textId="77777777" w:rsidR="00B55CEF" w:rsidRPr="007A56B8" w:rsidRDefault="00B55CEF">
      <w:pPr>
        <w:spacing w:before="0" w:after="160" w:line="259" w:lineRule="auto"/>
        <w:jc w:val="left"/>
        <w:rPr>
          <w:b/>
          <w:bCs/>
          <w:color w:val="000000" w:themeColor="text1"/>
          <w:sz w:val="28"/>
          <w:szCs w:val="24"/>
        </w:rPr>
      </w:pPr>
      <w:r w:rsidRPr="007A56B8">
        <w:rPr>
          <w:b/>
          <w:bCs/>
          <w:color w:val="000000" w:themeColor="text1"/>
          <w:sz w:val="28"/>
          <w:szCs w:val="24"/>
        </w:rPr>
        <w:br w:type="page"/>
      </w:r>
    </w:p>
    <w:p w14:paraId="14C2E9C9" w14:textId="44E6A0E7" w:rsidR="00055D83" w:rsidRDefault="002B2D3C" w:rsidP="00711AB4">
      <w:pPr>
        <w:spacing w:before="0"/>
        <w:rPr>
          <w:b/>
          <w:bCs/>
          <w:color w:val="000000" w:themeColor="text1"/>
          <w:sz w:val="28"/>
          <w:szCs w:val="24"/>
        </w:rPr>
      </w:pPr>
      <w:r w:rsidRPr="007A56B8">
        <w:rPr>
          <w:b/>
          <w:bCs/>
          <w:color w:val="000000" w:themeColor="text1"/>
          <w:sz w:val="28"/>
          <w:szCs w:val="24"/>
        </w:rPr>
        <w:lastRenderedPageBreak/>
        <w:t xml:space="preserve">4.0 </w:t>
      </w:r>
      <w:r w:rsidR="00055D83" w:rsidRPr="007A56B8">
        <w:rPr>
          <w:b/>
          <w:bCs/>
          <w:color w:val="000000" w:themeColor="text1"/>
          <w:sz w:val="28"/>
          <w:szCs w:val="24"/>
        </w:rPr>
        <w:t xml:space="preserve">RESULTS </w:t>
      </w:r>
    </w:p>
    <w:p w14:paraId="0FC25F82" w14:textId="4E9A3A4F" w:rsidR="007B652A" w:rsidRDefault="007B652A" w:rsidP="00711AB4">
      <w:pPr>
        <w:spacing w:before="0" w:line="240" w:lineRule="auto"/>
        <w:rPr>
          <w:b/>
          <w:bCs/>
          <w:i/>
          <w:iCs/>
          <w:color w:val="000000" w:themeColor="text1"/>
          <w:sz w:val="28"/>
          <w:szCs w:val="24"/>
        </w:rPr>
      </w:pPr>
      <w:r w:rsidRPr="007B652A">
        <w:rPr>
          <w:b/>
          <w:bCs/>
          <w:i/>
          <w:iCs/>
          <w:color w:val="000000" w:themeColor="text1"/>
          <w:sz w:val="28"/>
          <w:szCs w:val="24"/>
        </w:rPr>
        <w:t>Descriptive Analysis</w:t>
      </w:r>
    </w:p>
    <w:p w14:paraId="4C545711" w14:textId="674A7766" w:rsidR="00711AB4" w:rsidRDefault="007B652A" w:rsidP="00711AB4">
      <w:pPr>
        <w:spacing w:before="0" w:line="240" w:lineRule="auto"/>
      </w:pPr>
      <w:r w:rsidRPr="007B652A">
        <w:t xml:space="preserve">The descriptive analysis revealed key insights into firms’ financial and tax-related performance. Return on Assets (ROA) ranged from -0.0087 to 0.2271, with a mean of 0.0973 and a low standard deviation of 0.025, indicating an average profitability of 9.7% and consistent performance across firms. </w:t>
      </w:r>
      <w:bookmarkStart w:id="3" w:name="_Hlk214097116"/>
      <w:r w:rsidRPr="007B652A">
        <w:t xml:space="preserve">The Corporate Income Tax Rate (CITR) averaged 2.7%, significantly below the statutory 30%, suggesting the impact of tax incentives, deductions, or compliance challenges. Value Added Tax (VAT) averaged 15.14 with limited variability, implying a relatively uniform and high VAT burden across firms. </w:t>
      </w:r>
      <w:bookmarkEnd w:id="3"/>
      <w:r w:rsidRPr="007B652A">
        <w:t>Tax Incentives (TI) reduced firms’ tax burdens by about 1.1%, showing modest yet evenly distributed government support. Customs and Excise Duties (CED) displayed high variability, with a mean of 0.0696, reflecting uneven application of excise taxes—particularly heavier in sectors like alcohol, tobacco, and fuel. Overall, the results depict profitability stability and tax disparities across industries.</w:t>
      </w:r>
    </w:p>
    <w:p w14:paraId="3D485ED2" w14:textId="77777777" w:rsidR="00711AB4" w:rsidRDefault="00711AB4" w:rsidP="00711AB4">
      <w:pPr>
        <w:spacing w:before="0" w:line="240" w:lineRule="auto"/>
      </w:pPr>
    </w:p>
    <w:p w14:paraId="3AFCC242" w14:textId="0E06FAE9" w:rsidR="00711AB4" w:rsidRDefault="00711AB4" w:rsidP="00711AB4">
      <w:pPr>
        <w:spacing w:before="0" w:line="240" w:lineRule="auto"/>
        <w:rPr>
          <w:b/>
          <w:bCs/>
          <w:i/>
          <w:iCs/>
        </w:rPr>
      </w:pPr>
      <w:r w:rsidRPr="00711AB4">
        <w:rPr>
          <w:b/>
          <w:bCs/>
          <w:i/>
          <w:iCs/>
        </w:rPr>
        <w:t xml:space="preserve">Table </w:t>
      </w:r>
      <w:r w:rsidR="007B652A">
        <w:rPr>
          <w:b/>
          <w:bCs/>
          <w:i/>
          <w:iCs/>
        </w:rPr>
        <w:t>2</w:t>
      </w:r>
      <w:r w:rsidRPr="00711AB4">
        <w:rPr>
          <w:b/>
          <w:bCs/>
          <w:i/>
          <w:iCs/>
        </w:rPr>
        <w:t xml:space="preserve">: </w:t>
      </w:r>
      <w:r w:rsidR="007B652A" w:rsidRPr="007B652A">
        <w:rPr>
          <w:b/>
          <w:bCs/>
          <w:i/>
          <w:iCs/>
        </w:rPr>
        <w:t>Descriptive Analysis</w:t>
      </w:r>
    </w:p>
    <w:p w14:paraId="1ED5291E" w14:textId="77777777" w:rsidR="007B652A" w:rsidRDefault="007B652A" w:rsidP="00711AB4">
      <w:pPr>
        <w:spacing w:before="0" w:line="240" w:lineRule="auto"/>
        <w:rPr>
          <w:b/>
          <w:bCs/>
          <w:i/>
          <w:iCs/>
        </w:rPr>
      </w:pPr>
    </w:p>
    <w:p w14:paraId="666F34B2" w14:textId="77777777" w:rsidR="007B652A" w:rsidRDefault="007B652A" w:rsidP="00711AB4">
      <w:pPr>
        <w:spacing w:before="0" w:line="240" w:lineRule="auto"/>
        <w:rPr>
          <w:b/>
          <w:bCs/>
          <w:i/>
          <w:iCs/>
        </w:rPr>
      </w:pPr>
    </w:p>
    <w:tbl>
      <w:tblPr>
        <w:tblpPr w:leftFromText="180" w:rightFromText="180" w:vertAnchor="text" w:horzAnchor="margin" w:tblpY="-51"/>
        <w:tblW w:w="8137" w:type="dxa"/>
        <w:tblBorders>
          <w:bottom w:val="single" w:sz="4" w:space="0" w:color="auto"/>
        </w:tblBorders>
        <w:tblLayout w:type="fixed"/>
        <w:tblCellMar>
          <w:left w:w="0" w:type="dxa"/>
          <w:right w:w="0" w:type="dxa"/>
        </w:tblCellMar>
        <w:tblLook w:val="0000" w:firstRow="0" w:lastRow="0" w:firstColumn="0" w:lastColumn="0" w:noHBand="0" w:noVBand="0"/>
      </w:tblPr>
      <w:tblGrid>
        <w:gridCol w:w="2123"/>
        <w:gridCol w:w="1340"/>
        <w:gridCol w:w="1379"/>
        <w:gridCol w:w="1494"/>
        <w:gridCol w:w="1801"/>
      </w:tblGrid>
      <w:tr w:rsidR="007B652A" w:rsidRPr="003C569E" w14:paraId="04906D96" w14:textId="77777777" w:rsidTr="007B652A">
        <w:trPr>
          <w:cantSplit/>
          <w:trHeight w:val="343"/>
        </w:trPr>
        <w:tc>
          <w:tcPr>
            <w:tcW w:w="2123" w:type="dxa"/>
            <w:tcBorders>
              <w:top w:val="single" w:sz="4" w:space="0" w:color="auto"/>
              <w:left w:val="single" w:sz="4" w:space="0" w:color="auto"/>
              <w:bottom w:val="single" w:sz="4" w:space="0" w:color="auto"/>
              <w:right w:val="single" w:sz="4" w:space="0" w:color="auto"/>
            </w:tcBorders>
            <w:shd w:val="clear" w:color="auto" w:fill="FFFFFF"/>
            <w:vAlign w:val="bottom"/>
          </w:tcPr>
          <w:p w14:paraId="17FA0CA0" w14:textId="77777777" w:rsidR="007B652A" w:rsidRPr="003C569E" w:rsidRDefault="007B652A" w:rsidP="007B652A">
            <w:pPr>
              <w:autoSpaceDE w:val="0"/>
              <w:autoSpaceDN w:val="0"/>
              <w:adjustRightInd w:val="0"/>
              <w:spacing w:line="240" w:lineRule="auto"/>
              <w:jc w:val="left"/>
              <w:rPr>
                <w:rFonts w:eastAsiaTheme="minorHAnsi"/>
                <w:color w:val="auto"/>
                <w:sz w:val="22"/>
              </w:rPr>
            </w:pPr>
            <w:bookmarkStart w:id="4" w:name="_Hlk209792795"/>
          </w:p>
        </w:tc>
        <w:tc>
          <w:tcPr>
            <w:tcW w:w="1340" w:type="dxa"/>
            <w:tcBorders>
              <w:top w:val="single" w:sz="4" w:space="0" w:color="auto"/>
              <w:bottom w:val="single" w:sz="4" w:space="0" w:color="auto"/>
            </w:tcBorders>
            <w:shd w:val="clear" w:color="auto" w:fill="FFFFFF"/>
            <w:vAlign w:val="bottom"/>
          </w:tcPr>
          <w:p w14:paraId="6EC31164"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Minimum</w:t>
            </w:r>
          </w:p>
        </w:tc>
        <w:tc>
          <w:tcPr>
            <w:tcW w:w="1379" w:type="dxa"/>
            <w:tcBorders>
              <w:top w:val="single" w:sz="4" w:space="0" w:color="auto"/>
              <w:bottom w:val="single" w:sz="4" w:space="0" w:color="auto"/>
            </w:tcBorders>
            <w:shd w:val="clear" w:color="auto" w:fill="FFFFFF"/>
            <w:vAlign w:val="bottom"/>
          </w:tcPr>
          <w:p w14:paraId="4C7F1D2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Maximum</w:t>
            </w:r>
          </w:p>
        </w:tc>
        <w:tc>
          <w:tcPr>
            <w:tcW w:w="1494" w:type="dxa"/>
            <w:tcBorders>
              <w:top w:val="single" w:sz="4" w:space="0" w:color="auto"/>
              <w:bottom w:val="single" w:sz="4" w:space="0" w:color="auto"/>
            </w:tcBorders>
            <w:shd w:val="clear" w:color="auto" w:fill="FFFFFF"/>
            <w:vAlign w:val="bottom"/>
          </w:tcPr>
          <w:p w14:paraId="438ECD9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Mean</w:t>
            </w:r>
          </w:p>
        </w:tc>
        <w:tc>
          <w:tcPr>
            <w:tcW w:w="1801" w:type="dxa"/>
            <w:tcBorders>
              <w:top w:val="single" w:sz="4" w:space="0" w:color="auto"/>
              <w:bottom w:val="single" w:sz="4" w:space="0" w:color="auto"/>
              <w:right w:val="single" w:sz="4" w:space="0" w:color="auto"/>
            </w:tcBorders>
            <w:shd w:val="clear" w:color="auto" w:fill="FFFFFF"/>
            <w:vAlign w:val="bottom"/>
          </w:tcPr>
          <w:p w14:paraId="58711070"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Std. Deviation</w:t>
            </w:r>
          </w:p>
        </w:tc>
      </w:tr>
      <w:tr w:rsidR="007B652A" w:rsidRPr="003C569E" w14:paraId="53C55D3C" w14:textId="77777777" w:rsidTr="007B652A">
        <w:trPr>
          <w:cantSplit/>
          <w:trHeight w:val="360"/>
        </w:trPr>
        <w:tc>
          <w:tcPr>
            <w:tcW w:w="2123" w:type="dxa"/>
            <w:tcBorders>
              <w:top w:val="single" w:sz="4" w:space="0" w:color="auto"/>
              <w:left w:val="single" w:sz="4" w:space="0" w:color="auto"/>
              <w:bottom w:val="nil"/>
              <w:right w:val="single" w:sz="4" w:space="0" w:color="auto"/>
            </w:tcBorders>
          </w:tcPr>
          <w:p w14:paraId="33C8BF40"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ROA</w:t>
            </w:r>
          </w:p>
        </w:tc>
        <w:tc>
          <w:tcPr>
            <w:tcW w:w="1340" w:type="dxa"/>
            <w:tcBorders>
              <w:top w:val="single" w:sz="4" w:space="0" w:color="auto"/>
              <w:bottom w:val="nil"/>
            </w:tcBorders>
            <w:shd w:val="clear" w:color="auto" w:fill="FFFFFF"/>
          </w:tcPr>
          <w:p w14:paraId="375DD71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-.0087</w:t>
            </w:r>
          </w:p>
        </w:tc>
        <w:tc>
          <w:tcPr>
            <w:tcW w:w="1379" w:type="dxa"/>
            <w:tcBorders>
              <w:top w:val="single" w:sz="4" w:space="0" w:color="auto"/>
              <w:bottom w:val="nil"/>
            </w:tcBorders>
            <w:shd w:val="clear" w:color="auto" w:fill="FFFFFF"/>
          </w:tcPr>
          <w:p w14:paraId="261142D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.2271</w:t>
            </w:r>
          </w:p>
        </w:tc>
        <w:tc>
          <w:tcPr>
            <w:tcW w:w="1494" w:type="dxa"/>
            <w:tcBorders>
              <w:top w:val="single" w:sz="4" w:space="0" w:color="auto"/>
              <w:bottom w:val="nil"/>
            </w:tcBorders>
            <w:shd w:val="clear" w:color="auto" w:fill="FFFFFF"/>
          </w:tcPr>
          <w:p w14:paraId="7F3E998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.097267</w:t>
            </w:r>
          </w:p>
        </w:tc>
        <w:tc>
          <w:tcPr>
            <w:tcW w:w="1801" w:type="dxa"/>
            <w:tcBorders>
              <w:top w:val="single" w:sz="4" w:space="0" w:color="auto"/>
              <w:bottom w:val="nil"/>
              <w:right w:val="single" w:sz="4" w:space="0" w:color="auto"/>
            </w:tcBorders>
            <w:shd w:val="clear" w:color="auto" w:fill="FFFFFF"/>
          </w:tcPr>
          <w:p w14:paraId="1F95E02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.0249732</w:t>
            </w:r>
          </w:p>
        </w:tc>
      </w:tr>
      <w:tr w:rsidR="007B652A" w:rsidRPr="003C569E" w14:paraId="211F0585" w14:textId="77777777" w:rsidTr="007B652A">
        <w:trPr>
          <w:cantSplit/>
          <w:trHeight w:val="343"/>
        </w:trPr>
        <w:tc>
          <w:tcPr>
            <w:tcW w:w="2123" w:type="dxa"/>
            <w:tcBorders>
              <w:left w:val="single" w:sz="4" w:space="0" w:color="auto"/>
              <w:bottom w:val="nil"/>
              <w:right w:val="single" w:sz="4" w:space="0" w:color="auto"/>
            </w:tcBorders>
          </w:tcPr>
          <w:p w14:paraId="5596A68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CITR</w:t>
            </w:r>
          </w:p>
        </w:tc>
        <w:tc>
          <w:tcPr>
            <w:tcW w:w="1340" w:type="dxa"/>
            <w:tcBorders>
              <w:bottom w:val="nil"/>
            </w:tcBorders>
            <w:shd w:val="clear" w:color="auto" w:fill="FFFFFF"/>
          </w:tcPr>
          <w:p w14:paraId="0F8074A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.0090</w:t>
            </w:r>
          </w:p>
        </w:tc>
        <w:tc>
          <w:tcPr>
            <w:tcW w:w="1379" w:type="dxa"/>
            <w:tcBorders>
              <w:bottom w:val="nil"/>
            </w:tcBorders>
            <w:shd w:val="clear" w:color="auto" w:fill="FFFFFF"/>
          </w:tcPr>
          <w:p w14:paraId="4E08B137"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.2009</w:t>
            </w:r>
          </w:p>
        </w:tc>
        <w:tc>
          <w:tcPr>
            <w:tcW w:w="1494" w:type="dxa"/>
            <w:tcBorders>
              <w:bottom w:val="nil"/>
            </w:tcBorders>
            <w:shd w:val="clear" w:color="auto" w:fill="FFFFFF"/>
          </w:tcPr>
          <w:p w14:paraId="3E8376CD"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.026812</w:t>
            </w:r>
          </w:p>
        </w:tc>
        <w:tc>
          <w:tcPr>
            <w:tcW w:w="1801" w:type="dxa"/>
            <w:tcBorders>
              <w:bottom w:val="nil"/>
              <w:right w:val="single" w:sz="4" w:space="0" w:color="auto"/>
            </w:tcBorders>
            <w:shd w:val="clear" w:color="auto" w:fill="FFFFFF"/>
          </w:tcPr>
          <w:p w14:paraId="54717EEC"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.0192916</w:t>
            </w:r>
          </w:p>
        </w:tc>
      </w:tr>
      <w:tr w:rsidR="007B652A" w:rsidRPr="003C569E" w14:paraId="4A677FA0" w14:textId="77777777" w:rsidTr="007B652A">
        <w:trPr>
          <w:cantSplit/>
          <w:trHeight w:val="343"/>
        </w:trPr>
        <w:tc>
          <w:tcPr>
            <w:tcW w:w="2123" w:type="dxa"/>
            <w:tcBorders>
              <w:left w:val="single" w:sz="4" w:space="0" w:color="auto"/>
              <w:bottom w:val="nil"/>
              <w:right w:val="single" w:sz="4" w:space="0" w:color="auto"/>
            </w:tcBorders>
          </w:tcPr>
          <w:p w14:paraId="3E23745E"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VAT</w:t>
            </w:r>
          </w:p>
        </w:tc>
        <w:tc>
          <w:tcPr>
            <w:tcW w:w="1340" w:type="dxa"/>
            <w:tcBorders>
              <w:bottom w:val="nil"/>
            </w:tcBorders>
            <w:shd w:val="clear" w:color="auto" w:fill="FFFFFF"/>
          </w:tcPr>
          <w:p w14:paraId="713404B3"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8.9752</w:t>
            </w:r>
          </w:p>
        </w:tc>
        <w:tc>
          <w:tcPr>
            <w:tcW w:w="1379" w:type="dxa"/>
            <w:tcBorders>
              <w:bottom w:val="nil"/>
            </w:tcBorders>
            <w:shd w:val="clear" w:color="auto" w:fill="FFFFFF"/>
          </w:tcPr>
          <w:p w14:paraId="73A53CF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16.8043</w:t>
            </w:r>
          </w:p>
        </w:tc>
        <w:tc>
          <w:tcPr>
            <w:tcW w:w="1494" w:type="dxa"/>
            <w:tcBorders>
              <w:bottom w:val="nil"/>
            </w:tcBorders>
            <w:shd w:val="clear" w:color="auto" w:fill="FFFFFF"/>
          </w:tcPr>
          <w:p w14:paraId="2520A5FA"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15.144573</w:t>
            </w:r>
          </w:p>
        </w:tc>
        <w:tc>
          <w:tcPr>
            <w:tcW w:w="1801" w:type="dxa"/>
            <w:tcBorders>
              <w:bottom w:val="nil"/>
              <w:right w:val="single" w:sz="4" w:space="0" w:color="auto"/>
            </w:tcBorders>
            <w:shd w:val="clear" w:color="auto" w:fill="FFFFFF"/>
          </w:tcPr>
          <w:p w14:paraId="708C1DFE"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1.5239508</w:t>
            </w:r>
          </w:p>
        </w:tc>
      </w:tr>
      <w:tr w:rsidR="007B652A" w:rsidRPr="003C569E" w14:paraId="49745618" w14:textId="77777777" w:rsidTr="007B652A">
        <w:trPr>
          <w:cantSplit/>
          <w:trHeight w:val="360"/>
        </w:trPr>
        <w:tc>
          <w:tcPr>
            <w:tcW w:w="2123" w:type="dxa"/>
            <w:tcBorders>
              <w:left w:val="single" w:sz="4" w:space="0" w:color="auto"/>
              <w:bottom w:val="nil"/>
              <w:right w:val="single" w:sz="4" w:space="0" w:color="auto"/>
            </w:tcBorders>
          </w:tcPr>
          <w:p w14:paraId="7F97FBC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TI</w:t>
            </w:r>
          </w:p>
        </w:tc>
        <w:tc>
          <w:tcPr>
            <w:tcW w:w="1340" w:type="dxa"/>
            <w:tcBorders>
              <w:bottom w:val="nil"/>
            </w:tcBorders>
            <w:shd w:val="clear" w:color="auto" w:fill="FFFFFF"/>
          </w:tcPr>
          <w:p w14:paraId="04A22B21"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.0018</w:t>
            </w:r>
          </w:p>
        </w:tc>
        <w:tc>
          <w:tcPr>
            <w:tcW w:w="1379" w:type="dxa"/>
            <w:tcBorders>
              <w:bottom w:val="nil"/>
            </w:tcBorders>
            <w:shd w:val="clear" w:color="auto" w:fill="FFFFFF"/>
          </w:tcPr>
          <w:p w14:paraId="5C5D48F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.0224</w:t>
            </w:r>
          </w:p>
        </w:tc>
        <w:tc>
          <w:tcPr>
            <w:tcW w:w="1494" w:type="dxa"/>
            <w:tcBorders>
              <w:bottom w:val="nil"/>
            </w:tcBorders>
            <w:shd w:val="clear" w:color="auto" w:fill="FFFFFF"/>
          </w:tcPr>
          <w:p w14:paraId="01C4D326"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.010756</w:t>
            </w:r>
          </w:p>
        </w:tc>
        <w:tc>
          <w:tcPr>
            <w:tcW w:w="1801" w:type="dxa"/>
            <w:tcBorders>
              <w:bottom w:val="nil"/>
              <w:right w:val="single" w:sz="4" w:space="0" w:color="auto"/>
            </w:tcBorders>
            <w:shd w:val="clear" w:color="auto" w:fill="FFFFFF"/>
          </w:tcPr>
          <w:p w14:paraId="76E4FABF"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.0043886</w:t>
            </w:r>
          </w:p>
        </w:tc>
      </w:tr>
      <w:tr w:rsidR="007B652A" w:rsidRPr="003C569E" w14:paraId="7438D67D" w14:textId="77777777" w:rsidTr="007B652A">
        <w:trPr>
          <w:cantSplit/>
          <w:trHeight w:val="343"/>
        </w:trPr>
        <w:tc>
          <w:tcPr>
            <w:tcW w:w="2123" w:type="dxa"/>
            <w:tcBorders>
              <w:left w:val="single" w:sz="4" w:space="0" w:color="auto"/>
              <w:bottom w:val="single" w:sz="4" w:space="0" w:color="auto"/>
              <w:right w:val="single" w:sz="4" w:space="0" w:color="auto"/>
            </w:tcBorders>
          </w:tcPr>
          <w:p w14:paraId="0F17A612" w14:textId="77777777" w:rsidR="007B652A" w:rsidRPr="006B5766" w:rsidRDefault="007B652A" w:rsidP="007B652A">
            <w:pPr>
              <w:autoSpaceDE w:val="0"/>
              <w:autoSpaceDN w:val="0"/>
              <w:adjustRightInd w:val="0"/>
              <w:spacing w:line="320" w:lineRule="atLeast"/>
              <w:ind w:right="60"/>
              <w:jc w:val="left"/>
              <w:rPr>
                <w:rFonts w:eastAsiaTheme="minorHAnsi"/>
                <w:b/>
                <w:bCs/>
                <w:color w:val="auto"/>
                <w:sz w:val="22"/>
              </w:rPr>
            </w:pPr>
            <w:r w:rsidRPr="006B5766">
              <w:rPr>
                <w:rFonts w:eastAsiaTheme="minorHAnsi"/>
                <w:b/>
                <w:bCs/>
                <w:color w:val="auto"/>
                <w:sz w:val="22"/>
              </w:rPr>
              <w:t>CED</w:t>
            </w:r>
          </w:p>
        </w:tc>
        <w:tc>
          <w:tcPr>
            <w:tcW w:w="1340" w:type="dxa"/>
            <w:tcBorders>
              <w:bottom w:val="single" w:sz="4" w:space="0" w:color="auto"/>
            </w:tcBorders>
            <w:shd w:val="clear" w:color="auto" w:fill="FFFFFF"/>
          </w:tcPr>
          <w:p w14:paraId="194AC1BB"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.0005</w:t>
            </w:r>
          </w:p>
        </w:tc>
        <w:tc>
          <w:tcPr>
            <w:tcW w:w="1379" w:type="dxa"/>
            <w:tcBorders>
              <w:bottom w:val="single" w:sz="4" w:space="0" w:color="auto"/>
            </w:tcBorders>
            <w:shd w:val="clear" w:color="auto" w:fill="FFFFFF"/>
          </w:tcPr>
          <w:p w14:paraId="63F6D775"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.7004</w:t>
            </w:r>
          </w:p>
        </w:tc>
        <w:tc>
          <w:tcPr>
            <w:tcW w:w="1494" w:type="dxa"/>
            <w:tcBorders>
              <w:bottom w:val="single" w:sz="4" w:space="0" w:color="auto"/>
            </w:tcBorders>
            <w:shd w:val="clear" w:color="auto" w:fill="FFFFFF"/>
          </w:tcPr>
          <w:p w14:paraId="0FB48A02"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.069570</w:t>
            </w:r>
          </w:p>
        </w:tc>
        <w:tc>
          <w:tcPr>
            <w:tcW w:w="1801" w:type="dxa"/>
            <w:tcBorders>
              <w:bottom w:val="single" w:sz="4" w:space="0" w:color="auto"/>
              <w:right w:val="single" w:sz="4" w:space="0" w:color="auto"/>
            </w:tcBorders>
            <w:shd w:val="clear" w:color="auto" w:fill="FFFFFF"/>
          </w:tcPr>
          <w:p w14:paraId="1C1F34C9" w14:textId="77777777" w:rsidR="007B652A" w:rsidRPr="003C569E" w:rsidRDefault="007B652A" w:rsidP="007B652A">
            <w:pPr>
              <w:autoSpaceDE w:val="0"/>
              <w:autoSpaceDN w:val="0"/>
              <w:adjustRightInd w:val="0"/>
              <w:spacing w:line="320" w:lineRule="atLeast"/>
              <w:ind w:right="60"/>
              <w:jc w:val="center"/>
              <w:rPr>
                <w:rFonts w:eastAsiaTheme="minorHAnsi"/>
                <w:color w:val="auto"/>
                <w:sz w:val="22"/>
              </w:rPr>
            </w:pPr>
            <w:r w:rsidRPr="003C569E">
              <w:rPr>
                <w:rFonts w:eastAsiaTheme="minorHAnsi"/>
                <w:color w:val="auto"/>
                <w:sz w:val="22"/>
              </w:rPr>
              <w:t>.1893375</w:t>
            </w:r>
          </w:p>
        </w:tc>
      </w:tr>
      <w:bookmarkEnd w:id="4"/>
    </w:tbl>
    <w:p w14:paraId="2ED64631" w14:textId="77777777" w:rsidR="007B652A" w:rsidRDefault="007B652A" w:rsidP="00711AB4">
      <w:pPr>
        <w:spacing w:before="0" w:line="240" w:lineRule="auto"/>
        <w:rPr>
          <w:b/>
          <w:bCs/>
          <w:i/>
          <w:iCs/>
        </w:rPr>
      </w:pPr>
    </w:p>
    <w:p w14:paraId="21FCD024" w14:textId="77777777" w:rsidR="007B652A" w:rsidRDefault="007B652A" w:rsidP="00711AB4">
      <w:pPr>
        <w:spacing w:before="0" w:line="240" w:lineRule="auto"/>
        <w:rPr>
          <w:b/>
          <w:bCs/>
          <w:i/>
          <w:iCs/>
        </w:rPr>
      </w:pPr>
    </w:p>
    <w:p w14:paraId="28733D4F" w14:textId="77777777" w:rsidR="007B652A" w:rsidRDefault="007B652A" w:rsidP="00711AB4">
      <w:pPr>
        <w:spacing w:before="0" w:line="240" w:lineRule="auto"/>
        <w:rPr>
          <w:b/>
          <w:bCs/>
          <w:i/>
          <w:iCs/>
        </w:rPr>
      </w:pPr>
    </w:p>
    <w:p w14:paraId="71B58EBD" w14:textId="77777777" w:rsidR="007B652A" w:rsidRDefault="007B652A" w:rsidP="00711AB4">
      <w:pPr>
        <w:spacing w:before="0" w:line="240" w:lineRule="auto"/>
        <w:rPr>
          <w:b/>
          <w:bCs/>
          <w:i/>
          <w:iCs/>
        </w:rPr>
      </w:pPr>
    </w:p>
    <w:p w14:paraId="5F65F088" w14:textId="77777777" w:rsidR="007B652A" w:rsidRDefault="007B652A" w:rsidP="00711AB4">
      <w:pPr>
        <w:spacing w:before="0" w:line="240" w:lineRule="auto"/>
        <w:rPr>
          <w:b/>
          <w:bCs/>
          <w:i/>
          <w:iCs/>
        </w:rPr>
      </w:pPr>
    </w:p>
    <w:p w14:paraId="1DCB0592" w14:textId="77777777" w:rsidR="007B652A" w:rsidRDefault="007B652A" w:rsidP="00711AB4">
      <w:pPr>
        <w:spacing w:before="0" w:line="240" w:lineRule="auto"/>
        <w:rPr>
          <w:b/>
          <w:bCs/>
          <w:i/>
          <w:iCs/>
        </w:rPr>
      </w:pPr>
    </w:p>
    <w:p w14:paraId="1C94D58C" w14:textId="77777777" w:rsidR="007B652A" w:rsidRDefault="007B652A" w:rsidP="00711AB4">
      <w:pPr>
        <w:spacing w:before="0" w:line="240" w:lineRule="auto"/>
        <w:rPr>
          <w:b/>
          <w:bCs/>
          <w:i/>
          <w:iCs/>
        </w:rPr>
      </w:pPr>
    </w:p>
    <w:p w14:paraId="3606683B" w14:textId="77777777" w:rsidR="007B652A" w:rsidRDefault="007B652A" w:rsidP="00711AB4">
      <w:pPr>
        <w:spacing w:before="0" w:line="240" w:lineRule="auto"/>
        <w:rPr>
          <w:b/>
          <w:bCs/>
          <w:i/>
          <w:iCs/>
        </w:rPr>
      </w:pPr>
    </w:p>
    <w:p w14:paraId="662879F5" w14:textId="77777777" w:rsidR="007B652A" w:rsidRDefault="007B652A" w:rsidP="00711AB4">
      <w:pPr>
        <w:spacing w:before="0" w:line="240" w:lineRule="auto"/>
        <w:rPr>
          <w:b/>
          <w:bCs/>
          <w:i/>
          <w:iCs/>
        </w:rPr>
      </w:pPr>
    </w:p>
    <w:p w14:paraId="367C57B3" w14:textId="77777777" w:rsidR="007B652A" w:rsidRDefault="007B652A" w:rsidP="00711AB4">
      <w:pPr>
        <w:spacing w:before="0" w:line="240" w:lineRule="auto"/>
        <w:rPr>
          <w:b/>
          <w:bCs/>
          <w:i/>
          <w:iCs/>
        </w:rPr>
      </w:pPr>
    </w:p>
    <w:p w14:paraId="59D2779F" w14:textId="77777777" w:rsidR="007B652A" w:rsidRPr="00711AB4" w:rsidRDefault="007B652A" w:rsidP="00711AB4">
      <w:pPr>
        <w:spacing w:before="0" w:line="240" w:lineRule="auto"/>
        <w:rPr>
          <w:b/>
          <w:bCs/>
          <w:i/>
          <w:iCs/>
        </w:rPr>
      </w:pPr>
    </w:p>
    <w:p w14:paraId="295320A3" w14:textId="77777777" w:rsidR="00711AB4" w:rsidRDefault="00711AB4" w:rsidP="00711AB4">
      <w:pPr>
        <w:spacing w:before="0" w:line="240" w:lineRule="auto"/>
      </w:pPr>
    </w:p>
    <w:p w14:paraId="27E56162" w14:textId="77777777" w:rsidR="007B652A" w:rsidRDefault="007B652A" w:rsidP="00711AB4">
      <w:pPr>
        <w:spacing w:before="0" w:line="240" w:lineRule="auto"/>
        <w:rPr>
          <w:b/>
          <w:bCs/>
          <w:i/>
          <w:iCs/>
          <w:sz w:val="28"/>
          <w:szCs w:val="24"/>
        </w:rPr>
      </w:pPr>
    </w:p>
    <w:p w14:paraId="56A09BC4" w14:textId="77777777" w:rsidR="007B652A" w:rsidRDefault="007B652A" w:rsidP="00711AB4">
      <w:pPr>
        <w:spacing w:before="0" w:line="240" w:lineRule="auto"/>
        <w:rPr>
          <w:b/>
          <w:bCs/>
          <w:i/>
          <w:iCs/>
          <w:sz w:val="28"/>
          <w:szCs w:val="24"/>
        </w:rPr>
      </w:pPr>
    </w:p>
    <w:p w14:paraId="6B17670F" w14:textId="7A93CE2A" w:rsidR="007B652A" w:rsidRDefault="007B652A" w:rsidP="00711AB4">
      <w:pPr>
        <w:spacing w:before="0" w:line="240" w:lineRule="auto"/>
        <w:rPr>
          <w:b/>
          <w:bCs/>
          <w:i/>
          <w:iCs/>
          <w:sz w:val="28"/>
          <w:szCs w:val="24"/>
        </w:rPr>
      </w:pPr>
      <w:r w:rsidRPr="007B652A">
        <w:rPr>
          <w:b/>
          <w:bCs/>
          <w:i/>
          <w:iCs/>
          <w:sz w:val="28"/>
          <w:szCs w:val="24"/>
        </w:rPr>
        <w:t>Diagnostic Tests</w:t>
      </w:r>
    </w:p>
    <w:p w14:paraId="7CC7AD78" w14:textId="77777777" w:rsidR="007B652A" w:rsidRDefault="007B652A" w:rsidP="00711AB4">
      <w:pPr>
        <w:spacing w:before="0" w:line="240" w:lineRule="auto"/>
        <w:rPr>
          <w:b/>
          <w:bCs/>
          <w:i/>
          <w:iCs/>
          <w:sz w:val="28"/>
          <w:szCs w:val="24"/>
        </w:rPr>
      </w:pPr>
    </w:p>
    <w:p w14:paraId="3086BCE8" w14:textId="77777777" w:rsidR="007B652A" w:rsidRPr="007B652A" w:rsidRDefault="007B652A" w:rsidP="007B652A">
      <w:pPr>
        <w:spacing w:before="0" w:line="240" w:lineRule="auto"/>
        <w:rPr>
          <w:color w:val="000000" w:themeColor="text1"/>
        </w:rPr>
      </w:pPr>
      <w:r w:rsidRPr="007B652A">
        <w:rPr>
          <w:color w:val="000000" w:themeColor="text1"/>
        </w:rPr>
        <w:t>The study conducted several diagnostic tests to validate the assumptions underlying regression analysis.</w:t>
      </w:r>
    </w:p>
    <w:p w14:paraId="3C09D178" w14:textId="77777777" w:rsidR="007B652A" w:rsidRPr="007B652A" w:rsidRDefault="007B652A" w:rsidP="007B652A">
      <w:pPr>
        <w:spacing w:before="0" w:line="240" w:lineRule="auto"/>
        <w:rPr>
          <w:color w:val="000000" w:themeColor="text1"/>
        </w:rPr>
      </w:pPr>
    </w:p>
    <w:p w14:paraId="5FB5C37B" w14:textId="3E2E77CE" w:rsidR="007B652A" w:rsidRPr="007B652A" w:rsidRDefault="007B652A" w:rsidP="007B652A">
      <w:pPr>
        <w:spacing w:before="0" w:line="240" w:lineRule="auto"/>
        <w:rPr>
          <w:b/>
          <w:bCs/>
          <w:color w:val="000000" w:themeColor="text1"/>
        </w:rPr>
      </w:pPr>
      <w:r w:rsidRPr="007B652A">
        <w:rPr>
          <w:b/>
          <w:bCs/>
          <w:color w:val="000000" w:themeColor="text1"/>
        </w:rPr>
        <w:t>Normality Test:</w:t>
      </w:r>
    </w:p>
    <w:p w14:paraId="3AA0F8F4" w14:textId="3B8755E7" w:rsidR="007B652A" w:rsidRDefault="007B652A" w:rsidP="007B652A">
      <w:pPr>
        <w:spacing w:before="0" w:line="240" w:lineRule="auto"/>
        <w:rPr>
          <w:color w:val="000000" w:themeColor="text1"/>
        </w:rPr>
      </w:pPr>
      <w:r w:rsidRPr="007B652A">
        <w:rPr>
          <w:color w:val="000000" w:themeColor="text1"/>
        </w:rPr>
        <w:t>The Kolmogorov-Smirnov and Shapiro-</w:t>
      </w:r>
      <w:proofErr w:type="spellStart"/>
      <w:r w:rsidRPr="007B652A">
        <w:rPr>
          <w:color w:val="000000" w:themeColor="text1"/>
        </w:rPr>
        <w:t>Wilk</w:t>
      </w:r>
      <w:proofErr w:type="spellEnd"/>
      <w:r w:rsidRPr="007B652A">
        <w:rPr>
          <w:color w:val="000000" w:themeColor="text1"/>
        </w:rPr>
        <w:t xml:space="preserve"> tests were employed to determine whether the dataset followed a normal distribution. As shown in Table </w:t>
      </w:r>
      <w:r>
        <w:rPr>
          <w:color w:val="000000" w:themeColor="text1"/>
        </w:rPr>
        <w:t>3</w:t>
      </w:r>
      <w:r w:rsidRPr="007B652A">
        <w:rPr>
          <w:color w:val="000000" w:themeColor="text1"/>
        </w:rPr>
        <w:t xml:space="preserve">, all variables had significance levels (p &lt; 0.05), indicating deviation from normality. Consequently, data </w:t>
      </w:r>
      <w:proofErr w:type="spellStart"/>
      <w:r w:rsidR="00DE4ECB" w:rsidRPr="000B4C23">
        <w:rPr>
          <w:color w:val="000000" w:themeColor="text1"/>
          <w:highlight w:val="yellow"/>
        </w:rPr>
        <w:t>standardisation</w:t>
      </w:r>
      <w:proofErr w:type="spellEnd"/>
      <w:r w:rsidR="00DE4ECB" w:rsidRPr="000B4C23">
        <w:rPr>
          <w:color w:val="000000" w:themeColor="text1"/>
          <w:highlight w:val="yellow"/>
        </w:rPr>
        <w:t xml:space="preserve"> </w:t>
      </w:r>
      <w:r w:rsidRPr="00F341C6">
        <w:rPr>
          <w:color w:val="000000" w:themeColor="text1"/>
        </w:rPr>
        <w:t>was applied to enhance comparability and ensure accurate statistical inferences during regression analysis.</w:t>
      </w:r>
    </w:p>
    <w:p w14:paraId="2441A83C" w14:textId="12736CC6" w:rsidR="00DF2A42" w:rsidRDefault="00DF2A42" w:rsidP="00DF2A42">
      <w:pPr>
        <w:spacing w:before="0" w:line="240" w:lineRule="auto"/>
        <w:rPr>
          <w:b/>
          <w:bCs/>
          <w:i/>
          <w:iCs/>
        </w:rPr>
      </w:pPr>
      <w:r w:rsidRPr="00711AB4">
        <w:rPr>
          <w:b/>
          <w:bCs/>
          <w:i/>
          <w:iCs/>
        </w:rPr>
        <w:t xml:space="preserve">Table </w:t>
      </w:r>
      <w:r>
        <w:rPr>
          <w:b/>
          <w:bCs/>
          <w:i/>
          <w:iCs/>
        </w:rPr>
        <w:t>3</w:t>
      </w:r>
      <w:r w:rsidRPr="00711AB4">
        <w:rPr>
          <w:b/>
          <w:bCs/>
          <w:i/>
          <w:iCs/>
        </w:rPr>
        <w:t xml:space="preserve">: </w:t>
      </w:r>
      <w:r w:rsidRPr="00DF2A42">
        <w:rPr>
          <w:b/>
          <w:bCs/>
          <w:i/>
          <w:iCs/>
        </w:rPr>
        <w:t>Tests of Normality</w:t>
      </w:r>
    </w:p>
    <w:p w14:paraId="0A58CC2A" w14:textId="77777777" w:rsidR="007B652A" w:rsidRDefault="007B652A" w:rsidP="007B652A">
      <w:pPr>
        <w:spacing w:before="0" w:line="240" w:lineRule="auto"/>
        <w:rPr>
          <w:color w:val="000000" w:themeColor="text1"/>
        </w:rPr>
      </w:pPr>
    </w:p>
    <w:tbl>
      <w:tblPr>
        <w:tblW w:w="86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8"/>
        <w:gridCol w:w="1281"/>
        <w:gridCol w:w="1282"/>
        <w:gridCol w:w="1282"/>
        <w:gridCol w:w="1282"/>
        <w:gridCol w:w="1282"/>
        <w:gridCol w:w="1284"/>
      </w:tblGrid>
      <w:tr w:rsidR="007B652A" w:rsidRPr="001858FB" w14:paraId="4901DEFC" w14:textId="77777777" w:rsidTr="0062367B">
        <w:trPr>
          <w:cantSplit/>
          <w:trHeight w:val="344"/>
        </w:trPr>
        <w:tc>
          <w:tcPr>
            <w:tcW w:w="8611" w:type="dxa"/>
            <w:gridSpan w:val="7"/>
            <w:tcBorders>
              <w:top w:val="nil"/>
              <w:left w:val="nil"/>
              <w:bottom w:val="single" w:sz="4" w:space="0" w:color="auto"/>
              <w:right w:val="nil"/>
            </w:tcBorders>
            <w:shd w:val="clear" w:color="auto" w:fill="FFFFFF"/>
            <w:vAlign w:val="center"/>
          </w:tcPr>
          <w:p w14:paraId="327837CF" w14:textId="5F5F2BF1" w:rsidR="007B652A" w:rsidRPr="001858FB" w:rsidRDefault="00D5251B" w:rsidP="007B652A">
            <w:pPr>
              <w:autoSpaceDE w:val="0"/>
              <w:autoSpaceDN w:val="0"/>
              <w:adjustRightInd w:val="0"/>
              <w:spacing w:before="0" w:line="240" w:lineRule="auto"/>
              <w:ind w:left="60" w:right="60"/>
              <w:jc w:val="center"/>
              <w:rPr>
                <w:rFonts w:eastAsiaTheme="minorHAnsi"/>
                <w:color w:val="auto"/>
                <w:sz w:val="22"/>
              </w:rPr>
            </w:pPr>
            <w:r>
              <w:rPr>
                <w:rFonts w:eastAsiaTheme="minorHAnsi"/>
                <w:b/>
                <w:bCs/>
                <w:color w:val="auto"/>
                <w:sz w:val="22"/>
              </w:rPr>
              <w:t>List 1-</w:t>
            </w:r>
            <w:r w:rsidR="007B652A" w:rsidRPr="001858FB">
              <w:rPr>
                <w:rFonts w:eastAsiaTheme="minorHAnsi"/>
                <w:b/>
                <w:bCs/>
                <w:color w:val="auto"/>
                <w:sz w:val="22"/>
              </w:rPr>
              <w:t>Tests of Normality</w:t>
            </w:r>
          </w:p>
        </w:tc>
      </w:tr>
      <w:tr w:rsidR="007B652A" w:rsidRPr="001858FB" w14:paraId="6548DD37" w14:textId="77777777" w:rsidTr="0062367B">
        <w:trPr>
          <w:cantSplit/>
          <w:trHeight w:val="360"/>
        </w:trPr>
        <w:tc>
          <w:tcPr>
            <w:tcW w:w="918" w:type="dxa"/>
            <w:vMerge w:val="restart"/>
            <w:tcBorders>
              <w:top w:val="single" w:sz="4" w:space="0" w:color="auto"/>
              <w:left w:val="single" w:sz="4" w:space="0" w:color="auto"/>
              <w:bottom w:val="nil"/>
              <w:right w:val="nil"/>
            </w:tcBorders>
            <w:shd w:val="clear" w:color="auto" w:fill="FFFFFF"/>
            <w:vAlign w:val="bottom"/>
          </w:tcPr>
          <w:p w14:paraId="67D43AC4"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3845" w:type="dxa"/>
            <w:gridSpan w:val="3"/>
            <w:tcBorders>
              <w:top w:val="single" w:sz="4" w:space="0" w:color="auto"/>
              <w:left w:val="nil"/>
              <w:bottom w:val="nil"/>
              <w:right w:val="single" w:sz="4" w:space="0" w:color="auto"/>
            </w:tcBorders>
            <w:shd w:val="clear" w:color="auto" w:fill="FFFFFF"/>
            <w:vAlign w:val="bottom"/>
          </w:tcPr>
          <w:p w14:paraId="53DF6D8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Kolmogorov-</w:t>
            </w:r>
            <w:proofErr w:type="spellStart"/>
            <w:r w:rsidRPr="001858FB">
              <w:rPr>
                <w:rFonts w:eastAsiaTheme="minorHAnsi"/>
                <w:color w:val="auto"/>
                <w:sz w:val="22"/>
              </w:rPr>
              <w:t>Smirnov</w:t>
            </w:r>
            <w:r w:rsidRPr="001858FB">
              <w:rPr>
                <w:rFonts w:eastAsiaTheme="minorHAnsi"/>
                <w:color w:val="auto"/>
                <w:sz w:val="22"/>
                <w:vertAlign w:val="superscript"/>
              </w:rPr>
              <w:t>a</w:t>
            </w:r>
            <w:proofErr w:type="spellEnd"/>
          </w:p>
        </w:tc>
        <w:tc>
          <w:tcPr>
            <w:tcW w:w="3846" w:type="dxa"/>
            <w:gridSpan w:val="3"/>
            <w:tcBorders>
              <w:top w:val="single" w:sz="4" w:space="0" w:color="auto"/>
              <w:left w:val="single" w:sz="4" w:space="0" w:color="auto"/>
              <w:bottom w:val="nil"/>
              <w:right w:val="single" w:sz="4" w:space="0" w:color="auto"/>
            </w:tcBorders>
            <w:shd w:val="clear" w:color="auto" w:fill="FFFFFF"/>
            <w:vAlign w:val="bottom"/>
          </w:tcPr>
          <w:p w14:paraId="3D78FB2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Shapiro-</w:t>
            </w:r>
            <w:proofErr w:type="spellStart"/>
            <w:r w:rsidRPr="001858FB">
              <w:rPr>
                <w:rFonts w:eastAsiaTheme="minorHAnsi"/>
                <w:color w:val="auto"/>
                <w:sz w:val="22"/>
              </w:rPr>
              <w:t>Wilk</w:t>
            </w:r>
            <w:proofErr w:type="spellEnd"/>
          </w:p>
        </w:tc>
      </w:tr>
      <w:tr w:rsidR="007B652A" w:rsidRPr="001858FB" w14:paraId="1340722D" w14:textId="77777777" w:rsidTr="0062367B">
        <w:trPr>
          <w:cantSplit/>
          <w:trHeight w:val="344"/>
        </w:trPr>
        <w:tc>
          <w:tcPr>
            <w:tcW w:w="918" w:type="dxa"/>
            <w:vMerge/>
            <w:tcBorders>
              <w:top w:val="nil"/>
              <w:left w:val="single" w:sz="4" w:space="0" w:color="auto"/>
              <w:bottom w:val="single" w:sz="4" w:space="0" w:color="auto"/>
              <w:right w:val="nil"/>
            </w:tcBorders>
            <w:shd w:val="clear" w:color="auto" w:fill="FFFFFF"/>
            <w:vAlign w:val="bottom"/>
          </w:tcPr>
          <w:p w14:paraId="375B6817" w14:textId="77777777" w:rsidR="007B652A" w:rsidRPr="001858FB" w:rsidRDefault="007B652A" w:rsidP="007B652A">
            <w:pPr>
              <w:autoSpaceDE w:val="0"/>
              <w:autoSpaceDN w:val="0"/>
              <w:adjustRightInd w:val="0"/>
              <w:spacing w:before="0" w:line="240" w:lineRule="auto"/>
              <w:jc w:val="left"/>
              <w:rPr>
                <w:rFonts w:eastAsiaTheme="minorHAnsi"/>
                <w:color w:val="auto"/>
                <w:sz w:val="22"/>
              </w:rPr>
            </w:pPr>
          </w:p>
        </w:tc>
        <w:tc>
          <w:tcPr>
            <w:tcW w:w="1281" w:type="dxa"/>
            <w:tcBorders>
              <w:top w:val="nil"/>
              <w:left w:val="nil"/>
              <w:bottom w:val="single" w:sz="4" w:space="0" w:color="auto"/>
              <w:right w:val="single" w:sz="4" w:space="0" w:color="auto"/>
            </w:tcBorders>
            <w:shd w:val="clear" w:color="auto" w:fill="FFFFFF"/>
            <w:vAlign w:val="bottom"/>
          </w:tcPr>
          <w:p w14:paraId="48B4FD6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626ABB2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proofErr w:type="spellStart"/>
            <w:r w:rsidRPr="001858FB">
              <w:rPr>
                <w:rFonts w:eastAsiaTheme="minorHAnsi"/>
                <w:color w:val="auto"/>
                <w:sz w:val="22"/>
              </w:rPr>
              <w:t>df</w:t>
            </w:r>
            <w:proofErr w:type="spellEnd"/>
          </w:p>
        </w:tc>
        <w:tc>
          <w:tcPr>
            <w:tcW w:w="1282" w:type="dxa"/>
            <w:tcBorders>
              <w:top w:val="nil"/>
              <w:left w:val="single" w:sz="4" w:space="0" w:color="auto"/>
              <w:bottom w:val="single" w:sz="4" w:space="0" w:color="auto"/>
              <w:right w:val="single" w:sz="4" w:space="0" w:color="auto"/>
            </w:tcBorders>
            <w:shd w:val="clear" w:color="auto" w:fill="FFFFFF"/>
            <w:vAlign w:val="bottom"/>
          </w:tcPr>
          <w:p w14:paraId="339A935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C1472EF"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Statistic</w:t>
            </w:r>
          </w:p>
        </w:tc>
        <w:tc>
          <w:tcPr>
            <w:tcW w:w="1282" w:type="dxa"/>
            <w:tcBorders>
              <w:top w:val="nil"/>
              <w:left w:val="single" w:sz="4" w:space="0" w:color="auto"/>
              <w:bottom w:val="single" w:sz="4" w:space="0" w:color="auto"/>
              <w:right w:val="single" w:sz="4" w:space="0" w:color="auto"/>
            </w:tcBorders>
            <w:shd w:val="clear" w:color="auto" w:fill="FFFFFF"/>
            <w:vAlign w:val="bottom"/>
          </w:tcPr>
          <w:p w14:paraId="478A295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proofErr w:type="spellStart"/>
            <w:r w:rsidRPr="001858FB">
              <w:rPr>
                <w:rFonts w:eastAsiaTheme="minorHAnsi"/>
                <w:color w:val="auto"/>
                <w:sz w:val="22"/>
              </w:rPr>
              <w:t>df</w:t>
            </w:r>
            <w:proofErr w:type="spellEnd"/>
          </w:p>
        </w:tc>
        <w:tc>
          <w:tcPr>
            <w:tcW w:w="1282" w:type="dxa"/>
            <w:tcBorders>
              <w:top w:val="nil"/>
              <w:left w:val="single" w:sz="4" w:space="0" w:color="auto"/>
              <w:bottom w:val="single" w:sz="4" w:space="0" w:color="auto"/>
              <w:right w:val="single" w:sz="4" w:space="0" w:color="auto"/>
            </w:tcBorders>
            <w:shd w:val="clear" w:color="auto" w:fill="FFFFFF"/>
            <w:vAlign w:val="bottom"/>
          </w:tcPr>
          <w:p w14:paraId="1A60EBB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Sig.</w:t>
            </w:r>
          </w:p>
        </w:tc>
      </w:tr>
      <w:tr w:rsidR="007B652A" w:rsidRPr="001858FB" w14:paraId="542F1868" w14:textId="77777777" w:rsidTr="0062367B">
        <w:trPr>
          <w:cantSplit/>
          <w:trHeight w:val="344"/>
        </w:trPr>
        <w:tc>
          <w:tcPr>
            <w:tcW w:w="918" w:type="dxa"/>
            <w:tcBorders>
              <w:top w:val="single" w:sz="4" w:space="0" w:color="auto"/>
              <w:left w:val="single" w:sz="4" w:space="0" w:color="auto"/>
              <w:bottom w:val="nil"/>
              <w:right w:val="nil"/>
            </w:tcBorders>
          </w:tcPr>
          <w:p w14:paraId="2A68EAE3"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ROA</w:t>
            </w:r>
          </w:p>
        </w:tc>
        <w:tc>
          <w:tcPr>
            <w:tcW w:w="1281" w:type="dxa"/>
            <w:tcBorders>
              <w:top w:val="single" w:sz="4" w:space="0" w:color="auto"/>
              <w:left w:val="nil"/>
              <w:bottom w:val="nil"/>
              <w:right w:val="nil"/>
            </w:tcBorders>
            <w:shd w:val="clear" w:color="auto" w:fill="FFFFFF"/>
          </w:tcPr>
          <w:p w14:paraId="1607C55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.337</w:t>
            </w:r>
          </w:p>
        </w:tc>
        <w:tc>
          <w:tcPr>
            <w:tcW w:w="1282" w:type="dxa"/>
            <w:tcBorders>
              <w:top w:val="single" w:sz="4" w:space="0" w:color="auto"/>
              <w:left w:val="nil"/>
              <w:bottom w:val="nil"/>
              <w:right w:val="nil"/>
            </w:tcBorders>
            <w:shd w:val="clear" w:color="auto" w:fill="FFFFFF"/>
          </w:tcPr>
          <w:p w14:paraId="432A109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nil"/>
            </w:tcBorders>
            <w:shd w:val="clear" w:color="auto" w:fill="FFFFFF"/>
          </w:tcPr>
          <w:p w14:paraId="3FCA577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single" w:sz="4" w:space="0" w:color="auto"/>
              <w:left w:val="nil"/>
              <w:bottom w:val="nil"/>
              <w:right w:val="nil"/>
            </w:tcBorders>
            <w:shd w:val="clear" w:color="auto" w:fill="FFFFFF"/>
          </w:tcPr>
          <w:p w14:paraId="508AC421"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.584</w:t>
            </w:r>
          </w:p>
        </w:tc>
        <w:tc>
          <w:tcPr>
            <w:tcW w:w="1282" w:type="dxa"/>
            <w:tcBorders>
              <w:top w:val="single" w:sz="4" w:space="0" w:color="auto"/>
              <w:left w:val="nil"/>
              <w:bottom w:val="nil"/>
              <w:right w:val="nil"/>
            </w:tcBorders>
            <w:shd w:val="clear" w:color="auto" w:fill="FFFFFF"/>
          </w:tcPr>
          <w:p w14:paraId="7692F38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single" w:sz="4" w:space="0" w:color="auto"/>
              <w:left w:val="nil"/>
              <w:bottom w:val="nil"/>
              <w:right w:val="single" w:sz="4" w:space="0" w:color="auto"/>
            </w:tcBorders>
            <w:shd w:val="clear" w:color="auto" w:fill="FFFFFF"/>
          </w:tcPr>
          <w:p w14:paraId="7E95CEE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F29BFAB" w14:textId="77777777" w:rsidTr="0062367B">
        <w:trPr>
          <w:cantSplit/>
          <w:trHeight w:val="344"/>
        </w:trPr>
        <w:tc>
          <w:tcPr>
            <w:tcW w:w="918" w:type="dxa"/>
            <w:tcBorders>
              <w:top w:val="nil"/>
              <w:left w:val="single" w:sz="4" w:space="0" w:color="auto"/>
              <w:bottom w:val="nil"/>
              <w:right w:val="nil"/>
            </w:tcBorders>
          </w:tcPr>
          <w:p w14:paraId="2DC8394E"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CITR</w:t>
            </w:r>
          </w:p>
        </w:tc>
        <w:tc>
          <w:tcPr>
            <w:tcW w:w="1281" w:type="dxa"/>
            <w:tcBorders>
              <w:top w:val="nil"/>
              <w:left w:val="nil"/>
              <w:bottom w:val="nil"/>
              <w:right w:val="nil"/>
            </w:tcBorders>
            <w:shd w:val="clear" w:color="auto" w:fill="FFFFFF"/>
          </w:tcPr>
          <w:p w14:paraId="754B31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.450</w:t>
            </w:r>
          </w:p>
        </w:tc>
        <w:tc>
          <w:tcPr>
            <w:tcW w:w="1282" w:type="dxa"/>
            <w:tcBorders>
              <w:top w:val="nil"/>
              <w:left w:val="nil"/>
              <w:bottom w:val="nil"/>
              <w:right w:val="nil"/>
            </w:tcBorders>
            <w:shd w:val="clear" w:color="auto" w:fill="FFFFFF"/>
          </w:tcPr>
          <w:p w14:paraId="60C6A9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407129A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50570B7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.261</w:t>
            </w:r>
          </w:p>
        </w:tc>
        <w:tc>
          <w:tcPr>
            <w:tcW w:w="1282" w:type="dxa"/>
            <w:tcBorders>
              <w:top w:val="nil"/>
              <w:left w:val="nil"/>
              <w:bottom w:val="nil"/>
              <w:right w:val="nil"/>
            </w:tcBorders>
            <w:shd w:val="clear" w:color="auto" w:fill="FFFFFF"/>
          </w:tcPr>
          <w:p w14:paraId="365F7F0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08988B6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0AD66E5E" w14:textId="77777777" w:rsidTr="0062367B">
        <w:trPr>
          <w:cantSplit/>
          <w:trHeight w:val="360"/>
        </w:trPr>
        <w:tc>
          <w:tcPr>
            <w:tcW w:w="918" w:type="dxa"/>
            <w:tcBorders>
              <w:top w:val="nil"/>
              <w:left w:val="single" w:sz="4" w:space="0" w:color="auto"/>
              <w:bottom w:val="nil"/>
              <w:right w:val="nil"/>
            </w:tcBorders>
          </w:tcPr>
          <w:p w14:paraId="5FAAF29D"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lastRenderedPageBreak/>
              <w:t>VAT</w:t>
            </w:r>
          </w:p>
        </w:tc>
        <w:tc>
          <w:tcPr>
            <w:tcW w:w="1281" w:type="dxa"/>
            <w:tcBorders>
              <w:top w:val="nil"/>
              <w:left w:val="nil"/>
              <w:bottom w:val="nil"/>
              <w:right w:val="nil"/>
            </w:tcBorders>
            <w:shd w:val="clear" w:color="auto" w:fill="FFFFFF"/>
          </w:tcPr>
          <w:p w14:paraId="3C2A55A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.236</w:t>
            </w:r>
          </w:p>
        </w:tc>
        <w:tc>
          <w:tcPr>
            <w:tcW w:w="1282" w:type="dxa"/>
            <w:tcBorders>
              <w:top w:val="nil"/>
              <w:left w:val="nil"/>
              <w:bottom w:val="nil"/>
              <w:right w:val="nil"/>
            </w:tcBorders>
            <w:shd w:val="clear" w:color="auto" w:fill="FFFFFF"/>
          </w:tcPr>
          <w:p w14:paraId="3F25326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110C4702"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1F0CCF2D"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.615</w:t>
            </w:r>
          </w:p>
        </w:tc>
        <w:tc>
          <w:tcPr>
            <w:tcW w:w="1282" w:type="dxa"/>
            <w:tcBorders>
              <w:top w:val="nil"/>
              <w:left w:val="nil"/>
              <w:bottom w:val="nil"/>
              <w:right w:val="nil"/>
            </w:tcBorders>
            <w:shd w:val="clear" w:color="auto" w:fill="FFFFFF"/>
          </w:tcPr>
          <w:p w14:paraId="4974B4B5"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1D4568E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5EBCE3AE" w14:textId="77777777" w:rsidTr="0062367B">
        <w:trPr>
          <w:cantSplit/>
          <w:trHeight w:val="344"/>
        </w:trPr>
        <w:tc>
          <w:tcPr>
            <w:tcW w:w="918" w:type="dxa"/>
            <w:tcBorders>
              <w:top w:val="nil"/>
              <w:left w:val="single" w:sz="4" w:space="0" w:color="auto"/>
              <w:bottom w:val="nil"/>
              <w:right w:val="nil"/>
            </w:tcBorders>
          </w:tcPr>
          <w:p w14:paraId="5F54B6B5"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TI</w:t>
            </w:r>
          </w:p>
        </w:tc>
        <w:tc>
          <w:tcPr>
            <w:tcW w:w="1281" w:type="dxa"/>
            <w:tcBorders>
              <w:top w:val="nil"/>
              <w:left w:val="nil"/>
              <w:bottom w:val="nil"/>
              <w:right w:val="nil"/>
            </w:tcBorders>
            <w:shd w:val="clear" w:color="auto" w:fill="FFFFFF"/>
          </w:tcPr>
          <w:p w14:paraId="4FF21E3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.132</w:t>
            </w:r>
          </w:p>
        </w:tc>
        <w:tc>
          <w:tcPr>
            <w:tcW w:w="1282" w:type="dxa"/>
            <w:tcBorders>
              <w:top w:val="nil"/>
              <w:left w:val="nil"/>
              <w:bottom w:val="nil"/>
              <w:right w:val="nil"/>
            </w:tcBorders>
            <w:shd w:val="clear" w:color="auto" w:fill="FFFFFF"/>
          </w:tcPr>
          <w:p w14:paraId="167CE883"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nil"/>
            </w:tcBorders>
            <w:shd w:val="clear" w:color="auto" w:fill="FFFFFF"/>
          </w:tcPr>
          <w:p w14:paraId="50F0B198"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nil"/>
              <w:right w:val="nil"/>
            </w:tcBorders>
            <w:shd w:val="clear" w:color="auto" w:fill="FFFFFF"/>
          </w:tcPr>
          <w:p w14:paraId="3CDA036A"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.937</w:t>
            </w:r>
          </w:p>
        </w:tc>
        <w:tc>
          <w:tcPr>
            <w:tcW w:w="1282" w:type="dxa"/>
            <w:tcBorders>
              <w:top w:val="nil"/>
              <w:left w:val="nil"/>
              <w:bottom w:val="nil"/>
              <w:right w:val="nil"/>
            </w:tcBorders>
            <w:shd w:val="clear" w:color="auto" w:fill="FFFFFF"/>
          </w:tcPr>
          <w:p w14:paraId="12C1C24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nil"/>
              <w:right w:val="single" w:sz="4" w:space="0" w:color="auto"/>
            </w:tcBorders>
            <w:shd w:val="clear" w:color="auto" w:fill="FFFFFF"/>
          </w:tcPr>
          <w:p w14:paraId="2E466C7E"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491EDEAE" w14:textId="77777777" w:rsidTr="0062367B">
        <w:trPr>
          <w:cantSplit/>
          <w:trHeight w:val="344"/>
        </w:trPr>
        <w:tc>
          <w:tcPr>
            <w:tcW w:w="918" w:type="dxa"/>
            <w:tcBorders>
              <w:top w:val="nil"/>
              <w:left w:val="single" w:sz="4" w:space="0" w:color="auto"/>
              <w:bottom w:val="single" w:sz="4" w:space="0" w:color="auto"/>
              <w:right w:val="nil"/>
            </w:tcBorders>
          </w:tcPr>
          <w:p w14:paraId="0F77761C"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r w:rsidRPr="001858FB">
              <w:rPr>
                <w:rFonts w:eastAsiaTheme="minorHAnsi"/>
                <w:color w:val="auto"/>
                <w:sz w:val="22"/>
              </w:rPr>
              <w:t>CED</w:t>
            </w:r>
          </w:p>
        </w:tc>
        <w:tc>
          <w:tcPr>
            <w:tcW w:w="1281" w:type="dxa"/>
            <w:tcBorders>
              <w:top w:val="nil"/>
              <w:left w:val="nil"/>
              <w:bottom w:val="single" w:sz="4" w:space="0" w:color="auto"/>
              <w:right w:val="nil"/>
            </w:tcBorders>
            <w:shd w:val="clear" w:color="auto" w:fill="FFFFFF"/>
          </w:tcPr>
          <w:p w14:paraId="74FAD939"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.489</w:t>
            </w:r>
          </w:p>
        </w:tc>
        <w:tc>
          <w:tcPr>
            <w:tcW w:w="1282" w:type="dxa"/>
            <w:tcBorders>
              <w:top w:val="nil"/>
              <w:left w:val="nil"/>
              <w:bottom w:val="single" w:sz="4" w:space="0" w:color="auto"/>
              <w:right w:val="nil"/>
            </w:tcBorders>
            <w:shd w:val="clear" w:color="auto" w:fill="FFFFFF"/>
          </w:tcPr>
          <w:p w14:paraId="566C63B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nil"/>
            </w:tcBorders>
            <w:shd w:val="clear" w:color="auto" w:fill="FFFFFF"/>
          </w:tcPr>
          <w:p w14:paraId="173AD8E0"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c>
          <w:tcPr>
            <w:tcW w:w="1282" w:type="dxa"/>
            <w:tcBorders>
              <w:top w:val="nil"/>
              <w:left w:val="nil"/>
              <w:bottom w:val="single" w:sz="4" w:space="0" w:color="auto"/>
              <w:right w:val="nil"/>
            </w:tcBorders>
            <w:shd w:val="clear" w:color="auto" w:fill="FFFFFF"/>
          </w:tcPr>
          <w:p w14:paraId="479EB7FB"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.384</w:t>
            </w:r>
          </w:p>
        </w:tc>
        <w:tc>
          <w:tcPr>
            <w:tcW w:w="1282" w:type="dxa"/>
            <w:tcBorders>
              <w:top w:val="nil"/>
              <w:left w:val="nil"/>
              <w:bottom w:val="single" w:sz="4" w:space="0" w:color="auto"/>
              <w:right w:val="nil"/>
            </w:tcBorders>
            <w:shd w:val="clear" w:color="auto" w:fill="FFFFFF"/>
          </w:tcPr>
          <w:p w14:paraId="2F04F146"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100</w:t>
            </w:r>
          </w:p>
        </w:tc>
        <w:tc>
          <w:tcPr>
            <w:tcW w:w="1282" w:type="dxa"/>
            <w:tcBorders>
              <w:top w:val="nil"/>
              <w:left w:val="nil"/>
              <w:bottom w:val="single" w:sz="4" w:space="0" w:color="auto"/>
              <w:right w:val="single" w:sz="4" w:space="0" w:color="auto"/>
            </w:tcBorders>
            <w:shd w:val="clear" w:color="auto" w:fill="FFFFFF"/>
          </w:tcPr>
          <w:p w14:paraId="6BA8E324" w14:textId="77777777" w:rsidR="007B652A" w:rsidRPr="001858FB" w:rsidRDefault="007B652A" w:rsidP="007B652A">
            <w:pPr>
              <w:autoSpaceDE w:val="0"/>
              <w:autoSpaceDN w:val="0"/>
              <w:adjustRightInd w:val="0"/>
              <w:spacing w:before="0" w:line="240" w:lineRule="auto"/>
              <w:ind w:left="60" w:right="60"/>
              <w:jc w:val="center"/>
              <w:rPr>
                <w:rFonts w:eastAsiaTheme="minorHAnsi"/>
                <w:color w:val="auto"/>
                <w:sz w:val="22"/>
              </w:rPr>
            </w:pPr>
            <w:r w:rsidRPr="001858FB">
              <w:rPr>
                <w:rFonts w:eastAsiaTheme="minorHAnsi"/>
                <w:color w:val="auto"/>
                <w:sz w:val="22"/>
              </w:rPr>
              <w:t>.000</w:t>
            </w:r>
          </w:p>
        </w:tc>
      </w:tr>
      <w:tr w:rsidR="007B652A" w:rsidRPr="001858FB" w14:paraId="1238C5C8" w14:textId="77777777" w:rsidTr="0062367B">
        <w:trPr>
          <w:cantSplit/>
          <w:trHeight w:val="344"/>
        </w:trPr>
        <w:tc>
          <w:tcPr>
            <w:tcW w:w="8611" w:type="dxa"/>
            <w:gridSpan w:val="7"/>
            <w:tcBorders>
              <w:top w:val="single" w:sz="4" w:space="0" w:color="auto"/>
              <w:left w:val="nil"/>
              <w:bottom w:val="nil"/>
              <w:right w:val="nil"/>
            </w:tcBorders>
            <w:shd w:val="clear" w:color="auto" w:fill="FFFFFF"/>
          </w:tcPr>
          <w:p w14:paraId="405183C4" w14:textId="77777777" w:rsidR="007B652A" w:rsidRPr="001858FB" w:rsidRDefault="007B652A" w:rsidP="007B652A">
            <w:pPr>
              <w:autoSpaceDE w:val="0"/>
              <w:autoSpaceDN w:val="0"/>
              <w:adjustRightInd w:val="0"/>
              <w:spacing w:before="0" w:line="240" w:lineRule="auto"/>
              <w:ind w:left="60" w:right="60"/>
              <w:jc w:val="left"/>
              <w:rPr>
                <w:rFonts w:eastAsiaTheme="minorHAnsi"/>
                <w:color w:val="auto"/>
                <w:sz w:val="22"/>
              </w:rPr>
            </w:pPr>
          </w:p>
        </w:tc>
      </w:tr>
    </w:tbl>
    <w:p w14:paraId="584A229B" w14:textId="684B4F39" w:rsidR="007B652A" w:rsidRPr="007B652A" w:rsidRDefault="007B652A" w:rsidP="007B652A">
      <w:pPr>
        <w:spacing w:before="0" w:line="240" w:lineRule="auto"/>
        <w:rPr>
          <w:b/>
          <w:bCs/>
          <w:color w:val="000000" w:themeColor="text1"/>
        </w:rPr>
      </w:pPr>
      <w:proofErr w:type="spellStart"/>
      <w:r w:rsidRPr="007B652A">
        <w:rPr>
          <w:b/>
          <w:bCs/>
          <w:color w:val="000000" w:themeColor="text1"/>
        </w:rPr>
        <w:t>Multicollinearity</w:t>
      </w:r>
      <w:proofErr w:type="spellEnd"/>
      <w:r w:rsidRPr="007B652A">
        <w:rPr>
          <w:b/>
          <w:bCs/>
          <w:color w:val="000000" w:themeColor="text1"/>
        </w:rPr>
        <w:t xml:space="preserve"> Test:</w:t>
      </w:r>
    </w:p>
    <w:p w14:paraId="2F1E7BA3" w14:textId="77777777" w:rsidR="007B652A" w:rsidRDefault="007B652A" w:rsidP="007B652A">
      <w:pPr>
        <w:spacing w:before="0" w:line="240" w:lineRule="auto"/>
        <w:rPr>
          <w:color w:val="000000" w:themeColor="text1"/>
        </w:rPr>
      </w:pPr>
      <w:r w:rsidRPr="007B652A">
        <w:rPr>
          <w:color w:val="000000" w:themeColor="text1"/>
        </w:rPr>
        <w:t xml:space="preserve">To assess the interdependence among independent variables, tolerance and Variance Inflation Factor (VIF) values were examined. The tolerance values ranged between 0.595 and 0.881, while VIF values were between 1.135 and 1.682, both within acceptable limits (VIF &lt; 10). This confirmed that </w:t>
      </w:r>
      <w:proofErr w:type="spellStart"/>
      <w:r w:rsidRPr="007B652A">
        <w:rPr>
          <w:color w:val="000000" w:themeColor="text1"/>
        </w:rPr>
        <w:t>multicollinearity</w:t>
      </w:r>
      <w:proofErr w:type="spellEnd"/>
      <w:r w:rsidRPr="007B652A">
        <w:rPr>
          <w:color w:val="000000" w:themeColor="text1"/>
        </w:rPr>
        <w:t xml:space="preserve"> was not a problem, allowing all variables to be included in the regression model.</w:t>
      </w:r>
    </w:p>
    <w:p w14:paraId="709E28E4" w14:textId="220380B8" w:rsidR="00DF2A42" w:rsidRDefault="00DF2A42" w:rsidP="00DF2A42">
      <w:pPr>
        <w:spacing w:before="0" w:line="240" w:lineRule="auto"/>
        <w:rPr>
          <w:b/>
          <w:bCs/>
          <w:i/>
          <w:iCs/>
        </w:rPr>
      </w:pPr>
      <w:r w:rsidRPr="00711AB4">
        <w:rPr>
          <w:b/>
          <w:bCs/>
          <w:i/>
          <w:iCs/>
        </w:rPr>
        <w:t xml:space="preserve">Table </w:t>
      </w:r>
      <w:r>
        <w:rPr>
          <w:b/>
          <w:bCs/>
          <w:i/>
          <w:iCs/>
        </w:rPr>
        <w:t>4</w:t>
      </w:r>
      <w:r w:rsidRPr="00711AB4">
        <w:rPr>
          <w:b/>
          <w:bCs/>
          <w:i/>
          <w:iCs/>
        </w:rPr>
        <w:t xml:space="preserve">: </w:t>
      </w:r>
      <w:r w:rsidR="00DE4ECB" w:rsidRPr="000B4C23">
        <w:rPr>
          <w:b/>
          <w:bCs/>
          <w:i/>
          <w:iCs/>
          <w:highlight w:val="yellow"/>
        </w:rPr>
        <w:t>Test of</w:t>
      </w:r>
      <w:r w:rsidR="00DE4ECB">
        <w:rPr>
          <w:b/>
          <w:bCs/>
          <w:i/>
          <w:iCs/>
        </w:rPr>
        <w:t xml:space="preserve"> </w:t>
      </w:r>
      <w:proofErr w:type="spellStart"/>
      <w:r w:rsidRPr="00DF2A42">
        <w:rPr>
          <w:b/>
          <w:bCs/>
          <w:i/>
          <w:iCs/>
        </w:rPr>
        <w:t>Multicollinearity</w:t>
      </w:r>
      <w:proofErr w:type="spellEnd"/>
    </w:p>
    <w:p w14:paraId="0CF69EBE" w14:textId="77777777" w:rsidR="007B652A" w:rsidRDefault="007B652A" w:rsidP="007B652A">
      <w:pPr>
        <w:spacing w:before="0" w:line="240" w:lineRule="auto"/>
        <w:rPr>
          <w:color w:val="000000" w:themeColor="text1"/>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8"/>
        <w:gridCol w:w="1623"/>
        <w:gridCol w:w="1834"/>
        <w:gridCol w:w="1835"/>
        <w:gridCol w:w="1557"/>
        <w:gridCol w:w="1413"/>
      </w:tblGrid>
      <w:tr w:rsidR="007B652A" w:rsidRPr="003319CF" w14:paraId="37613C9F" w14:textId="77777777" w:rsidTr="0062367B">
        <w:trPr>
          <w:cantSplit/>
          <w:trHeight w:val="577"/>
        </w:trPr>
        <w:tc>
          <w:tcPr>
            <w:tcW w:w="2631" w:type="dxa"/>
            <w:gridSpan w:val="2"/>
            <w:vMerge w:val="restart"/>
            <w:shd w:val="clear" w:color="auto" w:fill="FFFFFF"/>
            <w:vAlign w:val="bottom"/>
          </w:tcPr>
          <w:p w14:paraId="675E8FC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3669" w:type="dxa"/>
            <w:gridSpan w:val="2"/>
            <w:shd w:val="clear" w:color="auto" w:fill="FFFFFF"/>
            <w:vAlign w:val="bottom"/>
          </w:tcPr>
          <w:p w14:paraId="31BEA5F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Unstandardized Coefficients</w:t>
            </w:r>
          </w:p>
        </w:tc>
        <w:tc>
          <w:tcPr>
            <w:tcW w:w="2970" w:type="dxa"/>
            <w:gridSpan w:val="2"/>
            <w:shd w:val="clear" w:color="auto" w:fill="FFFFFF"/>
            <w:vAlign w:val="bottom"/>
          </w:tcPr>
          <w:p w14:paraId="79F1414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proofErr w:type="spellStart"/>
            <w:r w:rsidRPr="003319CF">
              <w:rPr>
                <w:rFonts w:eastAsiaTheme="minorHAnsi"/>
                <w:color w:val="auto"/>
                <w:sz w:val="22"/>
              </w:rPr>
              <w:t>Collinearity</w:t>
            </w:r>
            <w:proofErr w:type="spellEnd"/>
            <w:r w:rsidRPr="003319CF">
              <w:rPr>
                <w:rFonts w:eastAsiaTheme="minorHAnsi"/>
                <w:color w:val="auto"/>
                <w:sz w:val="22"/>
              </w:rPr>
              <w:t xml:space="preserve"> Statistics</w:t>
            </w:r>
          </w:p>
        </w:tc>
      </w:tr>
      <w:tr w:rsidR="007B652A" w:rsidRPr="003319CF" w14:paraId="15528240" w14:textId="77777777" w:rsidTr="0062367B">
        <w:trPr>
          <w:cantSplit/>
          <w:trHeight w:val="295"/>
        </w:trPr>
        <w:tc>
          <w:tcPr>
            <w:tcW w:w="2631" w:type="dxa"/>
            <w:gridSpan w:val="2"/>
            <w:vMerge/>
            <w:shd w:val="clear" w:color="auto" w:fill="FFFFFF"/>
            <w:vAlign w:val="bottom"/>
          </w:tcPr>
          <w:p w14:paraId="285F69B8"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834" w:type="dxa"/>
            <w:shd w:val="clear" w:color="auto" w:fill="FFFFFF"/>
            <w:vAlign w:val="bottom"/>
          </w:tcPr>
          <w:p w14:paraId="6F67760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B</w:t>
            </w:r>
          </w:p>
        </w:tc>
        <w:tc>
          <w:tcPr>
            <w:tcW w:w="1834" w:type="dxa"/>
            <w:shd w:val="clear" w:color="auto" w:fill="FFFFFF"/>
            <w:vAlign w:val="bottom"/>
          </w:tcPr>
          <w:p w14:paraId="6F2807F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Std. Error</w:t>
            </w:r>
          </w:p>
        </w:tc>
        <w:tc>
          <w:tcPr>
            <w:tcW w:w="1557" w:type="dxa"/>
            <w:shd w:val="clear" w:color="auto" w:fill="FFFFFF"/>
            <w:vAlign w:val="bottom"/>
          </w:tcPr>
          <w:p w14:paraId="6DC680B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Tolerance</w:t>
            </w:r>
          </w:p>
        </w:tc>
        <w:tc>
          <w:tcPr>
            <w:tcW w:w="1412" w:type="dxa"/>
            <w:shd w:val="clear" w:color="auto" w:fill="FFFFFF"/>
            <w:vAlign w:val="bottom"/>
          </w:tcPr>
          <w:p w14:paraId="7344112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VIF</w:t>
            </w:r>
          </w:p>
        </w:tc>
      </w:tr>
      <w:tr w:rsidR="007B652A" w:rsidRPr="003319CF" w14:paraId="7CD497EB" w14:textId="77777777" w:rsidTr="0062367B">
        <w:trPr>
          <w:cantSplit/>
          <w:trHeight w:val="295"/>
        </w:trPr>
        <w:tc>
          <w:tcPr>
            <w:tcW w:w="1008" w:type="dxa"/>
            <w:vMerge w:val="restart"/>
            <w:tcBorders>
              <w:right w:val="single" w:sz="4" w:space="0" w:color="auto"/>
            </w:tcBorders>
          </w:tcPr>
          <w:p w14:paraId="195B8195"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p>
        </w:tc>
        <w:tc>
          <w:tcPr>
            <w:tcW w:w="1622" w:type="dxa"/>
            <w:tcBorders>
              <w:top w:val="nil"/>
              <w:left w:val="single" w:sz="4" w:space="0" w:color="auto"/>
              <w:bottom w:val="nil"/>
              <w:right w:val="single" w:sz="4" w:space="0" w:color="auto"/>
            </w:tcBorders>
          </w:tcPr>
          <w:p w14:paraId="6686EAAC"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(Constant)</w:t>
            </w:r>
          </w:p>
        </w:tc>
        <w:tc>
          <w:tcPr>
            <w:tcW w:w="1834" w:type="dxa"/>
            <w:tcBorders>
              <w:top w:val="nil"/>
              <w:left w:val="single" w:sz="4" w:space="0" w:color="auto"/>
              <w:bottom w:val="nil"/>
              <w:right w:val="nil"/>
            </w:tcBorders>
            <w:shd w:val="clear" w:color="auto" w:fill="FFFFFF"/>
          </w:tcPr>
          <w:p w14:paraId="60E5B58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-.116</w:t>
            </w:r>
          </w:p>
        </w:tc>
        <w:tc>
          <w:tcPr>
            <w:tcW w:w="1834" w:type="dxa"/>
            <w:tcBorders>
              <w:top w:val="nil"/>
              <w:left w:val="nil"/>
              <w:bottom w:val="nil"/>
              <w:right w:val="nil"/>
            </w:tcBorders>
            <w:shd w:val="clear" w:color="auto" w:fill="FFFFFF"/>
          </w:tcPr>
          <w:p w14:paraId="6770FAB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.016</w:t>
            </w:r>
          </w:p>
        </w:tc>
        <w:tc>
          <w:tcPr>
            <w:tcW w:w="1557" w:type="dxa"/>
            <w:tcBorders>
              <w:top w:val="nil"/>
              <w:left w:val="nil"/>
              <w:bottom w:val="nil"/>
              <w:right w:val="nil"/>
            </w:tcBorders>
            <w:shd w:val="clear" w:color="auto" w:fill="FFFFFF"/>
            <w:vAlign w:val="center"/>
          </w:tcPr>
          <w:p w14:paraId="744F2B0C"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c>
          <w:tcPr>
            <w:tcW w:w="1412" w:type="dxa"/>
            <w:tcBorders>
              <w:top w:val="nil"/>
              <w:left w:val="nil"/>
              <w:bottom w:val="nil"/>
              <w:right w:val="single" w:sz="4" w:space="0" w:color="auto"/>
            </w:tcBorders>
            <w:shd w:val="clear" w:color="auto" w:fill="FFFFFF"/>
            <w:vAlign w:val="center"/>
          </w:tcPr>
          <w:p w14:paraId="1C337322" w14:textId="77777777" w:rsidR="007B652A" w:rsidRPr="003319CF" w:rsidRDefault="007B652A" w:rsidP="007B652A">
            <w:pPr>
              <w:autoSpaceDE w:val="0"/>
              <w:autoSpaceDN w:val="0"/>
              <w:adjustRightInd w:val="0"/>
              <w:spacing w:before="0" w:line="240" w:lineRule="auto"/>
              <w:jc w:val="center"/>
              <w:rPr>
                <w:rFonts w:eastAsiaTheme="minorHAnsi"/>
                <w:color w:val="auto"/>
                <w:sz w:val="22"/>
              </w:rPr>
            </w:pPr>
          </w:p>
        </w:tc>
      </w:tr>
      <w:tr w:rsidR="007B652A" w:rsidRPr="003319CF" w14:paraId="042A47C9" w14:textId="77777777" w:rsidTr="0062367B">
        <w:trPr>
          <w:cantSplit/>
          <w:trHeight w:val="295"/>
        </w:trPr>
        <w:tc>
          <w:tcPr>
            <w:tcW w:w="1008" w:type="dxa"/>
            <w:vMerge/>
            <w:tcBorders>
              <w:right w:val="single" w:sz="4" w:space="0" w:color="auto"/>
            </w:tcBorders>
          </w:tcPr>
          <w:p w14:paraId="02D517E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4027A0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CITR</w:t>
            </w:r>
          </w:p>
        </w:tc>
        <w:tc>
          <w:tcPr>
            <w:tcW w:w="1834" w:type="dxa"/>
            <w:tcBorders>
              <w:top w:val="nil"/>
              <w:left w:val="single" w:sz="4" w:space="0" w:color="auto"/>
              <w:bottom w:val="nil"/>
              <w:right w:val="nil"/>
            </w:tcBorders>
            <w:shd w:val="clear" w:color="auto" w:fill="FFFFFF"/>
          </w:tcPr>
          <w:p w14:paraId="2E10C74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.043</w:t>
            </w:r>
          </w:p>
        </w:tc>
        <w:tc>
          <w:tcPr>
            <w:tcW w:w="1834" w:type="dxa"/>
            <w:tcBorders>
              <w:top w:val="nil"/>
              <w:left w:val="nil"/>
              <w:bottom w:val="nil"/>
              <w:right w:val="nil"/>
            </w:tcBorders>
            <w:shd w:val="clear" w:color="auto" w:fill="FFFFFF"/>
          </w:tcPr>
          <w:p w14:paraId="54B999A7"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.077</w:t>
            </w:r>
          </w:p>
        </w:tc>
        <w:tc>
          <w:tcPr>
            <w:tcW w:w="1557" w:type="dxa"/>
            <w:tcBorders>
              <w:top w:val="nil"/>
              <w:left w:val="nil"/>
              <w:bottom w:val="nil"/>
              <w:right w:val="nil"/>
            </w:tcBorders>
            <w:shd w:val="clear" w:color="auto" w:fill="FFFFFF"/>
          </w:tcPr>
          <w:p w14:paraId="6F48719C"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.881</w:t>
            </w:r>
          </w:p>
        </w:tc>
        <w:tc>
          <w:tcPr>
            <w:tcW w:w="1412" w:type="dxa"/>
            <w:tcBorders>
              <w:top w:val="nil"/>
              <w:left w:val="nil"/>
              <w:bottom w:val="nil"/>
              <w:right w:val="single" w:sz="4" w:space="0" w:color="auto"/>
            </w:tcBorders>
            <w:shd w:val="clear" w:color="auto" w:fill="FFFFFF"/>
          </w:tcPr>
          <w:p w14:paraId="493B54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1.135</w:t>
            </w:r>
          </w:p>
        </w:tc>
      </w:tr>
      <w:tr w:rsidR="007B652A" w:rsidRPr="003319CF" w14:paraId="77D4B646" w14:textId="77777777" w:rsidTr="0062367B">
        <w:trPr>
          <w:cantSplit/>
          <w:trHeight w:val="309"/>
        </w:trPr>
        <w:tc>
          <w:tcPr>
            <w:tcW w:w="1008" w:type="dxa"/>
            <w:vMerge/>
            <w:tcBorders>
              <w:right w:val="single" w:sz="4" w:space="0" w:color="auto"/>
            </w:tcBorders>
          </w:tcPr>
          <w:p w14:paraId="65108C56"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46E4A06D"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VAT</w:t>
            </w:r>
          </w:p>
        </w:tc>
        <w:tc>
          <w:tcPr>
            <w:tcW w:w="1834" w:type="dxa"/>
            <w:tcBorders>
              <w:top w:val="nil"/>
              <w:left w:val="single" w:sz="4" w:space="0" w:color="auto"/>
              <w:bottom w:val="nil"/>
              <w:right w:val="nil"/>
            </w:tcBorders>
            <w:shd w:val="clear" w:color="auto" w:fill="FFFFFF"/>
          </w:tcPr>
          <w:p w14:paraId="4BEB3FA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.013</w:t>
            </w:r>
          </w:p>
        </w:tc>
        <w:tc>
          <w:tcPr>
            <w:tcW w:w="1834" w:type="dxa"/>
            <w:tcBorders>
              <w:top w:val="nil"/>
              <w:left w:val="nil"/>
              <w:bottom w:val="nil"/>
              <w:right w:val="nil"/>
            </w:tcBorders>
            <w:shd w:val="clear" w:color="auto" w:fill="FFFFFF"/>
          </w:tcPr>
          <w:p w14:paraId="1AF4C8A6"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.001</w:t>
            </w:r>
          </w:p>
        </w:tc>
        <w:tc>
          <w:tcPr>
            <w:tcW w:w="1557" w:type="dxa"/>
            <w:tcBorders>
              <w:top w:val="nil"/>
              <w:left w:val="nil"/>
              <w:bottom w:val="nil"/>
              <w:right w:val="nil"/>
            </w:tcBorders>
            <w:shd w:val="clear" w:color="auto" w:fill="FFFFFF"/>
          </w:tcPr>
          <w:p w14:paraId="3BC254E2"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.877</w:t>
            </w:r>
          </w:p>
        </w:tc>
        <w:tc>
          <w:tcPr>
            <w:tcW w:w="1412" w:type="dxa"/>
            <w:tcBorders>
              <w:top w:val="nil"/>
              <w:left w:val="nil"/>
              <w:bottom w:val="nil"/>
              <w:right w:val="single" w:sz="4" w:space="0" w:color="auto"/>
            </w:tcBorders>
            <w:shd w:val="clear" w:color="auto" w:fill="FFFFFF"/>
          </w:tcPr>
          <w:p w14:paraId="293F2E01"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1.140</w:t>
            </w:r>
          </w:p>
        </w:tc>
      </w:tr>
      <w:tr w:rsidR="007B652A" w:rsidRPr="003319CF" w14:paraId="42598564" w14:textId="77777777" w:rsidTr="0062367B">
        <w:trPr>
          <w:cantSplit/>
          <w:trHeight w:val="309"/>
        </w:trPr>
        <w:tc>
          <w:tcPr>
            <w:tcW w:w="1008" w:type="dxa"/>
            <w:vMerge/>
            <w:tcBorders>
              <w:right w:val="single" w:sz="4" w:space="0" w:color="auto"/>
            </w:tcBorders>
          </w:tcPr>
          <w:p w14:paraId="36619A6F"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nil"/>
              <w:right w:val="single" w:sz="4" w:space="0" w:color="auto"/>
            </w:tcBorders>
          </w:tcPr>
          <w:p w14:paraId="596E69AB"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TI</w:t>
            </w:r>
          </w:p>
        </w:tc>
        <w:tc>
          <w:tcPr>
            <w:tcW w:w="1834" w:type="dxa"/>
            <w:tcBorders>
              <w:top w:val="nil"/>
              <w:left w:val="single" w:sz="4" w:space="0" w:color="auto"/>
              <w:bottom w:val="nil"/>
              <w:right w:val="nil"/>
            </w:tcBorders>
            <w:shd w:val="clear" w:color="auto" w:fill="FFFFFF"/>
          </w:tcPr>
          <w:p w14:paraId="7BD89A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1.154</w:t>
            </w:r>
          </w:p>
        </w:tc>
        <w:tc>
          <w:tcPr>
            <w:tcW w:w="1834" w:type="dxa"/>
            <w:tcBorders>
              <w:top w:val="nil"/>
              <w:left w:val="nil"/>
              <w:bottom w:val="nil"/>
              <w:right w:val="nil"/>
            </w:tcBorders>
            <w:shd w:val="clear" w:color="auto" w:fill="FFFFFF"/>
          </w:tcPr>
          <w:p w14:paraId="3FB33C69"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.401</w:t>
            </w:r>
          </w:p>
        </w:tc>
        <w:tc>
          <w:tcPr>
            <w:tcW w:w="1557" w:type="dxa"/>
            <w:tcBorders>
              <w:top w:val="nil"/>
              <w:left w:val="nil"/>
              <w:bottom w:val="nil"/>
              <w:right w:val="nil"/>
            </w:tcBorders>
            <w:shd w:val="clear" w:color="auto" w:fill="FFFFFF"/>
          </w:tcPr>
          <w:p w14:paraId="5A216654"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.627</w:t>
            </w:r>
          </w:p>
        </w:tc>
        <w:tc>
          <w:tcPr>
            <w:tcW w:w="1412" w:type="dxa"/>
            <w:tcBorders>
              <w:top w:val="nil"/>
              <w:left w:val="nil"/>
              <w:bottom w:val="nil"/>
              <w:right w:val="single" w:sz="4" w:space="0" w:color="auto"/>
            </w:tcBorders>
            <w:shd w:val="clear" w:color="auto" w:fill="FFFFFF"/>
          </w:tcPr>
          <w:p w14:paraId="4E5F8AB8"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1.594</w:t>
            </w:r>
          </w:p>
        </w:tc>
      </w:tr>
      <w:tr w:rsidR="007B652A" w:rsidRPr="003319CF" w14:paraId="364AF41A" w14:textId="77777777" w:rsidTr="0062367B">
        <w:trPr>
          <w:cantSplit/>
          <w:trHeight w:val="295"/>
        </w:trPr>
        <w:tc>
          <w:tcPr>
            <w:tcW w:w="1008" w:type="dxa"/>
            <w:vMerge/>
            <w:tcBorders>
              <w:right w:val="single" w:sz="4" w:space="0" w:color="auto"/>
            </w:tcBorders>
          </w:tcPr>
          <w:p w14:paraId="7F5F3147" w14:textId="77777777" w:rsidR="007B652A" w:rsidRPr="003319CF" w:rsidRDefault="007B652A" w:rsidP="007B652A">
            <w:pPr>
              <w:autoSpaceDE w:val="0"/>
              <w:autoSpaceDN w:val="0"/>
              <w:adjustRightInd w:val="0"/>
              <w:spacing w:before="0" w:line="240" w:lineRule="auto"/>
              <w:jc w:val="left"/>
              <w:rPr>
                <w:rFonts w:eastAsiaTheme="minorHAnsi"/>
                <w:color w:val="auto"/>
                <w:sz w:val="22"/>
              </w:rPr>
            </w:pPr>
          </w:p>
        </w:tc>
        <w:tc>
          <w:tcPr>
            <w:tcW w:w="1622" w:type="dxa"/>
            <w:tcBorders>
              <w:top w:val="nil"/>
              <w:left w:val="single" w:sz="4" w:space="0" w:color="auto"/>
              <w:bottom w:val="single" w:sz="4" w:space="0" w:color="auto"/>
              <w:right w:val="single" w:sz="4" w:space="0" w:color="auto"/>
            </w:tcBorders>
          </w:tcPr>
          <w:p w14:paraId="01F27CD7" w14:textId="77777777" w:rsidR="007B652A" w:rsidRPr="003319CF" w:rsidRDefault="007B652A" w:rsidP="007B652A">
            <w:pPr>
              <w:autoSpaceDE w:val="0"/>
              <w:autoSpaceDN w:val="0"/>
              <w:adjustRightInd w:val="0"/>
              <w:spacing w:before="0" w:line="240" w:lineRule="auto"/>
              <w:ind w:left="60" w:right="60"/>
              <w:jc w:val="left"/>
              <w:rPr>
                <w:rFonts w:eastAsiaTheme="minorHAnsi"/>
                <w:color w:val="auto"/>
                <w:sz w:val="22"/>
              </w:rPr>
            </w:pPr>
            <w:r w:rsidRPr="003319CF">
              <w:rPr>
                <w:rFonts w:eastAsiaTheme="minorHAnsi"/>
                <w:color w:val="auto"/>
                <w:sz w:val="22"/>
              </w:rPr>
              <w:t>CED</w:t>
            </w:r>
          </w:p>
        </w:tc>
        <w:tc>
          <w:tcPr>
            <w:tcW w:w="1834" w:type="dxa"/>
            <w:tcBorders>
              <w:top w:val="nil"/>
              <w:left w:val="single" w:sz="4" w:space="0" w:color="auto"/>
              <w:bottom w:val="single" w:sz="4" w:space="0" w:color="auto"/>
              <w:right w:val="nil"/>
            </w:tcBorders>
            <w:shd w:val="clear" w:color="auto" w:fill="FFFFFF"/>
          </w:tcPr>
          <w:p w14:paraId="4EABE3F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.035</w:t>
            </w:r>
          </w:p>
        </w:tc>
        <w:tc>
          <w:tcPr>
            <w:tcW w:w="1834" w:type="dxa"/>
            <w:tcBorders>
              <w:top w:val="nil"/>
              <w:left w:val="nil"/>
              <w:bottom w:val="single" w:sz="4" w:space="0" w:color="auto"/>
              <w:right w:val="nil"/>
            </w:tcBorders>
            <w:shd w:val="clear" w:color="auto" w:fill="FFFFFF"/>
          </w:tcPr>
          <w:p w14:paraId="3354C2B0"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.010</w:t>
            </w:r>
          </w:p>
        </w:tc>
        <w:tc>
          <w:tcPr>
            <w:tcW w:w="1557" w:type="dxa"/>
            <w:tcBorders>
              <w:top w:val="nil"/>
              <w:left w:val="nil"/>
              <w:bottom w:val="single" w:sz="4" w:space="0" w:color="auto"/>
              <w:right w:val="nil"/>
            </w:tcBorders>
            <w:shd w:val="clear" w:color="auto" w:fill="FFFFFF"/>
          </w:tcPr>
          <w:p w14:paraId="55BDA983"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.595</w:t>
            </w:r>
          </w:p>
        </w:tc>
        <w:tc>
          <w:tcPr>
            <w:tcW w:w="1412" w:type="dxa"/>
            <w:tcBorders>
              <w:top w:val="nil"/>
              <w:left w:val="nil"/>
              <w:bottom w:val="single" w:sz="4" w:space="0" w:color="auto"/>
              <w:right w:val="single" w:sz="4" w:space="0" w:color="auto"/>
            </w:tcBorders>
            <w:shd w:val="clear" w:color="auto" w:fill="FFFFFF"/>
          </w:tcPr>
          <w:p w14:paraId="681CDCAE" w14:textId="77777777" w:rsidR="007B652A" w:rsidRPr="003319CF" w:rsidRDefault="007B652A" w:rsidP="007B652A">
            <w:pPr>
              <w:autoSpaceDE w:val="0"/>
              <w:autoSpaceDN w:val="0"/>
              <w:adjustRightInd w:val="0"/>
              <w:spacing w:before="0" w:line="240" w:lineRule="auto"/>
              <w:ind w:left="60" w:right="60"/>
              <w:jc w:val="center"/>
              <w:rPr>
                <w:rFonts w:eastAsiaTheme="minorHAnsi"/>
                <w:color w:val="auto"/>
                <w:sz w:val="22"/>
              </w:rPr>
            </w:pPr>
            <w:r w:rsidRPr="003319CF">
              <w:rPr>
                <w:rFonts w:eastAsiaTheme="minorHAnsi"/>
                <w:color w:val="auto"/>
                <w:sz w:val="22"/>
              </w:rPr>
              <w:t>1.682</w:t>
            </w:r>
          </w:p>
        </w:tc>
      </w:tr>
    </w:tbl>
    <w:p w14:paraId="36135F20" w14:textId="77777777" w:rsidR="007B652A" w:rsidRPr="007B652A" w:rsidRDefault="007B652A" w:rsidP="007B652A">
      <w:pPr>
        <w:spacing w:before="0" w:line="240" w:lineRule="auto"/>
        <w:rPr>
          <w:color w:val="000000" w:themeColor="text1"/>
        </w:rPr>
      </w:pPr>
    </w:p>
    <w:p w14:paraId="3F79E233" w14:textId="77777777" w:rsidR="007B652A" w:rsidRPr="007B652A" w:rsidRDefault="007B652A" w:rsidP="007B652A">
      <w:pPr>
        <w:spacing w:before="0" w:line="240" w:lineRule="auto"/>
        <w:rPr>
          <w:color w:val="000000" w:themeColor="text1"/>
        </w:rPr>
      </w:pPr>
    </w:p>
    <w:p w14:paraId="41E78B08" w14:textId="6351774B" w:rsidR="007B652A" w:rsidRPr="007B652A" w:rsidRDefault="007B652A" w:rsidP="007B652A">
      <w:pPr>
        <w:spacing w:before="0" w:line="240" w:lineRule="auto"/>
        <w:rPr>
          <w:b/>
          <w:bCs/>
          <w:color w:val="000000" w:themeColor="text1"/>
        </w:rPr>
      </w:pPr>
      <w:proofErr w:type="spellStart"/>
      <w:r w:rsidRPr="007B652A">
        <w:rPr>
          <w:b/>
          <w:bCs/>
          <w:color w:val="000000" w:themeColor="text1"/>
        </w:rPr>
        <w:t>Heteroscedasticity</w:t>
      </w:r>
      <w:proofErr w:type="spellEnd"/>
      <w:r w:rsidRPr="007B652A">
        <w:rPr>
          <w:b/>
          <w:bCs/>
          <w:color w:val="000000" w:themeColor="text1"/>
        </w:rPr>
        <w:t xml:space="preserve"> Test:</w:t>
      </w:r>
    </w:p>
    <w:p w14:paraId="6ACD76D7" w14:textId="77777777" w:rsidR="007B652A" w:rsidRDefault="007B652A" w:rsidP="007B652A">
      <w:pPr>
        <w:spacing w:before="0" w:line="240" w:lineRule="auto"/>
        <w:rPr>
          <w:color w:val="000000" w:themeColor="text1"/>
        </w:rPr>
      </w:pPr>
      <w:r w:rsidRPr="007B652A">
        <w:rPr>
          <w:color w:val="000000" w:themeColor="text1"/>
        </w:rPr>
        <w:t xml:space="preserve">The </w:t>
      </w:r>
      <w:proofErr w:type="spellStart"/>
      <w:r w:rsidRPr="007B652A">
        <w:rPr>
          <w:color w:val="000000" w:themeColor="text1"/>
        </w:rPr>
        <w:t>Breusch</w:t>
      </w:r>
      <w:proofErr w:type="spellEnd"/>
      <w:r w:rsidRPr="007B652A">
        <w:rPr>
          <w:color w:val="000000" w:themeColor="text1"/>
        </w:rPr>
        <w:t xml:space="preserve">-Pagan test was used to examine the constancy of error variances across independent variables. The test yielded a significance value of p = 0.000 (p &lt; 0.05), revealing the presence of </w:t>
      </w:r>
      <w:proofErr w:type="spellStart"/>
      <w:r w:rsidRPr="007B652A">
        <w:rPr>
          <w:color w:val="000000" w:themeColor="text1"/>
        </w:rPr>
        <w:t>heteroscedasticity</w:t>
      </w:r>
      <w:proofErr w:type="spellEnd"/>
      <w:r w:rsidRPr="007B652A">
        <w:rPr>
          <w:color w:val="000000" w:themeColor="text1"/>
        </w:rPr>
        <w:t>. To address this issue, corrective adjustments using robust standard errors were applied to improve the validity of the regression estimates.</w:t>
      </w:r>
    </w:p>
    <w:p w14:paraId="03E33023" w14:textId="14BA6C81" w:rsidR="00DF2A42" w:rsidRDefault="00DF2A42" w:rsidP="00DF2A42">
      <w:pPr>
        <w:spacing w:before="0" w:line="240" w:lineRule="auto"/>
        <w:rPr>
          <w:b/>
          <w:bCs/>
          <w:i/>
          <w:iCs/>
        </w:rPr>
      </w:pPr>
      <w:r w:rsidRPr="00711AB4">
        <w:rPr>
          <w:b/>
          <w:bCs/>
          <w:i/>
          <w:iCs/>
        </w:rPr>
        <w:t xml:space="preserve">Table </w:t>
      </w:r>
      <w:r>
        <w:rPr>
          <w:b/>
          <w:bCs/>
          <w:i/>
          <w:iCs/>
        </w:rPr>
        <w:t>5</w:t>
      </w:r>
      <w:r w:rsidRPr="00711AB4">
        <w:rPr>
          <w:b/>
          <w:bCs/>
          <w:i/>
          <w:iCs/>
        </w:rPr>
        <w:t xml:space="preserve">: </w:t>
      </w:r>
      <w:r w:rsidR="00DE4ECB" w:rsidRPr="000B4C23">
        <w:rPr>
          <w:b/>
          <w:bCs/>
          <w:i/>
          <w:iCs/>
          <w:highlight w:val="yellow"/>
        </w:rPr>
        <w:t xml:space="preserve">Test of </w:t>
      </w:r>
      <w:proofErr w:type="spellStart"/>
      <w:r w:rsidRPr="000B4C23">
        <w:rPr>
          <w:b/>
          <w:bCs/>
          <w:i/>
          <w:iCs/>
          <w:highlight w:val="yellow"/>
        </w:rPr>
        <w:t>H</w:t>
      </w:r>
      <w:r w:rsidRPr="00F341C6">
        <w:rPr>
          <w:b/>
          <w:bCs/>
          <w:i/>
          <w:iCs/>
        </w:rPr>
        <w:t>eteroscedasticit</w:t>
      </w:r>
      <w:r w:rsidRPr="000B4C23">
        <w:rPr>
          <w:b/>
          <w:bCs/>
          <w:i/>
          <w:iCs/>
          <w:highlight w:val="yellow"/>
        </w:rPr>
        <w:t>y</w:t>
      </w:r>
      <w:proofErr w:type="spellEnd"/>
    </w:p>
    <w:p w14:paraId="43379BFB" w14:textId="77777777" w:rsidR="0040626D" w:rsidRDefault="0040626D" w:rsidP="007B652A">
      <w:pPr>
        <w:spacing w:before="0" w:line="240" w:lineRule="auto"/>
        <w:rPr>
          <w:color w:val="000000" w:themeColor="text1"/>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0"/>
        <w:gridCol w:w="2930"/>
        <w:gridCol w:w="2930"/>
      </w:tblGrid>
      <w:tr w:rsidR="0040626D" w:rsidRPr="003E30B6" w14:paraId="712B3DFA" w14:textId="77777777" w:rsidTr="0062367B">
        <w:trPr>
          <w:cantSplit/>
          <w:trHeight w:val="1017"/>
        </w:trPr>
        <w:tc>
          <w:tcPr>
            <w:tcW w:w="8790" w:type="dxa"/>
            <w:gridSpan w:val="3"/>
            <w:shd w:val="clear" w:color="auto" w:fill="FFFFFF"/>
            <w:vAlign w:val="center"/>
          </w:tcPr>
          <w:p w14:paraId="2BC9A0D1"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bookmarkStart w:id="5" w:name="_Hlk209797976"/>
            <w:proofErr w:type="spellStart"/>
            <w:r w:rsidRPr="003E30B6">
              <w:rPr>
                <w:rFonts w:ascii="Arial" w:eastAsiaTheme="minorHAnsi" w:hAnsi="Arial" w:cs="Arial"/>
                <w:b/>
                <w:bCs/>
                <w:color w:val="auto"/>
                <w:sz w:val="22"/>
              </w:rPr>
              <w:t>Breusch</w:t>
            </w:r>
            <w:proofErr w:type="spellEnd"/>
            <w:r w:rsidRPr="003E30B6">
              <w:rPr>
                <w:rFonts w:ascii="Arial" w:eastAsiaTheme="minorHAnsi" w:hAnsi="Arial" w:cs="Arial"/>
                <w:b/>
                <w:bCs/>
                <w:color w:val="auto"/>
                <w:sz w:val="22"/>
              </w:rPr>
              <w:t xml:space="preserve">-Pagan Test for </w:t>
            </w:r>
            <w:proofErr w:type="spellStart"/>
            <w:r w:rsidRPr="003E30B6">
              <w:rPr>
                <w:rFonts w:ascii="Arial" w:eastAsiaTheme="minorHAnsi" w:hAnsi="Arial" w:cs="Arial"/>
                <w:b/>
                <w:bCs/>
                <w:color w:val="auto"/>
                <w:sz w:val="22"/>
              </w:rPr>
              <w:t>Heteros</w:t>
            </w:r>
            <w:r>
              <w:rPr>
                <w:rFonts w:ascii="Arial" w:eastAsiaTheme="minorHAnsi" w:hAnsi="Arial" w:cs="Arial"/>
                <w:b/>
                <w:bCs/>
                <w:color w:val="auto"/>
                <w:sz w:val="22"/>
              </w:rPr>
              <w:t>c</w:t>
            </w:r>
            <w:r w:rsidRPr="003E30B6">
              <w:rPr>
                <w:rFonts w:ascii="Arial" w:eastAsiaTheme="minorHAnsi" w:hAnsi="Arial" w:cs="Arial"/>
                <w:b/>
                <w:bCs/>
                <w:color w:val="auto"/>
                <w:sz w:val="22"/>
              </w:rPr>
              <w:t>edasticity</w:t>
            </w:r>
            <w:r w:rsidRPr="003E30B6">
              <w:rPr>
                <w:rFonts w:ascii="Arial" w:eastAsiaTheme="minorHAnsi" w:hAnsi="Arial" w:cs="Arial"/>
                <w:b/>
                <w:bCs/>
                <w:color w:val="auto"/>
                <w:sz w:val="22"/>
                <w:vertAlign w:val="superscript"/>
              </w:rPr>
              <w:t>a,b,c</w:t>
            </w:r>
            <w:proofErr w:type="spellEnd"/>
          </w:p>
        </w:tc>
      </w:tr>
      <w:tr w:rsidR="0040626D" w:rsidRPr="003E30B6" w14:paraId="439B0D9A" w14:textId="77777777" w:rsidTr="0062367B">
        <w:trPr>
          <w:cantSplit/>
          <w:trHeight w:val="508"/>
        </w:trPr>
        <w:tc>
          <w:tcPr>
            <w:tcW w:w="2930" w:type="dxa"/>
            <w:shd w:val="clear" w:color="auto" w:fill="FFFFFF"/>
            <w:vAlign w:val="bottom"/>
          </w:tcPr>
          <w:p w14:paraId="22F587AC"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Chi-Square</w:t>
            </w:r>
          </w:p>
        </w:tc>
        <w:tc>
          <w:tcPr>
            <w:tcW w:w="2930" w:type="dxa"/>
            <w:shd w:val="clear" w:color="auto" w:fill="FFFFFF"/>
            <w:vAlign w:val="bottom"/>
          </w:tcPr>
          <w:p w14:paraId="4062A208"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roofErr w:type="spellStart"/>
            <w:r w:rsidRPr="003E30B6">
              <w:rPr>
                <w:rFonts w:ascii="Arial" w:eastAsiaTheme="minorHAnsi" w:hAnsi="Arial" w:cs="Arial"/>
                <w:color w:val="auto"/>
                <w:sz w:val="18"/>
                <w:szCs w:val="18"/>
              </w:rPr>
              <w:t>df</w:t>
            </w:r>
            <w:proofErr w:type="spellEnd"/>
          </w:p>
        </w:tc>
        <w:tc>
          <w:tcPr>
            <w:tcW w:w="2930" w:type="dxa"/>
            <w:shd w:val="clear" w:color="auto" w:fill="FFFFFF"/>
            <w:vAlign w:val="bottom"/>
          </w:tcPr>
          <w:p w14:paraId="22EEF0DD" w14:textId="77777777" w:rsidR="0040626D" w:rsidRPr="003E30B6"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sidRPr="003E30B6">
              <w:rPr>
                <w:rFonts w:ascii="Arial" w:eastAsiaTheme="minorHAnsi" w:hAnsi="Arial" w:cs="Arial"/>
                <w:color w:val="auto"/>
                <w:sz w:val="18"/>
                <w:szCs w:val="18"/>
              </w:rPr>
              <w:t>Sig.</w:t>
            </w:r>
          </w:p>
        </w:tc>
      </w:tr>
      <w:tr w:rsidR="0040626D" w:rsidRPr="003E30B6" w14:paraId="28BB2033" w14:textId="77777777" w:rsidTr="0062367B">
        <w:trPr>
          <w:cantSplit/>
          <w:trHeight w:val="508"/>
        </w:trPr>
        <w:tc>
          <w:tcPr>
            <w:tcW w:w="2930" w:type="dxa"/>
            <w:shd w:val="clear" w:color="auto" w:fill="FFFFFF"/>
          </w:tcPr>
          <w:p w14:paraId="2E659314"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28.784</w:t>
            </w:r>
          </w:p>
        </w:tc>
        <w:tc>
          <w:tcPr>
            <w:tcW w:w="2930" w:type="dxa"/>
            <w:shd w:val="clear" w:color="auto" w:fill="FFFFFF"/>
          </w:tcPr>
          <w:p w14:paraId="09C840B5"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1</w:t>
            </w:r>
          </w:p>
        </w:tc>
        <w:tc>
          <w:tcPr>
            <w:tcW w:w="2930" w:type="dxa"/>
            <w:shd w:val="clear" w:color="auto" w:fill="FFFFFF"/>
          </w:tcPr>
          <w:p w14:paraId="62671C72" w14:textId="77777777" w:rsidR="0040626D" w:rsidRPr="003E30B6"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3E30B6">
              <w:rPr>
                <w:rFonts w:ascii="Arial" w:eastAsiaTheme="minorHAnsi" w:hAnsi="Arial" w:cs="Arial"/>
                <w:color w:val="auto"/>
                <w:sz w:val="18"/>
                <w:szCs w:val="18"/>
              </w:rPr>
              <w:t>.000</w:t>
            </w:r>
          </w:p>
        </w:tc>
      </w:tr>
      <w:bookmarkEnd w:id="5"/>
    </w:tbl>
    <w:p w14:paraId="73AE9FA4" w14:textId="77777777" w:rsidR="0040626D" w:rsidRPr="007B652A" w:rsidRDefault="0040626D" w:rsidP="007B652A">
      <w:pPr>
        <w:spacing w:before="0" w:line="240" w:lineRule="auto"/>
        <w:rPr>
          <w:color w:val="000000" w:themeColor="text1"/>
        </w:rPr>
      </w:pPr>
    </w:p>
    <w:p w14:paraId="4126E16B" w14:textId="724C103C" w:rsidR="007B652A" w:rsidRPr="0040626D" w:rsidRDefault="007B652A" w:rsidP="007B652A">
      <w:pPr>
        <w:spacing w:before="0" w:line="240" w:lineRule="auto"/>
        <w:rPr>
          <w:b/>
          <w:bCs/>
          <w:color w:val="000000" w:themeColor="text1"/>
        </w:rPr>
      </w:pPr>
      <w:r w:rsidRPr="0040626D">
        <w:rPr>
          <w:b/>
          <w:bCs/>
          <w:color w:val="000000" w:themeColor="text1"/>
        </w:rPr>
        <w:t>Autocorrelation Test:</w:t>
      </w:r>
    </w:p>
    <w:p w14:paraId="0BA2A5A2" w14:textId="77777777" w:rsidR="007B652A" w:rsidRDefault="007B652A" w:rsidP="007B652A">
      <w:pPr>
        <w:spacing w:before="0" w:line="240" w:lineRule="auto"/>
        <w:rPr>
          <w:color w:val="000000" w:themeColor="text1"/>
        </w:rPr>
      </w:pPr>
      <w:r w:rsidRPr="007B652A">
        <w:rPr>
          <w:color w:val="000000" w:themeColor="text1"/>
        </w:rPr>
        <w:t>Autocorrelation was tested using the Durbin-Watson statistic, which yielded a value of 1.684. Since this value is close to the benchmark of 2, it indicates the absence of serial correlation among residuals.</w:t>
      </w:r>
    </w:p>
    <w:p w14:paraId="6D0434E3" w14:textId="51F75ADB" w:rsidR="00DF2A42" w:rsidRDefault="00DF2A42" w:rsidP="00DF2A42">
      <w:pPr>
        <w:spacing w:before="0" w:line="240" w:lineRule="auto"/>
        <w:rPr>
          <w:b/>
          <w:bCs/>
          <w:i/>
          <w:iCs/>
        </w:rPr>
      </w:pPr>
      <w:r w:rsidRPr="00711AB4">
        <w:rPr>
          <w:b/>
          <w:bCs/>
          <w:i/>
          <w:iCs/>
        </w:rPr>
        <w:t xml:space="preserve">Table </w:t>
      </w:r>
      <w:r>
        <w:rPr>
          <w:b/>
          <w:bCs/>
          <w:i/>
          <w:iCs/>
        </w:rPr>
        <w:t>6</w:t>
      </w:r>
      <w:r w:rsidRPr="00711AB4">
        <w:rPr>
          <w:b/>
          <w:bCs/>
          <w:i/>
          <w:iCs/>
        </w:rPr>
        <w:t xml:space="preserve">: </w:t>
      </w:r>
      <w:r w:rsidR="00DE4ECB" w:rsidRPr="000B4C23">
        <w:rPr>
          <w:b/>
          <w:bCs/>
          <w:i/>
          <w:iCs/>
          <w:highlight w:val="yellow"/>
        </w:rPr>
        <w:t xml:space="preserve">Test of </w:t>
      </w:r>
      <w:r w:rsidRPr="000B4C23">
        <w:rPr>
          <w:b/>
          <w:bCs/>
          <w:i/>
          <w:iCs/>
          <w:highlight w:val="yellow"/>
        </w:rPr>
        <w:t>A</w:t>
      </w:r>
      <w:r w:rsidRPr="00DF2A42">
        <w:rPr>
          <w:b/>
          <w:bCs/>
          <w:i/>
          <w:iCs/>
        </w:rPr>
        <w:t xml:space="preserve">utocorrelation </w:t>
      </w:r>
    </w:p>
    <w:p w14:paraId="694672AF" w14:textId="77777777" w:rsidR="0040626D" w:rsidRDefault="0040626D" w:rsidP="007B652A">
      <w:pPr>
        <w:spacing w:before="0" w:line="240" w:lineRule="auto"/>
        <w:rPr>
          <w:color w:val="000000" w:themeColor="text1"/>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1313"/>
        <w:gridCol w:w="1393"/>
        <w:gridCol w:w="1884"/>
        <w:gridCol w:w="1884"/>
        <w:gridCol w:w="1886"/>
      </w:tblGrid>
      <w:tr w:rsidR="0040626D" w:rsidRPr="00C734D3" w14:paraId="35C818CA" w14:textId="77777777" w:rsidTr="0062367B">
        <w:trPr>
          <w:cantSplit/>
          <w:trHeight w:val="307"/>
        </w:trPr>
        <w:tc>
          <w:tcPr>
            <w:tcW w:w="9379" w:type="dxa"/>
            <w:gridSpan w:val="6"/>
            <w:shd w:val="clear" w:color="auto" w:fill="FFFFFF"/>
            <w:vAlign w:val="center"/>
          </w:tcPr>
          <w:p w14:paraId="13DD8F1D"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b/>
                <w:bCs/>
                <w:color w:val="auto"/>
                <w:sz w:val="22"/>
              </w:rPr>
              <w:t>Autocorrelation</w:t>
            </w:r>
          </w:p>
        </w:tc>
      </w:tr>
      <w:tr w:rsidR="0040626D" w:rsidRPr="00C734D3" w14:paraId="549A6333" w14:textId="77777777" w:rsidTr="0062367B">
        <w:trPr>
          <w:cantSplit/>
          <w:trHeight w:val="615"/>
        </w:trPr>
        <w:tc>
          <w:tcPr>
            <w:tcW w:w="1019" w:type="dxa"/>
            <w:shd w:val="clear" w:color="auto" w:fill="FFFFFF"/>
            <w:vAlign w:val="bottom"/>
          </w:tcPr>
          <w:p w14:paraId="586BBB46"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Model</w:t>
            </w:r>
          </w:p>
        </w:tc>
        <w:tc>
          <w:tcPr>
            <w:tcW w:w="1313" w:type="dxa"/>
            <w:shd w:val="clear" w:color="auto" w:fill="FFFFFF"/>
            <w:vAlign w:val="bottom"/>
          </w:tcPr>
          <w:p w14:paraId="37FC479E"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w:t>
            </w:r>
          </w:p>
        </w:tc>
        <w:tc>
          <w:tcPr>
            <w:tcW w:w="1393" w:type="dxa"/>
            <w:shd w:val="clear" w:color="auto" w:fill="FFFFFF"/>
            <w:vAlign w:val="bottom"/>
          </w:tcPr>
          <w:p w14:paraId="64545469"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R Square</w:t>
            </w:r>
          </w:p>
        </w:tc>
        <w:tc>
          <w:tcPr>
            <w:tcW w:w="1884" w:type="dxa"/>
            <w:shd w:val="clear" w:color="auto" w:fill="FFFFFF"/>
            <w:vAlign w:val="bottom"/>
          </w:tcPr>
          <w:p w14:paraId="12371C16"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Adjusted R Square</w:t>
            </w:r>
          </w:p>
        </w:tc>
        <w:tc>
          <w:tcPr>
            <w:tcW w:w="1884" w:type="dxa"/>
            <w:shd w:val="clear" w:color="auto" w:fill="FFFFFF"/>
            <w:vAlign w:val="bottom"/>
          </w:tcPr>
          <w:p w14:paraId="673D2698"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Std. Error of the Estimate</w:t>
            </w:r>
          </w:p>
        </w:tc>
        <w:tc>
          <w:tcPr>
            <w:tcW w:w="1886" w:type="dxa"/>
            <w:shd w:val="clear" w:color="auto" w:fill="FFFFFF"/>
            <w:vAlign w:val="bottom"/>
          </w:tcPr>
          <w:p w14:paraId="2FFE94AC" w14:textId="77777777" w:rsidR="0040626D" w:rsidRPr="00C734D3" w:rsidRDefault="0040626D" w:rsidP="0040626D">
            <w:pPr>
              <w:autoSpaceDE w:val="0"/>
              <w:autoSpaceDN w:val="0"/>
              <w:adjustRightInd w:val="0"/>
              <w:spacing w:before="0" w:line="240" w:lineRule="auto"/>
              <w:ind w:left="60" w:right="60"/>
              <w:jc w:val="center"/>
              <w:rPr>
                <w:rFonts w:eastAsiaTheme="minorHAnsi"/>
                <w:color w:val="auto"/>
                <w:sz w:val="22"/>
              </w:rPr>
            </w:pPr>
            <w:r w:rsidRPr="00C734D3">
              <w:rPr>
                <w:rFonts w:eastAsiaTheme="minorHAnsi"/>
                <w:color w:val="auto"/>
                <w:sz w:val="22"/>
              </w:rPr>
              <w:t>Durbin-Watson</w:t>
            </w:r>
          </w:p>
        </w:tc>
      </w:tr>
      <w:tr w:rsidR="0040626D" w:rsidRPr="00C734D3" w14:paraId="7E24E35D" w14:textId="77777777" w:rsidTr="0062367B">
        <w:trPr>
          <w:cantSplit/>
          <w:trHeight w:val="307"/>
        </w:trPr>
        <w:tc>
          <w:tcPr>
            <w:tcW w:w="1019" w:type="dxa"/>
          </w:tcPr>
          <w:p w14:paraId="41DC77C4" w14:textId="77777777" w:rsidR="0040626D" w:rsidRPr="00C734D3" w:rsidRDefault="0040626D" w:rsidP="0040626D">
            <w:pPr>
              <w:autoSpaceDE w:val="0"/>
              <w:autoSpaceDN w:val="0"/>
              <w:adjustRightInd w:val="0"/>
              <w:spacing w:before="0" w:line="240" w:lineRule="auto"/>
              <w:ind w:left="60" w:right="60"/>
              <w:jc w:val="left"/>
              <w:rPr>
                <w:rFonts w:eastAsiaTheme="minorHAnsi"/>
                <w:color w:val="auto"/>
                <w:sz w:val="22"/>
              </w:rPr>
            </w:pPr>
            <w:r w:rsidRPr="00C734D3">
              <w:rPr>
                <w:rFonts w:eastAsiaTheme="minorHAnsi"/>
                <w:color w:val="auto"/>
                <w:sz w:val="22"/>
              </w:rPr>
              <w:t>1</w:t>
            </w:r>
          </w:p>
        </w:tc>
        <w:tc>
          <w:tcPr>
            <w:tcW w:w="1313" w:type="dxa"/>
          </w:tcPr>
          <w:p w14:paraId="41EB64AF"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.839</w:t>
            </w:r>
            <w:r w:rsidRPr="00C734D3">
              <w:rPr>
                <w:rFonts w:eastAsiaTheme="minorHAnsi"/>
                <w:color w:val="auto"/>
                <w:sz w:val="22"/>
                <w:vertAlign w:val="superscript"/>
              </w:rPr>
              <w:t>a</w:t>
            </w:r>
          </w:p>
        </w:tc>
        <w:tc>
          <w:tcPr>
            <w:tcW w:w="1393" w:type="dxa"/>
            <w:shd w:val="clear" w:color="auto" w:fill="FFFFFF"/>
          </w:tcPr>
          <w:p w14:paraId="7E82562D"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.704</w:t>
            </w:r>
          </w:p>
        </w:tc>
        <w:tc>
          <w:tcPr>
            <w:tcW w:w="1884" w:type="dxa"/>
            <w:shd w:val="clear" w:color="auto" w:fill="FFFFFF"/>
          </w:tcPr>
          <w:p w14:paraId="6930FCEC"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.691</w:t>
            </w:r>
          </w:p>
        </w:tc>
        <w:tc>
          <w:tcPr>
            <w:tcW w:w="1884" w:type="dxa"/>
            <w:shd w:val="clear" w:color="auto" w:fill="FFFFFF"/>
          </w:tcPr>
          <w:p w14:paraId="1763DE40"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.0138712</w:t>
            </w:r>
          </w:p>
        </w:tc>
        <w:tc>
          <w:tcPr>
            <w:tcW w:w="1886" w:type="dxa"/>
            <w:shd w:val="clear" w:color="auto" w:fill="FFFFFF"/>
          </w:tcPr>
          <w:p w14:paraId="6D520208" w14:textId="77777777" w:rsidR="0040626D" w:rsidRPr="00C734D3" w:rsidRDefault="0040626D" w:rsidP="0040626D">
            <w:pPr>
              <w:autoSpaceDE w:val="0"/>
              <w:autoSpaceDN w:val="0"/>
              <w:adjustRightInd w:val="0"/>
              <w:spacing w:before="0" w:line="240" w:lineRule="auto"/>
              <w:ind w:left="60" w:right="60"/>
              <w:jc w:val="right"/>
              <w:rPr>
                <w:rFonts w:eastAsiaTheme="minorHAnsi"/>
                <w:color w:val="auto"/>
                <w:sz w:val="22"/>
              </w:rPr>
            </w:pPr>
            <w:r w:rsidRPr="00C734D3">
              <w:rPr>
                <w:rFonts w:eastAsiaTheme="minorHAnsi"/>
                <w:color w:val="auto"/>
                <w:sz w:val="22"/>
              </w:rPr>
              <w:t>1.684</w:t>
            </w:r>
          </w:p>
        </w:tc>
      </w:tr>
    </w:tbl>
    <w:p w14:paraId="00269FD4" w14:textId="77777777" w:rsidR="0040626D" w:rsidRPr="007B652A" w:rsidRDefault="0040626D" w:rsidP="007B652A">
      <w:pPr>
        <w:spacing w:before="0" w:line="240" w:lineRule="auto"/>
        <w:rPr>
          <w:color w:val="000000" w:themeColor="text1"/>
        </w:rPr>
      </w:pPr>
    </w:p>
    <w:p w14:paraId="6B5AF384" w14:textId="19655888" w:rsidR="00711AB4" w:rsidRDefault="0040626D" w:rsidP="007B652A">
      <w:pPr>
        <w:spacing w:before="0" w:line="240" w:lineRule="auto"/>
        <w:rPr>
          <w:color w:val="000000" w:themeColor="text1"/>
        </w:rPr>
      </w:pPr>
      <w:r w:rsidRPr="007B652A">
        <w:rPr>
          <w:color w:val="000000" w:themeColor="text1"/>
        </w:rPr>
        <w:lastRenderedPageBreak/>
        <w:t xml:space="preserve">While the data violated normality and </w:t>
      </w:r>
      <w:proofErr w:type="spellStart"/>
      <w:r w:rsidRPr="007B652A">
        <w:rPr>
          <w:color w:val="000000" w:themeColor="text1"/>
        </w:rPr>
        <w:t>heteroscedasticity</w:t>
      </w:r>
      <w:proofErr w:type="spellEnd"/>
      <w:r w:rsidRPr="007B652A">
        <w:rPr>
          <w:color w:val="000000" w:themeColor="text1"/>
        </w:rPr>
        <w:t xml:space="preserve"> assumptions, </w:t>
      </w:r>
      <w:proofErr w:type="spellStart"/>
      <w:r w:rsidR="00DE4ECB">
        <w:rPr>
          <w:color w:val="000000" w:themeColor="text1"/>
        </w:rPr>
        <w:t>standardisation</w:t>
      </w:r>
      <w:proofErr w:type="spellEnd"/>
      <w:r w:rsidR="00DE4ECB" w:rsidRPr="007B652A">
        <w:rPr>
          <w:color w:val="000000" w:themeColor="text1"/>
        </w:rPr>
        <w:t xml:space="preserve"> </w:t>
      </w:r>
      <w:r w:rsidRPr="007B652A">
        <w:rPr>
          <w:color w:val="000000" w:themeColor="text1"/>
        </w:rPr>
        <w:t xml:space="preserve">and robust estimation methods were applied to ensure </w:t>
      </w:r>
      <w:r w:rsidR="007B652A" w:rsidRPr="007B652A">
        <w:rPr>
          <w:color w:val="000000" w:themeColor="text1"/>
        </w:rPr>
        <w:t>the reliability and validity of the regression results.</w:t>
      </w:r>
    </w:p>
    <w:p w14:paraId="1D79B701" w14:textId="6DC4B8C8" w:rsidR="00BE5008" w:rsidRDefault="0040626D" w:rsidP="007B3AE1">
      <w:pPr>
        <w:spacing w:before="0" w:line="240" w:lineRule="auto"/>
        <w:rPr>
          <w:b/>
          <w:bCs/>
          <w:color w:val="000000" w:themeColor="text1"/>
          <w:sz w:val="28"/>
          <w:szCs w:val="24"/>
        </w:rPr>
      </w:pPr>
      <w:r w:rsidRPr="0040626D">
        <w:rPr>
          <w:b/>
          <w:bCs/>
          <w:color w:val="000000" w:themeColor="text1"/>
          <w:sz w:val="28"/>
          <w:szCs w:val="24"/>
        </w:rPr>
        <w:t>Correlation Analysis</w:t>
      </w:r>
    </w:p>
    <w:p w14:paraId="09740CE3" w14:textId="0628C3F4" w:rsidR="0040626D" w:rsidRDefault="0040626D" w:rsidP="0040626D">
      <w:pPr>
        <w:spacing w:before="0" w:line="240" w:lineRule="auto"/>
      </w:pPr>
      <w:r w:rsidRPr="0040626D">
        <w:t xml:space="preserve">Correlation analysis examined the strength and direction of relationships among study variables. </w:t>
      </w:r>
      <w:bookmarkStart w:id="6" w:name="_Hlk214097180"/>
      <w:r w:rsidRPr="0040626D">
        <w:t>Results showed that the corporate income tax rate (CITR) had a strong positive correlation with return on assets (ROA) (ρ = 0.928, p &lt; 0.01)</w:t>
      </w:r>
      <w:bookmarkEnd w:id="6"/>
      <w:r w:rsidRPr="0040626D">
        <w:t>, indicating that higher tax rates were associated with better financial performance. Value-added tax (VAT) demonstrated a moderate positive relationship with ROA (ρ = 0.340, p &lt; 0.01), while tax incentives (TI) had a weak negative correlation (ρ = -0.116, p &lt; 0.05), implying reduced profitability with increased incentives. Customs and excise duties (CED) showed a weak positive association with ROA (ρ = 0.047, p &lt; 0.05), indicating minimal influence.</w:t>
      </w:r>
    </w:p>
    <w:p w14:paraId="6435D9D2" w14:textId="031F54E9" w:rsidR="00DF2A42" w:rsidRDefault="00DF2A42" w:rsidP="00DF2A42">
      <w:pPr>
        <w:spacing w:before="0" w:line="240" w:lineRule="auto"/>
        <w:rPr>
          <w:b/>
          <w:bCs/>
          <w:i/>
          <w:iCs/>
        </w:rPr>
      </w:pPr>
      <w:r w:rsidRPr="00711AB4">
        <w:rPr>
          <w:b/>
          <w:bCs/>
          <w:i/>
          <w:iCs/>
        </w:rPr>
        <w:t xml:space="preserve">Table </w:t>
      </w:r>
      <w:r>
        <w:rPr>
          <w:b/>
          <w:bCs/>
          <w:i/>
          <w:iCs/>
        </w:rPr>
        <w:t>7</w:t>
      </w:r>
      <w:r w:rsidRPr="00711AB4">
        <w:rPr>
          <w:b/>
          <w:bCs/>
          <w:i/>
          <w:iCs/>
        </w:rPr>
        <w:t xml:space="preserve">: </w:t>
      </w:r>
      <w:r w:rsidRPr="000B4C23">
        <w:rPr>
          <w:b/>
          <w:bCs/>
          <w:i/>
          <w:iCs/>
          <w:highlight w:val="yellow"/>
        </w:rPr>
        <w:t>Correlation</w:t>
      </w:r>
      <w:r w:rsidR="00DE4ECB" w:rsidRPr="000B4C23">
        <w:rPr>
          <w:b/>
          <w:bCs/>
          <w:i/>
          <w:iCs/>
          <w:highlight w:val="yellow"/>
        </w:rPr>
        <w:t xml:space="preserve"> Analysis</w:t>
      </w:r>
      <w:r w:rsidR="00DE4ECB">
        <w:rPr>
          <w:b/>
          <w:bCs/>
          <w:i/>
          <w:iCs/>
        </w:rPr>
        <w:t xml:space="preserve"> </w:t>
      </w:r>
    </w:p>
    <w:p w14:paraId="27E7EFC0" w14:textId="77777777" w:rsidR="0040626D" w:rsidRDefault="0040626D" w:rsidP="007B3AE1">
      <w:pPr>
        <w:spacing w:before="0" w:line="240" w:lineRule="auto"/>
        <w:rPr>
          <w:b/>
          <w:bCs/>
          <w:color w:val="000000" w:themeColor="text1"/>
          <w:sz w:val="28"/>
          <w:szCs w:val="24"/>
        </w:rPr>
      </w:pPr>
    </w:p>
    <w:tbl>
      <w:tblPr>
        <w:tblW w:w="10520" w:type="dxa"/>
        <w:tblBorders>
          <w:bottom w:val="single" w:sz="4" w:space="0" w:color="auto"/>
        </w:tblBorders>
        <w:tblLayout w:type="fixed"/>
        <w:tblCellMar>
          <w:left w:w="0" w:type="dxa"/>
          <w:right w:w="0" w:type="dxa"/>
        </w:tblCellMar>
        <w:tblLook w:val="0000" w:firstRow="0" w:lastRow="0" w:firstColumn="0" w:lastColumn="0" w:noHBand="0" w:noVBand="0"/>
      </w:tblPr>
      <w:tblGrid>
        <w:gridCol w:w="1449"/>
        <w:gridCol w:w="1453"/>
        <w:gridCol w:w="1720"/>
        <w:gridCol w:w="1220"/>
        <w:gridCol w:w="1260"/>
        <w:gridCol w:w="1165"/>
        <w:gridCol w:w="1016"/>
        <w:gridCol w:w="1237"/>
      </w:tblGrid>
      <w:tr w:rsidR="0040626D" w:rsidRPr="003A4E8D" w14:paraId="7FC0A461"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7BD2EFF"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22"/>
              </w:rPr>
            </w:pPr>
            <w:r w:rsidRPr="00091CA7">
              <w:rPr>
                <w:rFonts w:ascii="Arial" w:eastAsiaTheme="minorHAnsi" w:hAnsi="Arial" w:cs="Arial"/>
                <w:b/>
                <w:bCs/>
                <w:color w:val="auto"/>
                <w:sz w:val="22"/>
              </w:rPr>
              <w:t>Correlation</w:t>
            </w:r>
          </w:p>
        </w:tc>
      </w:tr>
      <w:tr w:rsidR="0040626D" w:rsidRPr="003A4E8D" w14:paraId="7F22A6C9" w14:textId="77777777" w:rsidTr="0062367B">
        <w:trPr>
          <w:cantSplit/>
          <w:trHeight w:val="297"/>
        </w:trPr>
        <w:tc>
          <w:tcPr>
            <w:tcW w:w="462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C6F22D7" w14:textId="77777777" w:rsidR="0040626D" w:rsidRPr="00091CA7" w:rsidRDefault="0040626D" w:rsidP="0040626D">
            <w:pPr>
              <w:autoSpaceDE w:val="0"/>
              <w:autoSpaceDN w:val="0"/>
              <w:adjustRightInd w:val="0"/>
              <w:spacing w:before="0" w:line="240" w:lineRule="auto"/>
              <w:jc w:val="left"/>
              <w:rPr>
                <w:rFonts w:eastAsiaTheme="minorHAnsi"/>
                <w:color w:val="auto"/>
                <w:szCs w:val="24"/>
              </w:rPr>
            </w:pPr>
          </w:p>
        </w:tc>
        <w:tc>
          <w:tcPr>
            <w:tcW w:w="1220" w:type="dxa"/>
            <w:tcBorders>
              <w:top w:val="single" w:sz="4" w:space="0" w:color="auto"/>
              <w:left w:val="single" w:sz="4" w:space="0" w:color="auto"/>
              <w:bottom w:val="nil"/>
            </w:tcBorders>
            <w:shd w:val="clear" w:color="auto" w:fill="FFFFFF"/>
            <w:vAlign w:val="bottom"/>
          </w:tcPr>
          <w:p w14:paraId="6E98407C"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ROA</w:t>
            </w:r>
          </w:p>
        </w:tc>
        <w:tc>
          <w:tcPr>
            <w:tcW w:w="1260" w:type="dxa"/>
            <w:tcBorders>
              <w:top w:val="single" w:sz="4" w:space="0" w:color="auto"/>
              <w:bottom w:val="nil"/>
            </w:tcBorders>
            <w:shd w:val="clear" w:color="auto" w:fill="FFFFFF"/>
            <w:vAlign w:val="bottom"/>
          </w:tcPr>
          <w:p w14:paraId="61EEBF9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CITR</w:t>
            </w:r>
          </w:p>
        </w:tc>
        <w:tc>
          <w:tcPr>
            <w:tcW w:w="1165" w:type="dxa"/>
            <w:tcBorders>
              <w:top w:val="single" w:sz="4" w:space="0" w:color="auto"/>
              <w:bottom w:val="nil"/>
            </w:tcBorders>
            <w:shd w:val="clear" w:color="auto" w:fill="FFFFFF"/>
            <w:vAlign w:val="bottom"/>
          </w:tcPr>
          <w:p w14:paraId="1F390F73"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VAT</w:t>
            </w:r>
          </w:p>
        </w:tc>
        <w:tc>
          <w:tcPr>
            <w:tcW w:w="1016" w:type="dxa"/>
            <w:tcBorders>
              <w:top w:val="single" w:sz="4" w:space="0" w:color="auto"/>
              <w:bottom w:val="nil"/>
            </w:tcBorders>
            <w:shd w:val="clear" w:color="auto" w:fill="FFFFFF"/>
            <w:vAlign w:val="bottom"/>
          </w:tcPr>
          <w:p w14:paraId="6B12717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TI</w:t>
            </w:r>
          </w:p>
        </w:tc>
        <w:tc>
          <w:tcPr>
            <w:tcW w:w="1236" w:type="dxa"/>
            <w:tcBorders>
              <w:top w:val="single" w:sz="4" w:space="0" w:color="auto"/>
              <w:bottom w:val="nil"/>
              <w:right w:val="single" w:sz="4" w:space="0" w:color="auto"/>
            </w:tcBorders>
            <w:shd w:val="clear" w:color="auto" w:fill="FFFFFF"/>
            <w:vAlign w:val="bottom"/>
          </w:tcPr>
          <w:p w14:paraId="3D97AF08"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r>
              <w:rPr>
                <w:rFonts w:ascii="Arial" w:eastAsiaTheme="minorHAnsi" w:hAnsi="Arial" w:cs="Arial"/>
                <w:color w:val="auto"/>
                <w:sz w:val="18"/>
                <w:szCs w:val="18"/>
              </w:rPr>
              <w:t>CED</w:t>
            </w:r>
          </w:p>
        </w:tc>
      </w:tr>
      <w:tr w:rsidR="0040626D" w:rsidRPr="003A4E8D" w14:paraId="2A1E91C8" w14:textId="77777777" w:rsidTr="0062367B">
        <w:trPr>
          <w:cantSplit/>
          <w:trHeight w:val="284"/>
        </w:trPr>
        <w:tc>
          <w:tcPr>
            <w:tcW w:w="1449" w:type="dxa"/>
            <w:vMerge w:val="restart"/>
            <w:tcBorders>
              <w:top w:val="single" w:sz="4" w:space="0" w:color="auto"/>
              <w:left w:val="single" w:sz="4" w:space="0" w:color="auto"/>
              <w:bottom w:val="single" w:sz="4" w:space="0" w:color="auto"/>
              <w:right w:val="single" w:sz="4" w:space="0" w:color="auto"/>
            </w:tcBorders>
          </w:tcPr>
          <w:p w14:paraId="6F6567E6"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Spearman's rho</w:t>
            </w:r>
          </w:p>
        </w:tc>
        <w:tc>
          <w:tcPr>
            <w:tcW w:w="1453" w:type="dxa"/>
            <w:vMerge w:val="restart"/>
            <w:tcBorders>
              <w:top w:val="nil"/>
              <w:left w:val="single" w:sz="4" w:space="0" w:color="auto"/>
              <w:bottom w:val="nil"/>
              <w:right w:val="nil"/>
            </w:tcBorders>
          </w:tcPr>
          <w:p w14:paraId="204FDE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ROA</w:t>
            </w:r>
          </w:p>
        </w:tc>
        <w:tc>
          <w:tcPr>
            <w:tcW w:w="1719" w:type="dxa"/>
            <w:tcBorders>
              <w:top w:val="nil"/>
              <w:left w:val="nil"/>
              <w:bottom w:val="nil"/>
              <w:right w:val="single" w:sz="4" w:space="0" w:color="auto"/>
            </w:tcBorders>
          </w:tcPr>
          <w:p w14:paraId="331A0577"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850873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60" w:type="dxa"/>
            <w:tcBorders>
              <w:bottom w:val="nil"/>
            </w:tcBorders>
            <w:shd w:val="clear" w:color="auto" w:fill="FFFFFF"/>
          </w:tcPr>
          <w:p w14:paraId="145F17E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nil"/>
            </w:tcBorders>
            <w:shd w:val="clear" w:color="auto" w:fill="FFFFFF"/>
          </w:tcPr>
          <w:p w14:paraId="1F25B09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03F58F38"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7E84077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963A1B1"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71CB78C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25E448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1BC306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top w:val="nil"/>
              <w:left w:val="single" w:sz="4" w:space="0" w:color="auto"/>
              <w:bottom w:val="nil"/>
            </w:tcBorders>
            <w:shd w:val="clear" w:color="auto" w:fill="FFFFFF"/>
          </w:tcPr>
          <w:p w14:paraId="6B9ABED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60" w:type="dxa"/>
            <w:tcBorders>
              <w:top w:val="nil"/>
              <w:bottom w:val="nil"/>
            </w:tcBorders>
            <w:shd w:val="clear" w:color="auto" w:fill="FFFFFF"/>
          </w:tcPr>
          <w:p w14:paraId="2A97C72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top w:val="nil"/>
              <w:bottom w:val="nil"/>
            </w:tcBorders>
            <w:shd w:val="clear" w:color="auto" w:fill="FFFFFF"/>
          </w:tcPr>
          <w:p w14:paraId="1BC0BC1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top w:val="nil"/>
              <w:bottom w:val="nil"/>
            </w:tcBorders>
            <w:shd w:val="clear" w:color="auto" w:fill="FFFFFF"/>
          </w:tcPr>
          <w:p w14:paraId="4BFBFD9E"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top w:val="nil"/>
              <w:bottom w:val="nil"/>
              <w:right w:val="single" w:sz="4" w:space="0" w:color="auto"/>
            </w:tcBorders>
            <w:shd w:val="clear" w:color="auto" w:fill="FFFFFF"/>
          </w:tcPr>
          <w:p w14:paraId="1D3D72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52063AEC"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E3EF245"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2FE11B48"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CITR</w:t>
            </w:r>
          </w:p>
        </w:tc>
        <w:tc>
          <w:tcPr>
            <w:tcW w:w="1719" w:type="dxa"/>
            <w:tcBorders>
              <w:top w:val="nil"/>
              <w:left w:val="nil"/>
              <w:bottom w:val="nil"/>
              <w:right w:val="single" w:sz="4" w:space="0" w:color="auto"/>
            </w:tcBorders>
          </w:tcPr>
          <w:p w14:paraId="69E0674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E8067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.928</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404D932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165" w:type="dxa"/>
            <w:tcBorders>
              <w:bottom w:val="nil"/>
            </w:tcBorders>
            <w:shd w:val="clear" w:color="auto" w:fill="FFFFFF"/>
          </w:tcPr>
          <w:p w14:paraId="7B12D2F2"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1C338C52"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09AE9C1" w14:textId="77777777" w:rsidR="0040626D" w:rsidRPr="00091CA7" w:rsidRDefault="0040626D" w:rsidP="0040626D">
            <w:pPr>
              <w:autoSpaceDE w:val="0"/>
              <w:autoSpaceDN w:val="0"/>
              <w:adjustRightInd w:val="0"/>
              <w:spacing w:before="0" w:line="240" w:lineRule="auto"/>
              <w:ind w:right="60"/>
              <w:rPr>
                <w:rFonts w:ascii="Arial" w:eastAsiaTheme="minorHAnsi" w:hAnsi="Arial" w:cs="Arial"/>
                <w:color w:val="auto"/>
                <w:sz w:val="18"/>
                <w:szCs w:val="18"/>
              </w:rPr>
            </w:pPr>
          </w:p>
        </w:tc>
      </w:tr>
      <w:tr w:rsidR="0040626D" w:rsidRPr="003A4E8D" w14:paraId="4140CA63"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540F5736"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6B91920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A9AEC9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473D1A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.000</w:t>
            </w:r>
          </w:p>
        </w:tc>
        <w:tc>
          <w:tcPr>
            <w:tcW w:w="1260" w:type="dxa"/>
            <w:tcBorders>
              <w:bottom w:val="nil"/>
            </w:tcBorders>
            <w:shd w:val="clear" w:color="auto" w:fill="FFFFFF"/>
          </w:tcPr>
          <w:p w14:paraId="5A3E90E4"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165" w:type="dxa"/>
            <w:tcBorders>
              <w:bottom w:val="nil"/>
            </w:tcBorders>
            <w:shd w:val="clear" w:color="auto" w:fill="FFFFFF"/>
          </w:tcPr>
          <w:p w14:paraId="2D494E8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nil"/>
            </w:tcBorders>
            <w:shd w:val="clear" w:color="auto" w:fill="FFFFFF"/>
          </w:tcPr>
          <w:p w14:paraId="705640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37F15B1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0C909DC2"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6DA11EEA"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592BE6E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VAT</w:t>
            </w:r>
          </w:p>
        </w:tc>
        <w:tc>
          <w:tcPr>
            <w:tcW w:w="1719" w:type="dxa"/>
            <w:tcBorders>
              <w:top w:val="nil"/>
              <w:left w:val="nil"/>
              <w:bottom w:val="nil"/>
              <w:right w:val="single" w:sz="4" w:space="0" w:color="auto"/>
            </w:tcBorders>
          </w:tcPr>
          <w:p w14:paraId="04450090"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63337F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.340</w:t>
            </w:r>
            <w:r w:rsidRPr="00091CA7">
              <w:rPr>
                <w:rFonts w:ascii="Arial" w:eastAsiaTheme="minorHAnsi" w:hAnsi="Arial" w:cs="Arial"/>
                <w:color w:val="auto"/>
                <w:sz w:val="18"/>
                <w:szCs w:val="18"/>
                <w:vertAlign w:val="superscript"/>
              </w:rPr>
              <w:t>**</w:t>
            </w:r>
          </w:p>
        </w:tc>
        <w:tc>
          <w:tcPr>
            <w:tcW w:w="1260" w:type="dxa"/>
            <w:tcBorders>
              <w:bottom w:val="nil"/>
            </w:tcBorders>
            <w:shd w:val="clear" w:color="auto" w:fill="FFFFFF"/>
          </w:tcPr>
          <w:p w14:paraId="55F75D57"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.261</w:t>
            </w:r>
            <w:r w:rsidRPr="00091CA7">
              <w:rPr>
                <w:rFonts w:ascii="Arial" w:eastAsiaTheme="minorHAnsi" w:hAnsi="Arial" w:cs="Arial"/>
                <w:color w:val="auto"/>
                <w:sz w:val="18"/>
                <w:szCs w:val="18"/>
                <w:vertAlign w:val="superscript"/>
              </w:rPr>
              <w:t>**</w:t>
            </w:r>
          </w:p>
        </w:tc>
        <w:tc>
          <w:tcPr>
            <w:tcW w:w="1165" w:type="dxa"/>
            <w:tcBorders>
              <w:bottom w:val="nil"/>
            </w:tcBorders>
            <w:shd w:val="clear" w:color="auto" w:fill="FFFFFF"/>
          </w:tcPr>
          <w:p w14:paraId="0DC4C58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016" w:type="dxa"/>
            <w:tcBorders>
              <w:bottom w:val="nil"/>
            </w:tcBorders>
            <w:shd w:val="clear" w:color="auto" w:fill="FFFFFF"/>
          </w:tcPr>
          <w:p w14:paraId="50DB57C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09C2ADC2"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r>
      <w:tr w:rsidR="0040626D" w:rsidRPr="003A4E8D" w14:paraId="50DC0A36"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300CA6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7060E03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4F85F31F"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60CCC9F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260" w:type="dxa"/>
            <w:tcBorders>
              <w:bottom w:val="nil"/>
            </w:tcBorders>
            <w:shd w:val="clear" w:color="auto" w:fill="FFFFFF"/>
          </w:tcPr>
          <w:p w14:paraId="2B6E1E6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.009</w:t>
            </w:r>
          </w:p>
        </w:tc>
        <w:tc>
          <w:tcPr>
            <w:tcW w:w="1165" w:type="dxa"/>
            <w:tcBorders>
              <w:bottom w:val="nil"/>
            </w:tcBorders>
            <w:shd w:val="clear" w:color="auto" w:fill="FFFFFF"/>
          </w:tcPr>
          <w:p w14:paraId="3A90CB9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016" w:type="dxa"/>
            <w:tcBorders>
              <w:bottom w:val="nil"/>
            </w:tcBorders>
            <w:shd w:val="clear" w:color="auto" w:fill="FFFFFF"/>
          </w:tcPr>
          <w:p w14:paraId="5FDFB4A6" w14:textId="77777777" w:rsidR="0040626D" w:rsidRPr="00091CA7" w:rsidRDefault="0040626D" w:rsidP="0040626D">
            <w:pPr>
              <w:autoSpaceDE w:val="0"/>
              <w:autoSpaceDN w:val="0"/>
              <w:adjustRightInd w:val="0"/>
              <w:spacing w:before="0" w:line="240" w:lineRule="auto"/>
              <w:ind w:left="60" w:right="60"/>
              <w:jc w:val="center"/>
              <w:rPr>
                <w:rFonts w:ascii="Arial" w:eastAsiaTheme="minorHAnsi" w:hAnsi="Arial" w:cs="Arial"/>
                <w:color w:val="auto"/>
                <w:sz w:val="18"/>
                <w:szCs w:val="18"/>
              </w:rPr>
            </w:pPr>
          </w:p>
        </w:tc>
        <w:tc>
          <w:tcPr>
            <w:tcW w:w="1236" w:type="dxa"/>
            <w:tcBorders>
              <w:bottom w:val="nil"/>
              <w:right w:val="single" w:sz="4" w:space="0" w:color="auto"/>
            </w:tcBorders>
            <w:shd w:val="clear" w:color="auto" w:fill="FFFFFF"/>
          </w:tcPr>
          <w:p w14:paraId="24223F1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12DE04A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248088D2"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720D938A"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TI</w:t>
            </w:r>
          </w:p>
        </w:tc>
        <w:tc>
          <w:tcPr>
            <w:tcW w:w="1719" w:type="dxa"/>
            <w:tcBorders>
              <w:top w:val="nil"/>
              <w:left w:val="nil"/>
              <w:bottom w:val="nil"/>
              <w:right w:val="single" w:sz="4" w:space="0" w:color="auto"/>
            </w:tcBorders>
          </w:tcPr>
          <w:p w14:paraId="0DE1F844"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30FE082B"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-.116</w:t>
            </w:r>
          </w:p>
        </w:tc>
        <w:tc>
          <w:tcPr>
            <w:tcW w:w="1260" w:type="dxa"/>
            <w:tcBorders>
              <w:bottom w:val="nil"/>
            </w:tcBorders>
            <w:shd w:val="clear" w:color="auto" w:fill="FFFFFF"/>
          </w:tcPr>
          <w:p w14:paraId="1C8C2D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-.159</w:t>
            </w:r>
          </w:p>
        </w:tc>
        <w:tc>
          <w:tcPr>
            <w:tcW w:w="1165" w:type="dxa"/>
            <w:tcBorders>
              <w:bottom w:val="nil"/>
            </w:tcBorders>
            <w:shd w:val="clear" w:color="auto" w:fill="FFFFFF"/>
          </w:tcPr>
          <w:p w14:paraId="48C1B17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-.328</w:t>
            </w:r>
            <w:r w:rsidRPr="00091CA7">
              <w:rPr>
                <w:rFonts w:ascii="Arial" w:eastAsiaTheme="minorHAnsi" w:hAnsi="Arial" w:cs="Arial"/>
                <w:color w:val="auto"/>
                <w:sz w:val="18"/>
                <w:szCs w:val="18"/>
                <w:vertAlign w:val="superscript"/>
              </w:rPr>
              <w:t>**</w:t>
            </w:r>
          </w:p>
        </w:tc>
        <w:tc>
          <w:tcPr>
            <w:tcW w:w="1016" w:type="dxa"/>
            <w:tcBorders>
              <w:bottom w:val="nil"/>
            </w:tcBorders>
            <w:shd w:val="clear" w:color="auto" w:fill="FFFFFF"/>
          </w:tcPr>
          <w:p w14:paraId="49C338F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c>
          <w:tcPr>
            <w:tcW w:w="1236" w:type="dxa"/>
            <w:tcBorders>
              <w:bottom w:val="nil"/>
              <w:right w:val="single" w:sz="4" w:space="0" w:color="auto"/>
            </w:tcBorders>
            <w:shd w:val="clear" w:color="auto" w:fill="FFFFFF"/>
          </w:tcPr>
          <w:p w14:paraId="616C4D4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2912EC14"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6A64217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E6422E1"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029ACD03"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07B7933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.249</w:t>
            </w:r>
          </w:p>
        </w:tc>
        <w:tc>
          <w:tcPr>
            <w:tcW w:w="1260" w:type="dxa"/>
            <w:tcBorders>
              <w:bottom w:val="nil"/>
            </w:tcBorders>
            <w:shd w:val="clear" w:color="auto" w:fill="FFFFFF"/>
          </w:tcPr>
          <w:p w14:paraId="289704B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.115</w:t>
            </w:r>
          </w:p>
        </w:tc>
        <w:tc>
          <w:tcPr>
            <w:tcW w:w="1165" w:type="dxa"/>
            <w:tcBorders>
              <w:bottom w:val="nil"/>
            </w:tcBorders>
            <w:shd w:val="clear" w:color="auto" w:fill="FFFFFF"/>
          </w:tcPr>
          <w:p w14:paraId="449BB9C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.001</w:t>
            </w:r>
          </w:p>
        </w:tc>
        <w:tc>
          <w:tcPr>
            <w:tcW w:w="1016" w:type="dxa"/>
            <w:tcBorders>
              <w:bottom w:val="nil"/>
            </w:tcBorders>
            <w:shd w:val="clear" w:color="auto" w:fill="FFFFFF"/>
          </w:tcPr>
          <w:p w14:paraId="25320C4D"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c>
          <w:tcPr>
            <w:tcW w:w="1236" w:type="dxa"/>
            <w:tcBorders>
              <w:bottom w:val="nil"/>
              <w:right w:val="single" w:sz="4" w:space="0" w:color="auto"/>
            </w:tcBorders>
            <w:shd w:val="clear" w:color="auto" w:fill="FFFFFF"/>
          </w:tcPr>
          <w:p w14:paraId="0C0EA66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r>
      <w:tr w:rsidR="0040626D" w:rsidRPr="003A4E8D" w14:paraId="6DC7B850" w14:textId="77777777" w:rsidTr="0062367B">
        <w:trPr>
          <w:cantSplit/>
          <w:trHeight w:val="297"/>
        </w:trPr>
        <w:tc>
          <w:tcPr>
            <w:tcW w:w="1449" w:type="dxa"/>
            <w:vMerge/>
            <w:tcBorders>
              <w:top w:val="single" w:sz="4" w:space="0" w:color="auto"/>
              <w:left w:val="single" w:sz="4" w:space="0" w:color="auto"/>
              <w:bottom w:val="single" w:sz="4" w:space="0" w:color="auto"/>
              <w:right w:val="single" w:sz="4" w:space="0" w:color="auto"/>
            </w:tcBorders>
          </w:tcPr>
          <w:p w14:paraId="55F77E40"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val="restart"/>
            <w:tcBorders>
              <w:top w:val="nil"/>
              <w:left w:val="single" w:sz="4" w:space="0" w:color="auto"/>
              <w:bottom w:val="nil"/>
              <w:right w:val="nil"/>
            </w:tcBorders>
          </w:tcPr>
          <w:p w14:paraId="12B345EE"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Pr>
                <w:rFonts w:ascii="Arial" w:eastAsiaTheme="minorHAnsi" w:hAnsi="Arial" w:cs="Arial"/>
                <w:color w:val="auto"/>
                <w:sz w:val="18"/>
                <w:szCs w:val="18"/>
              </w:rPr>
              <w:t>CED</w:t>
            </w:r>
          </w:p>
        </w:tc>
        <w:tc>
          <w:tcPr>
            <w:tcW w:w="1719" w:type="dxa"/>
            <w:tcBorders>
              <w:top w:val="nil"/>
              <w:left w:val="nil"/>
              <w:bottom w:val="nil"/>
              <w:right w:val="single" w:sz="4" w:space="0" w:color="auto"/>
            </w:tcBorders>
          </w:tcPr>
          <w:p w14:paraId="028E656D"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nil"/>
            </w:tcBorders>
            <w:shd w:val="clear" w:color="auto" w:fill="FFFFFF"/>
          </w:tcPr>
          <w:p w14:paraId="2BD5AF49"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.047</w:t>
            </w:r>
          </w:p>
        </w:tc>
        <w:tc>
          <w:tcPr>
            <w:tcW w:w="1260" w:type="dxa"/>
            <w:tcBorders>
              <w:bottom w:val="nil"/>
            </w:tcBorders>
            <w:shd w:val="clear" w:color="auto" w:fill="FFFFFF"/>
          </w:tcPr>
          <w:p w14:paraId="3FB24F3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.082</w:t>
            </w:r>
          </w:p>
        </w:tc>
        <w:tc>
          <w:tcPr>
            <w:tcW w:w="1165" w:type="dxa"/>
            <w:tcBorders>
              <w:bottom w:val="nil"/>
            </w:tcBorders>
            <w:shd w:val="clear" w:color="auto" w:fill="FFFFFF"/>
          </w:tcPr>
          <w:p w14:paraId="3695338A"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.019</w:t>
            </w:r>
          </w:p>
        </w:tc>
        <w:tc>
          <w:tcPr>
            <w:tcW w:w="1016" w:type="dxa"/>
            <w:tcBorders>
              <w:bottom w:val="nil"/>
            </w:tcBorders>
            <w:shd w:val="clear" w:color="auto" w:fill="FFFFFF"/>
          </w:tcPr>
          <w:p w14:paraId="14E7111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-.699</w:t>
            </w:r>
            <w:r w:rsidRPr="00091CA7">
              <w:rPr>
                <w:rFonts w:ascii="Arial" w:eastAsiaTheme="minorHAnsi" w:hAnsi="Arial" w:cs="Arial"/>
                <w:color w:val="auto"/>
                <w:sz w:val="18"/>
                <w:szCs w:val="18"/>
                <w:vertAlign w:val="superscript"/>
              </w:rPr>
              <w:t>**</w:t>
            </w:r>
          </w:p>
        </w:tc>
        <w:tc>
          <w:tcPr>
            <w:tcW w:w="1236" w:type="dxa"/>
            <w:tcBorders>
              <w:bottom w:val="nil"/>
              <w:right w:val="single" w:sz="4" w:space="0" w:color="auto"/>
            </w:tcBorders>
            <w:shd w:val="clear" w:color="auto" w:fill="FFFFFF"/>
          </w:tcPr>
          <w:p w14:paraId="7F86B481"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1.000</w:t>
            </w:r>
          </w:p>
        </w:tc>
      </w:tr>
      <w:tr w:rsidR="0040626D" w:rsidRPr="003A4E8D" w14:paraId="531DC9D5" w14:textId="77777777" w:rsidTr="0062367B">
        <w:trPr>
          <w:cantSplit/>
          <w:trHeight w:val="310"/>
        </w:trPr>
        <w:tc>
          <w:tcPr>
            <w:tcW w:w="1449" w:type="dxa"/>
            <w:vMerge/>
            <w:tcBorders>
              <w:top w:val="single" w:sz="4" w:space="0" w:color="auto"/>
              <w:left w:val="single" w:sz="4" w:space="0" w:color="auto"/>
              <w:bottom w:val="single" w:sz="4" w:space="0" w:color="auto"/>
              <w:right w:val="single" w:sz="4" w:space="0" w:color="auto"/>
            </w:tcBorders>
          </w:tcPr>
          <w:p w14:paraId="21F6D438"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453" w:type="dxa"/>
            <w:vMerge/>
            <w:tcBorders>
              <w:top w:val="nil"/>
              <w:left w:val="single" w:sz="4" w:space="0" w:color="auto"/>
              <w:bottom w:val="nil"/>
              <w:right w:val="nil"/>
            </w:tcBorders>
          </w:tcPr>
          <w:p w14:paraId="15382543" w14:textId="77777777" w:rsidR="0040626D" w:rsidRPr="00091CA7" w:rsidRDefault="0040626D" w:rsidP="0040626D">
            <w:pPr>
              <w:autoSpaceDE w:val="0"/>
              <w:autoSpaceDN w:val="0"/>
              <w:adjustRightInd w:val="0"/>
              <w:spacing w:before="0" w:line="240" w:lineRule="auto"/>
              <w:jc w:val="left"/>
              <w:rPr>
                <w:rFonts w:ascii="Arial" w:eastAsiaTheme="minorHAnsi" w:hAnsi="Arial" w:cs="Arial"/>
                <w:color w:val="auto"/>
                <w:sz w:val="18"/>
                <w:szCs w:val="18"/>
              </w:rPr>
            </w:pPr>
          </w:p>
        </w:tc>
        <w:tc>
          <w:tcPr>
            <w:tcW w:w="1719" w:type="dxa"/>
            <w:tcBorders>
              <w:top w:val="nil"/>
              <w:left w:val="nil"/>
              <w:bottom w:val="nil"/>
              <w:right w:val="single" w:sz="4" w:space="0" w:color="auto"/>
            </w:tcBorders>
          </w:tcPr>
          <w:p w14:paraId="25FA48AB"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p>
        </w:tc>
        <w:tc>
          <w:tcPr>
            <w:tcW w:w="1220" w:type="dxa"/>
            <w:tcBorders>
              <w:left w:val="single" w:sz="4" w:space="0" w:color="auto"/>
              <w:bottom w:val="single" w:sz="4" w:space="0" w:color="auto"/>
            </w:tcBorders>
            <w:shd w:val="clear" w:color="auto" w:fill="FFFFFF"/>
          </w:tcPr>
          <w:p w14:paraId="0DC28CFC"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60" w:type="dxa"/>
            <w:tcBorders>
              <w:bottom w:val="single" w:sz="4" w:space="0" w:color="auto"/>
            </w:tcBorders>
            <w:shd w:val="clear" w:color="auto" w:fill="FFFFFF"/>
          </w:tcPr>
          <w:p w14:paraId="7BA7503F"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165" w:type="dxa"/>
            <w:tcBorders>
              <w:bottom w:val="single" w:sz="4" w:space="0" w:color="auto"/>
            </w:tcBorders>
            <w:shd w:val="clear" w:color="auto" w:fill="FFFFFF"/>
          </w:tcPr>
          <w:p w14:paraId="5CBE83A3"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016" w:type="dxa"/>
            <w:tcBorders>
              <w:bottom w:val="single" w:sz="4" w:space="0" w:color="auto"/>
            </w:tcBorders>
            <w:shd w:val="clear" w:color="auto" w:fill="FFFFFF"/>
          </w:tcPr>
          <w:p w14:paraId="13CCDCB5"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p>
        </w:tc>
        <w:tc>
          <w:tcPr>
            <w:tcW w:w="1236" w:type="dxa"/>
            <w:tcBorders>
              <w:bottom w:val="single" w:sz="4" w:space="0" w:color="auto"/>
              <w:right w:val="single" w:sz="4" w:space="0" w:color="auto"/>
            </w:tcBorders>
            <w:shd w:val="clear" w:color="auto" w:fill="FFFFFF"/>
          </w:tcPr>
          <w:p w14:paraId="353BD316" w14:textId="77777777" w:rsidR="0040626D" w:rsidRPr="00091CA7" w:rsidRDefault="0040626D" w:rsidP="0040626D">
            <w:pPr>
              <w:autoSpaceDE w:val="0"/>
              <w:autoSpaceDN w:val="0"/>
              <w:adjustRightInd w:val="0"/>
              <w:spacing w:before="0" w:line="240" w:lineRule="auto"/>
              <w:ind w:left="60" w:right="60"/>
              <w:jc w:val="right"/>
              <w:rPr>
                <w:rFonts w:ascii="Arial" w:eastAsiaTheme="minorHAnsi" w:hAnsi="Arial" w:cs="Arial"/>
                <w:color w:val="auto"/>
                <w:sz w:val="18"/>
                <w:szCs w:val="18"/>
              </w:rPr>
            </w:pPr>
            <w:r w:rsidRPr="00091CA7">
              <w:rPr>
                <w:rFonts w:ascii="Arial" w:eastAsiaTheme="minorHAnsi" w:hAnsi="Arial" w:cs="Arial"/>
                <w:color w:val="auto"/>
                <w:sz w:val="18"/>
                <w:szCs w:val="18"/>
              </w:rPr>
              <w:t>.</w:t>
            </w:r>
          </w:p>
        </w:tc>
      </w:tr>
      <w:tr w:rsidR="0040626D" w:rsidRPr="003A4E8D" w14:paraId="595E157C" w14:textId="77777777" w:rsidTr="0062367B">
        <w:trPr>
          <w:cantSplit/>
          <w:trHeight w:val="284"/>
        </w:trPr>
        <w:tc>
          <w:tcPr>
            <w:tcW w:w="10520" w:type="dxa"/>
            <w:gridSpan w:val="8"/>
            <w:tcBorders>
              <w:top w:val="single" w:sz="4" w:space="0" w:color="auto"/>
              <w:left w:val="single" w:sz="4" w:space="0" w:color="auto"/>
              <w:bottom w:val="single" w:sz="4" w:space="0" w:color="auto"/>
              <w:right w:val="single" w:sz="4" w:space="0" w:color="auto"/>
            </w:tcBorders>
            <w:shd w:val="clear" w:color="auto" w:fill="FFFFFF"/>
          </w:tcPr>
          <w:p w14:paraId="38D4DE39" w14:textId="77777777" w:rsidR="0040626D" w:rsidRPr="00091CA7" w:rsidRDefault="0040626D" w:rsidP="0040626D">
            <w:pPr>
              <w:autoSpaceDE w:val="0"/>
              <w:autoSpaceDN w:val="0"/>
              <w:adjustRightInd w:val="0"/>
              <w:spacing w:before="0" w:line="240" w:lineRule="auto"/>
              <w:ind w:left="60" w:right="60"/>
              <w:jc w:val="left"/>
              <w:rPr>
                <w:rFonts w:ascii="Arial" w:eastAsiaTheme="minorHAnsi" w:hAnsi="Arial" w:cs="Arial"/>
                <w:color w:val="auto"/>
                <w:sz w:val="18"/>
                <w:szCs w:val="18"/>
              </w:rPr>
            </w:pPr>
            <w:r w:rsidRPr="00091CA7">
              <w:rPr>
                <w:rFonts w:ascii="Arial" w:eastAsiaTheme="minorHAnsi" w:hAnsi="Arial" w:cs="Arial"/>
                <w:color w:val="auto"/>
                <w:sz w:val="18"/>
                <w:szCs w:val="18"/>
              </w:rPr>
              <w:t>**. Correlation is significant at the 0.01 level (2-tailed).</w:t>
            </w:r>
          </w:p>
        </w:tc>
      </w:tr>
    </w:tbl>
    <w:p w14:paraId="07BD644A" w14:textId="77777777" w:rsidR="0040626D" w:rsidRDefault="0040626D" w:rsidP="007B3AE1">
      <w:pPr>
        <w:spacing w:before="0" w:line="240" w:lineRule="auto"/>
        <w:rPr>
          <w:b/>
          <w:bCs/>
          <w:color w:val="000000" w:themeColor="text1"/>
          <w:sz w:val="28"/>
          <w:szCs w:val="24"/>
        </w:rPr>
      </w:pPr>
    </w:p>
    <w:p w14:paraId="2663F6E2" w14:textId="77777777" w:rsidR="0040626D" w:rsidRDefault="0040626D" w:rsidP="007B3AE1">
      <w:pPr>
        <w:spacing w:before="0" w:line="240" w:lineRule="auto"/>
        <w:rPr>
          <w:b/>
          <w:bCs/>
          <w:color w:val="000000" w:themeColor="text1"/>
          <w:sz w:val="28"/>
          <w:szCs w:val="24"/>
        </w:rPr>
      </w:pPr>
    </w:p>
    <w:p w14:paraId="642B9EB5" w14:textId="673E0E5B" w:rsidR="0040626D" w:rsidRDefault="0040626D" w:rsidP="007B3AE1">
      <w:pPr>
        <w:spacing w:before="0" w:line="240" w:lineRule="auto"/>
        <w:rPr>
          <w:b/>
          <w:bCs/>
          <w:color w:val="000000" w:themeColor="text1"/>
          <w:sz w:val="28"/>
          <w:szCs w:val="24"/>
        </w:rPr>
      </w:pPr>
      <w:r w:rsidRPr="0040626D">
        <w:rPr>
          <w:b/>
          <w:bCs/>
          <w:color w:val="000000" w:themeColor="text1"/>
          <w:sz w:val="28"/>
          <w:szCs w:val="24"/>
        </w:rPr>
        <w:t>Regression Model Summary</w:t>
      </w:r>
    </w:p>
    <w:p w14:paraId="23A0DA99" w14:textId="45A6D089" w:rsidR="0040626D" w:rsidRDefault="0040626D" w:rsidP="0040626D">
      <w:pPr>
        <w:spacing w:line="240" w:lineRule="auto"/>
      </w:pPr>
      <w:r w:rsidRPr="0040626D">
        <w:t>An R value of 0.839 was obtained from the model, suggesting that the dependent variable was closely linked with the independent variables. The R² value of 0.704 revealed that 70.4% of the variation in the dependent variable was explained by the model. Affirm that the model is an appropriate fit for the study</w:t>
      </w:r>
      <w:r>
        <w:t>.</w:t>
      </w:r>
    </w:p>
    <w:p w14:paraId="20D43555" w14:textId="65B94908" w:rsidR="00DF2A42" w:rsidRDefault="00DF2A42" w:rsidP="00DF2A42">
      <w:pPr>
        <w:spacing w:before="0" w:line="240" w:lineRule="auto"/>
        <w:rPr>
          <w:b/>
          <w:bCs/>
          <w:i/>
          <w:iCs/>
        </w:rPr>
      </w:pPr>
      <w:r w:rsidRPr="00711AB4">
        <w:rPr>
          <w:b/>
          <w:bCs/>
          <w:i/>
          <w:iCs/>
        </w:rPr>
        <w:t xml:space="preserve">Table </w:t>
      </w:r>
      <w:r>
        <w:rPr>
          <w:b/>
          <w:bCs/>
          <w:i/>
          <w:iCs/>
        </w:rPr>
        <w:t>8</w:t>
      </w:r>
      <w:r w:rsidRPr="00711AB4">
        <w:rPr>
          <w:b/>
          <w:bCs/>
          <w:i/>
          <w:iCs/>
        </w:rPr>
        <w:t xml:space="preserve">: </w:t>
      </w:r>
      <w:r w:rsidRPr="00DF2A42">
        <w:rPr>
          <w:b/>
          <w:bCs/>
          <w:i/>
          <w:iCs/>
        </w:rPr>
        <w:t>Model Summary</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7"/>
        <w:gridCol w:w="1246"/>
        <w:gridCol w:w="1321"/>
        <w:gridCol w:w="1788"/>
        <w:gridCol w:w="1788"/>
        <w:gridCol w:w="1790"/>
      </w:tblGrid>
      <w:tr w:rsidR="0040626D" w:rsidRPr="00053BA5" w14:paraId="66E3F7BA" w14:textId="77777777" w:rsidTr="0062367B">
        <w:trPr>
          <w:cantSplit/>
          <w:trHeight w:val="377"/>
        </w:trPr>
        <w:tc>
          <w:tcPr>
            <w:tcW w:w="8900" w:type="dxa"/>
            <w:gridSpan w:val="6"/>
            <w:shd w:val="clear" w:color="auto" w:fill="FFFFFF"/>
            <w:vAlign w:val="center"/>
          </w:tcPr>
          <w:p w14:paraId="0D3C8C6D"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b/>
                <w:bCs/>
                <w:color w:val="auto"/>
                <w:sz w:val="22"/>
              </w:rPr>
              <w:t xml:space="preserve">Model </w:t>
            </w:r>
            <w:proofErr w:type="spellStart"/>
            <w:r w:rsidRPr="00053BA5">
              <w:rPr>
                <w:rFonts w:eastAsiaTheme="minorHAnsi"/>
                <w:b/>
                <w:bCs/>
                <w:color w:val="auto"/>
                <w:sz w:val="22"/>
              </w:rPr>
              <w:t>Summary</w:t>
            </w:r>
            <w:r w:rsidRPr="00053BA5">
              <w:rPr>
                <w:rFonts w:eastAsiaTheme="minorHAnsi"/>
                <w:b/>
                <w:bCs/>
                <w:color w:val="auto"/>
                <w:sz w:val="22"/>
                <w:vertAlign w:val="superscript"/>
              </w:rPr>
              <w:t>b</w:t>
            </w:r>
            <w:proofErr w:type="spellEnd"/>
          </w:p>
        </w:tc>
      </w:tr>
      <w:tr w:rsidR="0040626D" w:rsidRPr="00053BA5" w14:paraId="351206F8" w14:textId="77777777" w:rsidTr="0062367B">
        <w:trPr>
          <w:cantSplit/>
          <w:trHeight w:val="754"/>
        </w:trPr>
        <w:tc>
          <w:tcPr>
            <w:tcW w:w="967" w:type="dxa"/>
            <w:vAlign w:val="bottom"/>
          </w:tcPr>
          <w:p w14:paraId="52A39B5F"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Model</w:t>
            </w:r>
          </w:p>
        </w:tc>
        <w:tc>
          <w:tcPr>
            <w:tcW w:w="1246" w:type="dxa"/>
            <w:shd w:val="clear" w:color="auto" w:fill="FFFFFF"/>
            <w:vAlign w:val="bottom"/>
          </w:tcPr>
          <w:p w14:paraId="698C6E91"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w:t>
            </w:r>
          </w:p>
        </w:tc>
        <w:tc>
          <w:tcPr>
            <w:tcW w:w="1321" w:type="dxa"/>
            <w:shd w:val="clear" w:color="auto" w:fill="FFFFFF"/>
            <w:vAlign w:val="bottom"/>
          </w:tcPr>
          <w:p w14:paraId="4B7A8F76"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R Square</w:t>
            </w:r>
          </w:p>
        </w:tc>
        <w:tc>
          <w:tcPr>
            <w:tcW w:w="1788" w:type="dxa"/>
            <w:shd w:val="clear" w:color="auto" w:fill="FFFFFF"/>
            <w:vAlign w:val="bottom"/>
          </w:tcPr>
          <w:p w14:paraId="37DE7317"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Adjusted R Square</w:t>
            </w:r>
          </w:p>
        </w:tc>
        <w:tc>
          <w:tcPr>
            <w:tcW w:w="1788" w:type="dxa"/>
            <w:shd w:val="clear" w:color="auto" w:fill="FFFFFF"/>
            <w:vAlign w:val="bottom"/>
          </w:tcPr>
          <w:p w14:paraId="6BF20F4C"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Std. Error of the Estimate</w:t>
            </w:r>
          </w:p>
        </w:tc>
        <w:tc>
          <w:tcPr>
            <w:tcW w:w="1790" w:type="dxa"/>
            <w:shd w:val="clear" w:color="auto" w:fill="FFFFFF"/>
            <w:vAlign w:val="bottom"/>
          </w:tcPr>
          <w:p w14:paraId="4041BD90" w14:textId="77777777" w:rsidR="0040626D" w:rsidRPr="00053BA5" w:rsidRDefault="0040626D" w:rsidP="0040626D">
            <w:pPr>
              <w:autoSpaceDE w:val="0"/>
              <w:autoSpaceDN w:val="0"/>
              <w:adjustRightInd w:val="0"/>
              <w:spacing w:before="0" w:line="240" w:lineRule="auto"/>
              <w:ind w:left="60" w:right="60"/>
              <w:jc w:val="center"/>
              <w:rPr>
                <w:rFonts w:eastAsiaTheme="minorHAnsi"/>
                <w:color w:val="auto"/>
                <w:sz w:val="22"/>
              </w:rPr>
            </w:pPr>
            <w:r w:rsidRPr="00053BA5">
              <w:rPr>
                <w:rFonts w:eastAsiaTheme="minorHAnsi"/>
                <w:color w:val="auto"/>
                <w:sz w:val="22"/>
              </w:rPr>
              <w:t>Durbin-Watson</w:t>
            </w:r>
          </w:p>
        </w:tc>
      </w:tr>
      <w:tr w:rsidR="0040626D" w:rsidRPr="00053BA5" w14:paraId="46D73537" w14:textId="77777777" w:rsidTr="0062367B">
        <w:trPr>
          <w:cantSplit/>
          <w:trHeight w:val="377"/>
        </w:trPr>
        <w:tc>
          <w:tcPr>
            <w:tcW w:w="967" w:type="dxa"/>
            <w:tcBorders>
              <w:bottom w:val="single" w:sz="4" w:space="0" w:color="auto"/>
            </w:tcBorders>
          </w:tcPr>
          <w:p w14:paraId="0FA220C7" w14:textId="77777777" w:rsidR="0040626D" w:rsidRPr="00053BA5" w:rsidRDefault="0040626D" w:rsidP="0040626D">
            <w:pPr>
              <w:autoSpaceDE w:val="0"/>
              <w:autoSpaceDN w:val="0"/>
              <w:adjustRightInd w:val="0"/>
              <w:spacing w:before="0" w:line="240" w:lineRule="auto"/>
              <w:ind w:left="60" w:right="60"/>
              <w:jc w:val="left"/>
              <w:rPr>
                <w:rFonts w:eastAsiaTheme="minorHAnsi"/>
                <w:color w:val="auto"/>
                <w:sz w:val="22"/>
              </w:rPr>
            </w:pPr>
            <w:r w:rsidRPr="00053BA5">
              <w:rPr>
                <w:rFonts w:eastAsiaTheme="minorHAnsi"/>
                <w:color w:val="auto"/>
                <w:sz w:val="22"/>
              </w:rPr>
              <w:t>1</w:t>
            </w:r>
          </w:p>
        </w:tc>
        <w:tc>
          <w:tcPr>
            <w:tcW w:w="1246" w:type="dxa"/>
            <w:tcBorders>
              <w:bottom w:val="single" w:sz="4" w:space="0" w:color="auto"/>
            </w:tcBorders>
            <w:shd w:val="clear" w:color="auto" w:fill="FFFFFF"/>
          </w:tcPr>
          <w:p w14:paraId="59D02D1C"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.839</w:t>
            </w:r>
            <w:r w:rsidRPr="00053BA5">
              <w:rPr>
                <w:rFonts w:eastAsiaTheme="minorHAnsi"/>
                <w:color w:val="auto"/>
                <w:sz w:val="22"/>
                <w:vertAlign w:val="superscript"/>
              </w:rPr>
              <w:t>a</w:t>
            </w:r>
          </w:p>
        </w:tc>
        <w:tc>
          <w:tcPr>
            <w:tcW w:w="1321" w:type="dxa"/>
            <w:tcBorders>
              <w:bottom w:val="single" w:sz="4" w:space="0" w:color="auto"/>
            </w:tcBorders>
            <w:shd w:val="clear" w:color="auto" w:fill="FFFFFF"/>
          </w:tcPr>
          <w:p w14:paraId="225F7B9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.704</w:t>
            </w:r>
          </w:p>
        </w:tc>
        <w:tc>
          <w:tcPr>
            <w:tcW w:w="1788" w:type="dxa"/>
            <w:tcBorders>
              <w:bottom w:val="single" w:sz="4" w:space="0" w:color="auto"/>
            </w:tcBorders>
            <w:shd w:val="clear" w:color="auto" w:fill="FFFFFF"/>
          </w:tcPr>
          <w:p w14:paraId="44142ED6"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.691</w:t>
            </w:r>
          </w:p>
        </w:tc>
        <w:tc>
          <w:tcPr>
            <w:tcW w:w="1788" w:type="dxa"/>
            <w:tcBorders>
              <w:bottom w:val="single" w:sz="4" w:space="0" w:color="auto"/>
            </w:tcBorders>
            <w:shd w:val="clear" w:color="auto" w:fill="FFFFFF"/>
          </w:tcPr>
          <w:p w14:paraId="5555945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.55544381</w:t>
            </w:r>
          </w:p>
        </w:tc>
        <w:tc>
          <w:tcPr>
            <w:tcW w:w="1790" w:type="dxa"/>
            <w:tcBorders>
              <w:bottom w:val="single" w:sz="4" w:space="0" w:color="auto"/>
            </w:tcBorders>
            <w:shd w:val="clear" w:color="auto" w:fill="FFFFFF"/>
          </w:tcPr>
          <w:p w14:paraId="4F27D9B1" w14:textId="77777777" w:rsidR="0040626D" w:rsidRPr="00053BA5" w:rsidRDefault="0040626D" w:rsidP="0040626D">
            <w:pPr>
              <w:autoSpaceDE w:val="0"/>
              <w:autoSpaceDN w:val="0"/>
              <w:adjustRightInd w:val="0"/>
              <w:spacing w:before="0" w:line="240" w:lineRule="auto"/>
              <w:ind w:left="60" w:right="60"/>
              <w:jc w:val="right"/>
              <w:rPr>
                <w:rFonts w:eastAsiaTheme="minorHAnsi"/>
                <w:color w:val="auto"/>
                <w:sz w:val="22"/>
              </w:rPr>
            </w:pPr>
            <w:r w:rsidRPr="00053BA5">
              <w:rPr>
                <w:rFonts w:eastAsiaTheme="minorHAnsi"/>
                <w:color w:val="auto"/>
                <w:sz w:val="22"/>
              </w:rPr>
              <w:t>1.684</w:t>
            </w:r>
          </w:p>
        </w:tc>
      </w:tr>
    </w:tbl>
    <w:p w14:paraId="6C43AFD3" w14:textId="77777777" w:rsidR="0040626D" w:rsidRDefault="0040626D" w:rsidP="007B3AE1">
      <w:pPr>
        <w:spacing w:before="0" w:line="240" w:lineRule="auto"/>
        <w:rPr>
          <w:b/>
          <w:bCs/>
          <w:color w:val="000000" w:themeColor="text1"/>
          <w:sz w:val="28"/>
          <w:szCs w:val="24"/>
        </w:rPr>
      </w:pPr>
    </w:p>
    <w:p w14:paraId="0F66301C" w14:textId="77777777" w:rsidR="0040626D" w:rsidRPr="0040626D" w:rsidRDefault="0040626D" w:rsidP="0040626D">
      <w:pPr>
        <w:rPr>
          <w:b/>
          <w:bCs/>
        </w:rPr>
      </w:pPr>
      <w:r w:rsidRPr="0040626D">
        <w:rPr>
          <w:b/>
          <w:bCs/>
        </w:rPr>
        <w:t>ANOVA</w:t>
      </w:r>
    </w:p>
    <w:p w14:paraId="5E506442" w14:textId="398E8000" w:rsidR="0040626D" w:rsidRDefault="0040626D" w:rsidP="0040626D">
      <w:pPr>
        <w:autoSpaceDE w:val="0"/>
        <w:autoSpaceDN w:val="0"/>
        <w:adjustRightInd w:val="0"/>
        <w:spacing w:line="240" w:lineRule="auto"/>
        <w:jc w:val="left"/>
        <w:rPr>
          <w:rFonts w:eastAsiaTheme="minorHAnsi"/>
          <w:color w:val="auto"/>
          <w:szCs w:val="24"/>
        </w:rPr>
      </w:pPr>
      <w:r w:rsidRPr="0040626D">
        <w:rPr>
          <w:rFonts w:eastAsiaTheme="minorHAnsi"/>
          <w:color w:val="auto"/>
          <w:szCs w:val="24"/>
        </w:rPr>
        <w:t xml:space="preserve">The ANOVA results confirmed the regression model’s statistical validity and strong predictive power (F = 56.472, p &lt; 0.05). The regression mean square (17.423) exceeded the residual mean square (0.309), producing a large F-value and a highly significant p-value. These findings indicate that the tax policy variables collectively had a </w:t>
      </w:r>
      <w:r w:rsidRPr="0040626D">
        <w:rPr>
          <w:rFonts w:eastAsiaTheme="minorHAnsi"/>
          <w:color w:val="auto"/>
          <w:szCs w:val="24"/>
        </w:rPr>
        <w:lastRenderedPageBreak/>
        <w:t>significant effect on financial performance, demonstrating that the model effectively explained variations in the dependent variable.</w:t>
      </w:r>
    </w:p>
    <w:p w14:paraId="25F4EA67" w14:textId="77777777" w:rsidR="00DF2A42" w:rsidRDefault="00DF2A42" w:rsidP="00DF2A42">
      <w:pPr>
        <w:spacing w:before="0" w:line="240" w:lineRule="auto"/>
        <w:rPr>
          <w:b/>
          <w:bCs/>
          <w:i/>
          <w:iCs/>
        </w:rPr>
      </w:pPr>
    </w:p>
    <w:p w14:paraId="604B61B3" w14:textId="61B2DDD4" w:rsidR="00DF2A42" w:rsidRDefault="00DF2A42" w:rsidP="00DF2A42">
      <w:pPr>
        <w:spacing w:before="0" w:line="240" w:lineRule="auto"/>
        <w:rPr>
          <w:b/>
          <w:bCs/>
          <w:i/>
          <w:iCs/>
        </w:rPr>
      </w:pPr>
      <w:r w:rsidRPr="00711AB4">
        <w:rPr>
          <w:b/>
          <w:bCs/>
          <w:i/>
          <w:iCs/>
        </w:rPr>
        <w:t xml:space="preserve">Table </w:t>
      </w:r>
      <w:r>
        <w:rPr>
          <w:b/>
          <w:bCs/>
          <w:i/>
          <w:iCs/>
        </w:rPr>
        <w:t>9</w:t>
      </w:r>
      <w:r w:rsidRPr="00711AB4">
        <w:rPr>
          <w:b/>
          <w:bCs/>
          <w:i/>
          <w:iCs/>
        </w:rPr>
        <w:t xml:space="preserve">: </w:t>
      </w:r>
      <w:r w:rsidRPr="00DF2A42">
        <w:rPr>
          <w:b/>
          <w:bCs/>
          <w:i/>
          <w:iCs/>
        </w:rPr>
        <w:t>ANOVA</w:t>
      </w:r>
    </w:p>
    <w:p w14:paraId="686AB269" w14:textId="77777777" w:rsidR="00DF2A42" w:rsidRPr="00DF2A42" w:rsidRDefault="00DF2A42" w:rsidP="0040626D">
      <w:pPr>
        <w:autoSpaceDE w:val="0"/>
        <w:autoSpaceDN w:val="0"/>
        <w:adjustRightInd w:val="0"/>
        <w:spacing w:line="240" w:lineRule="auto"/>
        <w:jc w:val="left"/>
        <w:rPr>
          <w:rFonts w:eastAsiaTheme="minorHAnsi"/>
          <w:b/>
          <w:bCs/>
          <w:color w:val="auto"/>
          <w:szCs w:val="24"/>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1426"/>
        <w:gridCol w:w="1631"/>
        <w:gridCol w:w="1138"/>
        <w:gridCol w:w="1564"/>
        <w:gridCol w:w="1138"/>
        <w:gridCol w:w="1141"/>
      </w:tblGrid>
      <w:tr w:rsidR="0040626D" w:rsidRPr="005F3F4F" w14:paraId="56A002E3" w14:textId="77777777" w:rsidTr="0062367B">
        <w:trPr>
          <w:cantSplit/>
          <w:trHeight w:val="320"/>
        </w:trPr>
        <w:tc>
          <w:tcPr>
            <w:tcW w:w="8852" w:type="dxa"/>
            <w:gridSpan w:val="7"/>
            <w:shd w:val="clear" w:color="auto" w:fill="FFFFFF"/>
            <w:vAlign w:val="center"/>
          </w:tcPr>
          <w:p w14:paraId="4D2319C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proofErr w:type="spellStart"/>
            <w:r w:rsidRPr="005F3F4F">
              <w:rPr>
                <w:rFonts w:eastAsiaTheme="minorHAnsi"/>
                <w:b/>
                <w:bCs/>
                <w:color w:val="auto"/>
                <w:sz w:val="22"/>
              </w:rPr>
              <w:t>ANOVA</w:t>
            </w:r>
            <w:r w:rsidRPr="005F3F4F">
              <w:rPr>
                <w:rFonts w:eastAsiaTheme="minorHAnsi"/>
                <w:b/>
                <w:bCs/>
                <w:color w:val="auto"/>
                <w:sz w:val="22"/>
                <w:vertAlign w:val="superscript"/>
              </w:rPr>
              <w:t>a</w:t>
            </w:r>
            <w:proofErr w:type="spellEnd"/>
          </w:p>
        </w:tc>
      </w:tr>
      <w:tr w:rsidR="0040626D" w:rsidRPr="005F3F4F" w14:paraId="1F417796" w14:textId="77777777" w:rsidTr="0062367B">
        <w:trPr>
          <w:cantSplit/>
          <w:trHeight w:val="640"/>
        </w:trPr>
        <w:tc>
          <w:tcPr>
            <w:tcW w:w="2240" w:type="dxa"/>
            <w:gridSpan w:val="2"/>
            <w:shd w:val="clear" w:color="auto" w:fill="FFFFFF"/>
            <w:vAlign w:val="bottom"/>
          </w:tcPr>
          <w:p w14:paraId="539BAF62"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Model</w:t>
            </w:r>
          </w:p>
        </w:tc>
        <w:tc>
          <w:tcPr>
            <w:tcW w:w="1631" w:type="dxa"/>
            <w:tcBorders>
              <w:bottom w:val="single" w:sz="4" w:space="0" w:color="auto"/>
            </w:tcBorders>
            <w:shd w:val="clear" w:color="auto" w:fill="FFFFFF"/>
            <w:vAlign w:val="bottom"/>
          </w:tcPr>
          <w:p w14:paraId="16A4122E"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Sum of Squares</w:t>
            </w:r>
          </w:p>
        </w:tc>
        <w:tc>
          <w:tcPr>
            <w:tcW w:w="1138" w:type="dxa"/>
            <w:tcBorders>
              <w:bottom w:val="single" w:sz="4" w:space="0" w:color="auto"/>
            </w:tcBorders>
            <w:shd w:val="clear" w:color="auto" w:fill="FFFFFF"/>
            <w:vAlign w:val="bottom"/>
          </w:tcPr>
          <w:p w14:paraId="2F5A1E71"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proofErr w:type="spellStart"/>
            <w:r w:rsidRPr="005F3F4F">
              <w:rPr>
                <w:rFonts w:eastAsiaTheme="minorHAnsi"/>
                <w:color w:val="auto"/>
                <w:sz w:val="22"/>
              </w:rPr>
              <w:t>df</w:t>
            </w:r>
            <w:proofErr w:type="spellEnd"/>
          </w:p>
        </w:tc>
        <w:tc>
          <w:tcPr>
            <w:tcW w:w="1564" w:type="dxa"/>
            <w:tcBorders>
              <w:bottom w:val="single" w:sz="4" w:space="0" w:color="auto"/>
            </w:tcBorders>
            <w:shd w:val="clear" w:color="auto" w:fill="FFFFFF"/>
            <w:vAlign w:val="bottom"/>
          </w:tcPr>
          <w:p w14:paraId="2F4EA394"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Mean Square</w:t>
            </w:r>
          </w:p>
        </w:tc>
        <w:tc>
          <w:tcPr>
            <w:tcW w:w="1138" w:type="dxa"/>
            <w:tcBorders>
              <w:bottom w:val="single" w:sz="4" w:space="0" w:color="auto"/>
            </w:tcBorders>
            <w:shd w:val="clear" w:color="auto" w:fill="FFFFFF"/>
            <w:vAlign w:val="bottom"/>
          </w:tcPr>
          <w:p w14:paraId="76E62606"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F</w:t>
            </w:r>
          </w:p>
        </w:tc>
        <w:tc>
          <w:tcPr>
            <w:tcW w:w="1141" w:type="dxa"/>
            <w:tcBorders>
              <w:bottom w:val="single" w:sz="4" w:space="0" w:color="auto"/>
            </w:tcBorders>
            <w:shd w:val="clear" w:color="auto" w:fill="FFFFFF"/>
            <w:vAlign w:val="bottom"/>
          </w:tcPr>
          <w:p w14:paraId="764DBC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Sig.</w:t>
            </w:r>
          </w:p>
        </w:tc>
      </w:tr>
      <w:tr w:rsidR="0040626D" w:rsidRPr="005F3F4F" w14:paraId="698787EA" w14:textId="77777777" w:rsidTr="0062367B">
        <w:trPr>
          <w:cantSplit/>
          <w:trHeight w:val="320"/>
        </w:trPr>
        <w:tc>
          <w:tcPr>
            <w:tcW w:w="814" w:type="dxa"/>
            <w:vMerge w:val="restart"/>
          </w:tcPr>
          <w:p w14:paraId="2D9589F0"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1</w:t>
            </w:r>
          </w:p>
        </w:tc>
        <w:tc>
          <w:tcPr>
            <w:tcW w:w="1426" w:type="dxa"/>
            <w:tcBorders>
              <w:right w:val="single" w:sz="4" w:space="0" w:color="auto"/>
            </w:tcBorders>
          </w:tcPr>
          <w:p w14:paraId="5CD98ADC"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Regression</w:t>
            </w:r>
          </w:p>
        </w:tc>
        <w:tc>
          <w:tcPr>
            <w:tcW w:w="1631" w:type="dxa"/>
            <w:tcBorders>
              <w:top w:val="single" w:sz="4" w:space="0" w:color="auto"/>
              <w:left w:val="single" w:sz="4" w:space="0" w:color="auto"/>
              <w:bottom w:val="nil"/>
              <w:right w:val="nil"/>
            </w:tcBorders>
            <w:shd w:val="clear" w:color="auto" w:fill="FFFFFF"/>
          </w:tcPr>
          <w:p w14:paraId="20B10F7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69.691</w:t>
            </w:r>
          </w:p>
        </w:tc>
        <w:tc>
          <w:tcPr>
            <w:tcW w:w="1138" w:type="dxa"/>
            <w:tcBorders>
              <w:top w:val="single" w:sz="4" w:space="0" w:color="auto"/>
              <w:left w:val="nil"/>
              <w:bottom w:val="nil"/>
              <w:right w:val="nil"/>
            </w:tcBorders>
            <w:shd w:val="clear" w:color="auto" w:fill="FFFFFF"/>
          </w:tcPr>
          <w:p w14:paraId="43ABE1A9"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4</w:t>
            </w:r>
          </w:p>
        </w:tc>
        <w:tc>
          <w:tcPr>
            <w:tcW w:w="1564" w:type="dxa"/>
            <w:tcBorders>
              <w:top w:val="single" w:sz="4" w:space="0" w:color="auto"/>
              <w:left w:val="nil"/>
              <w:bottom w:val="nil"/>
              <w:right w:val="nil"/>
            </w:tcBorders>
            <w:shd w:val="clear" w:color="auto" w:fill="FFFFFF"/>
          </w:tcPr>
          <w:p w14:paraId="33FCF387"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17.423</w:t>
            </w:r>
          </w:p>
        </w:tc>
        <w:tc>
          <w:tcPr>
            <w:tcW w:w="1138" w:type="dxa"/>
            <w:tcBorders>
              <w:top w:val="single" w:sz="4" w:space="0" w:color="auto"/>
              <w:left w:val="nil"/>
              <w:bottom w:val="nil"/>
              <w:right w:val="nil"/>
            </w:tcBorders>
            <w:shd w:val="clear" w:color="auto" w:fill="FFFFFF"/>
          </w:tcPr>
          <w:p w14:paraId="0A17417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56.472</w:t>
            </w:r>
          </w:p>
        </w:tc>
        <w:tc>
          <w:tcPr>
            <w:tcW w:w="1141" w:type="dxa"/>
            <w:tcBorders>
              <w:top w:val="single" w:sz="4" w:space="0" w:color="auto"/>
              <w:left w:val="nil"/>
              <w:bottom w:val="nil"/>
              <w:right w:val="single" w:sz="4" w:space="0" w:color="auto"/>
            </w:tcBorders>
            <w:shd w:val="clear" w:color="auto" w:fill="FFFFFF"/>
          </w:tcPr>
          <w:p w14:paraId="39360C6D"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.000</w:t>
            </w:r>
            <w:r w:rsidRPr="005F3F4F">
              <w:rPr>
                <w:rFonts w:eastAsiaTheme="minorHAnsi"/>
                <w:color w:val="auto"/>
                <w:sz w:val="22"/>
                <w:vertAlign w:val="superscript"/>
              </w:rPr>
              <w:t>b</w:t>
            </w:r>
          </w:p>
        </w:tc>
      </w:tr>
      <w:tr w:rsidR="0040626D" w:rsidRPr="005F3F4F" w14:paraId="3AD1C55D" w14:textId="77777777" w:rsidTr="0062367B">
        <w:trPr>
          <w:cantSplit/>
          <w:trHeight w:val="335"/>
        </w:trPr>
        <w:tc>
          <w:tcPr>
            <w:tcW w:w="814" w:type="dxa"/>
            <w:vMerge/>
          </w:tcPr>
          <w:p w14:paraId="0F75FF71"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right w:val="single" w:sz="4" w:space="0" w:color="auto"/>
            </w:tcBorders>
          </w:tcPr>
          <w:p w14:paraId="3CD546F3"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Residual</w:t>
            </w:r>
          </w:p>
        </w:tc>
        <w:tc>
          <w:tcPr>
            <w:tcW w:w="1631" w:type="dxa"/>
            <w:tcBorders>
              <w:top w:val="nil"/>
              <w:left w:val="single" w:sz="4" w:space="0" w:color="auto"/>
              <w:bottom w:val="nil"/>
              <w:right w:val="nil"/>
            </w:tcBorders>
            <w:shd w:val="clear" w:color="auto" w:fill="FFFFFF"/>
          </w:tcPr>
          <w:p w14:paraId="5D0FBB42"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29.309</w:t>
            </w:r>
          </w:p>
        </w:tc>
        <w:tc>
          <w:tcPr>
            <w:tcW w:w="1138" w:type="dxa"/>
            <w:tcBorders>
              <w:top w:val="nil"/>
              <w:left w:val="nil"/>
              <w:bottom w:val="nil"/>
              <w:right w:val="nil"/>
            </w:tcBorders>
            <w:shd w:val="clear" w:color="auto" w:fill="FFFFFF"/>
          </w:tcPr>
          <w:p w14:paraId="3F8FAACB"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95</w:t>
            </w:r>
          </w:p>
        </w:tc>
        <w:tc>
          <w:tcPr>
            <w:tcW w:w="1564" w:type="dxa"/>
            <w:tcBorders>
              <w:top w:val="nil"/>
              <w:left w:val="nil"/>
              <w:bottom w:val="nil"/>
              <w:right w:val="nil"/>
            </w:tcBorders>
            <w:shd w:val="clear" w:color="auto" w:fill="FFFFFF"/>
          </w:tcPr>
          <w:p w14:paraId="05980318"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.309</w:t>
            </w:r>
          </w:p>
        </w:tc>
        <w:tc>
          <w:tcPr>
            <w:tcW w:w="1138" w:type="dxa"/>
            <w:tcBorders>
              <w:top w:val="nil"/>
              <w:left w:val="nil"/>
              <w:bottom w:val="nil"/>
              <w:right w:val="nil"/>
            </w:tcBorders>
            <w:shd w:val="clear" w:color="auto" w:fill="FFFFFF"/>
            <w:vAlign w:val="center"/>
          </w:tcPr>
          <w:p w14:paraId="33BB5EED"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nil"/>
              <w:right w:val="single" w:sz="4" w:space="0" w:color="auto"/>
            </w:tcBorders>
            <w:shd w:val="clear" w:color="auto" w:fill="FFFFFF"/>
            <w:vAlign w:val="center"/>
          </w:tcPr>
          <w:p w14:paraId="36356E35"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r w:rsidR="0040626D" w:rsidRPr="005F3F4F" w14:paraId="6389765D" w14:textId="77777777" w:rsidTr="0062367B">
        <w:trPr>
          <w:cantSplit/>
          <w:trHeight w:val="335"/>
        </w:trPr>
        <w:tc>
          <w:tcPr>
            <w:tcW w:w="814" w:type="dxa"/>
            <w:vMerge/>
            <w:tcBorders>
              <w:bottom w:val="single" w:sz="4" w:space="0" w:color="auto"/>
            </w:tcBorders>
          </w:tcPr>
          <w:p w14:paraId="1C8D6006" w14:textId="77777777" w:rsidR="0040626D" w:rsidRPr="005F3F4F" w:rsidRDefault="0040626D" w:rsidP="0062367B">
            <w:pPr>
              <w:autoSpaceDE w:val="0"/>
              <w:autoSpaceDN w:val="0"/>
              <w:adjustRightInd w:val="0"/>
              <w:spacing w:line="240" w:lineRule="auto"/>
              <w:jc w:val="left"/>
              <w:rPr>
                <w:rFonts w:eastAsiaTheme="minorHAnsi"/>
                <w:color w:val="auto"/>
                <w:sz w:val="22"/>
              </w:rPr>
            </w:pPr>
          </w:p>
        </w:tc>
        <w:tc>
          <w:tcPr>
            <w:tcW w:w="1426" w:type="dxa"/>
            <w:tcBorders>
              <w:bottom w:val="single" w:sz="4" w:space="0" w:color="auto"/>
              <w:right w:val="single" w:sz="4" w:space="0" w:color="auto"/>
            </w:tcBorders>
          </w:tcPr>
          <w:p w14:paraId="76A9747B" w14:textId="77777777" w:rsidR="0040626D" w:rsidRPr="005F3F4F" w:rsidRDefault="0040626D" w:rsidP="0062367B">
            <w:pPr>
              <w:autoSpaceDE w:val="0"/>
              <w:autoSpaceDN w:val="0"/>
              <w:adjustRightInd w:val="0"/>
              <w:spacing w:line="320" w:lineRule="atLeast"/>
              <w:ind w:left="60" w:right="60"/>
              <w:jc w:val="left"/>
              <w:rPr>
                <w:rFonts w:eastAsiaTheme="minorHAnsi"/>
                <w:color w:val="auto"/>
                <w:sz w:val="22"/>
              </w:rPr>
            </w:pPr>
            <w:r w:rsidRPr="005F3F4F">
              <w:rPr>
                <w:rFonts w:eastAsiaTheme="minorHAnsi"/>
                <w:color w:val="auto"/>
                <w:sz w:val="22"/>
              </w:rPr>
              <w:t>Total</w:t>
            </w:r>
          </w:p>
        </w:tc>
        <w:tc>
          <w:tcPr>
            <w:tcW w:w="1631" w:type="dxa"/>
            <w:tcBorders>
              <w:top w:val="nil"/>
              <w:left w:val="single" w:sz="4" w:space="0" w:color="auto"/>
              <w:bottom w:val="single" w:sz="4" w:space="0" w:color="auto"/>
              <w:right w:val="nil"/>
            </w:tcBorders>
            <w:shd w:val="clear" w:color="auto" w:fill="FFFFFF"/>
          </w:tcPr>
          <w:p w14:paraId="5DE69CA0"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99.000</w:t>
            </w:r>
          </w:p>
        </w:tc>
        <w:tc>
          <w:tcPr>
            <w:tcW w:w="1138" w:type="dxa"/>
            <w:tcBorders>
              <w:top w:val="nil"/>
              <w:left w:val="nil"/>
              <w:bottom w:val="single" w:sz="4" w:space="0" w:color="auto"/>
              <w:right w:val="nil"/>
            </w:tcBorders>
            <w:shd w:val="clear" w:color="auto" w:fill="FFFFFF"/>
          </w:tcPr>
          <w:p w14:paraId="73138F65" w14:textId="77777777" w:rsidR="0040626D" w:rsidRPr="005F3F4F" w:rsidRDefault="0040626D" w:rsidP="0062367B">
            <w:pPr>
              <w:autoSpaceDE w:val="0"/>
              <w:autoSpaceDN w:val="0"/>
              <w:adjustRightInd w:val="0"/>
              <w:spacing w:line="320" w:lineRule="atLeast"/>
              <w:ind w:left="60" w:right="60"/>
              <w:jc w:val="center"/>
              <w:rPr>
                <w:rFonts w:eastAsiaTheme="minorHAnsi"/>
                <w:color w:val="auto"/>
                <w:sz w:val="22"/>
              </w:rPr>
            </w:pPr>
            <w:r w:rsidRPr="005F3F4F">
              <w:rPr>
                <w:rFonts w:eastAsiaTheme="minorHAnsi"/>
                <w:color w:val="auto"/>
                <w:sz w:val="22"/>
              </w:rPr>
              <w:t>99</w:t>
            </w:r>
          </w:p>
        </w:tc>
        <w:tc>
          <w:tcPr>
            <w:tcW w:w="1564" w:type="dxa"/>
            <w:tcBorders>
              <w:top w:val="nil"/>
              <w:left w:val="nil"/>
              <w:bottom w:val="single" w:sz="4" w:space="0" w:color="auto"/>
              <w:right w:val="nil"/>
            </w:tcBorders>
            <w:shd w:val="clear" w:color="auto" w:fill="FFFFFF"/>
            <w:vAlign w:val="center"/>
          </w:tcPr>
          <w:p w14:paraId="50711DC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38" w:type="dxa"/>
            <w:tcBorders>
              <w:top w:val="nil"/>
              <w:left w:val="nil"/>
              <w:bottom w:val="single" w:sz="4" w:space="0" w:color="auto"/>
              <w:right w:val="nil"/>
            </w:tcBorders>
            <w:shd w:val="clear" w:color="auto" w:fill="FFFFFF"/>
            <w:vAlign w:val="center"/>
          </w:tcPr>
          <w:p w14:paraId="1E8F9649"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c>
          <w:tcPr>
            <w:tcW w:w="1141" w:type="dxa"/>
            <w:tcBorders>
              <w:top w:val="nil"/>
              <w:left w:val="nil"/>
              <w:bottom w:val="single" w:sz="4" w:space="0" w:color="auto"/>
              <w:right w:val="single" w:sz="4" w:space="0" w:color="auto"/>
            </w:tcBorders>
            <w:shd w:val="clear" w:color="auto" w:fill="FFFFFF"/>
            <w:vAlign w:val="center"/>
          </w:tcPr>
          <w:p w14:paraId="05853D33" w14:textId="77777777" w:rsidR="0040626D" w:rsidRPr="005F3F4F" w:rsidRDefault="0040626D" w:rsidP="0062367B">
            <w:pPr>
              <w:autoSpaceDE w:val="0"/>
              <w:autoSpaceDN w:val="0"/>
              <w:adjustRightInd w:val="0"/>
              <w:spacing w:line="240" w:lineRule="auto"/>
              <w:jc w:val="center"/>
              <w:rPr>
                <w:rFonts w:eastAsiaTheme="minorHAnsi"/>
                <w:color w:val="auto"/>
                <w:sz w:val="22"/>
              </w:rPr>
            </w:pPr>
          </w:p>
        </w:tc>
      </w:tr>
    </w:tbl>
    <w:p w14:paraId="2B8EA767" w14:textId="080FAAF4" w:rsidR="0040626D" w:rsidRDefault="00766A2F" w:rsidP="0040626D">
      <w:pPr>
        <w:autoSpaceDE w:val="0"/>
        <w:autoSpaceDN w:val="0"/>
        <w:adjustRightInd w:val="0"/>
        <w:spacing w:line="400" w:lineRule="atLeast"/>
        <w:jc w:val="left"/>
        <w:rPr>
          <w:rFonts w:eastAsiaTheme="minorHAnsi"/>
          <w:b/>
          <w:bCs/>
          <w:color w:val="auto"/>
          <w:sz w:val="28"/>
          <w:szCs w:val="28"/>
        </w:rPr>
      </w:pPr>
      <w:r w:rsidRPr="00766A2F">
        <w:rPr>
          <w:rFonts w:eastAsiaTheme="minorHAnsi"/>
          <w:b/>
          <w:bCs/>
          <w:color w:val="auto"/>
          <w:sz w:val="28"/>
          <w:szCs w:val="28"/>
        </w:rPr>
        <w:t xml:space="preserve">Discussion </w:t>
      </w:r>
      <w:bookmarkStart w:id="7" w:name="_GoBack"/>
      <w:bookmarkEnd w:id="7"/>
    </w:p>
    <w:p w14:paraId="1B06CEF8" w14:textId="77777777" w:rsidR="00766A2F" w:rsidRPr="00766A2F" w:rsidRDefault="00766A2F" w:rsidP="00766A2F">
      <w:pPr>
        <w:spacing w:line="240" w:lineRule="auto"/>
      </w:pPr>
      <w:r w:rsidRPr="00766A2F">
        <w:t xml:space="preserve">The study’s findings reveal important relationships between taxation variables and financial performance among Kenyan manufacturing firms. The average return on assets (ROA) stood at 9.7%, suggesting moderate profitability across the sector. Corporate income tax rate (CITR) averaged 2.7%, far below the statutory rate, implying that firms benefit from deductions, exemptions, or incentives. Value-added tax (VAT) averaged 15.14%, reflecting a consistent indirect tax burden, while customs and excise duties (CED) showed wide variation due to </w:t>
      </w:r>
      <w:proofErr w:type="spellStart"/>
      <w:r w:rsidRPr="00766A2F">
        <w:t>sectoral</w:t>
      </w:r>
      <w:proofErr w:type="spellEnd"/>
      <w:r w:rsidRPr="00766A2F">
        <w:t xml:space="preserve"> differences.</w:t>
      </w:r>
    </w:p>
    <w:p w14:paraId="557882D2" w14:textId="77777777" w:rsidR="00766A2F" w:rsidRPr="00766A2F" w:rsidRDefault="00766A2F" w:rsidP="00766A2F">
      <w:pPr>
        <w:spacing w:line="240" w:lineRule="auto"/>
      </w:pPr>
      <w:r w:rsidRPr="00766A2F">
        <w:t>Correlation analysis revealed a strong positive association between CITR and ROA, suggesting that profitable firms tend to bear higher corporate tax obligations, indicating financial strength and resilience. VAT also exhibited a positive relationship with ROA, implying that financially stable firms can absorb and manage indirect tax burdens efficiently. Tax incentives (TI) were weakly and negatively correlated with ROA, possibly because such benefits often target financially constrained firms. Conversely, CED showed a weak positive relationship, indicating that stronger firms sustain profitability despite higher excise obligations.</w:t>
      </w:r>
    </w:p>
    <w:p w14:paraId="710AF145" w14:textId="60020C22" w:rsidR="00766A2F" w:rsidRPr="00766A2F" w:rsidRDefault="00766A2F" w:rsidP="00766A2F">
      <w:pPr>
        <w:spacing w:line="240" w:lineRule="auto"/>
      </w:pPr>
      <w:r w:rsidRPr="00766A2F">
        <w:t xml:space="preserve">Regression results demonstrated that the model explained 70.4% of the variance in financial performance (R² = 0.704). VAT (β = 0.794, p = 0.000), TI (β = 0.203, p = 0.005), and CED (β = 0.264, p = 0.000) had significant positive effects on ROA, whereas CITR (β = 0.034, p = 0.574) was positive but insignificant. These results suggest that efficient VAT management, strategic </w:t>
      </w:r>
      <w:proofErr w:type="spellStart"/>
      <w:r w:rsidR="00DE4ECB" w:rsidRPr="000B4C23">
        <w:rPr>
          <w:highlight w:val="yellow"/>
        </w:rPr>
        <w:t>utilisation</w:t>
      </w:r>
      <w:proofErr w:type="spellEnd"/>
      <w:r w:rsidR="00DE4ECB" w:rsidRPr="00766A2F">
        <w:t xml:space="preserve"> </w:t>
      </w:r>
      <w:r w:rsidRPr="00766A2F">
        <w:t>of tax incentives, and compliance with excise duties enhance firm performance. Overall, the findings indicate that while higher statutory taxes may impose fiscal pressure, effective tax planning, operational efficiency, and compliance enable firms to maintain profitability within Kenya’s manufacturing sector.</w:t>
      </w:r>
    </w:p>
    <w:p w14:paraId="359E84B3" w14:textId="49984D11" w:rsidR="00055D83" w:rsidRPr="007A56B8" w:rsidRDefault="00055D83" w:rsidP="00055D83">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5.0 CONCLUSION</w:t>
      </w:r>
    </w:p>
    <w:p w14:paraId="50F0BC2F" w14:textId="6592E9FC" w:rsidR="00A27439" w:rsidRDefault="00E207BA" w:rsidP="002E784F">
      <w:pPr>
        <w:spacing w:line="240" w:lineRule="auto"/>
        <w:rPr>
          <w:rFonts w:cs="Times New Roman"/>
          <w:color w:val="000000" w:themeColor="text1"/>
          <w:szCs w:val="24"/>
        </w:rPr>
      </w:pPr>
      <w:r w:rsidRPr="00E207BA">
        <w:rPr>
          <w:rFonts w:cs="Times New Roman"/>
          <w:color w:val="000000" w:themeColor="text1"/>
          <w:szCs w:val="24"/>
        </w:rPr>
        <w:t xml:space="preserve">The study concludes that taxation policies significantly influence the financial performance of manufacturing firms in Kenya. </w:t>
      </w:r>
      <w:r w:rsidR="00DE4ECB" w:rsidRPr="000B4C23">
        <w:rPr>
          <w:rFonts w:cs="Times New Roman"/>
          <w:color w:val="000000" w:themeColor="text1"/>
          <w:szCs w:val="24"/>
          <w:highlight w:val="yellow"/>
        </w:rPr>
        <w:t xml:space="preserve">The corporate </w:t>
      </w:r>
      <w:r w:rsidRPr="000B4C23">
        <w:rPr>
          <w:rFonts w:cs="Times New Roman"/>
          <w:color w:val="000000" w:themeColor="text1"/>
          <w:szCs w:val="24"/>
          <w:highlight w:val="yellow"/>
        </w:rPr>
        <w:t>income</w:t>
      </w:r>
      <w:r w:rsidRPr="00E207BA">
        <w:rPr>
          <w:rFonts w:cs="Times New Roman"/>
          <w:color w:val="000000" w:themeColor="text1"/>
          <w:szCs w:val="24"/>
        </w:rPr>
        <w:t xml:space="preserve"> tax rate had a positive but insignificant </w:t>
      </w:r>
      <w:proofErr w:type="gramStart"/>
      <w:r w:rsidRPr="00E207BA">
        <w:rPr>
          <w:rFonts w:cs="Times New Roman"/>
          <w:color w:val="000000" w:themeColor="text1"/>
          <w:szCs w:val="24"/>
        </w:rPr>
        <w:t>effect,</w:t>
      </w:r>
      <w:proofErr w:type="gramEnd"/>
      <w:r w:rsidRPr="00E207BA">
        <w:rPr>
          <w:rFonts w:cs="Times New Roman"/>
          <w:color w:val="000000" w:themeColor="text1"/>
          <w:szCs w:val="24"/>
        </w:rPr>
        <w:t xml:space="preserve"> implying firms offset tax burdens through efficiency and reinvestment. Value-added tax, tax incentives, and customs and excise duties showed strong positive and significant effects, demonstrating that well-managed tax obligations enhance liquidity, competitiveness, and growth. These findings suggest that a balanced tax framework</w:t>
      </w:r>
      <w:r>
        <w:rPr>
          <w:rFonts w:cs="Times New Roman"/>
          <w:color w:val="000000" w:themeColor="text1"/>
          <w:szCs w:val="24"/>
        </w:rPr>
        <w:t xml:space="preserve"> </w:t>
      </w:r>
      <w:proofErr w:type="spellStart"/>
      <w:r w:rsidR="00DE4ECB" w:rsidRPr="000B4C23">
        <w:rPr>
          <w:rFonts w:cs="Times New Roman"/>
          <w:color w:val="000000" w:themeColor="text1"/>
          <w:szCs w:val="24"/>
          <w:highlight w:val="yellow"/>
        </w:rPr>
        <w:t>optimising</w:t>
      </w:r>
      <w:proofErr w:type="spellEnd"/>
      <w:r w:rsidR="00DE4ECB" w:rsidRPr="00E207BA">
        <w:rPr>
          <w:rFonts w:cs="Times New Roman"/>
          <w:color w:val="000000" w:themeColor="text1"/>
          <w:szCs w:val="24"/>
        </w:rPr>
        <w:t xml:space="preserve"> </w:t>
      </w:r>
      <w:r w:rsidRPr="00E207BA">
        <w:rPr>
          <w:rFonts w:cs="Times New Roman"/>
          <w:color w:val="000000" w:themeColor="text1"/>
          <w:szCs w:val="24"/>
        </w:rPr>
        <w:t xml:space="preserve">VAT, incentives, </w:t>
      </w:r>
      <w:r w:rsidRPr="00E207BA">
        <w:rPr>
          <w:rFonts w:cs="Times New Roman"/>
          <w:color w:val="000000" w:themeColor="text1"/>
          <w:szCs w:val="24"/>
        </w:rPr>
        <w:lastRenderedPageBreak/>
        <w:t>and excise duties while maintaining rational corporate tax policies</w:t>
      </w:r>
      <w:r>
        <w:rPr>
          <w:rFonts w:cs="Times New Roman"/>
          <w:color w:val="000000" w:themeColor="text1"/>
          <w:szCs w:val="24"/>
        </w:rPr>
        <w:t xml:space="preserve"> </w:t>
      </w:r>
      <w:r w:rsidRPr="00E207BA">
        <w:rPr>
          <w:rFonts w:cs="Times New Roman"/>
          <w:color w:val="000000" w:themeColor="text1"/>
          <w:szCs w:val="24"/>
        </w:rPr>
        <w:t>can foster firm resilience, attract investment, and promote sustainable profitability in Kenya’s manufacturing sector.</w:t>
      </w:r>
      <w:r w:rsidR="00E05059" w:rsidRPr="00E05059">
        <w:rPr>
          <w:rFonts w:cs="Times New Roman"/>
          <w:color w:val="000000" w:themeColor="text1"/>
          <w:szCs w:val="24"/>
        </w:rPr>
        <w:t xml:space="preserve"> </w:t>
      </w:r>
    </w:p>
    <w:p w14:paraId="415590CB" w14:textId="77777777" w:rsidR="00766A2F" w:rsidRPr="007A56B8" w:rsidRDefault="00766A2F" w:rsidP="002E784F">
      <w:pPr>
        <w:spacing w:line="240" w:lineRule="auto"/>
        <w:rPr>
          <w:rFonts w:cs="Times New Roman"/>
          <w:color w:val="000000" w:themeColor="text1"/>
          <w:szCs w:val="24"/>
        </w:rPr>
      </w:pPr>
    </w:p>
    <w:p w14:paraId="750144BF" w14:textId="7E52FE3F" w:rsidR="00055D83" w:rsidRPr="007A56B8" w:rsidRDefault="00055D83" w:rsidP="00D26C8B">
      <w:pPr>
        <w:spacing w:line="240" w:lineRule="auto"/>
        <w:rPr>
          <w:rFonts w:cs="Times New Roman"/>
          <w:b/>
          <w:bCs/>
          <w:color w:val="000000" w:themeColor="text1"/>
          <w:sz w:val="28"/>
          <w:szCs w:val="28"/>
        </w:rPr>
      </w:pPr>
      <w:r w:rsidRPr="007A56B8">
        <w:rPr>
          <w:rFonts w:cs="Times New Roman"/>
          <w:b/>
          <w:bCs/>
          <w:color w:val="000000" w:themeColor="text1"/>
          <w:sz w:val="28"/>
          <w:szCs w:val="28"/>
        </w:rPr>
        <w:t>6.0 RECOMMENDATIONS</w:t>
      </w:r>
    </w:p>
    <w:p w14:paraId="648B633B" w14:textId="7C664350" w:rsidR="00D16476" w:rsidRDefault="00E207BA" w:rsidP="00E05059">
      <w:pPr>
        <w:spacing w:before="0" w:line="240" w:lineRule="auto"/>
      </w:pPr>
      <w:r w:rsidRPr="00E207BA">
        <w:t xml:space="preserve">The study offers key recommendations to enhance corporate financial performance through efficient tax management. Companies should strengthen tax planning by </w:t>
      </w:r>
      <w:proofErr w:type="spellStart"/>
      <w:r w:rsidR="00DE4ECB" w:rsidRPr="000B4C23">
        <w:rPr>
          <w:highlight w:val="yellow"/>
        </w:rPr>
        <w:t>maximising</w:t>
      </w:r>
      <w:proofErr w:type="spellEnd"/>
      <w:r w:rsidR="00DE4ECB" w:rsidRPr="000B4C23">
        <w:rPr>
          <w:highlight w:val="yellow"/>
        </w:rPr>
        <w:t xml:space="preserve"> </w:t>
      </w:r>
      <w:r w:rsidRPr="000B4C23">
        <w:rPr>
          <w:highlight w:val="yellow"/>
        </w:rPr>
        <w:t xml:space="preserve">deductions, </w:t>
      </w:r>
      <w:proofErr w:type="spellStart"/>
      <w:r w:rsidR="00DE4ECB" w:rsidRPr="000B4C23">
        <w:rPr>
          <w:highlight w:val="yellow"/>
        </w:rPr>
        <w:t>optimising</w:t>
      </w:r>
      <w:proofErr w:type="spellEnd"/>
      <w:r w:rsidR="00DE4ECB" w:rsidRPr="000B4C23">
        <w:rPr>
          <w:highlight w:val="yellow"/>
        </w:rPr>
        <w:t xml:space="preserve"> </w:t>
      </w:r>
      <w:r w:rsidRPr="00F341C6">
        <w:t>capital structures, and adopting advanced financial systems to track exposures and reinvest earnings. Policymakers should</w:t>
      </w:r>
      <w:r w:rsidRPr="00E207BA">
        <w:t xml:space="preserve"> maintain stable and transparent tax regimes to foster long-term investments. Since value-added tax (VAT) showed the strongest influence on financial performance, firms should improve VAT compliance through accurate accounting, staff training, and technology integration</w:t>
      </w:r>
      <w:r w:rsidR="00DE4ECB">
        <w:t>,</w:t>
      </w:r>
      <w:r w:rsidRPr="00E207BA">
        <w:t xml:space="preserve"> such as ERP systems. Policymakers should streamline refund processes to improve liquidity. Tax incentives also positively affected performance, though underutilization was noted; firms should actively pursue available incentives aligned with cost-reduction and expansion goals, while policymakers ensure these incentives remain transparent and sector-specific. Effective customs and excise management</w:t>
      </w:r>
      <w:r>
        <w:t xml:space="preserve"> </w:t>
      </w:r>
      <w:r w:rsidRPr="00E207BA">
        <w:t xml:space="preserve">through logistics </w:t>
      </w:r>
      <w:proofErr w:type="spellStart"/>
      <w:r w:rsidR="00DE4ECB" w:rsidRPr="000B4C23">
        <w:rPr>
          <w:highlight w:val="yellow"/>
        </w:rPr>
        <w:t>optimisation</w:t>
      </w:r>
      <w:proofErr w:type="spellEnd"/>
      <w:r w:rsidR="00DE4ECB" w:rsidRPr="000B4C23">
        <w:rPr>
          <w:highlight w:val="yellow"/>
        </w:rPr>
        <w:t xml:space="preserve"> </w:t>
      </w:r>
      <w:r w:rsidRPr="000B4C23">
        <w:rPr>
          <w:highlight w:val="yellow"/>
        </w:rPr>
        <w:t>and</w:t>
      </w:r>
      <w:r w:rsidRPr="00E207BA">
        <w:t xml:space="preserve"> compliance</w:t>
      </w:r>
      <w:r>
        <w:t xml:space="preserve"> </w:t>
      </w:r>
      <w:r w:rsidRPr="00E207BA">
        <w:t xml:space="preserve">can enhance competitiveness, supported by </w:t>
      </w:r>
      <w:proofErr w:type="spellStart"/>
      <w:r w:rsidR="00DE4ECB" w:rsidRPr="000B4C23">
        <w:rPr>
          <w:highlight w:val="yellow"/>
        </w:rPr>
        <w:t>harmonised</w:t>
      </w:r>
      <w:proofErr w:type="spellEnd"/>
      <w:r w:rsidR="00DE4ECB" w:rsidRPr="000B4C23">
        <w:rPr>
          <w:highlight w:val="yellow"/>
        </w:rPr>
        <w:t xml:space="preserve"> </w:t>
      </w:r>
      <w:r w:rsidRPr="000B4C23">
        <w:rPr>
          <w:highlight w:val="yellow"/>
        </w:rPr>
        <w:t>and pred</w:t>
      </w:r>
      <w:r w:rsidRPr="00E207BA">
        <w:t xml:space="preserve">ictable policies. The study faced limitations related to incomplete data, inconsistent tax interpretations, and difficulty isolating tax effects from macroeconomic factors. Future research should examine </w:t>
      </w:r>
      <w:proofErr w:type="spellStart"/>
      <w:r w:rsidRPr="00E207BA">
        <w:t>sectoral</w:t>
      </w:r>
      <w:proofErr w:type="spellEnd"/>
      <w:r w:rsidRPr="00E207BA">
        <w:t xml:space="preserve"> variations, technological adoption in tax compliance, and managerial decision-making to enrich </w:t>
      </w:r>
      <w:r w:rsidR="00DE4ECB">
        <w:t xml:space="preserve">the </w:t>
      </w:r>
      <w:r w:rsidRPr="00E207BA">
        <w:t>understanding of how tax policies affect performance across industries.</w:t>
      </w:r>
    </w:p>
    <w:p w14:paraId="38ACF2C4" w14:textId="755F3A69" w:rsidR="007A56B8" w:rsidRDefault="007A56B8">
      <w:pPr>
        <w:spacing w:before="0" w:after="160" w:line="259" w:lineRule="auto"/>
        <w:jc w:val="left"/>
        <w:rPr>
          <w:rFonts w:eastAsia="Times New Roman" w:cs="Times New Roman"/>
          <w:b/>
          <w:bCs/>
          <w:color w:val="000000" w:themeColor="text1"/>
          <w:sz w:val="28"/>
          <w:szCs w:val="28"/>
        </w:rPr>
      </w:pPr>
    </w:p>
    <w:p w14:paraId="6150CF8B" w14:textId="7436FC02" w:rsidR="004867E7" w:rsidRDefault="004867E7">
      <w:pPr>
        <w:spacing w:before="0" w:after="160" w:line="259" w:lineRule="auto"/>
        <w:jc w:val="left"/>
        <w:rPr>
          <w:rFonts w:eastAsia="Times New Roman" w:cs="Times New Roman"/>
          <w:b/>
          <w:bCs/>
          <w:color w:val="000000" w:themeColor="text1"/>
          <w:sz w:val="28"/>
          <w:szCs w:val="28"/>
        </w:rPr>
      </w:pPr>
    </w:p>
    <w:p w14:paraId="7C6EC3DF" w14:textId="405D38A0" w:rsidR="004867E7" w:rsidRDefault="004867E7">
      <w:pPr>
        <w:spacing w:before="0" w:after="160" w:line="259" w:lineRule="auto"/>
        <w:jc w:val="left"/>
        <w:rPr>
          <w:rFonts w:eastAsia="Times New Roman" w:cs="Times New Roman"/>
          <w:b/>
          <w:bCs/>
          <w:color w:val="000000" w:themeColor="text1"/>
          <w:sz w:val="28"/>
          <w:szCs w:val="28"/>
        </w:rPr>
      </w:pPr>
    </w:p>
    <w:p w14:paraId="0FC712ED" w14:textId="77777777" w:rsidR="004867E7" w:rsidRPr="00FE7640" w:rsidRDefault="004867E7" w:rsidP="004867E7">
      <w:pPr>
        <w:rPr>
          <w:rFonts w:ascii="Calibri" w:hAnsi="Calibri" w:cs="Times New Roman"/>
          <w:kern w:val="2"/>
          <w:highlight w:val="yellow"/>
        </w:rPr>
      </w:pPr>
      <w:bookmarkStart w:id="8" w:name="_Hlk202259943"/>
      <w:r w:rsidRPr="00FE7640">
        <w:rPr>
          <w:rFonts w:ascii="Calibri" w:hAnsi="Calibri" w:cs="Times New Roman"/>
          <w:kern w:val="2"/>
          <w:highlight w:val="yellow"/>
        </w:rPr>
        <w:t>Disclaimer (Artificial intelligence)</w:t>
      </w:r>
    </w:p>
    <w:p w14:paraId="632DCE9C"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 xml:space="preserve">Option 1: </w:t>
      </w:r>
    </w:p>
    <w:p w14:paraId="6F5C1F92"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Author(s) hereby declare that NO generative AI technologies such as Large Language Models (</w:t>
      </w:r>
      <w:proofErr w:type="spellStart"/>
      <w:r w:rsidRPr="00FE7640">
        <w:rPr>
          <w:rFonts w:ascii="Calibri" w:hAnsi="Calibri" w:cs="Times New Roman"/>
          <w:kern w:val="2"/>
          <w:highlight w:val="yellow"/>
        </w:rPr>
        <w:t>ChatGPT</w:t>
      </w:r>
      <w:proofErr w:type="spellEnd"/>
      <w:r w:rsidRPr="00FE7640">
        <w:rPr>
          <w:rFonts w:ascii="Calibri" w:hAnsi="Calibri" w:cs="Times New Roman"/>
          <w:kern w:val="2"/>
          <w:highlight w:val="yellow"/>
        </w:rPr>
        <w:t xml:space="preserve">, COPILOT, etc.) and text-to-image generators have been used during the writing or editing of this manuscript. </w:t>
      </w:r>
    </w:p>
    <w:p w14:paraId="3C340945"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 xml:space="preserve">Option 2: </w:t>
      </w:r>
    </w:p>
    <w:p w14:paraId="33545ED4"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6C6BEC9"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Details of the AI usage are given below:</w:t>
      </w:r>
    </w:p>
    <w:p w14:paraId="519201B5"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lastRenderedPageBreak/>
        <w:t>1.</w:t>
      </w:r>
    </w:p>
    <w:p w14:paraId="69584AAD" w14:textId="77777777" w:rsidR="004867E7" w:rsidRPr="00FE7640" w:rsidRDefault="004867E7" w:rsidP="004867E7">
      <w:pPr>
        <w:rPr>
          <w:rFonts w:ascii="Calibri" w:hAnsi="Calibri" w:cs="Times New Roman"/>
          <w:kern w:val="2"/>
          <w:highlight w:val="yellow"/>
        </w:rPr>
      </w:pPr>
      <w:r w:rsidRPr="00FE7640">
        <w:rPr>
          <w:rFonts w:ascii="Calibri" w:hAnsi="Calibri" w:cs="Times New Roman"/>
          <w:kern w:val="2"/>
          <w:highlight w:val="yellow"/>
        </w:rPr>
        <w:t>2.</w:t>
      </w:r>
    </w:p>
    <w:p w14:paraId="7B35CB73" w14:textId="77777777" w:rsidR="004867E7" w:rsidRPr="00FE7640" w:rsidRDefault="004867E7" w:rsidP="004867E7">
      <w:pPr>
        <w:rPr>
          <w:rFonts w:ascii="Calibri" w:hAnsi="Calibri" w:cs="Times New Roman"/>
          <w:kern w:val="2"/>
        </w:rPr>
      </w:pPr>
      <w:r w:rsidRPr="00FE7640">
        <w:rPr>
          <w:rFonts w:ascii="Calibri" w:hAnsi="Calibri" w:cs="Times New Roman"/>
          <w:kern w:val="2"/>
          <w:highlight w:val="yellow"/>
        </w:rPr>
        <w:t>3.</w:t>
      </w:r>
    </w:p>
    <w:bookmarkEnd w:id="8"/>
    <w:p w14:paraId="53521A48" w14:textId="77777777" w:rsidR="004867E7" w:rsidRPr="007A56B8" w:rsidRDefault="004867E7">
      <w:pPr>
        <w:spacing w:before="0" w:after="160" w:line="259" w:lineRule="auto"/>
        <w:jc w:val="left"/>
        <w:rPr>
          <w:rFonts w:eastAsia="Times New Roman" w:cs="Times New Roman"/>
          <w:b/>
          <w:bCs/>
          <w:color w:val="000000" w:themeColor="text1"/>
          <w:sz w:val="28"/>
          <w:szCs w:val="28"/>
        </w:rPr>
      </w:pPr>
    </w:p>
    <w:p w14:paraId="5A202687" w14:textId="2912289E" w:rsidR="00B55CEF" w:rsidRPr="007A56B8" w:rsidRDefault="00055D83" w:rsidP="002151BA">
      <w:pPr>
        <w:shd w:val="clear" w:color="auto" w:fill="FFFFFF"/>
        <w:spacing w:line="240" w:lineRule="auto"/>
        <w:rPr>
          <w:rFonts w:eastAsia="Times New Roman" w:cs="Times New Roman"/>
          <w:b/>
          <w:bCs/>
          <w:color w:val="000000" w:themeColor="text1"/>
          <w:sz w:val="28"/>
          <w:szCs w:val="28"/>
        </w:rPr>
      </w:pPr>
      <w:r w:rsidRPr="007A56B8">
        <w:rPr>
          <w:rFonts w:eastAsia="Times New Roman" w:cs="Times New Roman"/>
          <w:b/>
          <w:bCs/>
          <w:color w:val="000000" w:themeColor="text1"/>
          <w:sz w:val="28"/>
          <w:szCs w:val="28"/>
        </w:rPr>
        <w:t>REFERENCES</w:t>
      </w:r>
    </w:p>
    <w:p w14:paraId="43504F5C"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Amiti</w:t>
      </w:r>
      <w:proofErr w:type="spellEnd"/>
      <w:r w:rsidRPr="005508BF">
        <w:rPr>
          <w:rFonts w:cs="Times New Roman"/>
          <w:szCs w:val="24"/>
        </w:rPr>
        <w:t xml:space="preserve">, M., Redding, S. J., &amp; Weinstein, D. E. (2019). </w:t>
      </w:r>
      <w:proofErr w:type="gramStart"/>
      <w:r w:rsidRPr="005508BF">
        <w:rPr>
          <w:rFonts w:cs="Times New Roman"/>
          <w:szCs w:val="24"/>
        </w:rPr>
        <w:t>The impact of the 2018 tariffs on prices and welfare.</w:t>
      </w:r>
      <w:proofErr w:type="gramEnd"/>
      <w:r w:rsidRPr="005508BF">
        <w:rPr>
          <w:rFonts w:cs="Times New Roman"/>
          <w:szCs w:val="24"/>
        </w:rPr>
        <w:t xml:space="preserve"> Journal of Economic Perspectives, 33(4), 187-210.</w:t>
      </w:r>
    </w:p>
    <w:p w14:paraId="7B015043"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Apollo, C. O. (2022). Effect of digitalization on value added tax compliance among small and medium enterprises in </w:t>
      </w:r>
      <w:proofErr w:type="spellStart"/>
      <w:r w:rsidRPr="005508BF">
        <w:rPr>
          <w:rFonts w:cs="Times New Roman"/>
          <w:szCs w:val="24"/>
        </w:rPr>
        <w:t>Embakasi</w:t>
      </w:r>
      <w:proofErr w:type="spellEnd"/>
      <w:r w:rsidRPr="005508BF">
        <w:rPr>
          <w:rFonts w:cs="Times New Roman"/>
          <w:szCs w:val="24"/>
        </w:rPr>
        <w:t xml:space="preserve"> Central </w:t>
      </w:r>
      <w:proofErr w:type="spellStart"/>
      <w:r w:rsidRPr="005508BF">
        <w:rPr>
          <w:rFonts w:cs="Times New Roman"/>
          <w:szCs w:val="24"/>
        </w:rPr>
        <w:t>Subcounty</w:t>
      </w:r>
      <w:proofErr w:type="spellEnd"/>
      <w:r w:rsidRPr="005508BF">
        <w:rPr>
          <w:rFonts w:cs="Times New Roman"/>
          <w:szCs w:val="24"/>
        </w:rPr>
        <w:t xml:space="preserve">, Nairobi County [Research project, </w:t>
      </w:r>
      <w:proofErr w:type="spellStart"/>
      <w:r w:rsidRPr="005508BF">
        <w:rPr>
          <w:rFonts w:cs="Times New Roman"/>
          <w:szCs w:val="24"/>
        </w:rPr>
        <w:t>KeSRA</w:t>
      </w:r>
      <w:proofErr w:type="spellEnd"/>
      <w:r w:rsidRPr="005508BF">
        <w:rPr>
          <w:rFonts w:cs="Times New Roman"/>
          <w:szCs w:val="24"/>
        </w:rPr>
        <w:t>/</w:t>
      </w:r>
      <w:proofErr w:type="spellStart"/>
      <w:r w:rsidRPr="005508BF">
        <w:rPr>
          <w:rFonts w:cs="Times New Roman"/>
          <w:szCs w:val="24"/>
        </w:rPr>
        <w:t>Moi</w:t>
      </w:r>
      <w:proofErr w:type="spellEnd"/>
      <w:r w:rsidRPr="005508BF">
        <w:rPr>
          <w:rFonts w:cs="Times New Roman"/>
          <w:szCs w:val="24"/>
        </w:rPr>
        <w:t xml:space="preserve"> University].</w:t>
      </w:r>
    </w:p>
    <w:p w14:paraId="7C71245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Arora</w:t>
      </w:r>
      <w:proofErr w:type="spellEnd"/>
      <w:r w:rsidRPr="005508BF">
        <w:rPr>
          <w:rFonts w:cs="Times New Roman"/>
          <w:szCs w:val="24"/>
        </w:rPr>
        <w:t xml:space="preserve">, A., &amp; </w:t>
      </w:r>
      <w:proofErr w:type="spellStart"/>
      <w:r w:rsidRPr="005508BF">
        <w:rPr>
          <w:rFonts w:cs="Times New Roman"/>
          <w:szCs w:val="24"/>
        </w:rPr>
        <w:t>Rakhyani</w:t>
      </w:r>
      <w:proofErr w:type="spellEnd"/>
      <w:r w:rsidRPr="005508BF">
        <w:rPr>
          <w:rFonts w:cs="Times New Roman"/>
          <w:szCs w:val="24"/>
        </w:rPr>
        <w:t xml:space="preserve">, S. (2020). </w:t>
      </w:r>
      <w:proofErr w:type="gramStart"/>
      <w:r w:rsidRPr="005508BF">
        <w:rPr>
          <w:rFonts w:cs="Times New Roman"/>
          <w:szCs w:val="24"/>
        </w:rPr>
        <w:t>Investigating the impact of exchange rate volatility, inflation and economic output on international trade of India.</w:t>
      </w:r>
      <w:proofErr w:type="gramEnd"/>
      <w:r w:rsidRPr="005508BF">
        <w:rPr>
          <w:rFonts w:cs="Times New Roman"/>
          <w:szCs w:val="24"/>
        </w:rPr>
        <w:t xml:space="preserve"> The Indian Economic Journal, 68(2), 207-226.</w:t>
      </w:r>
    </w:p>
    <w:p w14:paraId="1B8CA761"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Baltagi</w:t>
      </w:r>
      <w:proofErr w:type="spellEnd"/>
      <w:r w:rsidRPr="005508BF">
        <w:rPr>
          <w:rFonts w:cs="Times New Roman"/>
          <w:szCs w:val="24"/>
        </w:rPr>
        <w:t xml:space="preserve">, B. H. (2021). Econometric analysis of panel data (6th </w:t>
      </w:r>
      <w:proofErr w:type="gramStart"/>
      <w:r w:rsidRPr="005508BF">
        <w:rPr>
          <w:rFonts w:cs="Times New Roman"/>
          <w:szCs w:val="24"/>
        </w:rPr>
        <w:t>ed</w:t>
      </w:r>
      <w:proofErr w:type="gramEnd"/>
      <w:r w:rsidRPr="005508BF">
        <w:rPr>
          <w:rFonts w:cs="Times New Roman"/>
          <w:szCs w:val="24"/>
        </w:rPr>
        <w:t xml:space="preserve">.). </w:t>
      </w:r>
      <w:proofErr w:type="gramStart"/>
      <w:r w:rsidRPr="005508BF">
        <w:rPr>
          <w:rFonts w:cs="Times New Roman"/>
          <w:szCs w:val="24"/>
        </w:rPr>
        <w:t>Springer.</w:t>
      </w:r>
      <w:proofErr w:type="gramEnd"/>
    </w:p>
    <w:p w14:paraId="7DFDF280"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Bilicka</w:t>
      </w:r>
      <w:proofErr w:type="spellEnd"/>
      <w:r w:rsidRPr="005508BF">
        <w:rPr>
          <w:rFonts w:cs="Times New Roman"/>
          <w:szCs w:val="24"/>
        </w:rPr>
        <w:t xml:space="preserve">, K. A., </w:t>
      </w:r>
      <w:proofErr w:type="spellStart"/>
      <w:r w:rsidRPr="005508BF">
        <w:rPr>
          <w:rFonts w:cs="Times New Roman"/>
          <w:szCs w:val="24"/>
        </w:rPr>
        <w:t>Güçeri</w:t>
      </w:r>
      <w:proofErr w:type="spellEnd"/>
      <w:r w:rsidRPr="005508BF">
        <w:rPr>
          <w:rFonts w:cs="Times New Roman"/>
          <w:szCs w:val="24"/>
        </w:rPr>
        <w:t xml:space="preserve">, I., &amp; </w:t>
      </w:r>
      <w:proofErr w:type="spellStart"/>
      <w:r w:rsidRPr="005508BF">
        <w:rPr>
          <w:rFonts w:cs="Times New Roman"/>
          <w:szCs w:val="24"/>
        </w:rPr>
        <w:t>Koumanakos</w:t>
      </w:r>
      <w:proofErr w:type="spellEnd"/>
      <w:r w:rsidRPr="005508BF">
        <w:rPr>
          <w:rFonts w:cs="Times New Roman"/>
          <w:szCs w:val="24"/>
        </w:rPr>
        <w:t>, E. (2023).</w:t>
      </w:r>
      <w:proofErr w:type="gramEnd"/>
      <w:r w:rsidRPr="005508BF">
        <w:rPr>
          <w:rFonts w:cs="Times New Roman"/>
          <w:szCs w:val="24"/>
        </w:rPr>
        <w:t xml:space="preserve"> </w:t>
      </w:r>
      <w:proofErr w:type="gramStart"/>
      <w:r w:rsidRPr="005508BF">
        <w:rPr>
          <w:rFonts w:cs="Times New Roman"/>
          <w:szCs w:val="24"/>
        </w:rPr>
        <w:t>Dividend Taxation and Firm Performance with Heterogeneous Payout Responses.</w:t>
      </w:r>
      <w:proofErr w:type="gramEnd"/>
      <w:r w:rsidRPr="005508BF">
        <w:rPr>
          <w:rFonts w:cs="Times New Roman"/>
          <w:szCs w:val="24"/>
        </w:rPr>
        <w:t xml:space="preserve"> </w:t>
      </w:r>
      <w:proofErr w:type="gramStart"/>
      <w:r w:rsidRPr="005508BF">
        <w:rPr>
          <w:rFonts w:cs="Times New Roman"/>
          <w:szCs w:val="24"/>
        </w:rPr>
        <w:t>SSRN Electronic Journal.</w:t>
      </w:r>
      <w:proofErr w:type="gramEnd"/>
      <w:r w:rsidRPr="005508BF">
        <w:rPr>
          <w:rFonts w:cs="Times New Roman"/>
          <w:szCs w:val="24"/>
        </w:rPr>
        <w:t xml:space="preserve"> https://doi.org/10.2139/ssrn.4316292</w:t>
      </w:r>
    </w:p>
    <w:p w14:paraId="124D168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Brown, K. B. (2021). </w:t>
      </w:r>
      <w:proofErr w:type="gramStart"/>
      <w:r w:rsidRPr="005508BF">
        <w:rPr>
          <w:rFonts w:cs="Times New Roman"/>
          <w:szCs w:val="24"/>
        </w:rPr>
        <w:t>Tax incentives and sub-Saharan Africa.</w:t>
      </w:r>
      <w:proofErr w:type="gramEnd"/>
      <w:r w:rsidRPr="005508BF">
        <w:rPr>
          <w:rFonts w:cs="Times New Roman"/>
          <w:szCs w:val="24"/>
        </w:rPr>
        <w:t xml:space="preserve"> </w:t>
      </w:r>
      <w:proofErr w:type="spellStart"/>
      <w:proofErr w:type="gramStart"/>
      <w:r w:rsidRPr="005508BF">
        <w:rPr>
          <w:rFonts w:cs="Times New Roman"/>
          <w:szCs w:val="24"/>
        </w:rPr>
        <w:t>Pepp</w:t>
      </w:r>
      <w:proofErr w:type="spellEnd"/>
      <w:r w:rsidRPr="005508BF">
        <w:rPr>
          <w:rFonts w:cs="Times New Roman"/>
          <w:szCs w:val="24"/>
        </w:rPr>
        <w:t>.</w:t>
      </w:r>
      <w:proofErr w:type="gramEnd"/>
      <w:r w:rsidRPr="005508BF">
        <w:rPr>
          <w:rFonts w:cs="Times New Roman"/>
          <w:szCs w:val="24"/>
        </w:rPr>
        <w:t xml:space="preserve"> L. Rev., 48, 995.</w:t>
      </w:r>
    </w:p>
    <w:p w14:paraId="326626F7"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Bryman</w:t>
      </w:r>
      <w:proofErr w:type="spellEnd"/>
      <w:r w:rsidRPr="005508BF">
        <w:rPr>
          <w:rFonts w:cs="Times New Roman"/>
          <w:szCs w:val="24"/>
        </w:rPr>
        <w:t xml:space="preserve">, A. (2021). Social Research Methods (6th </w:t>
      </w:r>
      <w:proofErr w:type="gramStart"/>
      <w:r w:rsidRPr="005508BF">
        <w:rPr>
          <w:rFonts w:cs="Times New Roman"/>
          <w:szCs w:val="24"/>
        </w:rPr>
        <w:t>ed</w:t>
      </w:r>
      <w:proofErr w:type="gramEnd"/>
      <w:r w:rsidRPr="005508BF">
        <w:rPr>
          <w:rFonts w:cs="Times New Roman"/>
          <w:szCs w:val="24"/>
        </w:rPr>
        <w:t>.). Oxford University Press</w:t>
      </w:r>
    </w:p>
    <w:p w14:paraId="13F1971E"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Bührle</w:t>
      </w:r>
      <w:proofErr w:type="spellEnd"/>
      <w:r w:rsidRPr="005508BF">
        <w:rPr>
          <w:rFonts w:cs="Times New Roman"/>
          <w:szCs w:val="24"/>
        </w:rPr>
        <w:t xml:space="preserve">, A. T., Nicolay, K., </w:t>
      </w:r>
      <w:proofErr w:type="spellStart"/>
      <w:r w:rsidRPr="005508BF">
        <w:rPr>
          <w:rFonts w:cs="Times New Roman"/>
          <w:szCs w:val="24"/>
        </w:rPr>
        <w:t>Spengel</w:t>
      </w:r>
      <w:proofErr w:type="spellEnd"/>
      <w:r w:rsidRPr="005508BF">
        <w:rPr>
          <w:rFonts w:cs="Times New Roman"/>
          <w:szCs w:val="24"/>
        </w:rPr>
        <w:t xml:space="preserve">, C., &amp; </w:t>
      </w:r>
      <w:proofErr w:type="spellStart"/>
      <w:r w:rsidRPr="005508BF">
        <w:rPr>
          <w:rFonts w:cs="Times New Roman"/>
          <w:szCs w:val="24"/>
        </w:rPr>
        <w:t>Wickel</w:t>
      </w:r>
      <w:proofErr w:type="spellEnd"/>
      <w:r w:rsidRPr="005508BF">
        <w:rPr>
          <w:rFonts w:cs="Times New Roman"/>
          <w:szCs w:val="24"/>
        </w:rPr>
        <w:t xml:space="preserve">, S. (2023). </w:t>
      </w:r>
      <w:proofErr w:type="gramStart"/>
      <w:r w:rsidRPr="005508BF">
        <w:rPr>
          <w:rFonts w:cs="Times New Roman"/>
          <w:szCs w:val="24"/>
        </w:rPr>
        <w:t>From corporate tax competition to global cooperation?</w:t>
      </w:r>
      <w:proofErr w:type="gramEnd"/>
      <w:r w:rsidRPr="005508BF">
        <w:rPr>
          <w:rFonts w:cs="Times New Roman"/>
          <w:szCs w:val="24"/>
        </w:rPr>
        <w:t xml:space="preserve"> </w:t>
      </w:r>
      <w:proofErr w:type="gramStart"/>
      <w:r w:rsidRPr="005508BF">
        <w:rPr>
          <w:rFonts w:cs="Times New Roman"/>
          <w:szCs w:val="24"/>
        </w:rPr>
        <w:t>Trends, prospects and effects on German family businesses (No. 23-027).</w:t>
      </w:r>
      <w:proofErr w:type="gramEnd"/>
      <w:r w:rsidRPr="005508BF">
        <w:rPr>
          <w:rFonts w:cs="Times New Roman"/>
          <w:szCs w:val="24"/>
        </w:rPr>
        <w:t xml:space="preserve"> </w:t>
      </w:r>
      <w:proofErr w:type="gramStart"/>
      <w:r w:rsidRPr="005508BF">
        <w:rPr>
          <w:rFonts w:cs="Times New Roman"/>
          <w:szCs w:val="24"/>
        </w:rPr>
        <w:t>ZEW Discussion Papers.</w:t>
      </w:r>
      <w:proofErr w:type="gramEnd"/>
    </w:p>
    <w:p w14:paraId="363F1505"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 xml:space="preserve">Cameron, A. C., &amp; </w:t>
      </w:r>
      <w:proofErr w:type="spellStart"/>
      <w:r w:rsidRPr="005508BF">
        <w:rPr>
          <w:rFonts w:cs="Times New Roman"/>
          <w:szCs w:val="24"/>
        </w:rPr>
        <w:t>Trivedi</w:t>
      </w:r>
      <w:proofErr w:type="spellEnd"/>
      <w:r w:rsidRPr="005508BF">
        <w:rPr>
          <w:rFonts w:cs="Times New Roman"/>
          <w:szCs w:val="24"/>
        </w:rPr>
        <w:t>, P. K. (2013).</w:t>
      </w:r>
      <w:proofErr w:type="gramEnd"/>
      <w:r w:rsidRPr="005508BF">
        <w:rPr>
          <w:rFonts w:cs="Times New Roman"/>
          <w:szCs w:val="24"/>
        </w:rPr>
        <w:t xml:space="preserve"> Regression analysis of count data (2nd </w:t>
      </w:r>
      <w:proofErr w:type="gramStart"/>
      <w:r w:rsidRPr="005508BF">
        <w:rPr>
          <w:rFonts w:cs="Times New Roman"/>
          <w:szCs w:val="24"/>
        </w:rPr>
        <w:t>ed</w:t>
      </w:r>
      <w:proofErr w:type="gramEnd"/>
      <w:r w:rsidRPr="005508BF">
        <w:rPr>
          <w:rFonts w:cs="Times New Roman"/>
          <w:szCs w:val="24"/>
        </w:rPr>
        <w:t xml:space="preserve">.). </w:t>
      </w:r>
      <w:proofErr w:type="gramStart"/>
      <w:r w:rsidRPr="005508BF">
        <w:rPr>
          <w:rFonts w:cs="Times New Roman"/>
          <w:szCs w:val="24"/>
        </w:rPr>
        <w:t>Cambridge University Press.</w:t>
      </w:r>
      <w:proofErr w:type="gramEnd"/>
    </w:p>
    <w:p w14:paraId="2D16205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Chebii</w:t>
      </w:r>
      <w:proofErr w:type="spellEnd"/>
      <w:r w:rsidRPr="005508BF">
        <w:rPr>
          <w:rFonts w:cs="Times New Roman"/>
          <w:szCs w:val="24"/>
        </w:rPr>
        <w:t>, R. K. (2020). Tax Incentives and Growth of Small and Medium Sized Enterprises in Nairobi County. Journal of Economics, 4(1), 77-92.</w:t>
      </w:r>
    </w:p>
    <w:p w14:paraId="44E41E19" w14:textId="77777777" w:rsidR="005508BF" w:rsidRPr="00BD7FD6" w:rsidRDefault="005508BF" w:rsidP="005508BF">
      <w:pPr>
        <w:tabs>
          <w:tab w:val="left" w:pos="3150"/>
        </w:tabs>
        <w:spacing w:line="240" w:lineRule="auto"/>
        <w:ind w:left="720" w:hanging="720"/>
        <w:rPr>
          <w:rFonts w:cs="Times New Roman"/>
          <w:szCs w:val="24"/>
          <w:lang w:val="es-US"/>
        </w:rPr>
      </w:pPr>
      <w:proofErr w:type="spellStart"/>
      <w:proofErr w:type="gramStart"/>
      <w:r w:rsidRPr="005508BF">
        <w:rPr>
          <w:rFonts w:cs="Times New Roman"/>
          <w:szCs w:val="24"/>
        </w:rPr>
        <w:t>Cin</w:t>
      </w:r>
      <w:proofErr w:type="spellEnd"/>
      <w:r w:rsidRPr="005508BF">
        <w:rPr>
          <w:rFonts w:cs="Times New Roman"/>
          <w:szCs w:val="24"/>
        </w:rPr>
        <w:t xml:space="preserve">, B. C., Kim, Y., &amp; </w:t>
      </w:r>
      <w:proofErr w:type="spellStart"/>
      <w:r w:rsidRPr="005508BF">
        <w:rPr>
          <w:rFonts w:cs="Times New Roman"/>
          <w:szCs w:val="24"/>
        </w:rPr>
        <w:t>Vonortas</w:t>
      </w:r>
      <w:proofErr w:type="spellEnd"/>
      <w:r w:rsidRPr="005508BF">
        <w:rPr>
          <w:rFonts w:cs="Times New Roman"/>
          <w:szCs w:val="24"/>
        </w:rPr>
        <w:t>, N. S. (2017).</w:t>
      </w:r>
      <w:proofErr w:type="gramEnd"/>
      <w:r w:rsidRPr="005508BF">
        <w:rPr>
          <w:rFonts w:cs="Times New Roman"/>
          <w:szCs w:val="24"/>
        </w:rPr>
        <w:t xml:space="preserve"> The impact of government R&amp;D subsidy on firm performance: Evidence from Korean SMEs. </w:t>
      </w:r>
      <w:r w:rsidRPr="00BD7FD6">
        <w:rPr>
          <w:rFonts w:cs="Times New Roman"/>
          <w:szCs w:val="24"/>
          <w:lang w:val="es-US"/>
        </w:rPr>
        <w:t xml:space="preserve">Small Business </w:t>
      </w:r>
      <w:proofErr w:type="spellStart"/>
      <w:r w:rsidRPr="00BD7FD6">
        <w:rPr>
          <w:rFonts w:cs="Times New Roman"/>
          <w:szCs w:val="24"/>
          <w:lang w:val="es-US"/>
        </w:rPr>
        <w:t>Economics</w:t>
      </w:r>
      <w:proofErr w:type="spellEnd"/>
      <w:r w:rsidRPr="00BD7FD6">
        <w:rPr>
          <w:rFonts w:cs="Times New Roman"/>
          <w:szCs w:val="24"/>
          <w:lang w:val="es-US"/>
        </w:rPr>
        <w:t>, 48(2), 345-360.</w:t>
      </w:r>
    </w:p>
    <w:p w14:paraId="7E637327" w14:textId="77777777" w:rsidR="005508BF" w:rsidRPr="00BD7FD6" w:rsidRDefault="005508BF" w:rsidP="005508BF">
      <w:pPr>
        <w:tabs>
          <w:tab w:val="left" w:pos="3150"/>
        </w:tabs>
        <w:spacing w:line="240" w:lineRule="auto"/>
        <w:ind w:left="720" w:hanging="720"/>
        <w:rPr>
          <w:rFonts w:cs="Times New Roman"/>
          <w:szCs w:val="24"/>
          <w:lang w:val="es-US"/>
        </w:rPr>
      </w:pPr>
      <w:r w:rsidRPr="00BD7FD6">
        <w:rPr>
          <w:rFonts w:cs="Times New Roman"/>
          <w:szCs w:val="24"/>
          <w:lang w:val="es-US"/>
        </w:rPr>
        <w:t xml:space="preserve">Córdova-León, F., Duque-Espinoza, G., Aguirre-Quezada, J. C., </w:t>
      </w:r>
      <w:proofErr w:type="spellStart"/>
      <w:r w:rsidRPr="00BD7FD6">
        <w:rPr>
          <w:rFonts w:cs="Times New Roman"/>
          <w:szCs w:val="24"/>
          <w:lang w:val="es-US"/>
        </w:rPr>
        <w:t>Sigüencia</w:t>
      </w:r>
      <w:proofErr w:type="spellEnd"/>
      <w:r w:rsidRPr="00BD7FD6">
        <w:rPr>
          <w:rFonts w:cs="Times New Roman"/>
          <w:szCs w:val="24"/>
          <w:lang w:val="es-US"/>
        </w:rPr>
        <w:t xml:space="preserve">-Muñoz, A., Córdova-León, F., Duque-Espinoza, G., Aguirre-Quezada, J. C., &amp; </w:t>
      </w:r>
      <w:proofErr w:type="spellStart"/>
      <w:r w:rsidRPr="00BD7FD6">
        <w:rPr>
          <w:rFonts w:cs="Times New Roman"/>
          <w:szCs w:val="24"/>
          <w:lang w:val="es-US"/>
        </w:rPr>
        <w:t>Sigüencia</w:t>
      </w:r>
      <w:proofErr w:type="spellEnd"/>
      <w:r w:rsidRPr="00BD7FD6">
        <w:rPr>
          <w:rFonts w:cs="Times New Roman"/>
          <w:szCs w:val="24"/>
          <w:lang w:val="es-US"/>
        </w:rPr>
        <w:t xml:space="preserve">-Muñoz, A. (2022). </w:t>
      </w:r>
      <w:r w:rsidRPr="005508BF">
        <w:rPr>
          <w:rFonts w:cs="Times New Roman"/>
          <w:szCs w:val="24"/>
        </w:rPr>
        <w:t xml:space="preserve">Tax incentives and financial performance: empirical evidence of Ecuadorian companies. </w:t>
      </w:r>
      <w:r w:rsidRPr="00BD7FD6">
        <w:rPr>
          <w:rFonts w:cs="Times New Roman"/>
          <w:szCs w:val="24"/>
          <w:lang w:val="es-US"/>
        </w:rPr>
        <w:t>Cuadernos de Administración (Universidad Del Valle), 38(73). https://doi.org/10.25100/cdea.v38i73.10984</w:t>
      </w:r>
    </w:p>
    <w:p w14:paraId="4845A9B6"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Creswell, J. W., &amp; Creswell, J. D. (2018).</w:t>
      </w:r>
      <w:proofErr w:type="gramEnd"/>
      <w:r w:rsidRPr="005508BF">
        <w:rPr>
          <w:rFonts w:cs="Times New Roman"/>
          <w:szCs w:val="24"/>
        </w:rPr>
        <w:t xml:space="preserve"> Research design: </w:t>
      </w:r>
      <w:proofErr w:type="gramStart"/>
      <w:r w:rsidRPr="005508BF">
        <w:rPr>
          <w:rFonts w:cs="Times New Roman"/>
          <w:szCs w:val="24"/>
        </w:rPr>
        <w:t>Qualitative, quantitative, and mixed methods approaches</w:t>
      </w:r>
      <w:proofErr w:type="gramEnd"/>
      <w:r w:rsidRPr="005508BF">
        <w:rPr>
          <w:rFonts w:cs="Times New Roman"/>
          <w:szCs w:val="24"/>
        </w:rPr>
        <w:t xml:space="preserve"> (5th ed.). </w:t>
      </w:r>
      <w:proofErr w:type="gramStart"/>
      <w:r w:rsidRPr="005508BF">
        <w:rPr>
          <w:rFonts w:cs="Times New Roman"/>
          <w:szCs w:val="24"/>
        </w:rPr>
        <w:t>SAGE Publications.</w:t>
      </w:r>
      <w:proofErr w:type="gramEnd"/>
    </w:p>
    <w:p w14:paraId="338C7F6A"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lastRenderedPageBreak/>
        <w:t>Creswell, J. W., &amp; Creswell, J. D. (2018).</w:t>
      </w:r>
      <w:proofErr w:type="gramEnd"/>
      <w:r w:rsidRPr="005508BF">
        <w:rPr>
          <w:rFonts w:cs="Times New Roman"/>
          <w:szCs w:val="24"/>
        </w:rPr>
        <w:t xml:space="preserve"> Research design: </w:t>
      </w:r>
      <w:proofErr w:type="gramStart"/>
      <w:r w:rsidRPr="005508BF">
        <w:rPr>
          <w:rFonts w:cs="Times New Roman"/>
          <w:szCs w:val="24"/>
        </w:rPr>
        <w:t>Qualitative, quantitative, and mixed methods approaches</w:t>
      </w:r>
      <w:proofErr w:type="gramEnd"/>
      <w:r w:rsidRPr="005508BF">
        <w:rPr>
          <w:rFonts w:cs="Times New Roman"/>
          <w:szCs w:val="24"/>
        </w:rPr>
        <w:t xml:space="preserve"> (5th ed.). </w:t>
      </w:r>
      <w:proofErr w:type="gramStart"/>
      <w:r w:rsidRPr="005508BF">
        <w:rPr>
          <w:rFonts w:cs="Times New Roman"/>
          <w:szCs w:val="24"/>
        </w:rPr>
        <w:t>SAGE Publications.</w:t>
      </w:r>
      <w:proofErr w:type="gramEnd"/>
    </w:p>
    <w:p w14:paraId="3000C63F" w14:textId="77777777" w:rsidR="005508BF" w:rsidRPr="00BD7FD6" w:rsidRDefault="005508BF" w:rsidP="005508BF">
      <w:pPr>
        <w:tabs>
          <w:tab w:val="left" w:pos="3150"/>
        </w:tabs>
        <w:spacing w:line="240" w:lineRule="auto"/>
        <w:ind w:left="720" w:hanging="720"/>
        <w:rPr>
          <w:rFonts w:cs="Times New Roman"/>
          <w:szCs w:val="24"/>
          <w:lang w:val="es-US"/>
        </w:rPr>
      </w:pPr>
      <w:proofErr w:type="spellStart"/>
      <w:r w:rsidRPr="005508BF">
        <w:rPr>
          <w:rFonts w:cs="Times New Roman"/>
          <w:szCs w:val="24"/>
        </w:rPr>
        <w:t>Dartey</w:t>
      </w:r>
      <w:proofErr w:type="spellEnd"/>
      <w:r w:rsidRPr="005508BF">
        <w:rPr>
          <w:rFonts w:cs="Times New Roman"/>
          <w:szCs w:val="24"/>
        </w:rPr>
        <w:t xml:space="preserve">, E. O. (2023). View of Corporate Tax Rates, Financial </w:t>
      </w:r>
      <w:proofErr w:type="gramStart"/>
      <w:r w:rsidRPr="005508BF">
        <w:rPr>
          <w:rFonts w:cs="Times New Roman"/>
          <w:szCs w:val="24"/>
        </w:rPr>
        <w:t>Leverage,</w:t>
      </w:r>
      <w:proofErr w:type="gramEnd"/>
      <w:r w:rsidRPr="005508BF">
        <w:rPr>
          <w:rFonts w:cs="Times New Roman"/>
          <w:szCs w:val="24"/>
        </w:rPr>
        <w:t xml:space="preserve"> and Firm Growth in Sub - Saharan Africa. </w:t>
      </w:r>
      <w:r w:rsidRPr="00BD7FD6">
        <w:rPr>
          <w:rFonts w:cs="Times New Roman"/>
          <w:szCs w:val="24"/>
          <w:lang w:val="es-US"/>
        </w:rPr>
        <w:t>Univ-Danubius.ro. https://dj.univ-danubius.ro/index.php/AUDOE/article/view/2143/2433</w:t>
      </w:r>
    </w:p>
    <w:p w14:paraId="28C23654"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 xml:space="preserve">Diamond, P. A., &amp; </w:t>
      </w:r>
      <w:proofErr w:type="spellStart"/>
      <w:r w:rsidRPr="005508BF">
        <w:rPr>
          <w:rFonts w:cs="Times New Roman"/>
          <w:szCs w:val="24"/>
        </w:rPr>
        <w:t>Mirrlees</w:t>
      </w:r>
      <w:proofErr w:type="spellEnd"/>
      <w:r w:rsidRPr="005508BF">
        <w:rPr>
          <w:rFonts w:cs="Times New Roman"/>
          <w:szCs w:val="24"/>
        </w:rPr>
        <w:t>, J. A. (1971).</w:t>
      </w:r>
      <w:proofErr w:type="gramEnd"/>
      <w:r w:rsidRPr="005508BF">
        <w:rPr>
          <w:rFonts w:cs="Times New Roman"/>
          <w:szCs w:val="24"/>
        </w:rPr>
        <w:t xml:space="preserve"> Optimal taxation and public production I: Production efficiency. </w:t>
      </w:r>
      <w:proofErr w:type="gramStart"/>
      <w:r w:rsidRPr="005508BF">
        <w:rPr>
          <w:rFonts w:cs="Times New Roman"/>
          <w:szCs w:val="24"/>
        </w:rPr>
        <w:t>The American economic review, 61(1), 8-27.</w:t>
      </w:r>
      <w:proofErr w:type="gramEnd"/>
    </w:p>
    <w:p w14:paraId="3DAB0D62"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Djankov</w:t>
      </w:r>
      <w:proofErr w:type="spellEnd"/>
      <w:r w:rsidRPr="005508BF">
        <w:rPr>
          <w:rFonts w:cs="Times New Roman"/>
          <w:szCs w:val="24"/>
        </w:rPr>
        <w:t xml:space="preserve">, S., </w:t>
      </w:r>
      <w:proofErr w:type="spellStart"/>
      <w:r w:rsidRPr="005508BF">
        <w:rPr>
          <w:rFonts w:cs="Times New Roman"/>
          <w:szCs w:val="24"/>
        </w:rPr>
        <w:t>Ganser</w:t>
      </w:r>
      <w:proofErr w:type="spellEnd"/>
      <w:r w:rsidRPr="005508BF">
        <w:rPr>
          <w:rFonts w:cs="Times New Roman"/>
          <w:szCs w:val="24"/>
        </w:rPr>
        <w:t xml:space="preserve">, T., </w:t>
      </w:r>
      <w:proofErr w:type="spellStart"/>
      <w:r w:rsidRPr="005508BF">
        <w:rPr>
          <w:rFonts w:cs="Times New Roman"/>
          <w:szCs w:val="24"/>
        </w:rPr>
        <w:t>McLiesh</w:t>
      </w:r>
      <w:proofErr w:type="spellEnd"/>
      <w:r w:rsidRPr="005508BF">
        <w:rPr>
          <w:rFonts w:cs="Times New Roman"/>
          <w:szCs w:val="24"/>
        </w:rPr>
        <w:t xml:space="preserve">, C., </w:t>
      </w:r>
      <w:proofErr w:type="spellStart"/>
      <w:r w:rsidRPr="005508BF">
        <w:rPr>
          <w:rFonts w:cs="Times New Roman"/>
          <w:szCs w:val="24"/>
        </w:rPr>
        <w:t>Ramalho</w:t>
      </w:r>
      <w:proofErr w:type="spellEnd"/>
      <w:r w:rsidRPr="005508BF">
        <w:rPr>
          <w:rFonts w:cs="Times New Roman"/>
          <w:szCs w:val="24"/>
        </w:rPr>
        <w:t xml:space="preserve">, R., &amp; </w:t>
      </w:r>
      <w:proofErr w:type="spellStart"/>
      <w:r w:rsidRPr="005508BF">
        <w:rPr>
          <w:rFonts w:cs="Times New Roman"/>
          <w:szCs w:val="24"/>
        </w:rPr>
        <w:t>Shleifer</w:t>
      </w:r>
      <w:proofErr w:type="spellEnd"/>
      <w:r w:rsidRPr="005508BF">
        <w:rPr>
          <w:rFonts w:cs="Times New Roman"/>
          <w:szCs w:val="24"/>
        </w:rPr>
        <w:t>, A. (2010).</w:t>
      </w:r>
      <w:proofErr w:type="gramEnd"/>
      <w:r w:rsidRPr="005508BF">
        <w:rPr>
          <w:rFonts w:cs="Times New Roman"/>
          <w:szCs w:val="24"/>
        </w:rPr>
        <w:t xml:space="preserve"> </w:t>
      </w:r>
      <w:proofErr w:type="gramStart"/>
      <w:r w:rsidRPr="005508BF">
        <w:rPr>
          <w:rFonts w:cs="Times New Roman"/>
          <w:szCs w:val="24"/>
        </w:rPr>
        <w:t>The Effect of Corporate Taxes on Investment and Entrepreneurship.</w:t>
      </w:r>
      <w:proofErr w:type="gramEnd"/>
      <w:r w:rsidRPr="005508BF">
        <w:rPr>
          <w:rFonts w:cs="Times New Roman"/>
          <w:szCs w:val="24"/>
        </w:rPr>
        <w:t xml:space="preserve"> American Economic Journal: Macroeconomics, 2(3), 31–64.</w:t>
      </w:r>
    </w:p>
    <w:p w14:paraId="662D2C69"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Fajgelbaum</w:t>
      </w:r>
      <w:proofErr w:type="spellEnd"/>
      <w:r w:rsidRPr="005508BF">
        <w:rPr>
          <w:rFonts w:cs="Times New Roman"/>
          <w:szCs w:val="24"/>
        </w:rPr>
        <w:t xml:space="preserve">, P. D., &amp; </w:t>
      </w:r>
      <w:proofErr w:type="spellStart"/>
      <w:r w:rsidRPr="005508BF">
        <w:rPr>
          <w:rFonts w:cs="Times New Roman"/>
          <w:szCs w:val="24"/>
        </w:rPr>
        <w:t>Khandelwal</w:t>
      </w:r>
      <w:proofErr w:type="spellEnd"/>
      <w:r w:rsidRPr="005508BF">
        <w:rPr>
          <w:rFonts w:cs="Times New Roman"/>
          <w:szCs w:val="24"/>
        </w:rPr>
        <w:t>, A. K. (2022).</w:t>
      </w:r>
      <w:proofErr w:type="gramEnd"/>
      <w:r w:rsidRPr="005508BF">
        <w:rPr>
          <w:rFonts w:cs="Times New Roman"/>
          <w:szCs w:val="24"/>
        </w:rPr>
        <w:t xml:space="preserve"> The economic impacts of the US–China trade war. Annual Review of Economics, 14(1), 205-228.</w:t>
      </w:r>
    </w:p>
    <w:p w14:paraId="6E0DA0BE"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Fama</w:t>
      </w:r>
      <w:proofErr w:type="spellEnd"/>
      <w:r w:rsidRPr="005508BF">
        <w:rPr>
          <w:rFonts w:cs="Times New Roman"/>
          <w:szCs w:val="24"/>
        </w:rPr>
        <w:t>, E. F., &amp; French, K. R. (2002).</w:t>
      </w:r>
      <w:proofErr w:type="gramEnd"/>
      <w:r w:rsidRPr="005508BF">
        <w:rPr>
          <w:rFonts w:cs="Times New Roman"/>
          <w:szCs w:val="24"/>
        </w:rPr>
        <w:t xml:space="preserve"> Testing Trade-Off and Pecking Order Predictions </w:t>
      </w:r>
      <w:proofErr w:type="gramStart"/>
      <w:r w:rsidRPr="005508BF">
        <w:rPr>
          <w:rFonts w:cs="Times New Roman"/>
          <w:szCs w:val="24"/>
        </w:rPr>
        <w:t>About</w:t>
      </w:r>
      <w:proofErr w:type="gramEnd"/>
      <w:r w:rsidRPr="005508BF">
        <w:rPr>
          <w:rFonts w:cs="Times New Roman"/>
          <w:szCs w:val="24"/>
        </w:rPr>
        <w:t xml:space="preserve"> Dividends and Debt. Review of Financial Studies, 15(1), 1–33. https://doi.org/10.1093/rfs/15.1.1</w:t>
      </w:r>
    </w:p>
    <w:p w14:paraId="1BDC88BE"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Gachigo</w:t>
      </w:r>
      <w:proofErr w:type="spellEnd"/>
      <w:r w:rsidRPr="005508BF">
        <w:rPr>
          <w:rFonts w:cs="Times New Roman"/>
          <w:szCs w:val="24"/>
        </w:rPr>
        <w:t xml:space="preserve">, J. (2024). Effect </w:t>
      </w:r>
      <w:proofErr w:type="gramStart"/>
      <w:r w:rsidRPr="005508BF">
        <w:rPr>
          <w:rFonts w:cs="Times New Roman"/>
          <w:szCs w:val="24"/>
        </w:rPr>
        <w:t>Of</w:t>
      </w:r>
      <w:proofErr w:type="gramEnd"/>
      <w:r w:rsidRPr="005508BF">
        <w:rPr>
          <w:rFonts w:cs="Times New Roman"/>
          <w:szCs w:val="24"/>
        </w:rPr>
        <w:t xml:space="preserve"> Value Added Tax On The Financial Performance Of Telecommunication Firms In Kenya. Journal of Finance and Accounting, 8(9), 164-180.</w:t>
      </w:r>
    </w:p>
    <w:p w14:paraId="7676B444"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Gachigo</w:t>
      </w:r>
      <w:proofErr w:type="spellEnd"/>
      <w:r w:rsidRPr="005508BF">
        <w:rPr>
          <w:rFonts w:cs="Times New Roman"/>
          <w:szCs w:val="24"/>
        </w:rPr>
        <w:t xml:space="preserve">, J. (2024). Effect </w:t>
      </w:r>
      <w:proofErr w:type="gramStart"/>
      <w:r w:rsidRPr="005508BF">
        <w:rPr>
          <w:rFonts w:cs="Times New Roman"/>
          <w:szCs w:val="24"/>
        </w:rPr>
        <w:t>Of</w:t>
      </w:r>
      <w:proofErr w:type="gramEnd"/>
      <w:r w:rsidRPr="005508BF">
        <w:rPr>
          <w:rFonts w:cs="Times New Roman"/>
          <w:szCs w:val="24"/>
        </w:rPr>
        <w:t xml:space="preserve"> Value Added Tax On The Financial Performance Of Telecommunication Firms In Kenya. Journal of Finance and Accounting, 8(9), 164–180. https://doi.org/10.53819/81018102t2457</w:t>
      </w:r>
    </w:p>
    <w:p w14:paraId="42EE8D56"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Gitari</w:t>
      </w:r>
      <w:proofErr w:type="spellEnd"/>
      <w:r w:rsidRPr="005508BF">
        <w:rPr>
          <w:rFonts w:cs="Times New Roman"/>
          <w:szCs w:val="24"/>
        </w:rPr>
        <w:t xml:space="preserve">, J. K. (2019). </w:t>
      </w:r>
      <w:proofErr w:type="gramStart"/>
      <w:r w:rsidRPr="005508BF">
        <w:rPr>
          <w:rFonts w:cs="Times New Roman"/>
          <w:szCs w:val="24"/>
        </w:rPr>
        <w:t xml:space="preserve">Effects of tax incentives on the financial performance of the manufacturing sector in </w:t>
      </w:r>
      <w:proofErr w:type="spellStart"/>
      <w:r w:rsidRPr="005508BF">
        <w:rPr>
          <w:rFonts w:cs="Times New Roman"/>
          <w:szCs w:val="24"/>
        </w:rPr>
        <w:t>Naivasha</w:t>
      </w:r>
      <w:proofErr w:type="spellEnd"/>
      <w:r w:rsidRPr="005508BF">
        <w:rPr>
          <w:rFonts w:cs="Times New Roman"/>
          <w:szCs w:val="24"/>
        </w:rPr>
        <w:t xml:space="preserve">, </w:t>
      </w:r>
      <w:proofErr w:type="spellStart"/>
      <w:r w:rsidRPr="005508BF">
        <w:rPr>
          <w:rFonts w:cs="Times New Roman"/>
          <w:szCs w:val="24"/>
        </w:rPr>
        <w:t>Nakuru</w:t>
      </w:r>
      <w:proofErr w:type="spellEnd"/>
      <w:r w:rsidRPr="005508BF">
        <w:rPr>
          <w:rFonts w:cs="Times New Roman"/>
          <w:szCs w:val="24"/>
        </w:rPr>
        <w:t xml:space="preserve"> County, Kenya.</w:t>
      </w:r>
      <w:proofErr w:type="gramEnd"/>
      <w:r w:rsidRPr="005508BF">
        <w:rPr>
          <w:rFonts w:cs="Times New Roman"/>
          <w:szCs w:val="24"/>
        </w:rPr>
        <w:t xml:space="preserve"> https://ikesra.kra.go.ke/</w:t>
      </w:r>
    </w:p>
    <w:p w14:paraId="54B1072A"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Gliem</w:t>
      </w:r>
      <w:proofErr w:type="spellEnd"/>
      <w:r w:rsidRPr="005508BF">
        <w:rPr>
          <w:rFonts w:cs="Times New Roman"/>
          <w:szCs w:val="24"/>
        </w:rPr>
        <w:t xml:space="preserve">, J. A., &amp; </w:t>
      </w:r>
      <w:proofErr w:type="spellStart"/>
      <w:r w:rsidRPr="005508BF">
        <w:rPr>
          <w:rFonts w:cs="Times New Roman"/>
          <w:szCs w:val="24"/>
        </w:rPr>
        <w:t>Gliem</w:t>
      </w:r>
      <w:proofErr w:type="spellEnd"/>
      <w:r w:rsidRPr="005508BF">
        <w:rPr>
          <w:rFonts w:cs="Times New Roman"/>
          <w:szCs w:val="24"/>
        </w:rPr>
        <w:t>, R. R. (2003).</w:t>
      </w:r>
      <w:proofErr w:type="gramEnd"/>
      <w:r w:rsidRPr="005508BF">
        <w:rPr>
          <w:rFonts w:cs="Times New Roman"/>
          <w:szCs w:val="24"/>
        </w:rPr>
        <w:t xml:space="preserve"> Calculating, interpreting, and reporting </w:t>
      </w:r>
      <w:proofErr w:type="spellStart"/>
      <w:r w:rsidRPr="005508BF">
        <w:rPr>
          <w:rFonts w:cs="Times New Roman"/>
          <w:szCs w:val="24"/>
        </w:rPr>
        <w:t>Cronbach’s</w:t>
      </w:r>
      <w:proofErr w:type="spellEnd"/>
      <w:r w:rsidRPr="005508BF">
        <w:rPr>
          <w:rFonts w:cs="Times New Roman"/>
          <w:szCs w:val="24"/>
        </w:rPr>
        <w:t xml:space="preserve"> alpha reliability coefficient for </w:t>
      </w:r>
      <w:proofErr w:type="spellStart"/>
      <w:r w:rsidRPr="005508BF">
        <w:rPr>
          <w:rFonts w:cs="Times New Roman"/>
          <w:szCs w:val="24"/>
        </w:rPr>
        <w:t>Likert</w:t>
      </w:r>
      <w:proofErr w:type="spellEnd"/>
      <w:r w:rsidRPr="005508BF">
        <w:rPr>
          <w:rFonts w:cs="Times New Roman"/>
          <w:szCs w:val="24"/>
        </w:rPr>
        <w:t xml:space="preserve">-type scales. </w:t>
      </w:r>
      <w:proofErr w:type="gramStart"/>
      <w:r w:rsidRPr="005508BF">
        <w:rPr>
          <w:rFonts w:cs="Times New Roman"/>
          <w:szCs w:val="24"/>
        </w:rPr>
        <w:t>Midwest Research-to-Practice Conference in Adult, Continuing, and Community Education.</w:t>
      </w:r>
      <w:proofErr w:type="gramEnd"/>
    </w:p>
    <w:p w14:paraId="266CB7D1"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Graham, J. R. (2000). How Big Are the Tax Benefits of Debt? The Journal of Finance, 55(5), 1901–1941. https://doi.org/10.1111/0022-1082.00277</w:t>
      </w:r>
    </w:p>
    <w:p w14:paraId="33D4936F" w14:textId="77777777" w:rsidR="005508BF" w:rsidRPr="005508BF" w:rsidRDefault="005508BF" w:rsidP="005508BF">
      <w:pPr>
        <w:tabs>
          <w:tab w:val="left" w:pos="3150"/>
        </w:tabs>
        <w:spacing w:line="240" w:lineRule="auto"/>
        <w:ind w:left="720" w:hanging="720"/>
        <w:rPr>
          <w:rFonts w:cs="Times New Roman"/>
          <w:szCs w:val="24"/>
        </w:rPr>
      </w:pPr>
      <w:r w:rsidRPr="00BD7FD6">
        <w:rPr>
          <w:rFonts w:cs="Times New Roman"/>
          <w:szCs w:val="24"/>
          <w:lang w:val="es-US"/>
        </w:rPr>
        <w:t xml:space="preserve">Gujarati, D. N., &amp; </w:t>
      </w:r>
      <w:proofErr w:type="spellStart"/>
      <w:r w:rsidRPr="00BD7FD6">
        <w:rPr>
          <w:rFonts w:cs="Times New Roman"/>
          <w:szCs w:val="24"/>
          <w:lang w:val="es-US"/>
        </w:rPr>
        <w:t>Porter</w:t>
      </w:r>
      <w:proofErr w:type="spellEnd"/>
      <w:r w:rsidRPr="00BD7FD6">
        <w:rPr>
          <w:rFonts w:cs="Times New Roman"/>
          <w:szCs w:val="24"/>
          <w:lang w:val="es-US"/>
        </w:rPr>
        <w:t xml:space="preserve">, D. C. (2020). </w:t>
      </w:r>
      <w:r w:rsidRPr="005508BF">
        <w:rPr>
          <w:rFonts w:cs="Times New Roman"/>
          <w:szCs w:val="24"/>
        </w:rPr>
        <w:t xml:space="preserve">Basic econometrics (6th </w:t>
      </w:r>
      <w:proofErr w:type="gramStart"/>
      <w:r w:rsidRPr="005508BF">
        <w:rPr>
          <w:rFonts w:cs="Times New Roman"/>
          <w:szCs w:val="24"/>
        </w:rPr>
        <w:t>ed</w:t>
      </w:r>
      <w:proofErr w:type="gramEnd"/>
      <w:r w:rsidRPr="005508BF">
        <w:rPr>
          <w:rFonts w:cs="Times New Roman"/>
          <w:szCs w:val="24"/>
        </w:rPr>
        <w:t xml:space="preserve">.). </w:t>
      </w:r>
      <w:proofErr w:type="gramStart"/>
      <w:r w:rsidRPr="005508BF">
        <w:rPr>
          <w:rFonts w:cs="Times New Roman"/>
          <w:szCs w:val="24"/>
        </w:rPr>
        <w:t>McGraw-Hill.</w:t>
      </w:r>
      <w:proofErr w:type="gramEnd"/>
    </w:p>
    <w:p w14:paraId="7D28E03D"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Harberger</w:t>
      </w:r>
      <w:proofErr w:type="spellEnd"/>
      <w:r w:rsidRPr="005508BF">
        <w:rPr>
          <w:rFonts w:cs="Times New Roman"/>
          <w:szCs w:val="24"/>
        </w:rPr>
        <w:t xml:space="preserve">, A. C. (1964). </w:t>
      </w:r>
      <w:proofErr w:type="gramStart"/>
      <w:r w:rsidRPr="005508BF">
        <w:rPr>
          <w:rFonts w:cs="Times New Roman"/>
          <w:szCs w:val="24"/>
        </w:rPr>
        <w:t>The measurement of waste.</w:t>
      </w:r>
      <w:proofErr w:type="gramEnd"/>
      <w:r w:rsidRPr="005508BF">
        <w:rPr>
          <w:rFonts w:cs="Times New Roman"/>
          <w:szCs w:val="24"/>
        </w:rPr>
        <w:t xml:space="preserve"> The American Economic Review, 54(3), 58-76.</w:t>
      </w:r>
    </w:p>
    <w:p w14:paraId="242F78FA"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Heeringa</w:t>
      </w:r>
      <w:proofErr w:type="spellEnd"/>
      <w:r w:rsidRPr="005508BF">
        <w:rPr>
          <w:rFonts w:cs="Times New Roman"/>
          <w:szCs w:val="24"/>
        </w:rPr>
        <w:t>, S. G., West, B. T., &amp; Berglund, P. A. (2017).</w:t>
      </w:r>
      <w:proofErr w:type="gramEnd"/>
      <w:r w:rsidRPr="005508BF">
        <w:rPr>
          <w:rFonts w:cs="Times New Roman"/>
          <w:szCs w:val="24"/>
        </w:rPr>
        <w:t xml:space="preserve"> Applied survey data analysis (2nd </w:t>
      </w:r>
      <w:proofErr w:type="gramStart"/>
      <w:r w:rsidRPr="005508BF">
        <w:rPr>
          <w:rFonts w:cs="Times New Roman"/>
          <w:szCs w:val="24"/>
        </w:rPr>
        <w:t>ed</w:t>
      </w:r>
      <w:proofErr w:type="gramEnd"/>
      <w:r w:rsidRPr="005508BF">
        <w:rPr>
          <w:rFonts w:cs="Times New Roman"/>
          <w:szCs w:val="24"/>
        </w:rPr>
        <w:t>.). Chapman &amp; Hall/CRC</w:t>
      </w:r>
    </w:p>
    <w:p w14:paraId="4C40C930"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Itumo</w:t>
      </w:r>
      <w:proofErr w:type="spellEnd"/>
      <w:r w:rsidRPr="005508BF">
        <w:rPr>
          <w:rFonts w:cs="Times New Roman"/>
          <w:szCs w:val="24"/>
        </w:rPr>
        <w:t xml:space="preserve">, N. P. (2023). Relationship </w:t>
      </w:r>
      <w:proofErr w:type="gramStart"/>
      <w:r w:rsidRPr="005508BF">
        <w:rPr>
          <w:rFonts w:cs="Times New Roman"/>
          <w:szCs w:val="24"/>
        </w:rPr>
        <w:t>Between</w:t>
      </w:r>
      <w:proofErr w:type="gramEnd"/>
      <w:r w:rsidRPr="005508BF">
        <w:rPr>
          <w:rFonts w:cs="Times New Roman"/>
          <w:szCs w:val="24"/>
        </w:rPr>
        <w:t xml:space="preserve"> Efficiency and Financial Performance of Commercial Banks in Kenya. </w:t>
      </w:r>
      <w:proofErr w:type="gramStart"/>
      <w:r w:rsidRPr="005508BF">
        <w:rPr>
          <w:rFonts w:cs="Times New Roman"/>
          <w:szCs w:val="24"/>
        </w:rPr>
        <w:t>Uonbi.ac.ke. https://erepository.uonbi.ac.ke.</w:t>
      </w:r>
      <w:proofErr w:type="gramEnd"/>
      <w:r w:rsidRPr="005508BF">
        <w:rPr>
          <w:rFonts w:cs="Times New Roman"/>
          <w:szCs w:val="24"/>
        </w:rPr>
        <w:t xml:space="preserve"> </w:t>
      </w:r>
      <w:proofErr w:type="spellStart"/>
      <w:proofErr w:type="gramStart"/>
      <w:r w:rsidRPr="005508BF">
        <w:rPr>
          <w:rFonts w:cs="Times New Roman"/>
          <w:szCs w:val="24"/>
        </w:rPr>
        <w:t>UoN</w:t>
      </w:r>
      <w:proofErr w:type="spellEnd"/>
      <w:r w:rsidRPr="005508BF">
        <w:rPr>
          <w:rFonts w:cs="Times New Roman"/>
          <w:szCs w:val="24"/>
        </w:rPr>
        <w:t xml:space="preserve"> Digital Repository Home.</w:t>
      </w:r>
      <w:proofErr w:type="gramEnd"/>
    </w:p>
    <w:p w14:paraId="6C732361"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Jacob, M. (2022).</w:t>
      </w:r>
      <w:proofErr w:type="gramEnd"/>
      <w:r w:rsidRPr="005508BF">
        <w:rPr>
          <w:rFonts w:cs="Times New Roman"/>
          <w:szCs w:val="24"/>
        </w:rPr>
        <w:t xml:space="preserve"> Real effects of corporate taxation: A review. European Accounting Review, 31(1), 269-296.</w:t>
      </w:r>
    </w:p>
    <w:p w14:paraId="1821447D"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Jeanne, U. M. (2020).</w:t>
      </w:r>
      <w:proofErr w:type="gramEnd"/>
      <w:r w:rsidRPr="005508BF">
        <w:rPr>
          <w:rFonts w:cs="Times New Roman"/>
          <w:szCs w:val="24"/>
        </w:rPr>
        <w:t xml:space="preserve"> Internal Control Components </w:t>
      </w:r>
      <w:proofErr w:type="gramStart"/>
      <w:r w:rsidRPr="005508BF">
        <w:rPr>
          <w:rFonts w:cs="Times New Roman"/>
          <w:szCs w:val="24"/>
        </w:rPr>
        <w:t>And</w:t>
      </w:r>
      <w:proofErr w:type="gramEnd"/>
      <w:r w:rsidRPr="005508BF">
        <w:rPr>
          <w:rFonts w:cs="Times New Roman"/>
          <w:szCs w:val="24"/>
        </w:rPr>
        <w:t xml:space="preserve"> Financial Performance In Public Institutions In Rwanda Case Study: Rwanda Social Security Board (</w:t>
      </w:r>
      <w:proofErr w:type="spellStart"/>
      <w:r w:rsidRPr="005508BF">
        <w:rPr>
          <w:rFonts w:cs="Times New Roman"/>
          <w:szCs w:val="24"/>
        </w:rPr>
        <w:t>Rssb</w:t>
      </w:r>
      <w:proofErr w:type="spellEnd"/>
      <w:r w:rsidRPr="005508BF">
        <w:rPr>
          <w:rFonts w:cs="Times New Roman"/>
          <w:szCs w:val="24"/>
        </w:rPr>
        <w:t xml:space="preserve">). </w:t>
      </w:r>
      <w:proofErr w:type="gramStart"/>
      <w:r w:rsidRPr="005508BF">
        <w:rPr>
          <w:rFonts w:cs="Times New Roman"/>
          <w:szCs w:val="24"/>
        </w:rPr>
        <w:t>University Of</w:t>
      </w:r>
      <w:r w:rsidRPr="005508BF">
        <w:rPr>
          <w:rFonts w:cs="Times New Roman"/>
          <w:szCs w:val="24"/>
        </w:rPr>
        <w:tab/>
      </w:r>
      <w:r w:rsidRPr="005508BF">
        <w:rPr>
          <w:rFonts w:cs="Times New Roman"/>
          <w:szCs w:val="24"/>
        </w:rPr>
        <w:tab/>
        <w:t>Rwanda.</w:t>
      </w:r>
      <w:proofErr w:type="gramEnd"/>
      <w:r w:rsidRPr="005508BF">
        <w:rPr>
          <w:rFonts w:cs="Times New Roman"/>
          <w:szCs w:val="24"/>
        </w:rPr>
        <w:t xml:space="preserve"> Http://Dr.Ur.Ac.Rw/Bitstream/Handle/123456789/677/By%20uwingabiye%20marie%20jeanne.Pdf?Sequence=1&amp;Isallowed=Y</w:t>
      </w:r>
    </w:p>
    <w:p w14:paraId="4F4D39D0"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lastRenderedPageBreak/>
        <w:t>Kamau</w:t>
      </w:r>
      <w:proofErr w:type="spellEnd"/>
      <w:r w:rsidRPr="005508BF">
        <w:rPr>
          <w:rFonts w:cs="Times New Roman"/>
          <w:szCs w:val="24"/>
        </w:rPr>
        <w:t xml:space="preserve">, A. M., </w:t>
      </w:r>
      <w:proofErr w:type="spellStart"/>
      <w:r w:rsidRPr="005508BF">
        <w:rPr>
          <w:rFonts w:cs="Times New Roman"/>
          <w:szCs w:val="24"/>
        </w:rPr>
        <w:t>Olweny</w:t>
      </w:r>
      <w:proofErr w:type="spellEnd"/>
      <w:r w:rsidRPr="005508BF">
        <w:rPr>
          <w:rFonts w:cs="Times New Roman"/>
          <w:szCs w:val="24"/>
        </w:rPr>
        <w:t xml:space="preserve">, T., &amp; </w:t>
      </w:r>
      <w:proofErr w:type="spellStart"/>
      <w:r w:rsidRPr="005508BF">
        <w:rPr>
          <w:rFonts w:cs="Times New Roman"/>
          <w:szCs w:val="24"/>
        </w:rPr>
        <w:t>Muturi</w:t>
      </w:r>
      <w:proofErr w:type="spellEnd"/>
      <w:r w:rsidRPr="005508BF">
        <w:rPr>
          <w:rFonts w:cs="Times New Roman"/>
          <w:szCs w:val="24"/>
        </w:rPr>
        <w:t>, W. M. (2021).</w:t>
      </w:r>
      <w:proofErr w:type="gramEnd"/>
      <w:r w:rsidRPr="005508BF">
        <w:rPr>
          <w:rFonts w:cs="Times New Roman"/>
          <w:szCs w:val="24"/>
        </w:rPr>
        <w:t xml:space="preserve"> </w:t>
      </w:r>
      <w:proofErr w:type="gramStart"/>
      <w:r w:rsidRPr="005508BF">
        <w:rPr>
          <w:rFonts w:cs="Times New Roman"/>
          <w:szCs w:val="24"/>
        </w:rPr>
        <w:t>Financial Performance of Insurance Firms.</w:t>
      </w:r>
      <w:proofErr w:type="gramEnd"/>
      <w:r w:rsidRPr="005508BF">
        <w:rPr>
          <w:rFonts w:cs="Times New Roman"/>
          <w:szCs w:val="24"/>
        </w:rPr>
        <w:t xml:space="preserve"> Does Leverage and Liquidity Matter? </w:t>
      </w:r>
      <w:proofErr w:type="gramStart"/>
      <w:r w:rsidRPr="005508BF">
        <w:rPr>
          <w:rFonts w:cs="Times New Roman"/>
          <w:szCs w:val="24"/>
        </w:rPr>
        <w:t>Evidence from Kenya.</w:t>
      </w:r>
      <w:proofErr w:type="gramEnd"/>
      <w:r w:rsidRPr="005508BF">
        <w:rPr>
          <w:rFonts w:cs="Times New Roman"/>
          <w:szCs w:val="24"/>
        </w:rPr>
        <w:t xml:space="preserve"> Eastern Journal of Economics and Finance, 6(1), 1-14.</w:t>
      </w:r>
    </w:p>
    <w:p w14:paraId="60AFC890"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Karimi</w:t>
      </w:r>
      <w:proofErr w:type="spellEnd"/>
      <w:r w:rsidRPr="005508BF">
        <w:rPr>
          <w:rFonts w:cs="Times New Roman"/>
          <w:szCs w:val="24"/>
        </w:rPr>
        <w:t xml:space="preserve">, J. W., &amp; </w:t>
      </w:r>
      <w:proofErr w:type="spellStart"/>
      <w:r w:rsidRPr="005508BF">
        <w:rPr>
          <w:rFonts w:cs="Times New Roman"/>
          <w:szCs w:val="24"/>
        </w:rPr>
        <w:t>Wanjohi</w:t>
      </w:r>
      <w:proofErr w:type="spellEnd"/>
      <w:r w:rsidRPr="005508BF">
        <w:rPr>
          <w:rFonts w:cs="Times New Roman"/>
          <w:szCs w:val="24"/>
        </w:rPr>
        <w:t>, F. M. (2024).</w:t>
      </w:r>
      <w:proofErr w:type="gramEnd"/>
      <w:r w:rsidRPr="005508BF">
        <w:rPr>
          <w:rFonts w:cs="Times New Roman"/>
          <w:szCs w:val="24"/>
        </w:rPr>
        <w:t xml:space="preserve"> </w:t>
      </w:r>
      <w:proofErr w:type="gramStart"/>
      <w:r w:rsidRPr="005508BF">
        <w:rPr>
          <w:rFonts w:cs="Times New Roman"/>
          <w:szCs w:val="24"/>
        </w:rPr>
        <w:t>Tax incentives and financial performance of manufacturing firms in Nairobi City County Kenya.</w:t>
      </w:r>
      <w:proofErr w:type="gramEnd"/>
      <w:r w:rsidRPr="005508BF">
        <w:rPr>
          <w:rFonts w:cs="Times New Roman"/>
          <w:szCs w:val="24"/>
        </w:rPr>
        <w:t xml:space="preserve"> The Strategic Journal of Business &amp; Change Management, 11(2), 253–278. https://doi.org/10.61426/sjbcm.v11i2.2907</w:t>
      </w:r>
    </w:p>
    <w:p w14:paraId="52AE1AA5"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Kariuki</w:t>
      </w:r>
      <w:proofErr w:type="spellEnd"/>
      <w:r w:rsidRPr="005508BF">
        <w:rPr>
          <w:rFonts w:cs="Times New Roman"/>
          <w:szCs w:val="24"/>
        </w:rPr>
        <w:t xml:space="preserve">, C. (2023). </w:t>
      </w:r>
      <w:proofErr w:type="gramStart"/>
      <w:r w:rsidRPr="005508BF">
        <w:rPr>
          <w:rFonts w:cs="Times New Roman"/>
          <w:szCs w:val="24"/>
        </w:rPr>
        <w:t>Effect of corporate taxation on investor attraction of listed manufacturing firms in Kenya (Doctoral dissertation, Thesis, Strathmore University).</w:t>
      </w:r>
      <w:proofErr w:type="gramEnd"/>
    </w:p>
    <w:p w14:paraId="7C412014"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Kariuki</w:t>
      </w:r>
      <w:proofErr w:type="spellEnd"/>
      <w:r w:rsidRPr="005508BF">
        <w:rPr>
          <w:rFonts w:cs="Times New Roman"/>
          <w:szCs w:val="24"/>
        </w:rPr>
        <w:t>, S. (2017).</w:t>
      </w:r>
      <w:proofErr w:type="gramEnd"/>
      <w:r w:rsidRPr="005508BF">
        <w:rPr>
          <w:rFonts w:cs="Times New Roman"/>
          <w:szCs w:val="24"/>
        </w:rPr>
        <w:t xml:space="preserve"> </w:t>
      </w:r>
      <w:proofErr w:type="gramStart"/>
      <w:r w:rsidRPr="005508BF">
        <w:rPr>
          <w:rFonts w:cs="Times New Roman"/>
          <w:szCs w:val="24"/>
        </w:rPr>
        <w:t>The effect of corporate tax planning on the financial performance of listed companies in Kenya (Doctoral dissertation, University of Nairobi).</w:t>
      </w:r>
      <w:proofErr w:type="gramEnd"/>
    </w:p>
    <w:p w14:paraId="69788DE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Karugu</w:t>
      </w:r>
      <w:proofErr w:type="spellEnd"/>
      <w:r w:rsidRPr="005508BF">
        <w:rPr>
          <w:rFonts w:cs="Times New Roman"/>
          <w:szCs w:val="24"/>
        </w:rPr>
        <w:t xml:space="preserve">, J. G. (2021). </w:t>
      </w:r>
      <w:proofErr w:type="gramStart"/>
      <w:r w:rsidRPr="005508BF">
        <w:rPr>
          <w:rFonts w:cs="Times New Roman"/>
          <w:szCs w:val="24"/>
        </w:rPr>
        <w:t>Impact of Taxation on the Cost of Business Operations among Small and Medium Enterprises in Nairobi County, Kenya.</w:t>
      </w:r>
      <w:proofErr w:type="gramEnd"/>
      <w:r w:rsidRPr="005508BF">
        <w:rPr>
          <w:rFonts w:cs="Times New Roman"/>
          <w:szCs w:val="24"/>
        </w:rPr>
        <w:t xml:space="preserve"> </w:t>
      </w:r>
      <w:proofErr w:type="gramStart"/>
      <w:r w:rsidRPr="005508BF">
        <w:rPr>
          <w:rFonts w:cs="Times New Roman"/>
          <w:szCs w:val="24"/>
        </w:rPr>
        <w:t>The International Journal of Business &amp; Management, 9(11).</w:t>
      </w:r>
      <w:proofErr w:type="gramEnd"/>
      <w:r w:rsidRPr="005508BF">
        <w:rPr>
          <w:rFonts w:cs="Times New Roman"/>
          <w:szCs w:val="24"/>
        </w:rPr>
        <w:t xml:space="preserve"> https://doi.org/10.24940/theijbm/2021/v9/i11/bm2107-043</w:t>
      </w:r>
    </w:p>
    <w:p w14:paraId="50E9EE9A"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Association of Manufacturers (KAM).</w:t>
      </w:r>
      <w:proofErr w:type="gramEnd"/>
      <w:r w:rsidRPr="005508BF">
        <w:rPr>
          <w:rFonts w:cs="Times New Roman"/>
          <w:szCs w:val="24"/>
        </w:rPr>
        <w:t xml:space="preserve"> (2021). VAT refund claims by manufacturers: Policy brief. https://kam.co.ke</w:t>
      </w:r>
    </w:p>
    <w:p w14:paraId="39736F8C"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Association of Manufacturers (KAM).</w:t>
      </w:r>
      <w:proofErr w:type="gramEnd"/>
      <w:r w:rsidRPr="005508BF">
        <w:rPr>
          <w:rFonts w:cs="Times New Roman"/>
          <w:szCs w:val="24"/>
        </w:rPr>
        <w:t xml:space="preserve"> </w:t>
      </w:r>
      <w:proofErr w:type="gramStart"/>
      <w:r w:rsidRPr="005508BF">
        <w:rPr>
          <w:rFonts w:cs="Times New Roman"/>
          <w:szCs w:val="24"/>
        </w:rPr>
        <w:t>(2022). Manufacturing Priority Agenda 2022.</w:t>
      </w:r>
      <w:proofErr w:type="gramEnd"/>
      <w:r w:rsidRPr="005508BF">
        <w:rPr>
          <w:rFonts w:cs="Times New Roman"/>
          <w:szCs w:val="24"/>
        </w:rPr>
        <w:t xml:space="preserve"> https://kam.co.ke/wp-content/uploads/2022/02/MANUFACTURING-PRIORITY-AGENDA-2022-Final-Copy.pdf</w:t>
      </w:r>
    </w:p>
    <w:p w14:paraId="1C8B3364"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Association of Manufacturers (KAM).</w:t>
      </w:r>
      <w:proofErr w:type="gramEnd"/>
      <w:r w:rsidRPr="005508BF">
        <w:rPr>
          <w:rFonts w:cs="Times New Roman"/>
          <w:szCs w:val="24"/>
        </w:rPr>
        <w:t xml:space="preserve"> </w:t>
      </w:r>
      <w:proofErr w:type="gramStart"/>
      <w:r w:rsidRPr="005508BF">
        <w:rPr>
          <w:rFonts w:cs="Times New Roman"/>
          <w:szCs w:val="24"/>
        </w:rPr>
        <w:t>(2023). Annual Manufacturing Sector Report.</w:t>
      </w:r>
      <w:proofErr w:type="gramEnd"/>
      <w:r w:rsidRPr="005508BF">
        <w:rPr>
          <w:rFonts w:cs="Times New Roman"/>
          <w:szCs w:val="24"/>
        </w:rPr>
        <w:t xml:space="preserve"> https://kam.co.ke</w:t>
      </w:r>
    </w:p>
    <w:p w14:paraId="233F3B87"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Association of Manufacturers (KAM).</w:t>
      </w:r>
      <w:proofErr w:type="gramEnd"/>
      <w:r w:rsidRPr="005508BF">
        <w:rPr>
          <w:rFonts w:cs="Times New Roman"/>
          <w:szCs w:val="24"/>
        </w:rPr>
        <w:t xml:space="preserve"> </w:t>
      </w:r>
      <w:proofErr w:type="gramStart"/>
      <w:r w:rsidRPr="005508BF">
        <w:rPr>
          <w:rFonts w:cs="Times New Roman"/>
          <w:szCs w:val="24"/>
        </w:rPr>
        <w:t>(2023). Kenya Manufacturing Industry Survey Report 2023.</w:t>
      </w:r>
      <w:proofErr w:type="gramEnd"/>
      <w:r w:rsidRPr="005508BF">
        <w:rPr>
          <w:rFonts w:cs="Times New Roman"/>
          <w:szCs w:val="24"/>
        </w:rPr>
        <w:t xml:space="preserve"> Nairobi: Kenya Association of Manufacturers.</w:t>
      </w:r>
    </w:p>
    <w:p w14:paraId="4BDB665C"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National Bureau of Statistics (KNBS).</w:t>
      </w:r>
      <w:proofErr w:type="gramEnd"/>
      <w:r w:rsidRPr="005508BF">
        <w:rPr>
          <w:rFonts w:cs="Times New Roman"/>
          <w:szCs w:val="24"/>
        </w:rPr>
        <w:t xml:space="preserve"> </w:t>
      </w:r>
      <w:proofErr w:type="gramStart"/>
      <w:r w:rsidRPr="005508BF">
        <w:rPr>
          <w:rFonts w:cs="Times New Roman"/>
          <w:szCs w:val="24"/>
        </w:rPr>
        <w:t>(2021). Economic Survey 2021.</w:t>
      </w:r>
      <w:proofErr w:type="gramEnd"/>
      <w:r w:rsidRPr="005508BF">
        <w:rPr>
          <w:rFonts w:cs="Times New Roman"/>
          <w:szCs w:val="24"/>
        </w:rPr>
        <w:t xml:space="preserve"> https://www.knbs.or.ke/?wpdmpro=economic-survey-2021</w:t>
      </w:r>
    </w:p>
    <w:p w14:paraId="3AF2B9BA"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National Bureau of Statistics (KNBS).</w:t>
      </w:r>
      <w:proofErr w:type="gramEnd"/>
      <w:r w:rsidRPr="005508BF">
        <w:rPr>
          <w:rFonts w:cs="Times New Roman"/>
          <w:szCs w:val="24"/>
        </w:rPr>
        <w:t xml:space="preserve"> </w:t>
      </w:r>
      <w:proofErr w:type="gramStart"/>
      <w:r w:rsidRPr="005508BF">
        <w:rPr>
          <w:rFonts w:cs="Times New Roman"/>
          <w:szCs w:val="24"/>
        </w:rPr>
        <w:t>(2023). Economic survey 2023.</w:t>
      </w:r>
      <w:proofErr w:type="gramEnd"/>
      <w:r w:rsidRPr="005508BF">
        <w:rPr>
          <w:rFonts w:cs="Times New Roman"/>
          <w:szCs w:val="24"/>
        </w:rPr>
        <w:t xml:space="preserve"> Nairobi: Government of Kenya. Retrieved from https://www.knbs.or.ke</w:t>
      </w:r>
    </w:p>
    <w:p w14:paraId="0CCBFA67"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National Bureau of Statistics (KNBS).</w:t>
      </w:r>
      <w:proofErr w:type="gramEnd"/>
      <w:r w:rsidRPr="005508BF">
        <w:rPr>
          <w:rFonts w:cs="Times New Roman"/>
          <w:szCs w:val="24"/>
        </w:rPr>
        <w:t xml:space="preserve"> </w:t>
      </w:r>
      <w:proofErr w:type="gramStart"/>
      <w:r w:rsidRPr="005508BF">
        <w:rPr>
          <w:rFonts w:cs="Times New Roman"/>
          <w:szCs w:val="24"/>
        </w:rPr>
        <w:t>(2023). Economic survey 2023.</w:t>
      </w:r>
      <w:proofErr w:type="gramEnd"/>
      <w:r w:rsidRPr="005508BF">
        <w:rPr>
          <w:rFonts w:cs="Times New Roman"/>
          <w:szCs w:val="24"/>
        </w:rPr>
        <w:t xml:space="preserve"> Nairobi: Government of Kenya. https://www.knbs.or.ke</w:t>
      </w:r>
    </w:p>
    <w:p w14:paraId="0851EF21"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Kenya Revenue Authority (KRA).</w:t>
      </w:r>
      <w:proofErr w:type="gramEnd"/>
      <w:r w:rsidRPr="005508BF">
        <w:rPr>
          <w:rFonts w:cs="Times New Roman"/>
          <w:szCs w:val="24"/>
        </w:rPr>
        <w:t xml:space="preserve"> </w:t>
      </w:r>
      <w:proofErr w:type="gramStart"/>
      <w:r w:rsidRPr="005508BF">
        <w:rPr>
          <w:rFonts w:cs="Times New Roman"/>
          <w:szCs w:val="24"/>
        </w:rPr>
        <w:t>(2022). Corporate tax rates in Kenya.</w:t>
      </w:r>
      <w:proofErr w:type="gramEnd"/>
      <w:r w:rsidRPr="005508BF">
        <w:rPr>
          <w:rFonts w:cs="Times New Roman"/>
          <w:szCs w:val="24"/>
        </w:rPr>
        <w:t xml:space="preserve"> Retrieved from https://www.kra.go.ke</w:t>
      </w:r>
    </w:p>
    <w:p w14:paraId="4A4F70D2"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Kimani</w:t>
      </w:r>
      <w:proofErr w:type="spellEnd"/>
      <w:r w:rsidRPr="005508BF">
        <w:rPr>
          <w:rFonts w:cs="Times New Roman"/>
          <w:szCs w:val="24"/>
        </w:rPr>
        <w:t xml:space="preserve">, P. G. (2023). Determinants </w:t>
      </w:r>
      <w:proofErr w:type="gramStart"/>
      <w:r w:rsidRPr="005508BF">
        <w:rPr>
          <w:rFonts w:cs="Times New Roman"/>
          <w:szCs w:val="24"/>
        </w:rPr>
        <w:t>Of</w:t>
      </w:r>
      <w:proofErr w:type="gramEnd"/>
      <w:r w:rsidRPr="005508BF">
        <w:rPr>
          <w:rFonts w:cs="Times New Roman"/>
          <w:szCs w:val="24"/>
        </w:rPr>
        <w:t xml:space="preserve"> Financial Performance of General Insurance Companies in Kenya. Kcau.ac.ke. https://repository.kcau.ac.ke/handle/123456789/1483</w:t>
      </w:r>
    </w:p>
    <w:p w14:paraId="64A80C17"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Kothari, C. R. (2011). Research Methodology: Methods and Techniques (2nd </w:t>
      </w:r>
      <w:proofErr w:type="gramStart"/>
      <w:r w:rsidRPr="005508BF">
        <w:rPr>
          <w:rFonts w:cs="Times New Roman"/>
          <w:szCs w:val="24"/>
        </w:rPr>
        <w:t>ed</w:t>
      </w:r>
      <w:proofErr w:type="gramEnd"/>
      <w:r w:rsidRPr="005508BF">
        <w:rPr>
          <w:rFonts w:cs="Times New Roman"/>
          <w:szCs w:val="24"/>
        </w:rPr>
        <w:t xml:space="preserve">.). </w:t>
      </w:r>
      <w:proofErr w:type="gramStart"/>
      <w:r w:rsidRPr="005508BF">
        <w:rPr>
          <w:rFonts w:cs="Times New Roman"/>
          <w:szCs w:val="24"/>
        </w:rPr>
        <w:t>New Age International.</w:t>
      </w:r>
      <w:proofErr w:type="gramEnd"/>
    </w:p>
    <w:p w14:paraId="1DE4CC76"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Laffer</w:t>
      </w:r>
      <w:proofErr w:type="spellEnd"/>
      <w:r w:rsidRPr="005508BF">
        <w:rPr>
          <w:rFonts w:cs="Times New Roman"/>
          <w:szCs w:val="24"/>
        </w:rPr>
        <w:t xml:space="preserve">, A. (2004). The </w:t>
      </w:r>
      <w:proofErr w:type="spellStart"/>
      <w:r w:rsidRPr="005508BF">
        <w:rPr>
          <w:rFonts w:cs="Times New Roman"/>
          <w:szCs w:val="24"/>
        </w:rPr>
        <w:t>Laffer</w:t>
      </w:r>
      <w:proofErr w:type="spellEnd"/>
      <w:r w:rsidRPr="005508BF">
        <w:rPr>
          <w:rFonts w:cs="Times New Roman"/>
          <w:szCs w:val="24"/>
        </w:rPr>
        <w:t xml:space="preserve"> </w:t>
      </w:r>
      <w:proofErr w:type="gramStart"/>
      <w:r w:rsidRPr="005508BF">
        <w:rPr>
          <w:rFonts w:cs="Times New Roman"/>
          <w:szCs w:val="24"/>
        </w:rPr>
        <w:t>Curve</w:t>
      </w:r>
      <w:proofErr w:type="gramEnd"/>
      <w:r w:rsidRPr="005508BF">
        <w:rPr>
          <w:rFonts w:cs="Times New Roman"/>
          <w:szCs w:val="24"/>
        </w:rPr>
        <w:t xml:space="preserve">: Past, Present, and Future. </w:t>
      </w:r>
      <w:proofErr w:type="gramStart"/>
      <w:r w:rsidRPr="005508BF">
        <w:rPr>
          <w:rFonts w:cs="Times New Roman"/>
          <w:szCs w:val="24"/>
        </w:rPr>
        <w:t>The Heritage Foundation.</w:t>
      </w:r>
      <w:proofErr w:type="gramEnd"/>
      <w:r w:rsidRPr="005508BF">
        <w:rPr>
          <w:rFonts w:cs="Times New Roman"/>
          <w:szCs w:val="24"/>
        </w:rPr>
        <w:t xml:space="preserve"> https://www.heritage.org/taxes/report/the-laffer-curve-past-present-and-future</w:t>
      </w:r>
    </w:p>
    <w:p w14:paraId="6D84993D"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Lee, Y., &amp; Gordon, R. H. (2005).</w:t>
      </w:r>
      <w:proofErr w:type="gramEnd"/>
      <w:r w:rsidRPr="005508BF">
        <w:rPr>
          <w:rFonts w:cs="Times New Roman"/>
          <w:szCs w:val="24"/>
        </w:rPr>
        <w:t xml:space="preserve"> </w:t>
      </w:r>
      <w:proofErr w:type="gramStart"/>
      <w:r w:rsidRPr="005508BF">
        <w:rPr>
          <w:rFonts w:cs="Times New Roman"/>
          <w:szCs w:val="24"/>
        </w:rPr>
        <w:t>Tax Structure and Economic Growth.</w:t>
      </w:r>
      <w:proofErr w:type="gramEnd"/>
      <w:r w:rsidRPr="005508BF">
        <w:rPr>
          <w:rFonts w:cs="Times New Roman"/>
          <w:szCs w:val="24"/>
        </w:rPr>
        <w:t xml:space="preserve"> Journal of Public Economics, 89(5-6), 1027–1043.</w:t>
      </w:r>
    </w:p>
    <w:p w14:paraId="12F7B937"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lastRenderedPageBreak/>
        <w:t xml:space="preserve">Liu, X., Fang, H., Zhao, L., &amp; </w:t>
      </w:r>
      <w:proofErr w:type="spellStart"/>
      <w:r w:rsidRPr="005508BF">
        <w:rPr>
          <w:rFonts w:cs="Times New Roman"/>
          <w:szCs w:val="24"/>
        </w:rPr>
        <w:t>Xu</w:t>
      </w:r>
      <w:proofErr w:type="spellEnd"/>
      <w:r w:rsidRPr="005508BF">
        <w:rPr>
          <w:rFonts w:cs="Times New Roman"/>
          <w:szCs w:val="24"/>
        </w:rPr>
        <w:t>, W. (2023).</w:t>
      </w:r>
      <w:proofErr w:type="gramEnd"/>
      <w:r w:rsidRPr="005508BF">
        <w:rPr>
          <w:rFonts w:cs="Times New Roman"/>
          <w:szCs w:val="24"/>
        </w:rPr>
        <w:t xml:space="preserve"> Do VAT cuts help stabilize employment? </w:t>
      </w:r>
      <w:proofErr w:type="gramStart"/>
      <w:r w:rsidRPr="005508BF">
        <w:rPr>
          <w:rFonts w:cs="Times New Roman"/>
          <w:szCs w:val="24"/>
        </w:rPr>
        <w:t>Evidence from China’s VAT rate reform.</w:t>
      </w:r>
      <w:proofErr w:type="gramEnd"/>
      <w:r w:rsidRPr="005508BF">
        <w:rPr>
          <w:rFonts w:cs="Times New Roman"/>
          <w:szCs w:val="24"/>
        </w:rPr>
        <w:t xml:space="preserve"> Economic Analysis and Policy, 28, Pages 190-207. https://doi.org/10.1016/j.eap.2023.03.005</w:t>
      </w:r>
    </w:p>
    <w:p w14:paraId="448936CA"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Maithya</w:t>
      </w:r>
      <w:proofErr w:type="spellEnd"/>
      <w:r w:rsidRPr="005508BF">
        <w:rPr>
          <w:rFonts w:cs="Times New Roman"/>
          <w:szCs w:val="24"/>
        </w:rPr>
        <w:t xml:space="preserve">, R. N., Abdul, F., &amp; Sang, P. (2020). I-tax adoption determinants and value added tax compliance among large corporate taxpayers in </w:t>
      </w:r>
      <w:proofErr w:type="spellStart"/>
      <w:proofErr w:type="gramStart"/>
      <w:r w:rsidRPr="005508BF">
        <w:rPr>
          <w:rFonts w:cs="Times New Roman"/>
          <w:szCs w:val="24"/>
        </w:rPr>
        <w:t>kenya</w:t>
      </w:r>
      <w:proofErr w:type="spellEnd"/>
      <w:proofErr w:type="gramEnd"/>
      <w:r w:rsidRPr="005508BF">
        <w:rPr>
          <w:rFonts w:cs="Times New Roman"/>
          <w:szCs w:val="24"/>
        </w:rPr>
        <w:t xml:space="preserve"> (Doctoral dissertation, Kenyatta University).</w:t>
      </w:r>
    </w:p>
    <w:p w14:paraId="5F07CBF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Matano</w:t>
      </w:r>
      <w:proofErr w:type="spellEnd"/>
      <w:r w:rsidRPr="005508BF">
        <w:rPr>
          <w:rFonts w:cs="Times New Roman"/>
          <w:szCs w:val="24"/>
        </w:rPr>
        <w:t>, E. (2021). The Effect of Tax Incentives on Performance of Manufacturing Firms in Nairobi, Kenya (Doctoral dissertation, University of Nairobi).</w:t>
      </w:r>
    </w:p>
    <w:p w14:paraId="49294BE7"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Matlala</w:t>
      </w:r>
      <w:proofErr w:type="spellEnd"/>
      <w:r w:rsidRPr="005508BF">
        <w:rPr>
          <w:rFonts w:cs="Times New Roman"/>
          <w:szCs w:val="24"/>
        </w:rPr>
        <w:t>, T. (2024).</w:t>
      </w:r>
      <w:proofErr w:type="gramEnd"/>
      <w:r w:rsidRPr="005508BF">
        <w:rPr>
          <w:rFonts w:cs="Times New Roman"/>
          <w:szCs w:val="24"/>
        </w:rPr>
        <w:t xml:space="preserve"> A South African perspective: Do excise duties imposed on tobacco products drive the illicit trade in tobacco products?</w:t>
      </w:r>
    </w:p>
    <w:p w14:paraId="5051B016"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Mayende</w:t>
      </w:r>
      <w:proofErr w:type="spellEnd"/>
      <w:r w:rsidRPr="005508BF">
        <w:rPr>
          <w:rFonts w:cs="Times New Roman"/>
          <w:szCs w:val="24"/>
        </w:rPr>
        <w:t>, S. (2013).</w:t>
      </w:r>
      <w:proofErr w:type="gramEnd"/>
      <w:r w:rsidRPr="005508BF">
        <w:rPr>
          <w:rFonts w:cs="Times New Roman"/>
          <w:szCs w:val="24"/>
        </w:rPr>
        <w:t xml:space="preserve"> The Effects of Tax Incentives on Firm Performance: Evidence from Uganda. </w:t>
      </w:r>
      <w:proofErr w:type="gramStart"/>
      <w:r w:rsidRPr="005508BF">
        <w:rPr>
          <w:rFonts w:cs="Times New Roman"/>
          <w:szCs w:val="24"/>
        </w:rPr>
        <w:t>Journal of Politics and Law, 6(4).</w:t>
      </w:r>
      <w:proofErr w:type="gramEnd"/>
      <w:r w:rsidRPr="005508BF">
        <w:rPr>
          <w:rFonts w:cs="Times New Roman"/>
          <w:szCs w:val="24"/>
        </w:rPr>
        <w:t xml:space="preserve"> https://doi.org/10.5539/jpl.v6n4p95</w:t>
      </w:r>
    </w:p>
    <w:p w14:paraId="68DD2DA8"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Mdasha</w:t>
      </w:r>
      <w:proofErr w:type="spellEnd"/>
      <w:r w:rsidRPr="005508BF">
        <w:rPr>
          <w:rFonts w:cs="Times New Roman"/>
          <w:szCs w:val="24"/>
        </w:rPr>
        <w:t xml:space="preserve">, Z., </w:t>
      </w:r>
      <w:proofErr w:type="spellStart"/>
      <w:r w:rsidRPr="005508BF">
        <w:rPr>
          <w:rFonts w:cs="Times New Roman"/>
          <w:szCs w:val="24"/>
        </w:rPr>
        <w:t>Kariuki</w:t>
      </w:r>
      <w:proofErr w:type="spellEnd"/>
      <w:r w:rsidRPr="005508BF">
        <w:rPr>
          <w:rFonts w:cs="Times New Roman"/>
          <w:szCs w:val="24"/>
        </w:rPr>
        <w:t xml:space="preserve">, P., &amp; </w:t>
      </w:r>
      <w:proofErr w:type="spellStart"/>
      <w:r w:rsidRPr="005508BF">
        <w:rPr>
          <w:rFonts w:cs="Times New Roman"/>
          <w:szCs w:val="24"/>
        </w:rPr>
        <w:t>Wanjohi</w:t>
      </w:r>
      <w:proofErr w:type="spellEnd"/>
      <w:r w:rsidRPr="005508BF">
        <w:rPr>
          <w:rFonts w:cs="Times New Roman"/>
          <w:szCs w:val="24"/>
        </w:rPr>
        <w:t>, P. (2024).</w:t>
      </w:r>
      <w:proofErr w:type="gramEnd"/>
      <w:r w:rsidRPr="005508BF">
        <w:rPr>
          <w:rFonts w:cs="Times New Roman"/>
          <w:szCs w:val="24"/>
        </w:rPr>
        <w:t xml:space="preserve"> </w:t>
      </w:r>
      <w:proofErr w:type="gramStart"/>
      <w:r w:rsidRPr="005508BF">
        <w:rPr>
          <w:rFonts w:cs="Times New Roman"/>
          <w:szCs w:val="24"/>
        </w:rPr>
        <w:t>environmental</w:t>
      </w:r>
      <w:proofErr w:type="gramEnd"/>
      <w:r w:rsidRPr="005508BF">
        <w:rPr>
          <w:rFonts w:cs="Times New Roman"/>
          <w:szCs w:val="24"/>
        </w:rPr>
        <w:t xml:space="preserve"> regulations compliance and performance of large manufacturing firms in Kenya. </w:t>
      </w:r>
      <w:proofErr w:type="gramStart"/>
      <w:r w:rsidRPr="005508BF">
        <w:rPr>
          <w:rFonts w:cs="Times New Roman"/>
          <w:szCs w:val="24"/>
        </w:rPr>
        <w:t>African Journal of Emerging Issues (AJOEI).</w:t>
      </w:r>
      <w:proofErr w:type="gramEnd"/>
      <w:r w:rsidRPr="005508BF">
        <w:rPr>
          <w:rFonts w:cs="Times New Roman"/>
          <w:szCs w:val="24"/>
        </w:rPr>
        <w:t xml:space="preserve"> Online ISSN: 2663-9335, </w:t>
      </w:r>
      <w:proofErr w:type="spellStart"/>
      <w:r w:rsidRPr="005508BF">
        <w:rPr>
          <w:rFonts w:cs="Times New Roman"/>
          <w:szCs w:val="24"/>
        </w:rPr>
        <w:t>Vol</w:t>
      </w:r>
      <w:proofErr w:type="spellEnd"/>
      <w:r w:rsidRPr="005508BF">
        <w:rPr>
          <w:rFonts w:cs="Times New Roman"/>
          <w:szCs w:val="24"/>
        </w:rPr>
        <w:t xml:space="preserve"> (6), Issue 3, Pg. 23-43. http://www.ajoeijournals.org</w:t>
      </w:r>
    </w:p>
    <w:p w14:paraId="082D74EE"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Modigliani, F., &amp; Miller, M. H. (1963).</w:t>
      </w:r>
      <w:proofErr w:type="gramEnd"/>
      <w:r w:rsidRPr="005508BF">
        <w:rPr>
          <w:rFonts w:cs="Times New Roman"/>
          <w:szCs w:val="24"/>
        </w:rPr>
        <w:t xml:space="preserve"> Corporate income taxes and the cost of capital: A correction. The American Economic Review, 53(3), 433–443. https://www.jstor.org/stable/1809167</w:t>
      </w:r>
    </w:p>
    <w:p w14:paraId="52EB7B58"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Mugenda</w:t>
      </w:r>
      <w:proofErr w:type="spellEnd"/>
      <w:r w:rsidRPr="005508BF">
        <w:rPr>
          <w:rFonts w:cs="Times New Roman"/>
          <w:szCs w:val="24"/>
        </w:rPr>
        <w:t xml:space="preserve">, O. M., &amp; </w:t>
      </w:r>
      <w:proofErr w:type="spellStart"/>
      <w:r w:rsidRPr="005508BF">
        <w:rPr>
          <w:rFonts w:cs="Times New Roman"/>
          <w:szCs w:val="24"/>
        </w:rPr>
        <w:t>Mugenda</w:t>
      </w:r>
      <w:proofErr w:type="spellEnd"/>
      <w:r w:rsidRPr="005508BF">
        <w:rPr>
          <w:rFonts w:cs="Times New Roman"/>
          <w:szCs w:val="24"/>
        </w:rPr>
        <w:t>, A. G. (2003).</w:t>
      </w:r>
      <w:proofErr w:type="gramEnd"/>
      <w:r w:rsidRPr="005508BF">
        <w:rPr>
          <w:rFonts w:cs="Times New Roman"/>
          <w:szCs w:val="24"/>
        </w:rPr>
        <w:t xml:space="preserve"> Research Methods: Quantitative and Qualitative Approaches. Acts Press.</w:t>
      </w:r>
    </w:p>
    <w:p w14:paraId="2EE7B13E"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Mukui</w:t>
      </w:r>
      <w:proofErr w:type="spellEnd"/>
      <w:r w:rsidRPr="005508BF">
        <w:rPr>
          <w:rFonts w:cs="Times New Roman"/>
          <w:szCs w:val="24"/>
        </w:rPr>
        <w:t xml:space="preserve">, N. (2022). </w:t>
      </w:r>
      <w:proofErr w:type="gramStart"/>
      <w:r w:rsidRPr="005508BF">
        <w:rPr>
          <w:rFonts w:cs="Times New Roman"/>
          <w:szCs w:val="24"/>
        </w:rPr>
        <w:t>Effect of Operational Efficiency on Financial Performance of Manufacturing Firms Listed at the Nairobi Securities Exchange, Kenya (Doctoral dissertation, University of Nairobi).</w:t>
      </w:r>
      <w:proofErr w:type="gramEnd"/>
    </w:p>
    <w:p w14:paraId="09875BF0"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Mumo</w:t>
      </w:r>
      <w:proofErr w:type="spellEnd"/>
      <w:r w:rsidRPr="005508BF">
        <w:rPr>
          <w:rFonts w:cs="Times New Roman"/>
          <w:szCs w:val="24"/>
        </w:rPr>
        <w:t xml:space="preserve">, S. M. (2019). Firm characteristics and value added tax compliance on construction firms in Kenya: a survey of </w:t>
      </w:r>
      <w:proofErr w:type="spellStart"/>
      <w:r w:rsidRPr="005508BF">
        <w:rPr>
          <w:rFonts w:cs="Times New Roman"/>
          <w:szCs w:val="24"/>
        </w:rPr>
        <w:t>Starehe</w:t>
      </w:r>
      <w:proofErr w:type="spellEnd"/>
      <w:r w:rsidRPr="005508BF">
        <w:rPr>
          <w:rFonts w:cs="Times New Roman"/>
          <w:szCs w:val="24"/>
        </w:rPr>
        <w:t xml:space="preserve"> sub-county, Nairobi Kenya.</w:t>
      </w:r>
    </w:p>
    <w:p w14:paraId="28DEB372"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Mushunje</w:t>
      </w:r>
      <w:proofErr w:type="spellEnd"/>
      <w:r w:rsidRPr="005508BF">
        <w:rPr>
          <w:rFonts w:cs="Times New Roman"/>
          <w:szCs w:val="24"/>
        </w:rPr>
        <w:t xml:space="preserve">, L. (2023). </w:t>
      </w:r>
      <w:proofErr w:type="gramStart"/>
      <w:r w:rsidRPr="005508BF">
        <w:rPr>
          <w:rFonts w:cs="Times New Roman"/>
          <w:szCs w:val="24"/>
        </w:rPr>
        <w:t>Capturing the Tax-Revenue Bracketing System via a predator-prey model: Evidence from South Africa.</w:t>
      </w:r>
      <w:proofErr w:type="gramEnd"/>
      <w:r w:rsidRPr="005508BF">
        <w:rPr>
          <w:rFonts w:cs="Times New Roman"/>
          <w:szCs w:val="24"/>
        </w:rPr>
        <w:t xml:space="preserve"> </w:t>
      </w:r>
      <w:proofErr w:type="spellStart"/>
      <w:proofErr w:type="gramStart"/>
      <w:r w:rsidRPr="005508BF">
        <w:rPr>
          <w:rFonts w:cs="Times New Roman"/>
          <w:szCs w:val="24"/>
        </w:rPr>
        <w:t>arXiv</w:t>
      </w:r>
      <w:proofErr w:type="spellEnd"/>
      <w:proofErr w:type="gramEnd"/>
      <w:r w:rsidRPr="005508BF">
        <w:rPr>
          <w:rFonts w:cs="Times New Roman"/>
          <w:szCs w:val="24"/>
        </w:rPr>
        <w:t xml:space="preserve"> preprint arXiv:2401.13686.</w:t>
      </w:r>
    </w:p>
    <w:p w14:paraId="0296EB2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Musyoka</w:t>
      </w:r>
      <w:proofErr w:type="spellEnd"/>
      <w:r w:rsidRPr="005508BF">
        <w:rPr>
          <w:rFonts w:cs="Times New Roman"/>
          <w:szCs w:val="24"/>
        </w:rPr>
        <w:t>, N. N. (2019). Effect of tax reforms on voluntary tax compliance among small and medium enterprises in Kenya: a case of Nairobi County (Doctoral dissertation, Strathmore University).</w:t>
      </w:r>
    </w:p>
    <w:p w14:paraId="72C8806C"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Mutua</w:t>
      </w:r>
      <w:proofErr w:type="spellEnd"/>
      <w:r w:rsidRPr="005508BF">
        <w:rPr>
          <w:rFonts w:cs="Times New Roman"/>
          <w:szCs w:val="24"/>
        </w:rPr>
        <w:t xml:space="preserve">, L. M., &amp; </w:t>
      </w:r>
      <w:proofErr w:type="spellStart"/>
      <w:r w:rsidRPr="005508BF">
        <w:rPr>
          <w:rFonts w:cs="Times New Roman"/>
          <w:szCs w:val="24"/>
        </w:rPr>
        <w:t>Atheru</w:t>
      </w:r>
      <w:proofErr w:type="spellEnd"/>
      <w:r w:rsidRPr="005508BF">
        <w:rPr>
          <w:rFonts w:cs="Times New Roman"/>
          <w:szCs w:val="24"/>
        </w:rPr>
        <w:t>, G. K. (2020).</w:t>
      </w:r>
      <w:proofErr w:type="gramEnd"/>
      <w:r w:rsidRPr="005508BF">
        <w:rPr>
          <w:rFonts w:cs="Times New Roman"/>
          <w:szCs w:val="24"/>
        </w:rPr>
        <w:t xml:space="preserve"> Capital structure and financial performance of companies listed under manufacturing and allied sector at Nairobi Securities Exchange in Kenya. Journal of Finance and Accounting, 4(1), 25-38.</w:t>
      </w:r>
    </w:p>
    <w:p w14:paraId="10F3AB19"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Mwangi</w:t>
      </w:r>
      <w:proofErr w:type="spellEnd"/>
      <w:r w:rsidRPr="005508BF">
        <w:rPr>
          <w:rFonts w:cs="Times New Roman"/>
          <w:szCs w:val="24"/>
        </w:rPr>
        <w:t xml:space="preserve">, G. M., &amp; </w:t>
      </w:r>
      <w:proofErr w:type="spellStart"/>
      <w:r w:rsidRPr="005508BF">
        <w:rPr>
          <w:rFonts w:cs="Times New Roman"/>
          <w:szCs w:val="24"/>
        </w:rPr>
        <w:t>Gitau</w:t>
      </w:r>
      <w:proofErr w:type="spellEnd"/>
      <w:r w:rsidRPr="005508BF">
        <w:rPr>
          <w:rFonts w:cs="Times New Roman"/>
          <w:szCs w:val="24"/>
        </w:rPr>
        <w:t>, R. (2022).</w:t>
      </w:r>
      <w:proofErr w:type="gramEnd"/>
      <w:r w:rsidRPr="005508BF">
        <w:rPr>
          <w:rFonts w:cs="Times New Roman"/>
          <w:szCs w:val="24"/>
        </w:rPr>
        <w:t xml:space="preserve"> Effect </w:t>
      </w:r>
      <w:proofErr w:type="gramStart"/>
      <w:r w:rsidRPr="005508BF">
        <w:rPr>
          <w:rFonts w:cs="Times New Roman"/>
          <w:szCs w:val="24"/>
        </w:rPr>
        <w:t>Of</w:t>
      </w:r>
      <w:proofErr w:type="gramEnd"/>
      <w:r w:rsidRPr="005508BF">
        <w:rPr>
          <w:rFonts w:cs="Times New Roman"/>
          <w:szCs w:val="24"/>
        </w:rPr>
        <w:t xml:space="preserve"> Custom Duty Incentives On Financial Performance Of Manufacturing Companies In Kenya. </w:t>
      </w:r>
      <w:proofErr w:type="gramStart"/>
      <w:r w:rsidRPr="005508BF">
        <w:rPr>
          <w:rFonts w:cs="Times New Roman"/>
          <w:szCs w:val="24"/>
        </w:rPr>
        <w:t>European Journal of Economic and Financial Research, 6(4).</w:t>
      </w:r>
      <w:proofErr w:type="gramEnd"/>
      <w:r w:rsidRPr="005508BF">
        <w:rPr>
          <w:rFonts w:cs="Times New Roman"/>
          <w:szCs w:val="24"/>
        </w:rPr>
        <w:t xml:space="preserve"> https://doi.org/10.46827/ejefr.v6i4.1366</w:t>
      </w:r>
    </w:p>
    <w:p w14:paraId="6EF78BDC"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Mwangi</w:t>
      </w:r>
      <w:proofErr w:type="spellEnd"/>
      <w:r w:rsidRPr="005508BF">
        <w:rPr>
          <w:rFonts w:cs="Times New Roman"/>
          <w:szCs w:val="24"/>
        </w:rPr>
        <w:t xml:space="preserve">, G., </w:t>
      </w:r>
      <w:proofErr w:type="spellStart"/>
      <w:r w:rsidRPr="005508BF">
        <w:rPr>
          <w:rFonts w:cs="Times New Roman"/>
          <w:szCs w:val="24"/>
        </w:rPr>
        <w:t>Gitau</w:t>
      </w:r>
      <w:proofErr w:type="spellEnd"/>
      <w:r w:rsidRPr="005508BF">
        <w:rPr>
          <w:rFonts w:cs="Times New Roman"/>
          <w:szCs w:val="24"/>
        </w:rPr>
        <w:t xml:space="preserve">, R., &amp; </w:t>
      </w:r>
      <w:proofErr w:type="spellStart"/>
      <w:r w:rsidRPr="005508BF">
        <w:rPr>
          <w:rFonts w:cs="Times New Roman"/>
          <w:szCs w:val="24"/>
        </w:rPr>
        <w:t>Kung’u</w:t>
      </w:r>
      <w:proofErr w:type="spellEnd"/>
      <w:r w:rsidRPr="005508BF">
        <w:rPr>
          <w:rFonts w:cs="Times New Roman"/>
          <w:szCs w:val="24"/>
        </w:rPr>
        <w:t>, J. (2021).</w:t>
      </w:r>
      <w:proofErr w:type="gramEnd"/>
      <w:r w:rsidRPr="005508BF">
        <w:rPr>
          <w:rFonts w:cs="Times New Roman"/>
          <w:szCs w:val="24"/>
        </w:rPr>
        <w:t xml:space="preserve"> Influence of VAT incentives on financial performance of manufacturing companies in Kenya. Management and Economics Research Journal, 7(3), 1–6. https://www.researchgate.net/publication/354917018_Influence_of_VAT_Incentives_on_Financial_Performance_of_Manufacturing_Companies_in_Kenya</w:t>
      </w:r>
    </w:p>
    <w:p w14:paraId="29BD7674"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lastRenderedPageBreak/>
        <w:t>Ndungi</w:t>
      </w:r>
      <w:proofErr w:type="spellEnd"/>
      <w:r w:rsidRPr="005508BF">
        <w:rPr>
          <w:rFonts w:cs="Times New Roman"/>
          <w:szCs w:val="24"/>
        </w:rPr>
        <w:t xml:space="preserve"> </w:t>
      </w:r>
      <w:proofErr w:type="spellStart"/>
      <w:r w:rsidRPr="005508BF">
        <w:rPr>
          <w:rFonts w:cs="Times New Roman"/>
          <w:szCs w:val="24"/>
        </w:rPr>
        <w:t>Njoroge</w:t>
      </w:r>
      <w:proofErr w:type="spellEnd"/>
      <w:r w:rsidRPr="005508BF">
        <w:rPr>
          <w:rFonts w:cs="Times New Roman"/>
          <w:szCs w:val="24"/>
        </w:rPr>
        <w:t xml:space="preserve">, R. (2021). </w:t>
      </w:r>
      <w:proofErr w:type="gramStart"/>
      <w:r w:rsidRPr="005508BF">
        <w:rPr>
          <w:rFonts w:cs="Times New Roman"/>
          <w:szCs w:val="24"/>
        </w:rPr>
        <w:t xml:space="preserve">Effect of tax incentives on the performance of export processing zones enterprises in Mombasa County, Kenya (Doctoral dissertation, </w:t>
      </w:r>
      <w:proofErr w:type="spellStart"/>
      <w:r w:rsidRPr="005508BF">
        <w:rPr>
          <w:rFonts w:cs="Times New Roman"/>
          <w:szCs w:val="24"/>
        </w:rPr>
        <w:t>Moi</w:t>
      </w:r>
      <w:proofErr w:type="spellEnd"/>
      <w:r w:rsidRPr="005508BF">
        <w:rPr>
          <w:rFonts w:cs="Times New Roman"/>
          <w:szCs w:val="24"/>
        </w:rPr>
        <w:t xml:space="preserve"> University).</w:t>
      </w:r>
      <w:proofErr w:type="gramEnd"/>
    </w:p>
    <w:p w14:paraId="6475F99C"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Ngali</w:t>
      </w:r>
      <w:proofErr w:type="spellEnd"/>
      <w:r w:rsidRPr="005508BF">
        <w:rPr>
          <w:rFonts w:cs="Times New Roman"/>
          <w:szCs w:val="24"/>
        </w:rPr>
        <w:t xml:space="preserve">, J. I. (2020). </w:t>
      </w:r>
      <w:proofErr w:type="gramStart"/>
      <w:r w:rsidRPr="005508BF">
        <w:rPr>
          <w:rFonts w:cs="Times New Roman"/>
          <w:szCs w:val="24"/>
        </w:rPr>
        <w:t xml:space="preserve">Effect of Taxation on the Performance of Small and Medium Enterprises in </w:t>
      </w:r>
      <w:proofErr w:type="spellStart"/>
      <w:r w:rsidRPr="005508BF">
        <w:rPr>
          <w:rFonts w:cs="Times New Roman"/>
          <w:szCs w:val="24"/>
        </w:rPr>
        <w:t>Voi</w:t>
      </w:r>
      <w:proofErr w:type="spellEnd"/>
      <w:r w:rsidRPr="005508BF">
        <w:rPr>
          <w:rFonts w:cs="Times New Roman"/>
          <w:szCs w:val="24"/>
        </w:rPr>
        <w:t xml:space="preserve"> Town, Kenya (Doctoral dissertation, Masters Dissertation, Kenyatta University, Nairobi Kenya).</w:t>
      </w:r>
      <w:proofErr w:type="gramEnd"/>
    </w:p>
    <w:p w14:paraId="1CF5BBB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Nguyen, H., Pham, A., </w:t>
      </w:r>
      <w:proofErr w:type="spellStart"/>
      <w:r w:rsidRPr="005508BF">
        <w:rPr>
          <w:rFonts w:cs="Times New Roman"/>
          <w:szCs w:val="24"/>
        </w:rPr>
        <w:t>Duy</w:t>
      </w:r>
      <w:proofErr w:type="spellEnd"/>
      <w:r w:rsidRPr="005508BF">
        <w:rPr>
          <w:rFonts w:cs="Times New Roman"/>
          <w:szCs w:val="24"/>
        </w:rPr>
        <w:t>, M., &amp; Mia Hang Pham. (2023). Business resilience: Lessons from government responses to the global COVID-19 crisis. International Business Review, 32(5), 102166–102166. https://doi.org/10.1016/j.ibusrev.2023.102166</w:t>
      </w:r>
    </w:p>
    <w:p w14:paraId="1A2F912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Ochieng</w:t>
      </w:r>
      <w:proofErr w:type="spellEnd"/>
      <w:r w:rsidRPr="005508BF">
        <w:rPr>
          <w:rFonts w:cs="Times New Roman"/>
          <w:szCs w:val="24"/>
        </w:rPr>
        <w:t xml:space="preserve">, V. O. (2020). </w:t>
      </w:r>
      <w:proofErr w:type="gramStart"/>
      <w:r w:rsidRPr="005508BF">
        <w:rPr>
          <w:rFonts w:cs="Times New Roman"/>
          <w:szCs w:val="24"/>
        </w:rPr>
        <w:t>Effects of tax Incentives on the financial performance of Export Processing Zones Firms in Mombasa.</w:t>
      </w:r>
      <w:proofErr w:type="gramEnd"/>
      <w:r w:rsidRPr="005508BF">
        <w:rPr>
          <w:rFonts w:cs="Times New Roman"/>
          <w:szCs w:val="24"/>
        </w:rPr>
        <w:t xml:space="preserve"> </w:t>
      </w:r>
      <w:proofErr w:type="gramStart"/>
      <w:r w:rsidRPr="005508BF">
        <w:rPr>
          <w:rFonts w:cs="Times New Roman"/>
          <w:szCs w:val="24"/>
        </w:rPr>
        <w:t xml:space="preserve">Unpublished Thesis, </w:t>
      </w:r>
      <w:proofErr w:type="spellStart"/>
      <w:r w:rsidRPr="005508BF">
        <w:rPr>
          <w:rFonts w:cs="Times New Roman"/>
          <w:szCs w:val="24"/>
        </w:rPr>
        <w:t>Jomo</w:t>
      </w:r>
      <w:proofErr w:type="spellEnd"/>
      <w:r w:rsidRPr="005508BF">
        <w:rPr>
          <w:rFonts w:cs="Times New Roman"/>
          <w:szCs w:val="24"/>
        </w:rPr>
        <w:t xml:space="preserve"> Kenyatta University of Agriculture and Technology.</w:t>
      </w:r>
      <w:proofErr w:type="gramEnd"/>
    </w:p>
    <w:p w14:paraId="2DE17DE9"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OECD.</w:t>
      </w:r>
      <w:proofErr w:type="gramEnd"/>
      <w:r w:rsidRPr="005508BF">
        <w:rPr>
          <w:rFonts w:cs="Times New Roman"/>
          <w:szCs w:val="24"/>
        </w:rPr>
        <w:t xml:space="preserve"> (2022). Revenue statistics in Africa 2022: Kenya. </w:t>
      </w:r>
      <w:proofErr w:type="spellStart"/>
      <w:proofErr w:type="gramStart"/>
      <w:r w:rsidRPr="005508BF">
        <w:rPr>
          <w:rFonts w:cs="Times New Roman"/>
          <w:szCs w:val="24"/>
        </w:rPr>
        <w:t>Organisation</w:t>
      </w:r>
      <w:proofErr w:type="spellEnd"/>
      <w:r w:rsidRPr="005508BF">
        <w:rPr>
          <w:rFonts w:cs="Times New Roman"/>
          <w:szCs w:val="24"/>
        </w:rPr>
        <w:t xml:space="preserve"> for Economic Co-operation and Development.</w:t>
      </w:r>
      <w:proofErr w:type="gramEnd"/>
      <w:r w:rsidRPr="005508BF">
        <w:rPr>
          <w:rFonts w:cs="Times New Roman"/>
          <w:szCs w:val="24"/>
        </w:rPr>
        <w:t xml:space="preserve"> https://www.oecd.org/tax/revenue-statistics-in-africa-2022-kenya.pdf</w:t>
      </w:r>
    </w:p>
    <w:p w14:paraId="3EA81236"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Ogbonnaya</w:t>
      </w:r>
      <w:proofErr w:type="spellEnd"/>
      <w:r w:rsidRPr="005508BF">
        <w:rPr>
          <w:rFonts w:cs="Times New Roman"/>
          <w:szCs w:val="24"/>
        </w:rPr>
        <w:t xml:space="preserve">, I. O., &amp; </w:t>
      </w:r>
      <w:proofErr w:type="spellStart"/>
      <w:r w:rsidRPr="005508BF">
        <w:rPr>
          <w:rFonts w:cs="Times New Roman"/>
          <w:szCs w:val="24"/>
        </w:rPr>
        <w:t>Okereke</w:t>
      </w:r>
      <w:proofErr w:type="spellEnd"/>
      <w:r w:rsidRPr="005508BF">
        <w:rPr>
          <w:rFonts w:cs="Times New Roman"/>
          <w:szCs w:val="24"/>
        </w:rPr>
        <w:t>, I. E. (2022).</w:t>
      </w:r>
      <w:proofErr w:type="gramEnd"/>
      <w:r w:rsidRPr="005508BF">
        <w:rPr>
          <w:rFonts w:cs="Times New Roman"/>
          <w:szCs w:val="24"/>
        </w:rPr>
        <w:t xml:space="preserve"> Has Value Added Tax Exemption Been Effective? </w:t>
      </w:r>
      <w:proofErr w:type="gramStart"/>
      <w:r w:rsidRPr="005508BF">
        <w:rPr>
          <w:rFonts w:cs="Times New Roman"/>
          <w:szCs w:val="24"/>
        </w:rPr>
        <w:t>A Lesson from the Nigerian Manufacturing Sub-Sector.</w:t>
      </w:r>
      <w:proofErr w:type="gramEnd"/>
      <w:r w:rsidRPr="005508BF">
        <w:rPr>
          <w:rFonts w:cs="Times New Roman"/>
          <w:szCs w:val="24"/>
        </w:rPr>
        <w:t xml:space="preserve"> </w:t>
      </w:r>
      <w:proofErr w:type="gramStart"/>
      <w:r w:rsidRPr="005508BF">
        <w:rPr>
          <w:rFonts w:cs="Times New Roman"/>
          <w:szCs w:val="24"/>
        </w:rPr>
        <w:t>Caritas Journal of Management, Social Sciences and Humanities, 1(1).</w:t>
      </w:r>
      <w:proofErr w:type="gramEnd"/>
    </w:p>
    <w:p w14:paraId="50CF6ECB" w14:textId="77777777" w:rsidR="005508BF" w:rsidRPr="00BD7FD6" w:rsidRDefault="005508BF" w:rsidP="005508BF">
      <w:pPr>
        <w:tabs>
          <w:tab w:val="left" w:pos="3150"/>
        </w:tabs>
        <w:spacing w:line="240" w:lineRule="auto"/>
        <w:ind w:left="720" w:hanging="720"/>
        <w:rPr>
          <w:rFonts w:cs="Times New Roman"/>
          <w:szCs w:val="24"/>
          <w:lang w:val="es-US"/>
        </w:rPr>
      </w:pPr>
      <w:proofErr w:type="spellStart"/>
      <w:proofErr w:type="gramStart"/>
      <w:r w:rsidRPr="005508BF">
        <w:rPr>
          <w:rFonts w:cs="Times New Roman"/>
          <w:szCs w:val="24"/>
        </w:rPr>
        <w:t>Okereke</w:t>
      </w:r>
      <w:proofErr w:type="spellEnd"/>
      <w:r w:rsidRPr="005508BF">
        <w:rPr>
          <w:rFonts w:cs="Times New Roman"/>
          <w:szCs w:val="24"/>
        </w:rPr>
        <w:t xml:space="preserve"> </w:t>
      </w:r>
      <w:proofErr w:type="spellStart"/>
      <w:r w:rsidRPr="005508BF">
        <w:rPr>
          <w:rFonts w:cs="Times New Roman"/>
          <w:szCs w:val="24"/>
        </w:rPr>
        <w:t>Ikpo</w:t>
      </w:r>
      <w:proofErr w:type="spellEnd"/>
      <w:r w:rsidRPr="005508BF">
        <w:rPr>
          <w:rFonts w:cs="Times New Roman"/>
          <w:szCs w:val="24"/>
        </w:rPr>
        <w:t xml:space="preserve"> </w:t>
      </w:r>
      <w:proofErr w:type="spellStart"/>
      <w:r w:rsidRPr="005508BF">
        <w:rPr>
          <w:rFonts w:cs="Times New Roman"/>
          <w:szCs w:val="24"/>
        </w:rPr>
        <w:t>Igwe</w:t>
      </w:r>
      <w:proofErr w:type="spellEnd"/>
      <w:r w:rsidRPr="005508BF">
        <w:rPr>
          <w:rFonts w:cs="Times New Roman"/>
          <w:szCs w:val="24"/>
        </w:rPr>
        <w:t xml:space="preserve">, </w:t>
      </w:r>
      <w:proofErr w:type="spellStart"/>
      <w:r w:rsidRPr="005508BF">
        <w:rPr>
          <w:rFonts w:cs="Times New Roman"/>
          <w:szCs w:val="24"/>
        </w:rPr>
        <w:t>Juneth</w:t>
      </w:r>
      <w:proofErr w:type="spellEnd"/>
      <w:r w:rsidRPr="005508BF">
        <w:rPr>
          <w:rFonts w:cs="Times New Roman"/>
          <w:szCs w:val="24"/>
        </w:rPr>
        <w:t xml:space="preserve"> Lourdes </w:t>
      </w:r>
      <w:proofErr w:type="spellStart"/>
      <w:r w:rsidRPr="005508BF">
        <w:rPr>
          <w:rFonts w:cs="Times New Roman"/>
          <w:szCs w:val="24"/>
        </w:rPr>
        <w:t>Fiel</w:t>
      </w:r>
      <w:proofErr w:type="spellEnd"/>
      <w:r w:rsidRPr="005508BF">
        <w:rPr>
          <w:rFonts w:cs="Times New Roman"/>
          <w:szCs w:val="24"/>
        </w:rPr>
        <w:t>-Miranda, &amp; Miranda, A. T. (2023).</w:t>
      </w:r>
      <w:proofErr w:type="gramEnd"/>
      <w:r w:rsidRPr="005508BF">
        <w:rPr>
          <w:rFonts w:cs="Times New Roman"/>
          <w:szCs w:val="24"/>
        </w:rPr>
        <w:t xml:space="preserve"> </w:t>
      </w:r>
      <w:proofErr w:type="gramStart"/>
      <w:r w:rsidRPr="005508BF">
        <w:rPr>
          <w:rFonts w:cs="Times New Roman"/>
          <w:szCs w:val="24"/>
        </w:rPr>
        <w:t>Impact of Importation on Business performance of the Textile Industries in Nigeria.</w:t>
      </w:r>
      <w:proofErr w:type="gramEnd"/>
      <w:r w:rsidRPr="005508BF">
        <w:rPr>
          <w:rFonts w:cs="Times New Roman"/>
          <w:szCs w:val="24"/>
        </w:rPr>
        <w:t xml:space="preserve"> </w:t>
      </w:r>
      <w:r w:rsidRPr="00BD7FD6">
        <w:rPr>
          <w:rFonts w:cs="Times New Roman"/>
          <w:szCs w:val="24"/>
          <w:lang w:val="es-US"/>
        </w:rPr>
        <w:t>PACHA. Revista de Estudios Contemporáneos Del Sur Global, 4(12), e230200–e230200. https://doi.org/10.46652/pacha.v4i12.200</w:t>
      </w:r>
    </w:p>
    <w:p w14:paraId="40DA3F0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Omar, M. A. (2020). Effect of Value Added Tax on Financial Performance of Small and </w:t>
      </w:r>
      <w:proofErr w:type="spellStart"/>
      <w:r w:rsidRPr="005508BF">
        <w:rPr>
          <w:rFonts w:cs="Times New Roman"/>
          <w:szCs w:val="24"/>
        </w:rPr>
        <w:t>Meduim</w:t>
      </w:r>
      <w:proofErr w:type="spellEnd"/>
      <w:r w:rsidRPr="005508BF">
        <w:rPr>
          <w:rFonts w:cs="Times New Roman"/>
          <w:szCs w:val="24"/>
        </w:rPr>
        <w:t xml:space="preserve"> Enterprises in Mombasa County.</w:t>
      </w:r>
    </w:p>
    <w:p w14:paraId="0FB0F538"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Omar, M. A. (2020). Effect of value added tax on financial performance of small and medium enterprises in Mombasa County [Unpublished master's thesis].</w:t>
      </w:r>
    </w:p>
    <w:p w14:paraId="12BC1A9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BD7FD6">
        <w:rPr>
          <w:rFonts w:cs="Times New Roman"/>
          <w:szCs w:val="24"/>
          <w:lang w:val="es-US"/>
        </w:rPr>
        <w:t>Omodero</w:t>
      </w:r>
      <w:proofErr w:type="spellEnd"/>
      <w:r w:rsidRPr="00BD7FD6">
        <w:rPr>
          <w:rFonts w:cs="Times New Roman"/>
          <w:szCs w:val="24"/>
          <w:lang w:val="es-US"/>
        </w:rPr>
        <w:t xml:space="preserve">, C. O., &amp; </w:t>
      </w:r>
      <w:proofErr w:type="spellStart"/>
      <w:r w:rsidRPr="00BD7FD6">
        <w:rPr>
          <w:rFonts w:cs="Times New Roman"/>
          <w:szCs w:val="24"/>
          <w:lang w:val="es-US"/>
        </w:rPr>
        <w:t>Eriabie</w:t>
      </w:r>
      <w:proofErr w:type="spellEnd"/>
      <w:r w:rsidRPr="00BD7FD6">
        <w:rPr>
          <w:rFonts w:cs="Times New Roman"/>
          <w:szCs w:val="24"/>
          <w:lang w:val="es-US"/>
        </w:rPr>
        <w:t xml:space="preserve">, S. (2022). </w:t>
      </w:r>
      <w:proofErr w:type="gramStart"/>
      <w:r w:rsidRPr="005508BF">
        <w:rPr>
          <w:rFonts w:cs="Times New Roman"/>
          <w:szCs w:val="24"/>
        </w:rPr>
        <w:t>Valued added taxation and industrial sector productivity: a granger causality approach.</w:t>
      </w:r>
      <w:proofErr w:type="gramEnd"/>
      <w:r w:rsidRPr="005508BF">
        <w:rPr>
          <w:rFonts w:cs="Times New Roman"/>
          <w:szCs w:val="24"/>
        </w:rPr>
        <w:t xml:space="preserve"> </w:t>
      </w:r>
      <w:proofErr w:type="gramStart"/>
      <w:r w:rsidRPr="005508BF">
        <w:rPr>
          <w:rFonts w:cs="Times New Roman"/>
          <w:szCs w:val="24"/>
        </w:rPr>
        <w:t>Cogent Business &amp; Management, 9(1).</w:t>
      </w:r>
      <w:proofErr w:type="gramEnd"/>
      <w:r w:rsidRPr="005508BF">
        <w:rPr>
          <w:rFonts w:cs="Times New Roman"/>
          <w:szCs w:val="24"/>
        </w:rPr>
        <w:t xml:space="preserve"> https://doi.org/10.1080/23311975.2022.2126120</w:t>
      </w:r>
    </w:p>
    <w:p w14:paraId="5555FED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Omosa</w:t>
      </w:r>
      <w:proofErr w:type="spellEnd"/>
      <w:r w:rsidRPr="005508BF">
        <w:rPr>
          <w:rFonts w:cs="Times New Roman"/>
          <w:szCs w:val="24"/>
        </w:rPr>
        <w:t xml:space="preserve">, A. M. (2021). </w:t>
      </w:r>
      <w:proofErr w:type="gramStart"/>
      <w:r w:rsidRPr="005508BF">
        <w:rPr>
          <w:rFonts w:cs="Times New Roman"/>
          <w:szCs w:val="24"/>
        </w:rPr>
        <w:t xml:space="preserve">Effect of systems automation on customs revenue performance in Kenya (Doctoral dissertation, Kenya School of Revenue </w:t>
      </w:r>
      <w:proofErr w:type="spellStart"/>
      <w:r w:rsidRPr="005508BF">
        <w:rPr>
          <w:rFonts w:cs="Times New Roman"/>
          <w:szCs w:val="24"/>
        </w:rPr>
        <w:t>Administration_Moi</w:t>
      </w:r>
      <w:proofErr w:type="spellEnd"/>
      <w:r w:rsidRPr="005508BF">
        <w:rPr>
          <w:rFonts w:cs="Times New Roman"/>
          <w:szCs w:val="24"/>
        </w:rPr>
        <w:t xml:space="preserve"> University).</w:t>
      </w:r>
      <w:proofErr w:type="gramEnd"/>
    </w:p>
    <w:p w14:paraId="5F1F0122"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Otieno</w:t>
      </w:r>
      <w:proofErr w:type="spellEnd"/>
      <w:r w:rsidRPr="005508BF">
        <w:rPr>
          <w:rFonts w:cs="Times New Roman"/>
          <w:szCs w:val="24"/>
        </w:rPr>
        <w:t xml:space="preserve">, G. W. (2011). </w:t>
      </w:r>
      <w:proofErr w:type="gramStart"/>
      <w:r w:rsidRPr="005508BF">
        <w:rPr>
          <w:rFonts w:cs="Times New Roman"/>
          <w:szCs w:val="24"/>
        </w:rPr>
        <w:t>The effect of taxes and levies on the profitability of sugar factories in Kenya.</w:t>
      </w:r>
      <w:proofErr w:type="gramEnd"/>
      <w:r w:rsidRPr="005508BF">
        <w:rPr>
          <w:rFonts w:cs="Times New Roman"/>
          <w:szCs w:val="24"/>
        </w:rPr>
        <w:t xml:space="preserve"> Ku.ac.ke. http://ir-library.ku.ac.ke/handle/123456789/1203</w:t>
      </w:r>
    </w:p>
    <w:p w14:paraId="437B4C91"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BD7FD6">
        <w:rPr>
          <w:rFonts w:cs="Times New Roman"/>
          <w:szCs w:val="24"/>
          <w:lang w:val="es-US"/>
        </w:rPr>
        <w:t>Otwani</w:t>
      </w:r>
      <w:proofErr w:type="spellEnd"/>
      <w:r w:rsidRPr="00BD7FD6">
        <w:rPr>
          <w:rFonts w:cs="Times New Roman"/>
          <w:szCs w:val="24"/>
          <w:lang w:val="es-US"/>
        </w:rPr>
        <w:t xml:space="preserve">, M., </w:t>
      </w:r>
      <w:proofErr w:type="spellStart"/>
      <w:r w:rsidRPr="00BD7FD6">
        <w:rPr>
          <w:rFonts w:cs="Times New Roman"/>
          <w:szCs w:val="24"/>
          <w:lang w:val="es-US"/>
        </w:rPr>
        <w:t>Simiyu</w:t>
      </w:r>
      <w:proofErr w:type="spellEnd"/>
      <w:r w:rsidRPr="00BD7FD6">
        <w:rPr>
          <w:rFonts w:cs="Times New Roman"/>
          <w:szCs w:val="24"/>
          <w:lang w:val="es-US"/>
        </w:rPr>
        <w:t xml:space="preserve">, G., &amp; </w:t>
      </w:r>
      <w:proofErr w:type="spellStart"/>
      <w:r w:rsidRPr="00BD7FD6">
        <w:rPr>
          <w:rFonts w:cs="Times New Roman"/>
          <w:szCs w:val="24"/>
          <w:lang w:val="es-US"/>
        </w:rPr>
        <w:t>Makokha</w:t>
      </w:r>
      <w:proofErr w:type="spellEnd"/>
      <w:r w:rsidRPr="00BD7FD6">
        <w:rPr>
          <w:rFonts w:cs="Times New Roman"/>
          <w:szCs w:val="24"/>
          <w:lang w:val="es-US"/>
        </w:rPr>
        <w:t xml:space="preserve">, E. (2017). </w:t>
      </w:r>
      <w:r w:rsidRPr="005508BF">
        <w:rPr>
          <w:rFonts w:cs="Times New Roman"/>
          <w:szCs w:val="24"/>
        </w:rPr>
        <w:t xml:space="preserve">Effect of corporate income tax on financial performance of companies listed on the Nairobi securities exchange in Kenya. </w:t>
      </w:r>
      <w:proofErr w:type="gramStart"/>
      <w:r w:rsidRPr="005508BF">
        <w:rPr>
          <w:rFonts w:cs="Times New Roman"/>
          <w:szCs w:val="24"/>
        </w:rPr>
        <w:t>International Journal of Social Science and Information Technology, 3(8), 2467-2477.</w:t>
      </w:r>
      <w:proofErr w:type="gramEnd"/>
    </w:p>
    <w:p w14:paraId="6C3540FF"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Owino</w:t>
      </w:r>
      <w:proofErr w:type="spellEnd"/>
      <w:r w:rsidRPr="005508BF">
        <w:rPr>
          <w:rFonts w:cs="Times New Roman"/>
          <w:szCs w:val="24"/>
        </w:rPr>
        <w:t xml:space="preserve">, J., &amp; </w:t>
      </w:r>
      <w:proofErr w:type="spellStart"/>
      <w:r w:rsidRPr="005508BF">
        <w:rPr>
          <w:rFonts w:cs="Times New Roman"/>
          <w:szCs w:val="24"/>
        </w:rPr>
        <w:t>Owino</w:t>
      </w:r>
      <w:proofErr w:type="spellEnd"/>
      <w:r w:rsidRPr="005508BF">
        <w:rPr>
          <w:rFonts w:cs="Times New Roman"/>
          <w:szCs w:val="24"/>
        </w:rPr>
        <w:t>, J. (2020, January 23). Manufacturers claim VAT refunds delay is hurting them. Capital Business. https://www.capitalfm.co.ke/business/2020/01/manufacturers-claim-vat-refunds-delay-is-hurting-them/</w:t>
      </w:r>
    </w:p>
    <w:p w14:paraId="520B6D2C"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Oyerogba</w:t>
      </w:r>
      <w:proofErr w:type="spellEnd"/>
      <w:r w:rsidRPr="005508BF">
        <w:rPr>
          <w:rFonts w:cs="Times New Roman"/>
          <w:szCs w:val="24"/>
        </w:rPr>
        <w:t xml:space="preserve"> Ezekiel Oluwagbemiga1, </w:t>
      </w:r>
      <w:proofErr w:type="gramStart"/>
      <w:r w:rsidRPr="005508BF">
        <w:rPr>
          <w:rFonts w:cs="Times New Roman"/>
          <w:szCs w:val="24"/>
        </w:rPr>
        <w:t>and ,</w:t>
      </w:r>
      <w:proofErr w:type="gramEnd"/>
      <w:r w:rsidRPr="005508BF">
        <w:rPr>
          <w:rFonts w:cs="Times New Roman"/>
          <w:szCs w:val="24"/>
        </w:rPr>
        <w:t xml:space="preserve"> </w:t>
      </w:r>
      <w:proofErr w:type="spellStart"/>
      <w:r w:rsidRPr="005508BF">
        <w:rPr>
          <w:rFonts w:cs="Times New Roman"/>
          <w:szCs w:val="24"/>
        </w:rPr>
        <w:t>Adeyemi</w:t>
      </w:r>
      <w:proofErr w:type="spellEnd"/>
      <w:r w:rsidRPr="005508BF">
        <w:rPr>
          <w:rFonts w:cs="Times New Roman"/>
          <w:szCs w:val="24"/>
        </w:rPr>
        <w:t xml:space="preserve">, A. J., &amp; </w:t>
      </w:r>
      <w:proofErr w:type="spellStart"/>
      <w:r w:rsidRPr="005508BF">
        <w:rPr>
          <w:rFonts w:cs="Times New Roman"/>
          <w:szCs w:val="24"/>
        </w:rPr>
        <w:t>Olusola</w:t>
      </w:r>
      <w:proofErr w:type="spellEnd"/>
      <w:r w:rsidRPr="005508BF">
        <w:rPr>
          <w:rFonts w:cs="Times New Roman"/>
          <w:szCs w:val="24"/>
        </w:rPr>
        <w:t>, O. S. (</w:t>
      </w:r>
      <w:proofErr w:type="spellStart"/>
      <w:r w:rsidRPr="005508BF">
        <w:rPr>
          <w:rFonts w:cs="Times New Roman"/>
          <w:szCs w:val="24"/>
        </w:rPr>
        <w:t>n.d.</w:t>
      </w:r>
      <w:proofErr w:type="spellEnd"/>
      <w:r w:rsidRPr="005508BF">
        <w:rPr>
          <w:rFonts w:cs="Times New Roman"/>
          <w:szCs w:val="24"/>
        </w:rPr>
        <w:t xml:space="preserve">). Tax Incentives and Firm Performance: Evidence from Listed Manufacturing Firms in Nigeria. </w:t>
      </w:r>
      <w:proofErr w:type="spellStart"/>
      <w:proofErr w:type="gramStart"/>
      <w:r w:rsidRPr="005508BF">
        <w:rPr>
          <w:rFonts w:cs="Times New Roman"/>
          <w:szCs w:val="24"/>
        </w:rPr>
        <w:t>Sabinet</w:t>
      </w:r>
      <w:proofErr w:type="spellEnd"/>
      <w:r w:rsidRPr="005508BF">
        <w:rPr>
          <w:rFonts w:cs="Times New Roman"/>
          <w:szCs w:val="24"/>
        </w:rPr>
        <w:t xml:space="preserve"> African Journals.</w:t>
      </w:r>
      <w:proofErr w:type="gramEnd"/>
      <w:r w:rsidRPr="005508BF">
        <w:rPr>
          <w:rFonts w:cs="Times New Roman"/>
          <w:szCs w:val="24"/>
        </w:rPr>
        <w:t xml:space="preserve"> </w:t>
      </w:r>
      <w:proofErr w:type="gramStart"/>
      <w:r w:rsidRPr="005508BF">
        <w:rPr>
          <w:rFonts w:cs="Times New Roman"/>
          <w:szCs w:val="24"/>
        </w:rPr>
        <w:t>Vol. 19, No. 3.</w:t>
      </w:r>
      <w:proofErr w:type="gramEnd"/>
      <w:r w:rsidRPr="005508BF">
        <w:rPr>
          <w:rFonts w:cs="Times New Roman"/>
          <w:szCs w:val="24"/>
        </w:rPr>
        <w:t xml:space="preserve"> https://journals.co.za/doi/full/10.31920/1750-4562/2024/v19n3a11</w:t>
      </w:r>
    </w:p>
    <w:p w14:paraId="1B68189D"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lastRenderedPageBreak/>
        <w:t>Piketty</w:t>
      </w:r>
      <w:proofErr w:type="spellEnd"/>
      <w:r w:rsidRPr="005508BF">
        <w:rPr>
          <w:rFonts w:cs="Times New Roman"/>
          <w:szCs w:val="24"/>
        </w:rPr>
        <w:t xml:space="preserve">, T., </w:t>
      </w:r>
      <w:proofErr w:type="spellStart"/>
      <w:r w:rsidRPr="005508BF">
        <w:rPr>
          <w:rFonts w:cs="Times New Roman"/>
          <w:szCs w:val="24"/>
        </w:rPr>
        <w:t>Saez</w:t>
      </w:r>
      <w:proofErr w:type="spellEnd"/>
      <w:r w:rsidRPr="005508BF">
        <w:rPr>
          <w:rFonts w:cs="Times New Roman"/>
          <w:szCs w:val="24"/>
        </w:rPr>
        <w:t xml:space="preserve">, E., &amp; </w:t>
      </w:r>
      <w:proofErr w:type="spellStart"/>
      <w:r w:rsidRPr="005508BF">
        <w:rPr>
          <w:rFonts w:cs="Times New Roman"/>
          <w:szCs w:val="24"/>
        </w:rPr>
        <w:t>Stantcheva</w:t>
      </w:r>
      <w:proofErr w:type="spellEnd"/>
      <w:r w:rsidRPr="005508BF">
        <w:rPr>
          <w:rFonts w:cs="Times New Roman"/>
          <w:szCs w:val="24"/>
        </w:rPr>
        <w:t xml:space="preserve">, S. (2014). Optimal Taxation of Top Labor Incomes: A Tale of Three </w:t>
      </w:r>
      <w:proofErr w:type="spellStart"/>
      <w:r w:rsidRPr="005508BF">
        <w:rPr>
          <w:rFonts w:cs="Times New Roman"/>
          <w:szCs w:val="24"/>
        </w:rPr>
        <w:t>Elasticities</w:t>
      </w:r>
      <w:proofErr w:type="spellEnd"/>
      <w:r w:rsidRPr="005508BF">
        <w:rPr>
          <w:rFonts w:cs="Times New Roman"/>
          <w:szCs w:val="24"/>
        </w:rPr>
        <w:t>. American Economic Journal: Economic Policy, 6(1), 230–271. https://doi.org/10.1257/pol.6.1.230</w:t>
      </w:r>
    </w:p>
    <w:p w14:paraId="0384FA88"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Rahman</w:t>
      </w:r>
      <w:proofErr w:type="spellEnd"/>
      <w:r w:rsidRPr="005508BF">
        <w:rPr>
          <w:rFonts w:cs="Times New Roman"/>
          <w:szCs w:val="24"/>
        </w:rPr>
        <w:t>, A., &amp; Nguyen, T. (2019).</w:t>
      </w:r>
      <w:proofErr w:type="gramEnd"/>
      <w:r w:rsidRPr="005508BF">
        <w:rPr>
          <w:rFonts w:cs="Times New Roman"/>
          <w:szCs w:val="24"/>
        </w:rPr>
        <w:t xml:space="preserve"> VAT and manufacturing performance in ASEAN: A panel data analysis. International Journal of Business and Economic Research, 8(2), 215–230</w:t>
      </w:r>
    </w:p>
    <w:p w14:paraId="1F8BEF6D"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Ritho</w:t>
      </w:r>
      <w:proofErr w:type="spellEnd"/>
      <w:r w:rsidRPr="005508BF">
        <w:rPr>
          <w:rFonts w:cs="Times New Roman"/>
          <w:szCs w:val="24"/>
        </w:rPr>
        <w:t xml:space="preserve">, B. M. (2024). </w:t>
      </w:r>
      <w:proofErr w:type="gramStart"/>
      <w:r w:rsidRPr="005508BF">
        <w:rPr>
          <w:rFonts w:cs="Times New Roman"/>
          <w:szCs w:val="24"/>
        </w:rPr>
        <w:t>Firm Characteristics, Inflation, Revenue Efficiency and Financial Stability of Insurance Firms in Kenya (Doctoral dissertation, Kenyatta University).</w:t>
      </w:r>
      <w:proofErr w:type="gramEnd"/>
    </w:p>
    <w:p w14:paraId="566CEF07"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Romer</w:t>
      </w:r>
      <w:proofErr w:type="spellEnd"/>
      <w:r w:rsidRPr="005508BF">
        <w:rPr>
          <w:rFonts w:cs="Times New Roman"/>
          <w:szCs w:val="24"/>
        </w:rPr>
        <w:t xml:space="preserve">, C. D., &amp; </w:t>
      </w:r>
      <w:proofErr w:type="spellStart"/>
      <w:r w:rsidRPr="005508BF">
        <w:rPr>
          <w:rFonts w:cs="Times New Roman"/>
          <w:szCs w:val="24"/>
        </w:rPr>
        <w:t>Romer</w:t>
      </w:r>
      <w:proofErr w:type="spellEnd"/>
      <w:r w:rsidRPr="005508BF">
        <w:rPr>
          <w:rFonts w:cs="Times New Roman"/>
          <w:szCs w:val="24"/>
        </w:rPr>
        <w:t>, D. H. (2010).</w:t>
      </w:r>
      <w:proofErr w:type="gramEnd"/>
      <w:r w:rsidRPr="005508BF">
        <w:rPr>
          <w:rFonts w:cs="Times New Roman"/>
          <w:szCs w:val="24"/>
        </w:rPr>
        <w:t xml:space="preserve"> The Macroeconomic Effects of Tax Changes: Estimates Based on a New Measure of Fiscal Shocks. American Economic Review, 100(3), 763–801. https://doi.org/10.1257/aer.100.3.763</w:t>
      </w:r>
    </w:p>
    <w:p w14:paraId="2C1AD5DB"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Saez</w:t>
      </w:r>
      <w:proofErr w:type="spellEnd"/>
      <w:r w:rsidRPr="005508BF">
        <w:rPr>
          <w:rFonts w:cs="Times New Roman"/>
          <w:szCs w:val="24"/>
        </w:rPr>
        <w:t xml:space="preserve">, E. (2001). </w:t>
      </w:r>
      <w:proofErr w:type="gramStart"/>
      <w:r w:rsidRPr="005508BF">
        <w:rPr>
          <w:rFonts w:cs="Times New Roman"/>
          <w:szCs w:val="24"/>
        </w:rPr>
        <w:t xml:space="preserve">Using </w:t>
      </w:r>
      <w:proofErr w:type="spellStart"/>
      <w:r w:rsidRPr="005508BF">
        <w:rPr>
          <w:rFonts w:cs="Times New Roman"/>
          <w:szCs w:val="24"/>
        </w:rPr>
        <w:t>elasticities</w:t>
      </w:r>
      <w:proofErr w:type="spellEnd"/>
      <w:r w:rsidRPr="005508BF">
        <w:rPr>
          <w:rFonts w:cs="Times New Roman"/>
          <w:szCs w:val="24"/>
        </w:rPr>
        <w:t xml:space="preserve"> to derive optimal income tax rates.</w:t>
      </w:r>
      <w:proofErr w:type="gramEnd"/>
      <w:r w:rsidRPr="005508BF">
        <w:rPr>
          <w:rFonts w:cs="Times New Roman"/>
          <w:szCs w:val="24"/>
        </w:rPr>
        <w:t xml:space="preserve"> </w:t>
      </w:r>
      <w:proofErr w:type="gramStart"/>
      <w:r w:rsidRPr="005508BF">
        <w:rPr>
          <w:rFonts w:cs="Times New Roman"/>
          <w:szCs w:val="24"/>
        </w:rPr>
        <w:t>The review of economic studies, 68(1), 205-229.</w:t>
      </w:r>
      <w:proofErr w:type="gramEnd"/>
    </w:p>
    <w:p w14:paraId="1C8B0522"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 xml:space="preserve">Saunders, M., Lewis, P., &amp; </w:t>
      </w:r>
      <w:proofErr w:type="spellStart"/>
      <w:r w:rsidRPr="005508BF">
        <w:rPr>
          <w:rFonts w:cs="Times New Roman"/>
          <w:szCs w:val="24"/>
        </w:rPr>
        <w:t>Thornhill</w:t>
      </w:r>
      <w:proofErr w:type="spellEnd"/>
      <w:r w:rsidRPr="005508BF">
        <w:rPr>
          <w:rFonts w:cs="Times New Roman"/>
          <w:szCs w:val="24"/>
        </w:rPr>
        <w:t>, A. (2019).</w:t>
      </w:r>
      <w:proofErr w:type="gramEnd"/>
      <w:r w:rsidRPr="005508BF">
        <w:rPr>
          <w:rFonts w:cs="Times New Roman"/>
          <w:szCs w:val="24"/>
        </w:rPr>
        <w:t xml:space="preserve"> Research Methods for Business Students (8th </w:t>
      </w:r>
      <w:proofErr w:type="gramStart"/>
      <w:r w:rsidRPr="005508BF">
        <w:rPr>
          <w:rFonts w:cs="Times New Roman"/>
          <w:szCs w:val="24"/>
        </w:rPr>
        <w:t>ed</w:t>
      </w:r>
      <w:proofErr w:type="gramEnd"/>
      <w:r w:rsidRPr="005508BF">
        <w:rPr>
          <w:rFonts w:cs="Times New Roman"/>
          <w:szCs w:val="24"/>
        </w:rPr>
        <w:t>.). Pearson.</w:t>
      </w:r>
    </w:p>
    <w:p w14:paraId="1C50A346"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Tudose</w:t>
      </w:r>
      <w:proofErr w:type="spellEnd"/>
      <w:r w:rsidRPr="005508BF">
        <w:rPr>
          <w:rFonts w:cs="Times New Roman"/>
          <w:szCs w:val="24"/>
        </w:rPr>
        <w:t xml:space="preserve">, M. B., </w:t>
      </w:r>
      <w:proofErr w:type="spellStart"/>
      <w:r w:rsidRPr="005508BF">
        <w:rPr>
          <w:rFonts w:cs="Times New Roman"/>
          <w:szCs w:val="24"/>
        </w:rPr>
        <w:t>Rusu</w:t>
      </w:r>
      <w:proofErr w:type="spellEnd"/>
      <w:r w:rsidRPr="005508BF">
        <w:rPr>
          <w:rFonts w:cs="Times New Roman"/>
          <w:szCs w:val="24"/>
        </w:rPr>
        <w:t xml:space="preserve">, V. D., &amp; </w:t>
      </w:r>
      <w:proofErr w:type="spellStart"/>
      <w:r w:rsidRPr="005508BF">
        <w:rPr>
          <w:rFonts w:cs="Times New Roman"/>
          <w:szCs w:val="24"/>
        </w:rPr>
        <w:t>Avasilcai</w:t>
      </w:r>
      <w:proofErr w:type="spellEnd"/>
      <w:r w:rsidRPr="005508BF">
        <w:rPr>
          <w:rFonts w:cs="Times New Roman"/>
          <w:szCs w:val="24"/>
        </w:rPr>
        <w:t xml:space="preserve">, S. (2022). </w:t>
      </w:r>
      <w:proofErr w:type="gramStart"/>
      <w:r w:rsidRPr="005508BF">
        <w:rPr>
          <w:rFonts w:cs="Times New Roman"/>
          <w:szCs w:val="24"/>
        </w:rPr>
        <w:t>Financial performance – determinants and interdependencies between measurement indicators.</w:t>
      </w:r>
      <w:proofErr w:type="gramEnd"/>
      <w:r w:rsidRPr="005508BF">
        <w:rPr>
          <w:rFonts w:cs="Times New Roman"/>
          <w:szCs w:val="24"/>
        </w:rPr>
        <w:t xml:space="preserve"> </w:t>
      </w:r>
      <w:proofErr w:type="gramStart"/>
      <w:r w:rsidRPr="005508BF">
        <w:rPr>
          <w:rFonts w:cs="Times New Roman"/>
          <w:szCs w:val="24"/>
        </w:rPr>
        <w:t>Business, Management and Economics Engineering, 20(1), 119–138119–138.</w:t>
      </w:r>
      <w:proofErr w:type="gramEnd"/>
      <w:r w:rsidRPr="005508BF">
        <w:rPr>
          <w:rFonts w:cs="Times New Roman"/>
          <w:szCs w:val="24"/>
        </w:rPr>
        <w:t xml:space="preserve"> https://doi.org/10.3846/bmee.2022.16732</w:t>
      </w:r>
    </w:p>
    <w:p w14:paraId="5C947790"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UNCTAD.</w:t>
      </w:r>
      <w:proofErr w:type="gramEnd"/>
      <w:r w:rsidRPr="005508BF">
        <w:rPr>
          <w:rFonts w:cs="Times New Roman"/>
          <w:szCs w:val="24"/>
        </w:rPr>
        <w:t xml:space="preserve"> (2022). </w:t>
      </w:r>
      <w:proofErr w:type="gramStart"/>
      <w:r w:rsidRPr="005508BF">
        <w:rPr>
          <w:rFonts w:cs="Times New Roman"/>
          <w:szCs w:val="24"/>
        </w:rPr>
        <w:t>The</w:t>
      </w:r>
      <w:proofErr w:type="gramEnd"/>
      <w:r w:rsidRPr="005508BF">
        <w:rPr>
          <w:rFonts w:cs="Times New Roman"/>
          <w:szCs w:val="24"/>
        </w:rPr>
        <w:t xml:space="preserve"> role of the manufacturing sector in Kenya’s economic development. </w:t>
      </w:r>
      <w:proofErr w:type="gramStart"/>
      <w:r w:rsidRPr="005508BF">
        <w:rPr>
          <w:rFonts w:cs="Times New Roman"/>
          <w:szCs w:val="24"/>
        </w:rPr>
        <w:t>United Nations Conference on Trade and Development.</w:t>
      </w:r>
      <w:proofErr w:type="gramEnd"/>
      <w:r w:rsidRPr="005508BF">
        <w:rPr>
          <w:rFonts w:cs="Times New Roman"/>
          <w:szCs w:val="24"/>
        </w:rPr>
        <w:t xml:space="preserve"> https://unctad.org/system/files/non-official-document/aldc_2022_pdsd_pdw_ken_ppt_16-18_mar_hezekiah_okeyo_eng.pdf</w:t>
      </w:r>
    </w:p>
    <w:p w14:paraId="46BBC5ED"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Walde</w:t>
      </w:r>
      <w:proofErr w:type="spellEnd"/>
      <w:r w:rsidRPr="005508BF">
        <w:rPr>
          <w:rFonts w:cs="Times New Roman"/>
          <w:szCs w:val="24"/>
        </w:rPr>
        <w:t xml:space="preserve">, I. G., &amp; </w:t>
      </w:r>
      <w:proofErr w:type="spellStart"/>
      <w:r w:rsidRPr="005508BF">
        <w:rPr>
          <w:rFonts w:cs="Times New Roman"/>
          <w:szCs w:val="24"/>
        </w:rPr>
        <w:t>Makori</w:t>
      </w:r>
      <w:proofErr w:type="spellEnd"/>
      <w:r w:rsidRPr="005508BF">
        <w:rPr>
          <w:rFonts w:cs="Times New Roman"/>
          <w:szCs w:val="24"/>
        </w:rPr>
        <w:t>, D. (2022).</w:t>
      </w:r>
      <w:proofErr w:type="gramEnd"/>
      <w:r w:rsidRPr="005508BF">
        <w:rPr>
          <w:rFonts w:cs="Times New Roman"/>
          <w:szCs w:val="24"/>
        </w:rPr>
        <w:t xml:space="preserve"> </w:t>
      </w:r>
      <w:proofErr w:type="gramStart"/>
      <w:r w:rsidRPr="005508BF">
        <w:rPr>
          <w:rFonts w:cs="Times New Roman"/>
          <w:szCs w:val="24"/>
        </w:rPr>
        <w:t>Macroeconomic variables and financial performance of deposit taking microfinance institutions in Kenya.</w:t>
      </w:r>
      <w:proofErr w:type="gramEnd"/>
      <w:r w:rsidRPr="005508BF">
        <w:rPr>
          <w:rFonts w:cs="Times New Roman"/>
          <w:szCs w:val="24"/>
        </w:rPr>
        <w:t xml:space="preserve"> </w:t>
      </w:r>
      <w:proofErr w:type="gramStart"/>
      <w:r w:rsidRPr="005508BF">
        <w:rPr>
          <w:rFonts w:cs="Times New Roman"/>
          <w:szCs w:val="24"/>
        </w:rPr>
        <w:t>International Academic Journal of Economics and Finance, 3 (7), 447, 487(2).</w:t>
      </w:r>
      <w:proofErr w:type="gramEnd"/>
    </w:p>
    <w:p w14:paraId="2CA4DD2E" w14:textId="77777777" w:rsidR="005508BF" w:rsidRPr="005508B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t>Wangare</w:t>
      </w:r>
      <w:proofErr w:type="spellEnd"/>
      <w:r w:rsidRPr="005508BF">
        <w:rPr>
          <w:rFonts w:cs="Times New Roman"/>
          <w:szCs w:val="24"/>
        </w:rPr>
        <w:t>, D. N. (2024).</w:t>
      </w:r>
      <w:proofErr w:type="gramEnd"/>
      <w:r w:rsidRPr="005508BF">
        <w:rPr>
          <w:rFonts w:cs="Times New Roman"/>
          <w:szCs w:val="24"/>
        </w:rPr>
        <w:t xml:space="preserve"> Tax Administration and Financial Performance of Manufacturing Firms in Kenya: A Literature Review. African Journal of Commercial Studies, 4(4), 270–277. https://doi.org/10.59413/ajocs/v4.i4.2</w:t>
      </w:r>
    </w:p>
    <w:p w14:paraId="4BC5FD82" w14:textId="77777777" w:rsidR="005508BF" w:rsidRPr="005508BF" w:rsidRDefault="005508BF" w:rsidP="005508BF">
      <w:pPr>
        <w:tabs>
          <w:tab w:val="left" w:pos="3150"/>
        </w:tabs>
        <w:spacing w:line="240" w:lineRule="auto"/>
        <w:ind w:left="720" w:hanging="720"/>
        <w:rPr>
          <w:rFonts w:cs="Times New Roman"/>
          <w:szCs w:val="24"/>
        </w:rPr>
      </w:pPr>
      <w:proofErr w:type="spellStart"/>
      <w:r w:rsidRPr="005508BF">
        <w:rPr>
          <w:rFonts w:cs="Times New Roman"/>
          <w:szCs w:val="24"/>
        </w:rPr>
        <w:t>Waweru</w:t>
      </w:r>
      <w:proofErr w:type="spellEnd"/>
      <w:r w:rsidRPr="005508BF">
        <w:rPr>
          <w:rFonts w:cs="Times New Roman"/>
          <w:szCs w:val="24"/>
        </w:rPr>
        <w:t xml:space="preserve">, E. W. (2019). Influence Of Withholding Value Added Tax Knowledge On Tax Compliance In Kenya: A Case Of Nairobi County (Doctoral Dissertation, School Of Business In Partial Fulfillment Of The Requirement For The Award Of The Postgraduate Diploma In Customs/Tax Administration, </w:t>
      </w:r>
      <w:proofErr w:type="spellStart"/>
      <w:r w:rsidRPr="005508BF">
        <w:rPr>
          <w:rFonts w:cs="Times New Roman"/>
          <w:szCs w:val="24"/>
        </w:rPr>
        <w:t>Jomo</w:t>
      </w:r>
      <w:proofErr w:type="spellEnd"/>
      <w:r w:rsidRPr="005508BF">
        <w:rPr>
          <w:rFonts w:cs="Times New Roman"/>
          <w:szCs w:val="24"/>
        </w:rPr>
        <w:t xml:space="preserve"> Kenyatta University Of Agriculture And Technology).</w:t>
      </w:r>
    </w:p>
    <w:p w14:paraId="059B4F3A"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Were, A. (2016). Manufacturing in Kenya: Features, challenges, and opportunities. International Journal of Science, Management, and Engineering, 4(6), 15-26.https://set.odi.org/wp-content/uploads/2016/09/Manufacturing-in-Kenya-Anzetse-Were.pdf</w:t>
      </w:r>
    </w:p>
    <w:p w14:paraId="323B263C" w14:textId="77777777" w:rsidR="005508BF" w:rsidRPr="005508BF" w:rsidRDefault="005508BF" w:rsidP="005508BF">
      <w:pPr>
        <w:tabs>
          <w:tab w:val="left" w:pos="3150"/>
        </w:tabs>
        <w:spacing w:line="240" w:lineRule="auto"/>
        <w:ind w:left="720" w:hanging="720"/>
        <w:rPr>
          <w:rFonts w:cs="Times New Roman"/>
          <w:szCs w:val="24"/>
        </w:rPr>
      </w:pPr>
      <w:r w:rsidRPr="005508BF">
        <w:rPr>
          <w:rFonts w:cs="Times New Roman"/>
          <w:szCs w:val="24"/>
        </w:rPr>
        <w:t xml:space="preserve">Wooldridge, J. M. (2021). Introductory econometrics: A modern approach (7th </w:t>
      </w:r>
      <w:proofErr w:type="gramStart"/>
      <w:r w:rsidRPr="005508BF">
        <w:rPr>
          <w:rFonts w:cs="Times New Roman"/>
          <w:szCs w:val="24"/>
        </w:rPr>
        <w:t>ed</w:t>
      </w:r>
      <w:proofErr w:type="gramEnd"/>
      <w:r w:rsidRPr="005508BF">
        <w:rPr>
          <w:rFonts w:cs="Times New Roman"/>
          <w:szCs w:val="24"/>
        </w:rPr>
        <w:t xml:space="preserve">.). </w:t>
      </w:r>
      <w:proofErr w:type="spellStart"/>
      <w:r w:rsidRPr="005508BF">
        <w:rPr>
          <w:rFonts w:cs="Times New Roman"/>
          <w:szCs w:val="24"/>
        </w:rPr>
        <w:t>Cengage</w:t>
      </w:r>
      <w:proofErr w:type="spellEnd"/>
      <w:r w:rsidRPr="005508BF">
        <w:rPr>
          <w:rFonts w:cs="Times New Roman"/>
          <w:szCs w:val="24"/>
        </w:rPr>
        <w:t xml:space="preserve"> Learning.</w:t>
      </w:r>
    </w:p>
    <w:p w14:paraId="22368E2F"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World Bank.</w:t>
      </w:r>
      <w:proofErr w:type="gramEnd"/>
      <w:r w:rsidRPr="005508BF">
        <w:rPr>
          <w:rFonts w:cs="Times New Roman"/>
          <w:szCs w:val="24"/>
        </w:rPr>
        <w:t xml:space="preserve"> (2022). Manufacturing, value added (% of GDP) – Kenya. </w:t>
      </w:r>
      <w:proofErr w:type="gramStart"/>
      <w:r w:rsidRPr="005508BF">
        <w:rPr>
          <w:rFonts w:cs="Times New Roman"/>
          <w:szCs w:val="24"/>
        </w:rPr>
        <w:t>World Development Indicators.</w:t>
      </w:r>
      <w:proofErr w:type="gramEnd"/>
      <w:r w:rsidRPr="005508BF">
        <w:rPr>
          <w:rFonts w:cs="Times New Roman"/>
          <w:szCs w:val="24"/>
        </w:rPr>
        <w:t xml:space="preserve"> Retrieved from https://data.worldbank.org/indicator/NV.IND.MANF.ZS</w:t>
      </w:r>
    </w:p>
    <w:p w14:paraId="21F9785E" w14:textId="77777777" w:rsidR="005508BF" w:rsidRPr="005508BF" w:rsidRDefault="005508BF" w:rsidP="005508BF">
      <w:pPr>
        <w:tabs>
          <w:tab w:val="left" w:pos="3150"/>
        </w:tabs>
        <w:spacing w:line="240" w:lineRule="auto"/>
        <w:ind w:left="720" w:hanging="720"/>
        <w:rPr>
          <w:rFonts w:cs="Times New Roman"/>
          <w:szCs w:val="24"/>
        </w:rPr>
      </w:pPr>
      <w:proofErr w:type="gramStart"/>
      <w:r w:rsidRPr="005508BF">
        <w:rPr>
          <w:rFonts w:cs="Times New Roman"/>
          <w:szCs w:val="24"/>
        </w:rPr>
        <w:t>Yamane, T. (1973).</w:t>
      </w:r>
      <w:proofErr w:type="gramEnd"/>
      <w:r w:rsidRPr="005508BF">
        <w:rPr>
          <w:rFonts w:cs="Times New Roman"/>
          <w:szCs w:val="24"/>
        </w:rPr>
        <w:t xml:space="preserve"> Statistics: An Introductory Analysis (2nd </w:t>
      </w:r>
      <w:proofErr w:type="gramStart"/>
      <w:r w:rsidRPr="005508BF">
        <w:rPr>
          <w:rFonts w:cs="Times New Roman"/>
          <w:szCs w:val="24"/>
        </w:rPr>
        <w:t>ed</w:t>
      </w:r>
      <w:proofErr w:type="gramEnd"/>
      <w:r w:rsidRPr="005508BF">
        <w:rPr>
          <w:rFonts w:cs="Times New Roman"/>
          <w:szCs w:val="24"/>
        </w:rPr>
        <w:t xml:space="preserve">.). </w:t>
      </w:r>
      <w:proofErr w:type="gramStart"/>
      <w:r w:rsidRPr="005508BF">
        <w:rPr>
          <w:rFonts w:cs="Times New Roman"/>
          <w:szCs w:val="24"/>
        </w:rPr>
        <w:t>Harper &amp; Row.</w:t>
      </w:r>
      <w:proofErr w:type="gramEnd"/>
    </w:p>
    <w:p w14:paraId="22A005A7" w14:textId="427439EF" w:rsidR="00B55CEF" w:rsidRDefault="005508BF" w:rsidP="005508BF">
      <w:pPr>
        <w:tabs>
          <w:tab w:val="left" w:pos="3150"/>
        </w:tabs>
        <w:spacing w:line="240" w:lineRule="auto"/>
        <w:ind w:left="720" w:hanging="720"/>
        <w:rPr>
          <w:rFonts w:cs="Times New Roman"/>
          <w:szCs w:val="24"/>
        </w:rPr>
      </w:pPr>
      <w:proofErr w:type="spellStart"/>
      <w:proofErr w:type="gramStart"/>
      <w:r w:rsidRPr="005508BF">
        <w:rPr>
          <w:rFonts w:cs="Times New Roman"/>
          <w:szCs w:val="24"/>
        </w:rPr>
        <w:lastRenderedPageBreak/>
        <w:t>Zeng</w:t>
      </w:r>
      <w:proofErr w:type="spellEnd"/>
      <w:r w:rsidRPr="005508BF">
        <w:rPr>
          <w:rFonts w:cs="Times New Roman"/>
          <w:szCs w:val="24"/>
        </w:rPr>
        <w:t xml:space="preserve">, S., </w:t>
      </w:r>
      <w:proofErr w:type="spellStart"/>
      <w:r w:rsidRPr="005508BF">
        <w:rPr>
          <w:rFonts w:cs="Times New Roman"/>
          <w:szCs w:val="24"/>
        </w:rPr>
        <w:t>Ji</w:t>
      </w:r>
      <w:proofErr w:type="spellEnd"/>
      <w:r w:rsidRPr="005508BF">
        <w:rPr>
          <w:rFonts w:cs="Times New Roman"/>
          <w:szCs w:val="24"/>
        </w:rPr>
        <w:t>, M., &amp; Huang, X. (2025).</w:t>
      </w:r>
      <w:proofErr w:type="gramEnd"/>
      <w:r w:rsidRPr="005508BF">
        <w:rPr>
          <w:rFonts w:cs="Times New Roman"/>
          <w:szCs w:val="24"/>
        </w:rPr>
        <w:t xml:space="preserve"> An empirical study on the impact of tax incentives on the development of new energy vehicles: Case of China. </w:t>
      </w:r>
      <w:proofErr w:type="gramStart"/>
      <w:r w:rsidRPr="005508BF">
        <w:rPr>
          <w:rFonts w:cs="Times New Roman"/>
          <w:szCs w:val="24"/>
        </w:rPr>
        <w:t>Energy Policy, 198, 114452.</w:t>
      </w:r>
      <w:proofErr w:type="gramEnd"/>
      <w:r w:rsidRPr="005508BF">
        <w:rPr>
          <w:rFonts w:cs="Times New Roman"/>
          <w:szCs w:val="24"/>
        </w:rPr>
        <w:t xml:space="preserve"> </w:t>
      </w:r>
      <w:hyperlink r:id="rId8" w:history="1">
        <w:r w:rsidR="0098144D" w:rsidRPr="00400F79">
          <w:rPr>
            <w:rStyle w:val="Hyperlink"/>
            <w:rFonts w:cs="Times New Roman"/>
            <w:szCs w:val="24"/>
          </w:rPr>
          <w:t>https://doi.org/10.1016/j.enpol.2024.114452</w:t>
        </w:r>
      </w:hyperlink>
    </w:p>
    <w:p w14:paraId="0FB0B3E1" w14:textId="42FFE7A1" w:rsidR="0098144D" w:rsidRDefault="0098144D" w:rsidP="005508BF">
      <w:pPr>
        <w:tabs>
          <w:tab w:val="left" w:pos="3150"/>
        </w:tabs>
        <w:spacing w:line="240" w:lineRule="auto"/>
        <w:ind w:left="720" w:hanging="720"/>
        <w:rPr>
          <w:color w:val="000000" w:themeColor="text1"/>
        </w:rPr>
      </w:pPr>
      <w:proofErr w:type="spellStart"/>
      <w:proofErr w:type="gramStart"/>
      <w:r w:rsidRPr="000B4C23">
        <w:rPr>
          <w:color w:val="000000" w:themeColor="text1"/>
          <w:highlight w:val="yellow"/>
        </w:rPr>
        <w:t>Mariki</w:t>
      </w:r>
      <w:proofErr w:type="spellEnd"/>
      <w:r w:rsidRPr="000B4C23">
        <w:rPr>
          <w:color w:val="000000" w:themeColor="text1"/>
          <w:highlight w:val="yellow"/>
        </w:rPr>
        <w:t xml:space="preserve">, L. B., </w:t>
      </w:r>
      <w:proofErr w:type="spellStart"/>
      <w:r w:rsidRPr="000B4C23">
        <w:rPr>
          <w:color w:val="000000" w:themeColor="text1"/>
          <w:highlight w:val="yellow"/>
        </w:rPr>
        <w:t>Kipilimba</w:t>
      </w:r>
      <w:proofErr w:type="spellEnd"/>
      <w:r w:rsidRPr="000B4C23">
        <w:rPr>
          <w:color w:val="000000" w:themeColor="text1"/>
          <w:highlight w:val="yellow"/>
        </w:rPr>
        <w:t xml:space="preserve">, T., &amp; </w:t>
      </w:r>
      <w:proofErr w:type="spellStart"/>
      <w:r w:rsidRPr="000B4C23">
        <w:rPr>
          <w:color w:val="000000" w:themeColor="text1"/>
          <w:highlight w:val="yellow"/>
        </w:rPr>
        <w:t>Wiketye</w:t>
      </w:r>
      <w:proofErr w:type="spellEnd"/>
      <w:r w:rsidRPr="000B4C23">
        <w:rPr>
          <w:color w:val="000000" w:themeColor="text1"/>
          <w:highlight w:val="yellow"/>
        </w:rPr>
        <w:t>, E. (2025).</w:t>
      </w:r>
      <w:proofErr w:type="gramEnd"/>
      <w:r w:rsidRPr="000B4C23">
        <w:rPr>
          <w:color w:val="000000" w:themeColor="text1"/>
          <w:highlight w:val="yellow"/>
        </w:rPr>
        <w:t xml:space="preserve"> Perception on the Effect of Taxes on the Growth of Micro and Small Enterprises in Selected Entities: A Case of </w:t>
      </w:r>
      <w:proofErr w:type="spellStart"/>
      <w:r w:rsidRPr="000B4C23">
        <w:rPr>
          <w:color w:val="000000" w:themeColor="text1"/>
          <w:highlight w:val="yellow"/>
        </w:rPr>
        <w:t>Iringa</w:t>
      </w:r>
      <w:proofErr w:type="spellEnd"/>
      <w:r w:rsidRPr="000B4C23">
        <w:rPr>
          <w:color w:val="000000" w:themeColor="text1"/>
          <w:highlight w:val="yellow"/>
        </w:rPr>
        <w:t xml:space="preserve"> Municipality, Tanzania. </w:t>
      </w:r>
      <w:r w:rsidRPr="000B4C23">
        <w:rPr>
          <w:i/>
          <w:iCs/>
          <w:color w:val="000000" w:themeColor="text1"/>
          <w:highlight w:val="yellow"/>
        </w:rPr>
        <w:t>Asian Journal of Economics, Business and Accounting</w:t>
      </w:r>
      <w:r w:rsidRPr="000B4C23">
        <w:rPr>
          <w:color w:val="000000" w:themeColor="text1"/>
          <w:highlight w:val="yellow"/>
        </w:rPr>
        <w:t>, </w:t>
      </w:r>
      <w:r w:rsidRPr="000B4C23">
        <w:rPr>
          <w:i/>
          <w:iCs/>
          <w:color w:val="000000" w:themeColor="text1"/>
          <w:highlight w:val="yellow"/>
        </w:rPr>
        <w:t>25</w:t>
      </w:r>
      <w:r w:rsidRPr="000B4C23">
        <w:rPr>
          <w:color w:val="000000" w:themeColor="text1"/>
          <w:highlight w:val="yellow"/>
        </w:rPr>
        <w:t>(11), 104-121.</w:t>
      </w:r>
    </w:p>
    <w:p w14:paraId="0827A428" w14:textId="4735A397" w:rsidR="00EB117E" w:rsidRDefault="00EB117E" w:rsidP="005508BF">
      <w:pPr>
        <w:tabs>
          <w:tab w:val="left" w:pos="3150"/>
        </w:tabs>
        <w:spacing w:line="240" w:lineRule="auto"/>
        <w:ind w:left="720" w:hanging="720"/>
        <w:rPr>
          <w:color w:val="000000" w:themeColor="text1"/>
        </w:rPr>
      </w:pPr>
      <w:proofErr w:type="spellStart"/>
      <w:r w:rsidRPr="000B4C23">
        <w:rPr>
          <w:color w:val="000000" w:themeColor="text1"/>
          <w:highlight w:val="yellow"/>
        </w:rPr>
        <w:t>Aringo</w:t>
      </w:r>
      <w:proofErr w:type="spellEnd"/>
      <w:r w:rsidRPr="000B4C23">
        <w:rPr>
          <w:color w:val="000000" w:themeColor="text1"/>
          <w:highlight w:val="yellow"/>
        </w:rPr>
        <w:t xml:space="preserve">, C. E. (2023). </w:t>
      </w:r>
      <w:proofErr w:type="gramStart"/>
      <w:r w:rsidRPr="000B4C23">
        <w:rPr>
          <w:color w:val="000000" w:themeColor="text1"/>
          <w:highlight w:val="yellow"/>
        </w:rPr>
        <w:t>Relationship between increased Taxation and Financial Performance of Kenyan Firms.</w:t>
      </w:r>
      <w:proofErr w:type="gramEnd"/>
      <w:r w:rsidRPr="000B4C23">
        <w:rPr>
          <w:color w:val="000000" w:themeColor="text1"/>
          <w:highlight w:val="yellow"/>
        </w:rPr>
        <w:t> </w:t>
      </w:r>
      <w:r w:rsidRPr="000B4C23">
        <w:rPr>
          <w:i/>
          <w:iCs/>
          <w:color w:val="000000" w:themeColor="text1"/>
          <w:highlight w:val="yellow"/>
        </w:rPr>
        <w:t>African Journal of Commercial Studies</w:t>
      </w:r>
      <w:r w:rsidRPr="000B4C23">
        <w:rPr>
          <w:color w:val="000000" w:themeColor="text1"/>
          <w:highlight w:val="yellow"/>
        </w:rPr>
        <w:t>, </w:t>
      </w:r>
      <w:r w:rsidRPr="000B4C23">
        <w:rPr>
          <w:i/>
          <w:iCs/>
          <w:color w:val="000000" w:themeColor="text1"/>
          <w:highlight w:val="yellow"/>
        </w:rPr>
        <w:t>3</w:t>
      </w:r>
      <w:r w:rsidRPr="000B4C23">
        <w:rPr>
          <w:color w:val="000000" w:themeColor="text1"/>
          <w:highlight w:val="yellow"/>
        </w:rPr>
        <w:t>(3), 150-163.</w:t>
      </w:r>
    </w:p>
    <w:p w14:paraId="67B8D7F7" w14:textId="419B4DB8" w:rsidR="00EB117E" w:rsidRDefault="00B721A0" w:rsidP="005508BF">
      <w:pPr>
        <w:tabs>
          <w:tab w:val="left" w:pos="3150"/>
        </w:tabs>
        <w:spacing w:line="240" w:lineRule="auto"/>
        <w:ind w:left="720" w:hanging="720"/>
        <w:rPr>
          <w:color w:val="000000" w:themeColor="text1"/>
        </w:rPr>
      </w:pPr>
      <w:proofErr w:type="spellStart"/>
      <w:proofErr w:type="gramStart"/>
      <w:r w:rsidRPr="000B4C23">
        <w:rPr>
          <w:color w:val="000000" w:themeColor="text1"/>
          <w:highlight w:val="yellow"/>
        </w:rPr>
        <w:t>Esaku</w:t>
      </w:r>
      <w:proofErr w:type="spellEnd"/>
      <w:r w:rsidRPr="000B4C23">
        <w:rPr>
          <w:color w:val="000000" w:themeColor="text1"/>
          <w:highlight w:val="yellow"/>
        </w:rPr>
        <w:t>, S. (2022).</w:t>
      </w:r>
      <w:proofErr w:type="gramEnd"/>
      <w:r w:rsidRPr="000B4C23">
        <w:rPr>
          <w:color w:val="000000" w:themeColor="text1"/>
          <w:highlight w:val="yellow"/>
        </w:rPr>
        <w:t xml:space="preserve"> Which firms drive employment growth in Sub-Saharan Africa? </w:t>
      </w:r>
      <w:proofErr w:type="gramStart"/>
      <w:r w:rsidRPr="000B4C23">
        <w:rPr>
          <w:color w:val="000000" w:themeColor="text1"/>
          <w:highlight w:val="yellow"/>
        </w:rPr>
        <w:t>Evidence from Kenya.</w:t>
      </w:r>
      <w:proofErr w:type="gramEnd"/>
      <w:r w:rsidRPr="000B4C23">
        <w:rPr>
          <w:color w:val="000000" w:themeColor="text1"/>
          <w:highlight w:val="yellow"/>
        </w:rPr>
        <w:t> </w:t>
      </w:r>
      <w:r w:rsidRPr="000B4C23">
        <w:rPr>
          <w:i/>
          <w:iCs/>
          <w:color w:val="000000" w:themeColor="text1"/>
          <w:highlight w:val="yellow"/>
        </w:rPr>
        <w:t>Small Business Economics</w:t>
      </w:r>
      <w:r w:rsidRPr="000B4C23">
        <w:rPr>
          <w:color w:val="000000" w:themeColor="text1"/>
          <w:highlight w:val="yellow"/>
        </w:rPr>
        <w:t>, </w:t>
      </w:r>
      <w:r w:rsidRPr="000B4C23">
        <w:rPr>
          <w:i/>
          <w:iCs/>
          <w:color w:val="000000" w:themeColor="text1"/>
          <w:highlight w:val="yellow"/>
        </w:rPr>
        <w:t>59</w:t>
      </w:r>
      <w:r w:rsidRPr="000B4C23">
        <w:rPr>
          <w:color w:val="000000" w:themeColor="text1"/>
          <w:highlight w:val="yellow"/>
        </w:rPr>
        <w:t>(1), 383-396.</w:t>
      </w:r>
    </w:p>
    <w:p w14:paraId="4A10345F" w14:textId="77777777" w:rsidR="00EB117E" w:rsidRDefault="00EB117E" w:rsidP="005508BF">
      <w:pPr>
        <w:tabs>
          <w:tab w:val="left" w:pos="3150"/>
        </w:tabs>
        <w:spacing w:line="240" w:lineRule="auto"/>
        <w:ind w:left="720" w:hanging="720"/>
        <w:rPr>
          <w:color w:val="000000" w:themeColor="text1"/>
        </w:rPr>
      </w:pPr>
    </w:p>
    <w:p w14:paraId="7D0ECD58" w14:textId="77777777" w:rsidR="0098144D" w:rsidRPr="00B55CEF" w:rsidRDefault="0098144D" w:rsidP="005508BF">
      <w:pPr>
        <w:tabs>
          <w:tab w:val="left" w:pos="3150"/>
        </w:tabs>
        <w:spacing w:line="240" w:lineRule="auto"/>
        <w:ind w:left="720" w:hanging="720"/>
        <w:rPr>
          <w:color w:val="000000" w:themeColor="text1"/>
        </w:rPr>
      </w:pPr>
    </w:p>
    <w:sectPr w:rsidR="0098144D" w:rsidRPr="00B55CEF" w:rsidSect="00055D83">
      <w:headerReference w:type="even" r:id="rId9"/>
      <w:headerReference w:type="default" r:id="rId10"/>
      <w:footerReference w:type="even" r:id="rId11"/>
      <w:footerReference w:type="default" r:id="rId12"/>
      <w:headerReference w:type="first" r:id="rId13"/>
      <w:footerReference w:type="first" r:id="rId14"/>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AA973" w14:textId="77777777" w:rsidR="005D1A16" w:rsidRDefault="005D1A16">
      <w:pPr>
        <w:spacing w:before="0" w:line="240" w:lineRule="auto"/>
      </w:pPr>
      <w:r>
        <w:separator/>
      </w:r>
    </w:p>
  </w:endnote>
  <w:endnote w:type="continuationSeparator" w:id="0">
    <w:p w14:paraId="29E5FEA7" w14:textId="77777777" w:rsidR="005D1A16" w:rsidRDefault="005D1A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6D005" w14:textId="77777777" w:rsidR="009F53BF" w:rsidRDefault="009F53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236679"/>
      <w:docPartObj>
        <w:docPartGallery w:val="Page Numbers (Bottom of Page)"/>
        <w:docPartUnique/>
      </w:docPartObj>
    </w:sdtPr>
    <w:sdtEndPr>
      <w:rPr>
        <w:noProof/>
        <w:sz w:val="20"/>
        <w:szCs w:val="18"/>
      </w:rPr>
    </w:sdtEndPr>
    <w:sdtContent>
      <w:p w14:paraId="78E128D3" w14:textId="5B565ABA" w:rsidR="0062367B" w:rsidRPr="008A0558" w:rsidRDefault="0062367B">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19445B">
          <w:rPr>
            <w:noProof/>
            <w:sz w:val="20"/>
            <w:szCs w:val="18"/>
          </w:rPr>
          <w:t>15</w:t>
        </w:r>
        <w:r w:rsidRPr="008A0558">
          <w:rPr>
            <w:noProof/>
            <w:sz w:val="20"/>
            <w:szCs w:val="18"/>
          </w:rPr>
          <w:fldChar w:fldCharType="end"/>
        </w:r>
      </w:p>
    </w:sdtContent>
  </w:sdt>
  <w:p w14:paraId="70E80D4D" w14:textId="77777777" w:rsidR="0062367B" w:rsidRDefault="00623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325B5" w14:textId="77777777" w:rsidR="009F53BF" w:rsidRDefault="009F5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CB280" w14:textId="77777777" w:rsidR="005D1A16" w:rsidRDefault="005D1A16">
      <w:pPr>
        <w:spacing w:before="0" w:line="240" w:lineRule="auto"/>
      </w:pPr>
      <w:r>
        <w:separator/>
      </w:r>
    </w:p>
  </w:footnote>
  <w:footnote w:type="continuationSeparator" w:id="0">
    <w:p w14:paraId="6A0AA692" w14:textId="77777777" w:rsidR="005D1A16" w:rsidRDefault="005D1A1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33B3" w14:textId="4D963A4B" w:rsidR="009F53BF" w:rsidRDefault="005D1A16">
    <w:pPr>
      <w:pStyle w:val="Header"/>
    </w:pPr>
    <w:r>
      <w:rPr>
        <w:noProof/>
      </w:rPr>
      <w:pict w14:anchorId="16F84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4" o:spid="_x0000_s2050"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A5C9" w14:textId="3101380E" w:rsidR="009F53BF" w:rsidRDefault="005D1A16">
    <w:pPr>
      <w:pStyle w:val="Header"/>
    </w:pPr>
    <w:r>
      <w:rPr>
        <w:noProof/>
      </w:rPr>
      <w:pict w14:anchorId="595F1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5" o:spid="_x0000_s2051"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3AAA" w14:textId="04E3EB1B" w:rsidR="009F53BF" w:rsidRDefault="005D1A16">
    <w:pPr>
      <w:pStyle w:val="Header"/>
    </w:pPr>
    <w:r>
      <w:rPr>
        <w:noProof/>
      </w:rPr>
      <w:pict w14:anchorId="4A283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905703" o:spid="_x0000_s2049"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2"/>
  </w:num>
  <w:num w:numId="4">
    <w:abstractNumId w:val="21"/>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zNTMHksbGRubGZko6SsGpxcWZ+XkgBYa1AGuFQZYsAAAA"/>
  </w:docVars>
  <w:rsids>
    <w:rsidRoot w:val="00055D83"/>
    <w:rsid w:val="00001A44"/>
    <w:rsid w:val="00005286"/>
    <w:rsid w:val="00014726"/>
    <w:rsid w:val="0001490C"/>
    <w:rsid w:val="00036654"/>
    <w:rsid w:val="000410EC"/>
    <w:rsid w:val="000443AB"/>
    <w:rsid w:val="000446E8"/>
    <w:rsid w:val="00047D61"/>
    <w:rsid w:val="00055D83"/>
    <w:rsid w:val="000577EB"/>
    <w:rsid w:val="0006448B"/>
    <w:rsid w:val="00064933"/>
    <w:rsid w:val="000661F9"/>
    <w:rsid w:val="00073097"/>
    <w:rsid w:val="00073840"/>
    <w:rsid w:val="000747C2"/>
    <w:rsid w:val="000750F8"/>
    <w:rsid w:val="00076BA5"/>
    <w:rsid w:val="00082DAA"/>
    <w:rsid w:val="00087A1D"/>
    <w:rsid w:val="0009733F"/>
    <w:rsid w:val="000A3BD7"/>
    <w:rsid w:val="000A57EC"/>
    <w:rsid w:val="000A6884"/>
    <w:rsid w:val="000B496D"/>
    <w:rsid w:val="000B4C23"/>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9445B"/>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436A6"/>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81F"/>
    <w:rsid w:val="003C59BB"/>
    <w:rsid w:val="003C7107"/>
    <w:rsid w:val="003D2541"/>
    <w:rsid w:val="003D39AB"/>
    <w:rsid w:val="003D4D6F"/>
    <w:rsid w:val="003D7198"/>
    <w:rsid w:val="003E0D69"/>
    <w:rsid w:val="003E0FAD"/>
    <w:rsid w:val="003F01AE"/>
    <w:rsid w:val="003F72A0"/>
    <w:rsid w:val="0040626D"/>
    <w:rsid w:val="00406845"/>
    <w:rsid w:val="004071F4"/>
    <w:rsid w:val="00407977"/>
    <w:rsid w:val="00412150"/>
    <w:rsid w:val="0041566F"/>
    <w:rsid w:val="00415ABE"/>
    <w:rsid w:val="004165B3"/>
    <w:rsid w:val="00416E73"/>
    <w:rsid w:val="00421CF2"/>
    <w:rsid w:val="0042251A"/>
    <w:rsid w:val="00426617"/>
    <w:rsid w:val="00426CDB"/>
    <w:rsid w:val="00437393"/>
    <w:rsid w:val="00440EF7"/>
    <w:rsid w:val="00442282"/>
    <w:rsid w:val="00462B59"/>
    <w:rsid w:val="00466181"/>
    <w:rsid w:val="004737A8"/>
    <w:rsid w:val="004867E7"/>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2E7D"/>
    <w:rsid w:val="004F5A5D"/>
    <w:rsid w:val="00500683"/>
    <w:rsid w:val="00505972"/>
    <w:rsid w:val="0051495F"/>
    <w:rsid w:val="005202A1"/>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1A16"/>
    <w:rsid w:val="005D3FE1"/>
    <w:rsid w:val="005D72F4"/>
    <w:rsid w:val="005E3D2C"/>
    <w:rsid w:val="005F1DA5"/>
    <w:rsid w:val="005F2F50"/>
    <w:rsid w:val="0060683F"/>
    <w:rsid w:val="00610BEF"/>
    <w:rsid w:val="0061111A"/>
    <w:rsid w:val="00615B2D"/>
    <w:rsid w:val="00616E93"/>
    <w:rsid w:val="006177C4"/>
    <w:rsid w:val="006211E5"/>
    <w:rsid w:val="00622E5D"/>
    <w:rsid w:val="0062367B"/>
    <w:rsid w:val="00623C02"/>
    <w:rsid w:val="00632E53"/>
    <w:rsid w:val="00652189"/>
    <w:rsid w:val="0065654C"/>
    <w:rsid w:val="00661AAF"/>
    <w:rsid w:val="00675C16"/>
    <w:rsid w:val="006826A1"/>
    <w:rsid w:val="00683F32"/>
    <w:rsid w:val="00685965"/>
    <w:rsid w:val="0068692A"/>
    <w:rsid w:val="006A0520"/>
    <w:rsid w:val="006A5077"/>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536F"/>
    <w:rsid w:val="007B652A"/>
    <w:rsid w:val="007B693A"/>
    <w:rsid w:val="007B75C6"/>
    <w:rsid w:val="007C3182"/>
    <w:rsid w:val="007C6929"/>
    <w:rsid w:val="007D08AC"/>
    <w:rsid w:val="007D4F35"/>
    <w:rsid w:val="007E3458"/>
    <w:rsid w:val="007E5A6C"/>
    <w:rsid w:val="007F1318"/>
    <w:rsid w:val="007F4F3C"/>
    <w:rsid w:val="008003E7"/>
    <w:rsid w:val="00805B00"/>
    <w:rsid w:val="0081762C"/>
    <w:rsid w:val="008209F0"/>
    <w:rsid w:val="00822A7E"/>
    <w:rsid w:val="008263C5"/>
    <w:rsid w:val="008456FF"/>
    <w:rsid w:val="00854FF7"/>
    <w:rsid w:val="00857BF9"/>
    <w:rsid w:val="00860F17"/>
    <w:rsid w:val="00866232"/>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5F70"/>
    <w:rsid w:val="00961903"/>
    <w:rsid w:val="00963A57"/>
    <w:rsid w:val="00973355"/>
    <w:rsid w:val="0098144D"/>
    <w:rsid w:val="009841F2"/>
    <w:rsid w:val="00984917"/>
    <w:rsid w:val="00993BED"/>
    <w:rsid w:val="009963FB"/>
    <w:rsid w:val="009A067C"/>
    <w:rsid w:val="009A129E"/>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3BF"/>
    <w:rsid w:val="009F5632"/>
    <w:rsid w:val="009F6D2D"/>
    <w:rsid w:val="00A00A05"/>
    <w:rsid w:val="00A0120F"/>
    <w:rsid w:val="00A01B25"/>
    <w:rsid w:val="00A01E19"/>
    <w:rsid w:val="00A22EB7"/>
    <w:rsid w:val="00A27439"/>
    <w:rsid w:val="00A31119"/>
    <w:rsid w:val="00A40F08"/>
    <w:rsid w:val="00A52C12"/>
    <w:rsid w:val="00A57832"/>
    <w:rsid w:val="00A616A9"/>
    <w:rsid w:val="00A6347C"/>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721A0"/>
    <w:rsid w:val="00B836B4"/>
    <w:rsid w:val="00B85E42"/>
    <w:rsid w:val="00B87A83"/>
    <w:rsid w:val="00B93488"/>
    <w:rsid w:val="00B9497F"/>
    <w:rsid w:val="00BA58DB"/>
    <w:rsid w:val="00BA790C"/>
    <w:rsid w:val="00BB1899"/>
    <w:rsid w:val="00BB3A83"/>
    <w:rsid w:val="00BC2524"/>
    <w:rsid w:val="00BC6A0A"/>
    <w:rsid w:val="00BC7830"/>
    <w:rsid w:val="00BD0E33"/>
    <w:rsid w:val="00BD15A0"/>
    <w:rsid w:val="00BD64EB"/>
    <w:rsid w:val="00BD7BE1"/>
    <w:rsid w:val="00BD7FD6"/>
    <w:rsid w:val="00BE1869"/>
    <w:rsid w:val="00BE24E1"/>
    <w:rsid w:val="00BE5008"/>
    <w:rsid w:val="00BE754B"/>
    <w:rsid w:val="00BF3AB9"/>
    <w:rsid w:val="00BF3C23"/>
    <w:rsid w:val="00BF6F97"/>
    <w:rsid w:val="00C01423"/>
    <w:rsid w:val="00C0320B"/>
    <w:rsid w:val="00C03297"/>
    <w:rsid w:val="00C053F5"/>
    <w:rsid w:val="00C06731"/>
    <w:rsid w:val="00C076C4"/>
    <w:rsid w:val="00C10FCA"/>
    <w:rsid w:val="00C1335A"/>
    <w:rsid w:val="00C237CE"/>
    <w:rsid w:val="00C25488"/>
    <w:rsid w:val="00C32AB8"/>
    <w:rsid w:val="00C4118B"/>
    <w:rsid w:val="00C54577"/>
    <w:rsid w:val="00C67694"/>
    <w:rsid w:val="00C864EE"/>
    <w:rsid w:val="00C9348C"/>
    <w:rsid w:val="00C95979"/>
    <w:rsid w:val="00CA2418"/>
    <w:rsid w:val="00CA37C0"/>
    <w:rsid w:val="00CA6BD4"/>
    <w:rsid w:val="00CB6E82"/>
    <w:rsid w:val="00CE4C91"/>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5251B"/>
    <w:rsid w:val="00D54CAA"/>
    <w:rsid w:val="00D56393"/>
    <w:rsid w:val="00D56DAA"/>
    <w:rsid w:val="00D62D54"/>
    <w:rsid w:val="00D656A4"/>
    <w:rsid w:val="00D665A0"/>
    <w:rsid w:val="00D72218"/>
    <w:rsid w:val="00D73F27"/>
    <w:rsid w:val="00D74259"/>
    <w:rsid w:val="00D7477F"/>
    <w:rsid w:val="00D7785F"/>
    <w:rsid w:val="00D916BC"/>
    <w:rsid w:val="00D9448A"/>
    <w:rsid w:val="00D94638"/>
    <w:rsid w:val="00DA0813"/>
    <w:rsid w:val="00DB266B"/>
    <w:rsid w:val="00DB408B"/>
    <w:rsid w:val="00DC31BD"/>
    <w:rsid w:val="00DC406B"/>
    <w:rsid w:val="00DC4076"/>
    <w:rsid w:val="00DC411F"/>
    <w:rsid w:val="00DD21C0"/>
    <w:rsid w:val="00DE2430"/>
    <w:rsid w:val="00DE4ECB"/>
    <w:rsid w:val="00DE5974"/>
    <w:rsid w:val="00DF126E"/>
    <w:rsid w:val="00DF2A42"/>
    <w:rsid w:val="00E05059"/>
    <w:rsid w:val="00E0554F"/>
    <w:rsid w:val="00E07021"/>
    <w:rsid w:val="00E1065F"/>
    <w:rsid w:val="00E1453F"/>
    <w:rsid w:val="00E160F3"/>
    <w:rsid w:val="00E17890"/>
    <w:rsid w:val="00E207BA"/>
    <w:rsid w:val="00E22B03"/>
    <w:rsid w:val="00E22FC8"/>
    <w:rsid w:val="00E236F2"/>
    <w:rsid w:val="00E24AB2"/>
    <w:rsid w:val="00E31A3E"/>
    <w:rsid w:val="00E3230A"/>
    <w:rsid w:val="00E3709F"/>
    <w:rsid w:val="00E41E2F"/>
    <w:rsid w:val="00E448DE"/>
    <w:rsid w:val="00E468EC"/>
    <w:rsid w:val="00E50F0F"/>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10F"/>
    <w:rsid w:val="00EA7AE3"/>
    <w:rsid w:val="00EB117E"/>
    <w:rsid w:val="00EC58C5"/>
    <w:rsid w:val="00ED008A"/>
    <w:rsid w:val="00ED66D3"/>
    <w:rsid w:val="00EE0214"/>
    <w:rsid w:val="00EE5387"/>
    <w:rsid w:val="00EF2DD5"/>
    <w:rsid w:val="00F00D01"/>
    <w:rsid w:val="00F01BA4"/>
    <w:rsid w:val="00F02225"/>
    <w:rsid w:val="00F05D67"/>
    <w:rsid w:val="00F111A2"/>
    <w:rsid w:val="00F14915"/>
    <w:rsid w:val="00F16858"/>
    <w:rsid w:val="00F23691"/>
    <w:rsid w:val="00F341B9"/>
    <w:rsid w:val="00F341C6"/>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D5D18"/>
    <w:rsid w:val="00FE5B93"/>
    <w:rsid w:val="00FE6B26"/>
    <w:rsid w:val="00FE7703"/>
    <w:rsid w:val="00FF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66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customStyle="1"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customStyle="1"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 w:type="paragraph" w:styleId="Revision">
    <w:name w:val="Revision"/>
    <w:hidden/>
    <w:uiPriority w:val="99"/>
    <w:semiHidden/>
    <w:rsid w:val="00BD7FD6"/>
    <w:pPr>
      <w:spacing w:after="0" w:line="240" w:lineRule="auto"/>
    </w:pPr>
    <w:rPr>
      <w:rFonts w:ascii="Times New Roman" w:eastAsia="Calibri" w:hAnsi="Times New Roman" w:cs="SimSun"/>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customStyle="1"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customStyle="1" w:styleId="UnresolvedMention">
    <w:name w:val="Unresolved Mention"/>
    <w:basedOn w:val="DefaultParagraphFont"/>
    <w:uiPriority w:val="99"/>
    <w:semiHidden/>
    <w:unhideWhenUsed/>
    <w:rsid w:val="00ED66D3"/>
    <w:rPr>
      <w:color w:val="605E5C"/>
      <w:shd w:val="clear" w:color="auto" w:fill="E1DFDD"/>
    </w:rPr>
  </w:style>
  <w:style w:type="paragraph" w:styleId="Header">
    <w:name w:val="header"/>
    <w:basedOn w:val="Normal"/>
    <w:link w:val="HeaderChar"/>
    <w:uiPriority w:val="99"/>
    <w:unhideWhenUsed/>
    <w:rsid w:val="009F53B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53BF"/>
    <w:rPr>
      <w:rFonts w:ascii="Times New Roman" w:eastAsia="Calibri" w:hAnsi="Times New Roman" w:cs="SimSun"/>
      <w:color w:val="000000"/>
      <w:kern w:val="0"/>
      <w:sz w:val="24"/>
    </w:rPr>
  </w:style>
  <w:style w:type="paragraph" w:styleId="Revision">
    <w:name w:val="Revision"/>
    <w:hidden/>
    <w:uiPriority w:val="99"/>
    <w:semiHidden/>
    <w:rsid w:val="00BD7FD6"/>
    <w:pPr>
      <w:spacing w:after="0" w:line="240" w:lineRule="auto"/>
    </w:pPr>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pol.2024.11445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9558</Words>
  <Characters>54482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1055</cp:lastModifiedBy>
  <cp:revision>28</cp:revision>
  <dcterms:created xsi:type="dcterms:W3CDTF">2025-11-05T13:32:00Z</dcterms:created>
  <dcterms:modified xsi:type="dcterms:W3CDTF">2025-11-19T12:40:00Z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9d9d7512-c669-4cdb-91a0-ff1aa369fa61</vt:lpwstr>
  </property>
</Properties>
</file>