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5F0" w:rsidRPr="008115F0" w:rsidRDefault="008115F0" w:rsidP="008D1686">
      <w:pPr>
        <w:spacing w:before="100" w:beforeAutospacing="1" w:after="100" w:afterAutospacing="1" w:line="240" w:lineRule="auto"/>
        <w:outlineLvl w:val="1"/>
        <w:rPr>
          <w:rFonts w:ascii="Arial" w:hAnsi="Arial" w:cs="Arial"/>
          <w:b/>
          <w:i/>
          <w:iCs/>
          <w:sz w:val="24"/>
          <w:szCs w:val="20"/>
        </w:rPr>
      </w:pPr>
      <w:r w:rsidRPr="008115F0">
        <w:rPr>
          <w:rFonts w:ascii="Arial" w:hAnsi="Arial" w:cs="Arial"/>
          <w:b/>
          <w:i/>
          <w:iCs/>
          <w:sz w:val="24"/>
          <w:szCs w:val="20"/>
          <w:highlight w:val="yellow"/>
        </w:rPr>
        <w:t xml:space="preserve">Valuing Hard-to-Value Intangibles: A Review of Methods, Challenges, and Emerging </w:t>
      </w:r>
      <w:proofErr w:type="spellStart"/>
      <w:r w:rsidRPr="008115F0">
        <w:rPr>
          <w:rFonts w:ascii="Arial" w:hAnsi="Arial" w:cs="Arial"/>
          <w:b/>
          <w:i/>
          <w:iCs/>
          <w:sz w:val="24"/>
          <w:szCs w:val="20"/>
          <w:highlight w:val="yellow"/>
        </w:rPr>
        <w:t>Trends</w:t>
      </w:r>
    </w:p>
    <w:p w:rsidR="008115F0" w:rsidRDefault="008115F0" w:rsidP="008D1686">
      <w:pPr>
        <w:spacing w:before="100" w:beforeAutospacing="1" w:after="100" w:afterAutospacing="1" w:line="240" w:lineRule="auto"/>
        <w:outlineLvl w:val="1"/>
        <w:rPr>
          <w:rFonts w:ascii="Times New Roman" w:eastAsia="Times New Roman" w:hAnsi="Times New Roman" w:cs="Times New Roman"/>
          <w:b/>
          <w:bCs/>
          <w:sz w:val="24"/>
          <w:szCs w:val="24"/>
        </w:rPr>
      </w:pPr>
      <w:proofErr w:type="spellEnd"/>
    </w:p>
    <w:p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Abstract</w:t>
      </w:r>
    </w:p>
    <w:p w:rsidR="005B2E78" w:rsidRDefault="004D3B6B" w:rsidP="00956269">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Hard to </w:t>
      </w:r>
      <w:r w:rsidR="005B2E78">
        <w:rPr>
          <w:rFonts w:ascii="Times New Roman" w:eastAsia="Times New Roman" w:hAnsi="Times New Roman" w:cs="Times New Roman"/>
          <w:i/>
          <w:sz w:val="24"/>
          <w:szCs w:val="24"/>
        </w:rPr>
        <w:t xml:space="preserve">Value Intangibles valuation has become a major concern in finance. This is due to uncertainty, lack of </w:t>
      </w:r>
      <w:proofErr w:type="spellStart"/>
      <w:r w:rsidR="005B2E78">
        <w:rPr>
          <w:rFonts w:ascii="Times New Roman" w:eastAsia="Times New Roman" w:hAnsi="Times New Roman" w:cs="Times New Roman"/>
          <w:i/>
          <w:sz w:val="24"/>
          <w:szCs w:val="24"/>
        </w:rPr>
        <w:t>comparables</w:t>
      </w:r>
      <w:proofErr w:type="spellEnd"/>
      <w:r w:rsidR="005B2E78">
        <w:rPr>
          <w:rFonts w:ascii="Times New Roman" w:eastAsia="Times New Roman" w:hAnsi="Times New Roman" w:cs="Times New Roman"/>
          <w:i/>
          <w:sz w:val="24"/>
          <w:szCs w:val="24"/>
        </w:rPr>
        <w:t xml:space="preserve"> assets combined with high potential for super returns. These assets include digital platforms, data assets, algorithms and proprietary techno</w:t>
      </w:r>
      <w:r w:rsidR="0051038A">
        <w:rPr>
          <w:rFonts w:ascii="Times New Roman" w:eastAsia="Times New Roman" w:hAnsi="Times New Roman" w:cs="Times New Roman"/>
          <w:i/>
          <w:sz w:val="24"/>
          <w:szCs w:val="24"/>
        </w:rPr>
        <w:t>logies which po</w:t>
      </w:r>
      <w:r w:rsidR="005B2E78">
        <w:rPr>
          <w:rFonts w:ascii="Times New Roman" w:eastAsia="Times New Roman" w:hAnsi="Times New Roman" w:cs="Times New Roman"/>
          <w:i/>
          <w:sz w:val="24"/>
          <w:szCs w:val="24"/>
        </w:rPr>
        <w:t>se challenges in transfer pricing. These assets are quite challenging to value by regulators, financial analysts, businesses and tax authorities. This paper reviews methods used to value intangible, both traditional and contemporary. It also considers emerging trends in the valuation of intangibles.</w:t>
      </w:r>
    </w:p>
    <w:p w:rsidR="00956269" w:rsidRPr="00956269" w:rsidRDefault="00956269" w:rsidP="00956269">
      <w:pPr>
        <w:spacing w:before="100" w:beforeAutospacing="1" w:after="100" w:afterAutospacing="1"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(Key </w:t>
      </w:r>
      <w:r w:rsidR="00583B9B">
        <w:rPr>
          <w:rFonts w:ascii="Times New Roman" w:eastAsia="Times New Roman" w:hAnsi="Times New Roman" w:cs="Times New Roman"/>
          <w:i/>
          <w:sz w:val="24"/>
          <w:szCs w:val="24"/>
        </w:rPr>
        <w:t>Words</w:t>
      </w:r>
      <w:r>
        <w:rPr>
          <w:rFonts w:ascii="Times New Roman" w:eastAsia="Times New Roman" w:hAnsi="Times New Roman" w:cs="Times New Roman"/>
          <w:i/>
          <w:sz w:val="24"/>
          <w:szCs w:val="24"/>
        </w:rPr>
        <w:t>: intangible assets, transfer pricing, pat</w:t>
      </w:r>
      <w:bookmarkStart w:id="0" w:name="_GoBack"/>
      <w:bookmarkEnd w:id="0"/>
      <w:r>
        <w:rPr>
          <w:rFonts w:ascii="Times New Roman" w:eastAsia="Times New Roman" w:hAnsi="Times New Roman" w:cs="Times New Roman"/>
          <w:i/>
          <w:sz w:val="24"/>
          <w:szCs w:val="24"/>
        </w:rPr>
        <w:t>ents, traditional valuation, contemporary valuation)</w:t>
      </w:r>
    </w:p>
    <w:p w:rsidR="008D1686" w:rsidRPr="00956269" w:rsidRDefault="008D1686" w:rsidP="008D1686">
      <w:pPr>
        <w:spacing w:after="0" w:line="240" w:lineRule="auto"/>
        <w:rPr>
          <w:rFonts w:ascii="Times New Roman" w:eastAsia="Times New Roman" w:hAnsi="Times New Roman" w:cs="Times New Roman"/>
          <w:sz w:val="24"/>
          <w:szCs w:val="24"/>
        </w:rPr>
      </w:pPr>
    </w:p>
    <w:p w:rsidR="008D1686" w:rsidRPr="00956269" w:rsidRDefault="00426C3F"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w:t>
      </w:r>
      <w:r w:rsidR="008D1686" w:rsidRPr="00956269">
        <w:rPr>
          <w:rFonts w:ascii="Times New Roman" w:eastAsia="Times New Roman" w:hAnsi="Times New Roman" w:cs="Times New Roman"/>
          <w:b/>
          <w:bCs/>
          <w:sz w:val="24"/>
          <w:szCs w:val="24"/>
        </w:rPr>
        <w:t>Introduction</w:t>
      </w:r>
    </w:p>
    <w:p w:rsidR="00BB12B7" w:rsidRDefault="00BB12B7"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businesses are now concerned than ever in the value of intangible assets accruing in their business to assist in making optimal decisions. Valuation is needed to facilitate transactions such as mergers, transfer pricing and basic preparation of financial reports. These assets portray unique problems such as uncertainty on future cashflows, </w:t>
      </w:r>
      <w:proofErr w:type="spellStart"/>
      <w:proofErr w:type="gramStart"/>
      <w:r>
        <w:rPr>
          <w:rFonts w:ascii="Times New Roman" w:eastAsia="Times New Roman" w:hAnsi="Times New Roman" w:cs="Times New Roman"/>
          <w:sz w:val="24"/>
          <w:szCs w:val="24"/>
        </w:rPr>
        <w:t>non comparable</w:t>
      </w:r>
      <w:proofErr w:type="spellEnd"/>
      <w:proofErr w:type="gramEnd"/>
      <w:r>
        <w:rPr>
          <w:rFonts w:ascii="Times New Roman" w:eastAsia="Times New Roman" w:hAnsi="Times New Roman" w:cs="Times New Roman"/>
          <w:sz w:val="24"/>
          <w:szCs w:val="24"/>
        </w:rPr>
        <w:t xml:space="preserve"> market for the assets and </w:t>
      </w:r>
      <w:r w:rsidR="003B1433">
        <w:rPr>
          <w:rFonts w:ascii="Times New Roman" w:eastAsia="Times New Roman" w:hAnsi="Times New Roman" w:cs="Times New Roman"/>
          <w:sz w:val="24"/>
          <w:szCs w:val="24"/>
        </w:rPr>
        <w:t>dynamic technology which always evolve (</w:t>
      </w:r>
      <w:r w:rsidR="003B1433" w:rsidRPr="00956269">
        <w:rPr>
          <w:rFonts w:ascii="Times New Roman" w:eastAsia="Times New Roman" w:hAnsi="Times New Roman" w:cs="Times New Roman"/>
          <w:sz w:val="24"/>
          <w:szCs w:val="24"/>
        </w:rPr>
        <w:t>OECD, 2015; Deloitte, 2021).</w:t>
      </w:r>
      <w:r w:rsidR="003B1433">
        <w:rPr>
          <w:rFonts w:ascii="Times New Roman" w:eastAsia="Times New Roman" w:hAnsi="Times New Roman" w:cs="Times New Roman"/>
          <w:sz w:val="24"/>
          <w:szCs w:val="24"/>
        </w:rPr>
        <w:t xml:space="preserve"> HTVI have become significant in the economy as most businesses rely on intangibles to create value as compared to physical assets.</w:t>
      </w:r>
    </w:p>
    <w:p w:rsidR="003B1433" w:rsidRDefault="003B1433"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below indicates how intangibles have risen in value as compared to tangible assets. Ocean </w:t>
      </w:r>
      <w:proofErr w:type="spellStart"/>
      <w:r>
        <w:rPr>
          <w:rFonts w:ascii="Times New Roman" w:eastAsia="Times New Roman" w:hAnsi="Times New Roman" w:cs="Times New Roman"/>
          <w:sz w:val="24"/>
          <w:szCs w:val="24"/>
        </w:rPr>
        <w:t>Tomo</w:t>
      </w:r>
      <w:proofErr w:type="spellEnd"/>
      <w:r>
        <w:rPr>
          <w:rFonts w:ascii="Times New Roman" w:eastAsia="Times New Roman" w:hAnsi="Times New Roman" w:cs="Times New Roman"/>
          <w:sz w:val="24"/>
          <w:szCs w:val="24"/>
        </w:rPr>
        <w:t xml:space="preserve"> (2020) has documented the rise of intangibles from 39 percent to 84 percent from year 2000 to 2020 respectively. This necessitates robust methods for intangibles valuation for tax and financial measurements.</w:t>
      </w:r>
    </w:p>
    <w:p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lastRenderedPageBreak/>
        <w:t>Table 1: Growth of Intangible Assets vs Tangible Assets in Global Corporate Value (2000–2020)</w:t>
      </w:r>
    </w:p>
    <w:tbl>
      <w:tblPr>
        <w:tblStyle w:val="LightShading1"/>
        <w:tblW w:w="0" w:type="auto"/>
        <w:tblLook w:val="04A0" w:firstRow="1" w:lastRow="0" w:firstColumn="1" w:lastColumn="0" w:noHBand="0" w:noVBand="1"/>
      </w:tblPr>
      <w:tblGrid>
        <w:gridCol w:w="9576"/>
      </w:tblGrid>
      <w:tr w:rsidR="007852E4" w:rsidRPr="00956269"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LightShading-Accent2"/>
              <w:tblW w:w="0" w:type="auto"/>
              <w:tblLook w:val="04A0" w:firstRow="1" w:lastRow="0" w:firstColumn="1" w:lastColumn="0" w:noHBand="0" w:noVBand="1"/>
            </w:tblPr>
            <w:tblGrid>
              <w:gridCol w:w="638"/>
              <w:gridCol w:w="3459"/>
              <w:gridCol w:w="3582"/>
              <w:gridCol w:w="1681"/>
            </w:tblGrid>
            <w:tr w:rsidR="007852E4" w:rsidRPr="00956269" w:rsidTr="009562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852E4" w:rsidRPr="00956269" w:rsidRDefault="007852E4" w:rsidP="00E15789">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Year</w:t>
                  </w:r>
                </w:p>
              </w:tc>
              <w:tc>
                <w:tcPr>
                  <w:tcW w:w="0" w:type="auto"/>
                  <w:hideMark/>
                </w:tcPr>
                <w:p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Tangible Assets (% of Total Market Value)</w:t>
                  </w:r>
                </w:p>
              </w:tc>
              <w:tc>
                <w:tcPr>
                  <w:tcW w:w="0" w:type="auto"/>
                  <w:hideMark/>
                </w:tcPr>
                <w:p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Assets (% of Total Market Value)</w:t>
                  </w:r>
                </w:p>
              </w:tc>
              <w:tc>
                <w:tcPr>
                  <w:tcW w:w="0" w:type="auto"/>
                  <w:hideMark/>
                </w:tcPr>
                <w:p w:rsidR="007852E4" w:rsidRPr="00956269" w:rsidRDefault="007852E4" w:rsidP="00E157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7852E4" w:rsidRPr="00956269" w:rsidTr="0095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2000</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61%</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39%</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(2017)</w:t>
                  </w:r>
                </w:p>
              </w:tc>
            </w:tr>
            <w:tr w:rsidR="007852E4" w:rsidRPr="00956269" w:rsidTr="00956269">
              <w:tc>
                <w:tcPr>
                  <w:cnfStyle w:val="001000000000" w:firstRow="0" w:lastRow="0" w:firstColumn="1" w:lastColumn="0" w:oddVBand="0" w:evenVBand="0" w:oddHBand="0" w:evenHBand="0" w:firstRowFirstColumn="0" w:firstRowLastColumn="0" w:lastRowFirstColumn="0" w:lastRowLastColumn="0"/>
                  <w:tcW w:w="0" w:type="auto"/>
                  <w:hideMark/>
                </w:tcPr>
                <w:p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2010</w:t>
                  </w:r>
                </w:p>
              </w:tc>
              <w:tc>
                <w:tcPr>
                  <w:tcW w:w="0" w:type="auto"/>
                  <w:hideMark/>
                </w:tcPr>
                <w:p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36%</w:t>
                  </w:r>
                </w:p>
              </w:tc>
              <w:tc>
                <w:tcPr>
                  <w:tcW w:w="0" w:type="auto"/>
                  <w:hideMark/>
                </w:tcPr>
                <w:p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64%</w:t>
                  </w:r>
                </w:p>
              </w:tc>
              <w:tc>
                <w:tcPr>
                  <w:tcW w:w="0" w:type="auto"/>
                  <w:hideMark/>
                </w:tcPr>
                <w:p w:rsidR="007852E4" w:rsidRPr="00956269" w:rsidRDefault="007852E4" w:rsidP="00E1578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(2017)</w:t>
                  </w:r>
                </w:p>
              </w:tc>
            </w:tr>
            <w:tr w:rsidR="007852E4" w:rsidRPr="00956269" w:rsidTr="00956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852E4" w:rsidRPr="00956269" w:rsidRDefault="007852E4" w:rsidP="00E15789">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2020</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16%</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84%</w:t>
                  </w:r>
                </w:p>
              </w:tc>
              <w:tc>
                <w:tcPr>
                  <w:tcW w:w="0" w:type="auto"/>
                  <w:hideMark/>
                </w:tcPr>
                <w:p w:rsidR="007852E4" w:rsidRPr="00956269" w:rsidRDefault="007852E4" w:rsidP="00E157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Ocean </w:t>
                  </w:r>
                  <w:proofErr w:type="spellStart"/>
                  <w:r w:rsidRPr="00956269">
                    <w:rPr>
                      <w:rFonts w:ascii="Times New Roman" w:eastAsia="Times New Roman" w:hAnsi="Times New Roman" w:cs="Times New Roman"/>
                      <w:sz w:val="20"/>
                      <w:szCs w:val="20"/>
                    </w:rPr>
                    <w:t>Tomo</w:t>
                  </w:r>
                  <w:proofErr w:type="spellEnd"/>
                  <w:r w:rsidRPr="00956269">
                    <w:rPr>
                      <w:rFonts w:ascii="Times New Roman" w:eastAsia="Times New Roman" w:hAnsi="Times New Roman" w:cs="Times New Roman"/>
                      <w:sz w:val="20"/>
                      <w:szCs w:val="20"/>
                    </w:rPr>
                    <w:t xml:space="preserve"> (2020)</w:t>
                  </w:r>
                </w:p>
              </w:tc>
            </w:tr>
          </w:tbl>
          <w:p w:rsidR="007852E4" w:rsidRPr="00956269" w:rsidRDefault="007852E4">
            <w:pPr>
              <w:rPr>
                <w:rFonts w:ascii="Times New Roman" w:hAnsi="Times New Roman" w:cs="Times New Roman"/>
                <w:sz w:val="24"/>
                <w:szCs w:val="24"/>
              </w:rPr>
            </w:pPr>
          </w:p>
        </w:tc>
      </w:tr>
    </w:tbl>
    <w:p w:rsidR="008D1686" w:rsidRPr="00956269" w:rsidRDefault="008D1686" w:rsidP="008D1686">
      <w:pPr>
        <w:spacing w:after="0" w:line="240" w:lineRule="auto"/>
        <w:rPr>
          <w:rFonts w:ascii="Times New Roman" w:eastAsia="Times New Roman" w:hAnsi="Times New Roman" w:cs="Times New Roman"/>
          <w:sz w:val="24"/>
          <w:szCs w:val="24"/>
        </w:rPr>
      </w:pPr>
    </w:p>
    <w:p w:rsidR="00447C47" w:rsidRDefault="00426C3F" w:rsidP="00506C5A">
      <w:pPr>
        <w:spacing w:before="100" w:beforeAutospacing="1" w:after="100" w:afterAutospacing="1"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2.0 </w:t>
      </w:r>
      <w:r w:rsidR="00447C47" w:rsidRPr="00447C47">
        <w:rPr>
          <w:rFonts w:ascii="Times New Roman" w:eastAsia="Times New Roman" w:hAnsi="Times New Roman" w:cs="Times New Roman"/>
          <w:b/>
          <w:bCs/>
          <w:kern w:val="36"/>
          <w:sz w:val="24"/>
          <w:szCs w:val="24"/>
        </w:rPr>
        <w:t>Review of Underlying Theories</w:t>
      </w:r>
    </w:p>
    <w:p w:rsidR="00447C47" w:rsidRDefault="00447C47"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sidRPr="00447C47">
        <w:rPr>
          <w:rFonts w:ascii="Times New Roman" w:eastAsia="Times New Roman" w:hAnsi="Times New Roman" w:cs="Times New Roman"/>
          <w:bCs/>
          <w:kern w:val="36"/>
          <w:sz w:val="24"/>
          <w:szCs w:val="24"/>
        </w:rPr>
        <w:t>The intangible assets have become a pertinent part of modern business despite challenges on how they are measured and valued. Modern businesses rely on assets like trademarks, patents, licenses, goodwill among other intangibles which has become a central part of modern companies.</w:t>
      </w:r>
      <w:r>
        <w:rPr>
          <w:rFonts w:ascii="Times New Roman" w:eastAsia="Times New Roman" w:hAnsi="Times New Roman" w:cs="Times New Roman"/>
          <w:bCs/>
          <w:kern w:val="36"/>
          <w:sz w:val="24"/>
          <w:szCs w:val="24"/>
        </w:rPr>
        <w:t xml:space="preserve"> Levi (2001) states that comprehensive valuation of intangibles poses a challenge as the exact value of cashflows expected to be generated in future cannot be estimated with certainty. </w:t>
      </w:r>
      <w:r w:rsidR="00B42426">
        <w:rPr>
          <w:rFonts w:ascii="Times New Roman" w:eastAsia="Times New Roman" w:hAnsi="Times New Roman" w:cs="Times New Roman"/>
          <w:bCs/>
          <w:kern w:val="36"/>
          <w:sz w:val="24"/>
          <w:szCs w:val="24"/>
        </w:rPr>
        <w:t xml:space="preserve">This is because they have capacity to generate supernormal profits due to synergies in operations whereas the cashflows might degenerate due to knowledge adaptation by competitors in the future. Some theories have been used to discuss the complexity of intangibles valuation such as </w:t>
      </w:r>
      <w:proofErr w:type="gramStart"/>
      <w:r w:rsidR="00B42426">
        <w:rPr>
          <w:rFonts w:ascii="Times New Roman" w:eastAsia="Times New Roman" w:hAnsi="Times New Roman" w:cs="Times New Roman"/>
          <w:bCs/>
          <w:kern w:val="36"/>
          <w:sz w:val="24"/>
          <w:szCs w:val="24"/>
        </w:rPr>
        <w:t>resource based</w:t>
      </w:r>
      <w:proofErr w:type="gramEnd"/>
      <w:r w:rsidR="00B42426">
        <w:rPr>
          <w:rFonts w:ascii="Times New Roman" w:eastAsia="Times New Roman" w:hAnsi="Times New Roman" w:cs="Times New Roman"/>
          <w:bCs/>
          <w:kern w:val="36"/>
          <w:sz w:val="24"/>
          <w:szCs w:val="24"/>
        </w:rPr>
        <w:t xml:space="preserve"> view theory, options theory, signaling hypothesis among others.</w:t>
      </w:r>
    </w:p>
    <w:p w:rsidR="00B42426" w:rsidRDefault="00B42426" w:rsidP="00506C5A">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B42426">
        <w:rPr>
          <w:rFonts w:ascii="Times New Roman" w:eastAsia="Times New Roman" w:hAnsi="Times New Roman" w:cs="Times New Roman"/>
          <w:b/>
          <w:bCs/>
          <w:kern w:val="36"/>
          <w:sz w:val="24"/>
          <w:szCs w:val="24"/>
        </w:rPr>
        <w:t>Resource based view theory</w:t>
      </w:r>
    </w:p>
    <w:p w:rsidR="00B42426" w:rsidRPr="00CB6B74" w:rsidRDefault="00CB6B74"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sidRPr="00CB6B74">
        <w:rPr>
          <w:rFonts w:ascii="Times New Roman" w:eastAsia="Times New Roman" w:hAnsi="Times New Roman" w:cs="Times New Roman"/>
          <w:bCs/>
          <w:kern w:val="36"/>
          <w:sz w:val="24"/>
          <w:szCs w:val="24"/>
        </w:rPr>
        <w:t>Barney (1991) describes a resource as an asset which is valuable and able to confer a competitive advantage to an entity.</w:t>
      </w:r>
      <w:r>
        <w:rPr>
          <w:rFonts w:ascii="Times New Roman" w:eastAsia="Times New Roman" w:hAnsi="Times New Roman" w:cs="Times New Roman"/>
          <w:bCs/>
          <w:kern w:val="36"/>
          <w:sz w:val="24"/>
          <w:szCs w:val="24"/>
        </w:rPr>
        <w:t xml:space="preserve"> Hard to value intangibles such proprietary knowledge, branding and entity culture can be viewed as a resource which is inimitable and not easily substituted. Resource based theory highlights that intangibles lack comparability as a similar asset may generate different returns in different companies depending on strategies adopted respectively by </w:t>
      </w:r>
      <w:r>
        <w:rPr>
          <w:rFonts w:ascii="Times New Roman" w:eastAsia="Times New Roman" w:hAnsi="Times New Roman" w:cs="Times New Roman"/>
          <w:bCs/>
          <w:kern w:val="36"/>
          <w:sz w:val="24"/>
          <w:szCs w:val="24"/>
        </w:rPr>
        <w:lastRenderedPageBreak/>
        <w:t>the two entities (Teece, Pisano, &amp;</w:t>
      </w:r>
      <w:proofErr w:type="spellStart"/>
      <w:r>
        <w:rPr>
          <w:rFonts w:ascii="Times New Roman" w:eastAsia="Times New Roman" w:hAnsi="Times New Roman" w:cs="Times New Roman"/>
          <w:bCs/>
          <w:kern w:val="36"/>
          <w:sz w:val="24"/>
          <w:szCs w:val="24"/>
        </w:rPr>
        <w:t>Shuen</w:t>
      </w:r>
      <w:proofErr w:type="spellEnd"/>
      <w:r>
        <w:rPr>
          <w:rFonts w:ascii="Times New Roman" w:eastAsia="Times New Roman" w:hAnsi="Times New Roman" w:cs="Times New Roman"/>
          <w:bCs/>
          <w:kern w:val="36"/>
          <w:sz w:val="24"/>
          <w:szCs w:val="24"/>
        </w:rPr>
        <w:t>, 1997).</w:t>
      </w:r>
      <w:r w:rsidR="00474D11">
        <w:rPr>
          <w:rFonts w:ascii="Times New Roman" w:eastAsia="Times New Roman" w:hAnsi="Times New Roman" w:cs="Times New Roman"/>
          <w:bCs/>
          <w:kern w:val="36"/>
          <w:sz w:val="24"/>
          <w:szCs w:val="24"/>
        </w:rPr>
        <w:t xml:space="preserve"> The lack of comparability due to unique context of an intangible asset implementation makes it difficult to have a universal concept for valuing the intangibles.</w:t>
      </w:r>
    </w:p>
    <w:p w:rsidR="00B42426" w:rsidRDefault="006B48F7" w:rsidP="00506C5A">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6B48F7">
        <w:rPr>
          <w:rFonts w:ascii="Times New Roman" w:eastAsia="Times New Roman" w:hAnsi="Times New Roman" w:cs="Times New Roman"/>
          <w:b/>
          <w:bCs/>
          <w:kern w:val="36"/>
          <w:sz w:val="24"/>
          <w:szCs w:val="24"/>
        </w:rPr>
        <w:t>Signaling theory and information asymmetry</w:t>
      </w:r>
    </w:p>
    <w:p w:rsidR="00580CBF" w:rsidRPr="00580CBF" w:rsidRDefault="00580CBF"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sidRPr="00580CBF">
        <w:rPr>
          <w:rFonts w:ascii="Times New Roman" w:eastAsia="Times New Roman" w:hAnsi="Times New Roman" w:cs="Times New Roman"/>
          <w:bCs/>
          <w:kern w:val="36"/>
          <w:sz w:val="24"/>
          <w:szCs w:val="24"/>
        </w:rPr>
        <w:t xml:space="preserve">According to </w:t>
      </w:r>
      <w:proofErr w:type="spellStart"/>
      <w:r w:rsidRPr="00580CBF">
        <w:rPr>
          <w:rFonts w:ascii="Times New Roman" w:eastAsia="Times New Roman" w:hAnsi="Times New Roman" w:cs="Times New Roman"/>
          <w:bCs/>
          <w:kern w:val="36"/>
          <w:sz w:val="24"/>
          <w:szCs w:val="24"/>
        </w:rPr>
        <w:t>Aboody</w:t>
      </w:r>
      <w:proofErr w:type="spellEnd"/>
      <w:r w:rsidRPr="00580CBF">
        <w:rPr>
          <w:rFonts w:ascii="Times New Roman" w:eastAsia="Times New Roman" w:hAnsi="Times New Roman" w:cs="Times New Roman"/>
          <w:bCs/>
          <w:kern w:val="36"/>
          <w:sz w:val="24"/>
          <w:szCs w:val="24"/>
        </w:rPr>
        <w:t xml:space="preserve"> and Levy (2000), most intangibles are generated internally. This creates information asymmetry as outsiders lack clear information about the estimated value of the intangible asset.</w:t>
      </w:r>
      <w:r>
        <w:rPr>
          <w:rFonts w:ascii="Times New Roman" w:eastAsia="Times New Roman" w:hAnsi="Times New Roman" w:cs="Times New Roman"/>
          <w:bCs/>
          <w:kern w:val="36"/>
          <w:sz w:val="24"/>
          <w:szCs w:val="24"/>
        </w:rPr>
        <w:t xml:space="preserve"> Because the firm has the monopoly of information about the asset, it chooses the quantity and quality of information it releases in the market on the intangible asset creating signal on which the public reacts (Spence, 1973). The information </w:t>
      </w:r>
      <w:r w:rsidR="00BC2DEB">
        <w:rPr>
          <w:rFonts w:ascii="Times New Roman" w:eastAsia="Times New Roman" w:hAnsi="Times New Roman" w:cs="Times New Roman"/>
          <w:bCs/>
          <w:kern w:val="36"/>
          <w:sz w:val="24"/>
          <w:szCs w:val="24"/>
        </w:rPr>
        <w:t>released on the market about an intangible asset may include research and development costs incurred, brand ranking, patent filings among others. This creates a shortcoming in the sense that information released may not portray the fundamental value of the particular asset due to market inefficiencies.</w:t>
      </w:r>
    </w:p>
    <w:p w:rsidR="006B48F7" w:rsidRDefault="00C24793" w:rsidP="00506C5A">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Real options and options theory</w:t>
      </w:r>
    </w:p>
    <w:p w:rsidR="00C24793" w:rsidRDefault="00C24793"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sidRPr="00C24793">
        <w:rPr>
          <w:rFonts w:ascii="Times New Roman" w:eastAsia="Times New Roman" w:hAnsi="Times New Roman" w:cs="Times New Roman"/>
          <w:bCs/>
          <w:kern w:val="36"/>
          <w:sz w:val="24"/>
          <w:szCs w:val="24"/>
        </w:rPr>
        <w:t xml:space="preserve">Due to uncertainties on expected future cashflows, some scholars have developed options and real options theory as a base for valuing </w:t>
      </w:r>
      <w:proofErr w:type="spellStart"/>
      <w:proofErr w:type="gramStart"/>
      <w:r w:rsidRPr="00C24793">
        <w:rPr>
          <w:rFonts w:ascii="Times New Roman" w:eastAsia="Times New Roman" w:hAnsi="Times New Roman" w:cs="Times New Roman"/>
          <w:bCs/>
          <w:kern w:val="36"/>
          <w:sz w:val="24"/>
          <w:szCs w:val="24"/>
        </w:rPr>
        <w:t>intangibles.</w:t>
      </w:r>
      <w:r w:rsidR="007D681F">
        <w:rPr>
          <w:rFonts w:ascii="Times New Roman" w:eastAsia="Times New Roman" w:hAnsi="Times New Roman" w:cs="Times New Roman"/>
          <w:bCs/>
          <w:kern w:val="36"/>
          <w:sz w:val="24"/>
          <w:szCs w:val="24"/>
        </w:rPr>
        <w:t>Trigeorgis</w:t>
      </w:r>
      <w:proofErr w:type="spellEnd"/>
      <w:proofErr w:type="gramEnd"/>
      <w:r w:rsidR="007D681F">
        <w:rPr>
          <w:rFonts w:ascii="Times New Roman" w:eastAsia="Times New Roman" w:hAnsi="Times New Roman" w:cs="Times New Roman"/>
          <w:bCs/>
          <w:kern w:val="36"/>
          <w:sz w:val="24"/>
          <w:szCs w:val="24"/>
        </w:rPr>
        <w:t xml:space="preserve"> (1996) argued that intangibles often create an option for commercialization in the future</w:t>
      </w:r>
      <w:r w:rsidR="00015256">
        <w:rPr>
          <w:rFonts w:ascii="Times New Roman" w:eastAsia="Times New Roman" w:hAnsi="Times New Roman" w:cs="Times New Roman"/>
          <w:bCs/>
          <w:kern w:val="36"/>
          <w:sz w:val="24"/>
          <w:szCs w:val="24"/>
        </w:rPr>
        <w:t xml:space="preserve"> or expanding in new markets. This captures the information asymmetry aspect in uncertainty conditions. A patent can be equated to a call option on future innovations. Under the real options approach, </w:t>
      </w:r>
      <w:proofErr w:type="spellStart"/>
      <w:r w:rsidR="00015256">
        <w:rPr>
          <w:rFonts w:ascii="Times New Roman" w:eastAsia="Times New Roman" w:hAnsi="Times New Roman" w:cs="Times New Roman"/>
          <w:bCs/>
          <w:kern w:val="36"/>
          <w:sz w:val="24"/>
          <w:szCs w:val="24"/>
        </w:rPr>
        <w:t>Kogut</w:t>
      </w:r>
      <w:proofErr w:type="spellEnd"/>
      <w:r w:rsidR="00015256">
        <w:rPr>
          <w:rFonts w:ascii="Times New Roman" w:eastAsia="Times New Roman" w:hAnsi="Times New Roman" w:cs="Times New Roman"/>
          <w:bCs/>
          <w:kern w:val="36"/>
          <w:sz w:val="24"/>
          <w:szCs w:val="24"/>
        </w:rPr>
        <w:t xml:space="preserve"> and </w:t>
      </w:r>
      <w:proofErr w:type="spellStart"/>
      <w:r w:rsidR="00015256">
        <w:rPr>
          <w:rFonts w:ascii="Times New Roman" w:eastAsia="Times New Roman" w:hAnsi="Times New Roman" w:cs="Times New Roman"/>
          <w:bCs/>
          <w:kern w:val="36"/>
          <w:sz w:val="24"/>
          <w:szCs w:val="24"/>
        </w:rPr>
        <w:t>Kulatilaka</w:t>
      </w:r>
      <w:proofErr w:type="spellEnd"/>
      <w:r w:rsidR="00015256">
        <w:rPr>
          <w:rFonts w:ascii="Times New Roman" w:eastAsia="Times New Roman" w:hAnsi="Times New Roman" w:cs="Times New Roman"/>
          <w:bCs/>
          <w:kern w:val="36"/>
          <w:sz w:val="24"/>
          <w:szCs w:val="24"/>
        </w:rPr>
        <w:t xml:space="preserve"> (2001) argues that standard valuation models often underestimate intangible value as they ignore the management impact on enhancing the value of intangible in different underlying conditions.</w:t>
      </w:r>
    </w:p>
    <w:p w:rsidR="00565965" w:rsidRPr="00431A4F" w:rsidRDefault="00565965" w:rsidP="00506C5A">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431A4F">
        <w:rPr>
          <w:rFonts w:ascii="Times New Roman" w:eastAsia="Times New Roman" w:hAnsi="Times New Roman" w:cs="Times New Roman"/>
          <w:b/>
          <w:bCs/>
          <w:kern w:val="36"/>
          <w:sz w:val="24"/>
          <w:szCs w:val="24"/>
        </w:rPr>
        <w:t>Accounting and Institutional Perspectives</w:t>
      </w:r>
    </w:p>
    <w:p w:rsidR="00565965" w:rsidRDefault="00565965"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In terms of institutional perspective, accounting for intangibles is to be guided by the international accounting standards and existing regulatory framework. As per the international financial reporting standards and generally accepted accounting principles, intangible asset is supposed to be recognized</w:t>
      </w:r>
      <w:r w:rsidR="004F267C">
        <w:rPr>
          <w:rFonts w:ascii="Times New Roman" w:eastAsia="Times New Roman" w:hAnsi="Times New Roman" w:cs="Times New Roman"/>
          <w:bCs/>
          <w:kern w:val="36"/>
          <w:sz w:val="24"/>
          <w:szCs w:val="24"/>
        </w:rPr>
        <w:t xml:space="preserve"> though capitalization of internally generated intangible asset is restricted. This recognition is in line with prudence concept embedded with conservatism approach which makes the intangible asset undervalued (Wyatt, 2008). The mismatch in valuation makes comparison difficult with similar assets.</w:t>
      </w:r>
    </w:p>
    <w:p w:rsidR="004F267C" w:rsidRPr="00431A4F" w:rsidRDefault="004F267C" w:rsidP="00506C5A">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431A4F">
        <w:rPr>
          <w:rFonts w:ascii="Times New Roman" w:eastAsia="Times New Roman" w:hAnsi="Times New Roman" w:cs="Times New Roman"/>
          <w:b/>
          <w:bCs/>
          <w:kern w:val="36"/>
          <w:sz w:val="24"/>
          <w:szCs w:val="24"/>
        </w:rPr>
        <w:t>Knowledge based view and dynamic capabilities</w:t>
      </w:r>
    </w:p>
    <w:p w:rsidR="004F267C" w:rsidRPr="00C24793" w:rsidRDefault="004F267C" w:rsidP="00506C5A">
      <w:pPr>
        <w:spacing w:before="100" w:beforeAutospacing="1" w:after="100" w:afterAutospacing="1"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Knowledge based view emphasizes knowledge as the most significant resource. This elevates human capital, data and culture as the most important intangible assets in an entity (Grant, 1996). On the other hand, </w:t>
      </w:r>
      <w:r w:rsidR="00431A4F">
        <w:rPr>
          <w:rFonts w:ascii="Times New Roman" w:eastAsia="Times New Roman" w:hAnsi="Times New Roman" w:cs="Times New Roman"/>
          <w:bCs/>
          <w:kern w:val="36"/>
          <w:sz w:val="24"/>
          <w:szCs w:val="24"/>
        </w:rPr>
        <w:t>dynamic capabilities regard</w:t>
      </w:r>
      <w:r>
        <w:rPr>
          <w:rFonts w:ascii="Times New Roman" w:eastAsia="Times New Roman" w:hAnsi="Times New Roman" w:cs="Times New Roman"/>
          <w:bCs/>
          <w:kern w:val="36"/>
          <w:sz w:val="24"/>
          <w:szCs w:val="24"/>
        </w:rPr>
        <w:t xml:space="preserve"> the value of intangible asset to be dependent on management capabilities to integrate, adapt and innovate in the </w:t>
      </w:r>
      <w:proofErr w:type="gramStart"/>
      <w:r>
        <w:rPr>
          <w:rFonts w:ascii="Times New Roman" w:eastAsia="Times New Roman" w:hAnsi="Times New Roman" w:cs="Times New Roman"/>
          <w:bCs/>
          <w:kern w:val="36"/>
          <w:sz w:val="24"/>
          <w:szCs w:val="24"/>
        </w:rPr>
        <w:t>ever changing</w:t>
      </w:r>
      <w:proofErr w:type="gramEnd"/>
      <w:r>
        <w:rPr>
          <w:rFonts w:ascii="Times New Roman" w:eastAsia="Times New Roman" w:hAnsi="Times New Roman" w:cs="Times New Roman"/>
          <w:bCs/>
          <w:kern w:val="36"/>
          <w:sz w:val="24"/>
          <w:szCs w:val="24"/>
        </w:rPr>
        <w:t xml:space="preserve"> business environment (Teece, 2007).</w:t>
      </w:r>
      <w:r w:rsidR="00431A4F">
        <w:rPr>
          <w:rFonts w:ascii="Times New Roman" w:eastAsia="Times New Roman" w:hAnsi="Times New Roman" w:cs="Times New Roman"/>
          <w:bCs/>
          <w:kern w:val="36"/>
          <w:sz w:val="24"/>
          <w:szCs w:val="24"/>
        </w:rPr>
        <w:t xml:space="preserve"> The emphasis is on the intangible asset to adapt in the dynamic world.</w:t>
      </w:r>
    </w:p>
    <w:p w:rsidR="008D1686" w:rsidRPr="00956269" w:rsidRDefault="00426C3F"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008D1686" w:rsidRPr="00956269">
        <w:rPr>
          <w:rFonts w:ascii="Times New Roman" w:eastAsia="Times New Roman" w:hAnsi="Times New Roman" w:cs="Times New Roman"/>
          <w:b/>
          <w:bCs/>
          <w:sz w:val="24"/>
          <w:szCs w:val="24"/>
        </w:rPr>
        <w:t>Traditional and Contemporary Valuation Approaches</w:t>
      </w:r>
    </w:p>
    <w:p w:rsidR="003B1433" w:rsidRDefault="00252268"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Traditionally, cost based and </w:t>
      </w:r>
      <w:proofErr w:type="gramStart"/>
      <w:r>
        <w:rPr>
          <w:rFonts w:ascii="Times New Roman" w:eastAsia="Times New Roman" w:hAnsi="Times New Roman" w:cs="Times New Roman"/>
          <w:sz w:val="24"/>
          <w:szCs w:val="24"/>
        </w:rPr>
        <w:t>market based</w:t>
      </w:r>
      <w:proofErr w:type="gramEnd"/>
      <w:r>
        <w:rPr>
          <w:rFonts w:ascii="Times New Roman" w:eastAsia="Times New Roman" w:hAnsi="Times New Roman" w:cs="Times New Roman"/>
          <w:sz w:val="24"/>
          <w:szCs w:val="24"/>
        </w:rPr>
        <w:t xml:space="preserve"> methods have been used to value intangibles. Cost based method entails adding together all costs incurred in generating and putting together the asset including research and development costs. The shortcomings of this method are that it ignores the capacity of HTVI to generate extra ordinary incomes in future (KPMG, 2020). The </w:t>
      </w:r>
      <w:proofErr w:type="gramStart"/>
      <w:r>
        <w:rPr>
          <w:rFonts w:ascii="Times New Roman" w:eastAsia="Times New Roman" w:hAnsi="Times New Roman" w:cs="Times New Roman"/>
          <w:sz w:val="24"/>
          <w:szCs w:val="24"/>
        </w:rPr>
        <w:t>market based</w:t>
      </w:r>
      <w:proofErr w:type="gramEnd"/>
      <w:r>
        <w:rPr>
          <w:rFonts w:ascii="Times New Roman" w:eastAsia="Times New Roman" w:hAnsi="Times New Roman" w:cs="Times New Roman"/>
          <w:sz w:val="24"/>
          <w:szCs w:val="24"/>
        </w:rPr>
        <w:t xml:space="preserve"> method entails comparing the asset with other assets in the same category. However, this method doesn’t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that most intangibles don’t have comparable assets (OECD, 2017)</w:t>
      </w:r>
    </w:p>
    <w:p w:rsidR="003B1433" w:rsidRDefault="00252268"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Contemporary methods have been developed to address the shortcomings of traditional methods. Discounted cashflow method has been widely considered as it </w:t>
      </w:r>
      <w:proofErr w:type="gramStart"/>
      <w:r>
        <w:rPr>
          <w:rFonts w:ascii="Times New Roman" w:eastAsia="Times New Roman" w:hAnsi="Times New Roman" w:cs="Times New Roman"/>
          <w:sz w:val="24"/>
          <w:szCs w:val="24"/>
        </w:rPr>
        <w:t>takes into account</w:t>
      </w:r>
      <w:proofErr w:type="gramEnd"/>
      <w:r>
        <w:rPr>
          <w:rFonts w:ascii="Times New Roman" w:eastAsia="Times New Roman" w:hAnsi="Times New Roman" w:cs="Times New Roman"/>
          <w:sz w:val="24"/>
          <w:szCs w:val="24"/>
        </w:rPr>
        <w:t xml:space="preserve"> all cashflows though it has many assumptions. Where profits are generated in different </w:t>
      </w:r>
      <w:r w:rsidR="00D50C0E">
        <w:rPr>
          <w:rFonts w:ascii="Times New Roman" w:eastAsia="Times New Roman" w:hAnsi="Times New Roman" w:cs="Times New Roman"/>
          <w:sz w:val="24"/>
          <w:szCs w:val="24"/>
        </w:rPr>
        <w:t>locations, profit split method has been considered to be the most appropriate (PwC, 2020). In industries like pharmaceutical and technology, real option analysis has been used as it considers intangibles as contingent opportunities (KPMG, 2020).</w:t>
      </w:r>
    </w:p>
    <w:p w:rsidR="008D1686" w:rsidRPr="00956269" w:rsidRDefault="000E7D82"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The table below indicates the summarized intangible assets in different sector. From the Table 2, pharmaceutical and technology industries are the major sectors with highest hard to value intangibles.</w:t>
      </w:r>
    </w:p>
    <w:p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 xml:space="preserve">Table 2: </w:t>
      </w:r>
      <w:r w:rsidR="000E7D82">
        <w:rPr>
          <w:rFonts w:ascii="Times New Roman" w:eastAsia="Times New Roman" w:hAnsi="Times New Roman" w:cs="Times New Roman"/>
          <w:b/>
          <w:bCs/>
          <w:sz w:val="24"/>
          <w:szCs w:val="24"/>
        </w:rPr>
        <w:t>Worldwide Industrial Sectors Intangibles</w:t>
      </w:r>
      <w:r w:rsidRPr="00956269">
        <w:rPr>
          <w:rFonts w:ascii="Times New Roman" w:eastAsia="Times New Roman" w:hAnsi="Times New Roman" w:cs="Times New Roman"/>
          <w:b/>
          <w:bCs/>
          <w:sz w:val="24"/>
          <w:szCs w:val="24"/>
        </w:rPr>
        <w:t xml:space="preserve"> (2020)</w:t>
      </w:r>
    </w:p>
    <w:tbl>
      <w:tblPr>
        <w:tblStyle w:val="LightShading1"/>
        <w:tblW w:w="0" w:type="auto"/>
        <w:tblLook w:val="04A0" w:firstRow="1" w:lastRow="0" w:firstColumn="1" w:lastColumn="0" w:noHBand="0" w:noVBand="1"/>
      </w:tblPr>
      <w:tblGrid>
        <w:gridCol w:w="1745"/>
        <w:gridCol w:w="3072"/>
        <w:gridCol w:w="3411"/>
        <w:gridCol w:w="1348"/>
      </w:tblGrid>
      <w:tr w:rsidR="008D1686" w:rsidRPr="00956269"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Sector</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Assets as % of Total Assets</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Key HTVIs Commonly Valued</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Technology</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91%</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Patents, software, algorithms</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PwC (2020)</w:t>
            </w:r>
          </w:p>
        </w:tc>
      </w:tr>
      <w:tr w:rsidR="008D1686"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Pharmaceuticals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84%</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R&amp;D pipelines, patents, regulatory approvals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Deloitte (2021)</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Financial Services</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75%</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Proprietary models, customer data</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(2017)</w:t>
            </w:r>
          </w:p>
        </w:tc>
      </w:tr>
      <w:tr w:rsidR="008D1686"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Consumer Goods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64%</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Trademarks, brands, customer relationships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KPMG (2020)</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Energy</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42%</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Exploration rights, proprietary technology</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EY (2020)</w:t>
            </w:r>
          </w:p>
        </w:tc>
      </w:tr>
    </w:tbl>
    <w:p w:rsidR="008D1686" w:rsidRPr="00956269" w:rsidRDefault="008D1686" w:rsidP="008D1686">
      <w:pPr>
        <w:spacing w:after="0" w:line="240" w:lineRule="auto"/>
        <w:rPr>
          <w:rFonts w:ascii="Times New Roman" w:eastAsia="Times New Roman" w:hAnsi="Times New Roman" w:cs="Times New Roman"/>
          <w:sz w:val="24"/>
          <w:szCs w:val="24"/>
        </w:rPr>
      </w:pPr>
    </w:p>
    <w:p w:rsidR="00E15789" w:rsidRDefault="00E15789" w:rsidP="008D1686">
      <w:pPr>
        <w:spacing w:before="100" w:beforeAutospacing="1" w:after="100" w:afterAutospacing="1" w:line="240" w:lineRule="auto"/>
        <w:outlineLvl w:val="1"/>
        <w:rPr>
          <w:rFonts w:ascii="Times New Roman" w:eastAsia="Times New Roman" w:hAnsi="Times New Roman" w:cs="Times New Roman"/>
          <w:b/>
          <w:bCs/>
          <w:sz w:val="24"/>
          <w:szCs w:val="24"/>
        </w:rPr>
      </w:pPr>
    </w:p>
    <w:p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Methodological Applications and Limitations</w:t>
      </w:r>
    </w:p>
    <w:p w:rsidR="007E09D6" w:rsidRDefault="007E09D6"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industry, available data and intangible type dictate method to be used for valuation. Intangibles developed through research and development often use </w:t>
      </w:r>
      <w:proofErr w:type="gramStart"/>
      <w:r>
        <w:rPr>
          <w:rFonts w:ascii="Times New Roman" w:eastAsia="Times New Roman" w:hAnsi="Times New Roman" w:cs="Times New Roman"/>
          <w:sz w:val="24"/>
          <w:szCs w:val="24"/>
        </w:rPr>
        <w:t>cost based</w:t>
      </w:r>
      <w:proofErr w:type="gramEnd"/>
      <w:r>
        <w:rPr>
          <w:rFonts w:ascii="Times New Roman" w:eastAsia="Times New Roman" w:hAnsi="Times New Roman" w:cs="Times New Roman"/>
          <w:sz w:val="24"/>
          <w:szCs w:val="24"/>
        </w:rPr>
        <w:t xml:space="preserve"> valuation. SaaS platforms and digital IP portfolios often use discounted cashflow methods. Where transfer pricing issues are rampant, profit split method is employed. In cases of innovation which is high risk venture, real option method is considered.</w:t>
      </w:r>
    </w:p>
    <w:p w:rsidR="008D1686" w:rsidRDefault="008D1686" w:rsidP="00B6640E">
      <w:pPr>
        <w:spacing w:before="100" w:beforeAutospacing="1" w:after="100" w:afterAutospacing="1" w:line="480" w:lineRule="auto"/>
        <w:jc w:val="both"/>
        <w:rPr>
          <w:rFonts w:ascii="Times New Roman" w:eastAsia="Times New Roman" w:hAnsi="Times New Roman" w:cs="Times New Roman"/>
          <w:sz w:val="24"/>
          <w:szCs w:val="24"/>
        </w:rPr>
      </w:pPr>
      <w:r w:rsidRPr="00B6640E">
        <w:rPr>
          <w:rFonts w:ascii="Times New Roman" w:eastAsia="Times New Roman" w:hAnsi="Times New Roman" w:cs="Times New Roman"/>
          <w:bCs/>
          <w:sz w:val="24"/>
          <w:szCs w:val="24"/>
        </w:rPr>
        <w:lastRenderedPageBreak/>
        <w:t>Table 3</w:t>
      </w:r>
      <w:r w:rsidRPr="00956269">
        <w:rPr>
          <w:rFonts w:ascii="Times New Roman" w:eastAsia="Times New Roman" w:hAnsi="Times New Roman" w:cs="Times New Roman"/>
          <w:sz w:val="24"/>
          <w:szCs w:val="24"/>
        </w:rPr>
        <w:t xml:space="preserve"> highlights the strengths and limitations of commonly used methods, reinforcing why hybrid approaches are increasingly recommended in practice.</w:t>
      </w:r>
    </w:p>
    <w:p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Table 3: Common Valuation Methodologies for HTVIs and Reported Limitations</w:t>
      </w:r>
    </w:p>
    <w:tbl>
      <w:tblPr>
        <w:tblStyle w:val="LightShading1"/>
        <w:tblW w:w="0" w:type="auto"/>
        <w:tblLook w:val="04A0" w:firstRow="1" w:lastRow="0" w:firstColumn="1" w:lastColumn="0" w:noHBand="0" w:noVBand="1"/>
      </w:tblPr>
      <w:tblGrid>
        <w:gridCol w:w="2044"/>
        <w:gridCol w:w="2540"/>
        <w:gridCol w:w="2615"/>
        <w:gridCol w:w="2377"/>
      </w:tblGrid>
      <w:tr w:rsidR="008D1686" w:rsidRPr="00956269"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Methodology</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Strengths</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Limitations</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Typical Use Case</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Cost-based</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Simple, transparent</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Ignores future earning potential</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Early-stage R&amp;D assets</w:t>
            </w:r>
          </w:p>
        </w:tc>
      </w:tr>
      <w:tr w:rsidR="008D1686"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Market-based</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Anchored in actual prices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 xml:space="preserve">Lack of </w:t>
            </w:r>
            <w:proofErr w:type="spellStart"/>
            <w:r w:rsidRPr="00956269">
              <w:rPr>
                <w:rFonts w:ascii="Times New Roman" w:eastAsia="Times New Roman" w:hAnsi="Times New Roman" w:cs="Times New Roman"/>
                <w:sz w:val="20"/>
                <w:szCs w:val="20"/>
              </w:rPr>
              <w:t>comparables</w:t>
            </w:r>
            <w:proofErr w:type="spellEnd"/>
            <w:r w:rsidRPr="00956269">
              <w:rPr>
                <w:rFonts w:ascii="Times New Roman" w:eastAsia="Times New Roman" w:hAnsi="Times New Roman" w:cs="Times New Roman"/>
                <w:sz w:val="20"/>
                <w:szCs w:val="20"/>
              </w:rPr>
              <w:t xml:space="preserve"> for HTVIs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Brand valuation, licensing</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Discounted Cash Flow</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Captures earning potential</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Highly assumption-sensitive</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SaaS platforms, IP portfolios</w:t>
            </w:r>
          </w:p>
        </w:tc>
      </w:tr>
      <w:tr w:rsidR="008D1686"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Profit Split</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Aligns with transfer pricing</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Complex, requires reliable data</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Cross-border HTVIs</w:t>
            </w:r>
          </w:p>
        </w:tc>
      </w:tr>
      <w:tr w:rsidR="008D1686"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Real Options</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Models uncertainty/flexibility</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Data intensive, less intuitive</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Pharma pipelines, AI models</w:t>
            </w:r>
          </w:p>
        </w:tc>
      </w:tr>
    </w:tbl>
    <w:p w:rsidR="008D1686" w:rsidRPr="00956269" w:rsidRDefault="008D1686" w:rsidP="008D1686">
      <w:pPr>
        <w:spacing w:after="0" w:line="240" w:lineRule="auto"/>
        <w:rPr>
          <w:rFonts w:ascii="Times New Roman" w:eastAsia="Times New Roman" w:hAnsi="Times New Roman" w:cs="Times New Roman"/>
          <w:sz w:val="24"/>
          <w:szCs w:val="24"/>
        </w:rPr>
      </w:pPr>
    </w:p>
    <w:p w:rsidR="008D1686" w:rsidRPr="00956269"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Case Studies: HTVIs in Global Tax Disputes</w:t>
      </w:r>
    </w:p>
    <w:p w:rsidR="007E09D6" w:rsidRDefault="007E09D6" w:rsidP="00B6640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legal suits have been filed specifically on taxation dispute matters concerning valuation of intangibles. </w:t>
      </w:r>
      <w:r w:rsidR="009051A6">
        <w:rPr>
          <w:rFonts w:ascii="Times New Roman" w:eastAsia="Times New Roman" w:hAnsi="Times New Roman" w:cs="Times New Roman"/>
          <w:sz w:val="24"/>
          <w:szCs w:val="24"/>
        </w:rPr>
        <w:t>Blue-chip</w:t>
      </w:r>
      <w:r>
        <w:rPr>
          <w:rFonts w:ascii="Times New Roman" w:eastAsia="Times New Roman" w:hAnsi="Times New Roman" w:cs="Times New Roman"/>
          <w:sz w:val="24"/>
          <w:szCs w:val="24"/>
        </w:rPr>
        <w:t xml:space="preserve"> companies such as Google, Amazon, and Apple have been subjected to lawsuits in regard to transfer of intangibles and </w:t>
      </w:r>
      <w:r w:rsidR="009051A6">
        <w:rPr>
          <w:rFonts w:ascii="Times New Roman" w:eastAsia="Times New Roman" w:hAnsi="Times New Roman" w:cs="Times New Roman"/>
          <w:sz w:val="24"/>
          <w:szCs w:val="24"/>
        </w:rPr>
        <w:t>license authorization. Table 4 below summarizes some of the prominent cases involving HTVIs.</w:t>
      </w:r>
    </w:p>
    <w:p w:rsidR="008D1686" w:rsidRPr="00956269" w:rsidRDefault="008D1686" w:rsidP="008D1686">
      <w:pPr>
        <w:spacing w:before="100" w:beforeAutospacing="1" w:after="100" w:afterAutospacing="1" w:line="240" w:lineRule="auto"/>
        <w:outlineLvl w:val="2"/>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Table 4: Tax Disputes Involving HTVIs (Selected Cases)</w:t>
      </w:r>
    </w:p>
    <w:tbl>
      <w:tblPr>
        <w:tblStyle w:val="LightShading1"/>
        <w:tblW w:w="0" w:type="auto"/>
        <w:tblLook w:val="04A0" w:firstRow="1" w:lastRow="0" w:firstColumn="1" w:lastColumn="0" w:noHBand="0" w:noVBand="1"/>
      </w:tblPr>
      <w:tblGrid>
        <w:gridCol w:w="639"/>
        <w:gridCol w:w="1083"/>
        <w:gridCol w:w="1884"/>
        <w:gridCol w:w="1702"/>
        <w:gridCol w:w="1320"/>
        <w:gridCol w:w="1857"/>
        <w:gridCol w:w="1091"/>
      </w:tblGrid>
      <w:tr w:rsidR="000E7D82" w:rsidRPr="00956269" w:rsidTr="00785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jc w:val="center"/>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Year</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Company</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Jurisdiction</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Intangible Involved</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Dispute Value (USD)</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Outcome</w:t>
            </w:r>
          </w:p>
        </w:tc>
        <w:tc>
          <w:tcPr>
            <w:tcW w:w="0" w:type="auto"/>
            <w:hideMark/>
          </w:tcPr>
          <w:p w:rsidR="008D1686" w:rsidRPr="00956269" w:rsidRDefault="008D1686" w:rsidP="008D168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Pr>
            </w:pPr>
            <w:r w:rsidRPr="00956269">
              <w:rPr>
                <w:rFonts w:ascii="Times New Roman" w:eastAsia="Times New Roman" w:hAnsi="Times New Roman" w:cs="Times New Roman"/>
                <w:sz w:val="20"/>
                <w:szCs w:val="20"/>
              </w:rPr>
              <w:t>Source</w:t>
            </w:r>
          </w:p>
        </w:tc>
      </w:tr>
      <w:tr w:rsidR="000E7D82"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2016</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Amazon</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Luxembourg vs EU Commission</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Transfer pricing of IP</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250 million</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EU ruled tax arrangement illegal</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(2017)</w:t>
            </w:r>
          </w:p>
        </w:tc>
      </w:tr>
      <w:tr w:rsidR="000E7D82"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2017</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Google</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France</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Digital advertising algorithms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1.3 billion</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Settlement reached</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PwC (2020)</w:t>
            </w:r>
          </w:p>
        </w:tc>
      </w:tr>
      <w:tr w:rsidR="000E7D82" w:rsidRPr="00956269" w:rsidTr="00785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2018</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Starbucks</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UK</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Brand royalties</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120 million</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HMRC settlement</w:t>
            </w:r>
          </w:p>
        </w:tc>
        <w:tc>
          <w:tcPr>
            <w:tcW w:w="0" w:type="auto"/>
            <w:hideMark/>
          </w:tcPr>
          <w:p w:rsidR="008D1686" w:rsidRPr="00956269" w:rsidRDefault="008D1686" w:rsidP="008D168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Deloitte (2021)</w:t>
            </w:r>
          </w:p>
        </w:tc>
      </w:tr>
      <w:tr w:rsidR="000E7D82" w:rsidRPr="00956269" w:rsidTr="007852E4">
        <w:tc>
          <w:tcPr>
            <w:cnfStyle w:val="001000000000" w:firstRow="0" w:lastRow="0" w:firstColumn="1" w:lastColumn="0" w:oddVBand="0" w:evenVBand="0" w:oddHBand="0" w:evenHBand="0" w:firstRowFirstColumn="0" w:firstRowLastColumn="0" w:lastRowFirstColumn="0" w:lastRowLastColumn="0"/>
            <w:tcW w:w="0" w:type="auto"/>
            <w:hideMark/>
          </w:tcPr>
          <w:p w:rsidR="008D1686" w:rsidRPr="00956269" w:rsidRDefault="008D1686" w:rsidP="008D1686">
            <w:pPr>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2019</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Apple</w:t>
            </w:r>
            <w:r w:rsidR="000E7D82">
              <w:rPr>
                <w:rFonts w:ascii="Times New Roman" w:eastAsia="Times New Roman" w:hAnsi="Times New Roman" w:cs="Times New Roman"/>
                <w:sz w:val="20"/>
                <w:szCs w:val="20"/>
              </w:rPr>
              <w:t xml:space="preserve"> LLC</w:t>
            </w:r>
          </w:p>
        </w:tc>
        <w:tc>
          <w:tcPr>
            <w:tcW w:w="0" w:type="auto"/>
            <w:hideMark/>
          </w:tcPr>
          <w:p w:rsidR="008D1686" w:rsidRPr="00956269" w:rsidRDefault="008D1686" w:rsidP="000E7D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Ireland vs E</w:t>
            </w:r>
            <w:r w:rsidR="000E7D82">
              <w:rPr>
                <w:rFonts w:ascii="Times New Roman" w:eastAsia="Times New Roman" w:hAnsi="Times New Roman" w:cs="Times New Roman"/>
                <w:sz w:val="20"/>
                <w:szCs w:val="20"/>
              </w:rPr>
              <w:t>uropean Union</w:t>
            </w:r>
          </w:p>
        </w:tc>
        <w:tc>
          <w:tcPr>
            <w:tcW w:w="0" w:type="auto"/>
            <w:hideMark/>
          </w:tcPr>
          <w:p w:rsidR="008D1686" w:rsidRPr="00956269" w:rsidRDefault="008D1686" w:rsidP="000E7D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Licens</w:t>
            </w:r>
            <w:r w:rsidR="000E7D82">
              <w:rPr>
                <w:rFonts w:ascii="Times New Roman" w:eastAsia="Times New Roman" w:hAnsi="Times New Roman" w:cs="Times New Roman"/>
                <w:sz w:val="20"/>
                <w:szCs w:val="20"/>
              </w:rPr>
              <w:t>e process</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14.5 billion</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EU General Court annulled fine</w:t>
            </w:r>
          </w:p>
        </w:tc>
        <w:tc>
          <w:tcPr>
            <w:tcW w:w="0" w:type="auto"/>
            <w:hideMark/>
          </w:tcPr>
          <w:p w:rsidR="008D1686" w:rsidRPr="00956269" w:rsidRDefault="008D1686" w:rsidP="008D168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956269">
              <w:rPr>
                <w:rFonts w:ascii="Times New Roman" w:eastAsia="Times New Roman" w:hAnsi="Times New Roman" w:cs="Times New Roman"/>
                <w:sz w:val="20"/>
                <w:szCs w:val="20"/>
              </w:rPr>
              <w:t>OECD (2020)</w:t>
            </w:r>
          </w:p>
        </w:tc>
      </w:tr>
    </w:tbl>
    <w:p w:rsidR="000E7D82" w:rsidRDefault="000E7D82" w:rsidP="00B6640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cases indicate how the choice of intangible assets is important as it can lead to tax disputes with authorities in </w:t>
      </w:r>
      <w:r w:rsidR="00672B02">
        <w:rPr>
          <w:rFonts w:ascii="Times New Roman" w:eastAsia="Times New Roman" w:hAnsi="Times New Roman" w:cs="Times New Roman"/>
          <w:sz w:val="24"/>
          <w:szCs w:val="24"/>
        </w:rPr>
        <w:t>cross border</w:t>
      </w:r>
      <w:r>
        <w:rPr>
          <w:rFonts w:ascii="Times New Roman" w:eastAsia="Times New Roman" w:hAnsi="Times New Roman" w:cs="Times New Roman"/>
          <w:sz w:val="24"/>
          <w:szCs w:val="24"/>
        </w:rPr>
        <w:t xml:space="preserve"> activi</w:t>
      </w:r>
      <w:r w:rsidR="00672B02">
        <w:rPr>
          <w:rFonts w:ascii="Times New Roman" w:eastAsia="Times New Roman" w:hAnsi="Times New Roman" w:cs="Times New Roman"/>
          <w:sz w:val="24"/>
          <w:szCs w:val="24"/>
        </w:rPr>
        <w:t>ties</w:t>
      </w:r>
      <w:r>
        <w:rPr>
          <w:rFonts w:ascii="Times New Roman" w:eastAsia="Times New Roman" w:hAnsi="Times New Roman" w:cs="Times New Roman"/>
          <w:sz w:val="24"/>
          <w:szCs w:val="24"/>
        </w:rPr>
        <w:t>.</w:t>
      </w:r>
    </w:p>
    <w:p w:rsidR="004A125F" w:rsidRPr="00426C3F" w:rsidRDefault="00426C3F" w:rsidP="00B6640E">
      <w:pPr>
        <w:spacing w:before="100" w:beforeAutospacing="1" w:after="100" w:afterAutospacing="1" w:line="480" w:lineRule="auto"/>
        <w:rPr>
          <w:rFonts w:ascii="Times New Roman" w:eastAsia="Times New Roman" w:hAnsi="Times New Roman" w:cs="Times New Roman"/>
          <w:b/>
          <w:sz w:val="24"/>
          <w:szCs w:val="24"/>
        </w:rPr>
      </w:pPr>
      <w:r w:rsidRPr="00426C3F">
        <w:rPr>
          <w:rFonts w:ascii="Times New Roman" w:eastAsia="Times New Roman" w:hAnsi="Times New Roman" w:cs="Times New Roman"/>
          <w:b/>
          <w:sz w:val="24"/>
          <w:szCs w:val="24"/>
        </w:rPr>
        <w:lastRenderedPageBreak/>
        <w:t xml:space="preserve">4.0 </w:t>
      </w:r>
      <w:r w:rsidR="004A125F" w:rsidRPr="00426C3F">
        <w:rPr>
          <w:rFonts w:ascii="Times New Roman" w:eastAsia="Times New Roman" w:hAnsi="Times New Roman" w:cs="Times New Roman"/>
          <w:b/>
          <w:sz w:val="24"/>
          <w:szCs w:val="24"/>
        </w:rPr>
        <w:t>Empirical Review</w:t>
      </w:r>
    </w:p>
    <w:p w:rsidR="004A125F" w:rsidRDefault="00A7288F" w:rsidP="00426C3F">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literature mainly focused on patents valuation. Patent renewal was viewed as a good measure for value. </w:t>
      </w:r>
      <w:proofErr w:type="spellStart"/>
      <w:r>
        <w:rPr>
          <w:rFonts w:ascii="Times New Roman" w:eastAsia="Times New Roman" w:hAnsi="Times New Roman" w:cs="Times New Roman"/>
          <w:sz w:val="24"/>
          <w:szCs w:val="24"/>
        </w:rPr>
        <w:t>Pakes</w:t>
      </w:r>
      <w:proofErr w:type="spellEnd"/>
      <w:r>
        <w:rPr>
          <w:rFonts w:ascii="Times New Roman" w:eastAsia="Times New Roman" w:hAnsi="Times New Roman" w:cs="Times New Roman"/>
          <w:sz w:val="24"/>
          <w:szCs w:val="24"/>
        </w:rPr>
        <w:t xml:space="preserve"> (1986) pioneered patent renewal as it means companies are willing to pay the patent fees if they are going to benefit from its use in the future. </w:t>
      </w:r>
      <w:proofErr w:type="spellStart"/>
      <w:r>
        <w:rPr>
          <w:rFonts w:ascii="Times New Roman" w:eastAsia="Times New Roman" w:hAnsi="Times New Roman" w:cs="Times New Roman"/>
          <w:sz w:val="24"/>
          <w:szCs w:val="24"/>
        </w:rPr>
        <w:t>Schankerman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Pakes</w:t>
      </w:r>
      <w:proofErr w:type="spellEnd"/>
      <w:r>
        <w:rPr>
          <w:rFonts w:ascii="Times New Roman" w:eastAsia="Times New Roman" w:hAnsi="Times New Roman" w:cs="Times New Roman"/>
          <w:sz w:val="24"/>
          <w:szCs w:val="24"/>
        </w:rPr>
        <w:t xml:space="preserve"> (1986) employed survival analysis</w:t>
      </w:r>
      <w:r w:rsidR="0021294E">
        <w:rPr>
          <w:rFonts w:ascii="Times New Roman" w:eastAsia="Times New Roman" w:hAnsi="Times New Roman" w:cs="Times New Roman"/>
          <w:sz w:val="24"/>
          <w:szCs w:val="24"/>
        </w:rPr>
        <w:t xml:space="preserve"> in patent renewal decision to estimate the value of patent intangibles. The model was skewed as there were few patents but with high value as compared to majority with lower value.</w:t>
      </w:r>
    </w:p>
    <w:p w:rsidR="0021294E" w:rsidRPr="00A271BB" w:rsidRDefault="005D57B4" w:rsidP="00A271B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Forward patent citations were</w:t>
      </w:r>
      <w:r w:rsidR="0021294E">
        <w:rPr>
          <w:rFonts w:ascii="Times New Roman" w:eastAsia="Times New Roman" w:hAnsi="Times New Roman" w:cs="Times New Roman"/>
          <w:sz w:val="24"/>
          <w:szCs w:val="24"/>
        </w:rPr>
        <w:t xml:space="preserve"> employed as factor in enhancing technology development and economic growth in 1990s. Study by Trajtenberg (1990) revealed that citation weighted patents had a significant correlation with social returns</w:t>
      </w:r>
      <w:r w:rsidR="00CC222F">
        <w:rPr>
          <w:rFonts w:ascii="Times New Roman" w:eastAsia="Times New Roman" w:hAnsi="Times New Roman" w:cs="Times New Roman"/>
          <w:sz w:val="24"/>
          <w:szCs w:val="24"/>
        </w:rPr>
        <w:t xml:space="preserve"> in medical imaging innovation. Another study by </w:t>
      </w:r>
      <w:proofErr w:type="spellStart"/>
      <w:r w:rsidR="00CC222F">
        <w:rPr>
          <w:rFonts w:ascii="Times New Roman" w:eastAsia="Times New Roman" w:hAnsi="Times New Roman" w:cs="Times New Roman"/>
          <w:sz w:val="24"/>
          <w:szCs w:val="24"/>
        </w:rPr>
        <w:t>Harhoff</w:t>
      </w:r>
      <w:proofErr w:type="spellEnd"/>
      <w:r w:rsidR="00CC222F">
        <w:rPr>
          <w:rFonts w:ascii="Times New Roman" w:eastAsia="Times New Roman" w:hAnsi="Times New Roman" w:cs="Times New Roman"/>
          <w:sz w:val="24"/>
          <w:szCs w:val="24"/>
        </w:rPr>
        <w:t xml:space="preserve">, </w:t>
      </w:r>
      <w:proofErr w:type="spellStart"/>
      <w:r w:rsidR="00CC222F">
        <w:rPr>
          <w:rFonts w:ascii="Times New Roman" w:eastAsia="Times New Roman" w:hAnsi="Times New Roman" w:cs="Times New Roman"/>
          <w:sz w:val="24"/>
          <w:szCs w:val="24"/>
        </w:rPr>
        <w:t>Narin</w:t>
      </w:r>
      <w:proofErr w:type="spellEnd"/>
      <w:r w:rsidR="00CC222F">
        <w:rPr>
          <w:rFonts w:ascii="Times New Roman" w:eastAsia="Times New Roman" w:hAnsi="Times New Roman" w:cs="Times New Roman"/>
          <w:sz w:val="24"/>
          <w:szCs w:val="24"/>
        </w:rPr>
        <w:t xml:space="preserve">, Scherer and </w:t>
      </w:r>
      <w:proofErr w:type="spellStart"/>
      <w:r w:rsidR="00CC222F">
        <w:rPr>
          <w:rFonts w:ascii="Times New Roman" w:eastAsia="Times New Roman" w:hAnsi="Times New Roman" w:cs="Times New Roman"/>
          <w:sz w:val="24"/>
          <w:szCs w:val="24"/>
        </w:rPr>
        <w:t>Vopel</w:t>
      </w:r>
      <w:proofErr w:type="spellEnd"/>
      <w:r w:rsidR="00CC222F">
        <w:rPr>
          <w:rFonts w:ascii="Times New Roman" w:eastAsia="Times New Roman" w:hAnsi="Times New Roman" w:cs="Times New Roman"/>
          <w:sz w:val="24"/>
          <w:szCs w:val="24"/>
        </w:rPr>
        <w:t xml:space="preserve"> (2003) indicated that </w:t>
      </w:r>
      <w:r w:rsidR="005719FA">
        <w:rPr>
          <w:rFonts w:ascii="Times New Roman" w:eastAsia="Times New Roman" w:hAnsi="Times New Roman" w:cs="Times New Roman"/>
          <w:sz w:val="24"/>
          <w:szCs w:val="24"/>
        </w:rPr>
        <w:t xml:space="preserve">family size, forward citations </w:t>
      </w:r>
      <w:r w:rsidR="00CC222F">
        <w:rPr>
          <w:rFonts w:ascii="Times New Roman" w:eastAsia="Times New Roman" w:hAnsi="Times New Roman" w:cs="Times New Roman"/>
          <w:sz w:val="24"/>
          <w:szCs w:val="24"/>
        </w:rPr>
        <w:t xml:space="preserve">had a positive relationship with value of private value </w:t>
      </w:r>
      <w:proofErr w:type="spellStart"/>
      <w:proofErr w:type="gramStart"/>
      <w:r w:rsidR="00CC222F">
        <w:rPr>
          <w:rFonts w:ascii="Times New Roman" w:eastAsia="Times New Roman" w:hAnsi="Times New Roman" w:cs="Times New Roman"/>
          <w:sz w:val="24"/>
          <w:szCs w:val="24"/>
        </w:rPr>
        <w:t>assessments.</w:t>
      </w:r>
      <w:r w:rsidR="00A878FB">
        <w:rPr>
          <w:rFonts w:ascii="Times New Roman" w:eastAsia="Times New Roman" w:hAnsi="Times New Roman" w:cs="Times New Roman"/>
          <w:sz w:val="24"/>
          <w:szCs w:val="24"/>
        </w:rPr>
        <w:t>Lanjouw</w:t>
      </w:r>
      <w:proofErr w:type="spellEnd"/>
      <w:proofErr w:type="gramEnd"/>
      <w:r w:rsidR="00A878FB">
        <w:rPr>
          <w:rFonts w:ascii="Times New Roman" w:eastAsia="Times New Roman" w:hAnsi="Times New Roman" w:cs="Times New Roman"/>
          <w:sz w:val="24"/>
          <w:szCs w:val="24"/>
        </w:rPr>
        <w:t xml:space="preserve"> and </w:t>
      </w:r>
      <w:proofErr w:type="spellStart"/>
      <w:r w:rsidR="00A878FB">
        <w:rPr>
          <w:rFonts w:ascii="Times New Roman" w:eastAsia="Times New Roman" w:hAnsi="Times New Roman" w:cs="Times New Roman"/>
          <w:sz w:val="24"/>
          <w:szCs w:val="24"/>
        </w:rPr>
        <w:t>Schankerman</w:t>
      </w:r>
      <w:proofErr w:type="spellEnd"/>
      <w:r w:rsidR="00A878FB">
        <w:rPr>
          <w:rFonts w:ascii="Times New Roman" w:eastAsia="Times New Roman" w:hAnsi="Times New Roman" w:cs="Times New Roman"/>
          <w:sz w:val="24"/>
          <w:szCs w:val="24"/>
        </w:rPr>
        <w:t xml:space="preserve"> (2004) </w:t>
      </w:r>
      <w:r w:rsidR="00CC601C">
        <w:rPr>
          <w:rFonts w:ascii="Times New Roman" w:eastAsia="Times New Roman" w:hAnsi="Times New Roman" w:cs="Times New Roman"/>
          <w:sz w:val="24"/>
          <w:szCs w:val="24"/>
        </w:rPr>
        <w:t>employed composite index for patent quality by combining renewals, citations, family data and claims.</w:t>
      </w:r>
      <w:r w:rsidR="008C2A3D">
        <w:rPr>
          <w:rFonts w:ascii="Times New Roman" w:eastAsia="Times New Roman" w:hAnsi="Times New Roman" w:cs="Times New Roman"/>
          <w:sz w:val="24"/>
          <w:szCs w:val="24"/>
        </w:rPr>
        <w:t xml:space="preserve"> Their results indicated that companies with high quality patents indicated a strong financial performance with enhanced productivity in research. This was echoed by Hall, Jaffe and Trajtenberg (2005) who discovered strong stock performance for companies with quality </w:t>
      </w:r>
      <w:r w:rsidR="008C2A3D" w:rsidRPr="00A271BB">
        <w:rPr>
          <w:rFonts w:ascii="Times New Roman" w:eastAsia="Times New Roman" w:hAnsi="Times New Roman" w:cs="Times New Roman"/>
          <w:sz w:val="24"/>
          <w:szCs w:val="24"/>
        </w:rPr>
        <w:t>patents.</w:t>
      </w:r>
    </w:p>
    <w:p w:rsidR="00A271BB" w:rsidRPr="00A271BB" w:rsidRDefault="00A271BB" w:rsidP="00A271BB">
      <w:pPr>
        <w:spacing w:before="100" w:beforeAutospacing="1" w:after="100" w:afterAutospacing="1" w:line="480" w:lineRule="auto"/>
        <w:jc w:val="both"/>
        <w:rPr>
          <w:rStyle w:val="sentence-span"/>
          <w:rFonts w:ascii="Times New Roman" w:hAnsi="Times New Roman" w:cs="Times New Roman"/>
          <w:color w:val="000000"/>
          <w:sz w:val="24"/>
          <w:szCs w:val="24"/>
          <w:shd w:val="clear" w:color="auto" w:fill="FFFFFF"/>
        </w:rPr>
      </w:pPr>
      <w:r w:rsidRPr="00A271BB">
        <w:rPr>
          <w:rStyle w:val="sentence-span"/>
          <w:rFonts w:ascii="Times New Roman" w:hAnsi="Times New Roman" w:cs="Times New Roman"/>
          <w:color w:val="000000"/>
          <w:sz w:val="24"/>
          <w:szCs w:val="24"/>
          <w:shd w:val="clear" w:color="auto" w:fill="FFFFFF"/>
        </w:rPr>
        <w:t xml:space="preserve">Earlier studies looked into how well indicators predict across different technologies and situations. Gambardella, </w:t>
      </w:r>
      <w:proofErr w:type="spellStart"/>
      <w:r w:rsidRPr="00A271BB">
        <w:rPr>
          <w:rStyle w:val="sentence-span"/>
          <w:rFonts w:ascii="Times New Roman" w:hAnsi="Times New Roman" w:cs="Times New Roman"/>
          <w:color w:val="000000"/>
          <w:sz w:val="24"/>
          <w:szCs w:val="24"/>
          <w:shd w:val="clear" w:color="auto" w:fill="FFFFFF"/>
        </w:rPr>
        <w:t>Harhoff</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Verspagen</w:t>
      </w:r>
      <w:proofErr w:type="spellEnd"/>
      <w:r w:rsidRPr="00A271BB">
        <w:rPr>
          <w:rStyle w:val="sentence-span"/>
          <w:rFonts w:ascii="Times New Roman" w:hAnsi="Times New Roman" w:cs="Times New Roman"/>
          <w:color w:val="000000"/>
          <w:sz w:val="24"/>
          <w:szCs w:val="24"/>
          <w:shd w:val="clear" w:color="auto" w:fill="FFFFFF"/>
        </w:rPr>
        <w:t xml:space="preserve"> (2008) found that citation-value links are stronger in science-heavy industries like pharmaceuticals and biotech than in mechanical or process-focused areas. Likewise, </w:t>
      </w:r>
      <w:proofErr w:type="spellStart"/>
      <w:r w:rsidRPr="00A271BB">
        <w:rPr>
          <w:rStyle w:val="sentence-span"/>
          <w:rFonts w:ascii="Times New Roman" w:hAnsi="Times New Roman" w:cs="Times New Roman"/>
          <w:color w:val="000000"/>
          <w:sz w:val="24"/>
          <w:szCs w:val="24"/>
          <w:shd w:val="clear" w:color="auto" w:fill="FFFFFF"/>
        </w:rPr>
        <w:t>Czarnitzki</w:t>
      </w:r>
      <w:proofErr w:type="spellEnd"/>
      <w:r w:rsidRPr="00A271BB">
        <w:rPr>
          <w:rStyle w:val="sentence-span"/>
          <w:rFonts w:ascii="Times New Roman" w:hAnsi="Times New Roman" w:cs="Times New Roman"/>
          <w:color w:val="000000"/>
          <w:sz w:val="24"/>
          <w:szCs w:val="24"/>
          <w:shd w:val="clear" w:color="auto" w:fill="FFFFFF"/>
        </w:rPr>
        <w:t xml:space="preserve">, </w:t>
      </w:r>
      <w:proofErr w:type="spellStart"/>
      <w:r w:rsidRPr="00A271BB">
        <w:rPr>
          <w:rStyle w:val="sentence-span"/>
          <w:rFonts w:ascii="Times New Roman" w:hAnsi="Times New Roman" w:cs="Times New Roman"/>
          <w:color w:val="000000"/>
          <w:sz w:val="24"/>
          <w:szCs w:val="24"/>
          <w:shd w:val="clear" w:color="auto" w:fill="FFFFFF"/>
        </w:rPr>
        <w:t>Hussinger</w:t>
      </w:r>
      <w:proofErr w:type="spellEnd"/>
      <w:r w:rsidRPr="00A271BB">
        <w:rPr>
          <w:rStyle w:val="sentence-span"/>
          <w:rFonts w:ascii="Times New Roman" w:hAnsi="Times New Roman" w:cs="Times New Roman"/>
          <w:color w:val="000000"/>
          <w:sz w:val="24"/>
          <w:szCs w:val="24"/>
          <w:shd w:val="clear" w:color="auto" w:fill="FFFFFF"/>
        </w:rPr>
        <w:t xml:space="preserve">, and Schneider (2011) used licensing income data to test proxies and found that renewal choices and future citations do a good job of </w:t>
      </w:r>
      <w:r w:rsidRPr="00A271BB">
        <w:rPr>
          <w:rStyle w:val="sentence-span"/>
          <w:rFonts w:ascii="Times New Roman" w:hAnsi="Times New Roman" w:cs="Times New Roman"/>
          <w:color w:val="000000"/>
          <w:sz w:val="24"/>
          <w:szCs w:val="24"/>
          <w:shd w:val="clear" w:color="auto" w:fill="FFFFFF"/>
        </w:rPr>
        <w:lastRenderedPageBreak/>
        <w:t xml:space="preserve">predicting licensing revenues. At the same time, because of worries about strategic patenting and citation inflation, people have become more careful. Studies like </w:t>
      </w:r>
      <w:proofErr w:type="spellStart"/>
      <w:r w:rsidRPr="00A271BB">
        <w:rPr>
          <w:rStyle w:val="sentence-span"/>
          <w:rFonts w:ascii="Times New Roman" w:hAnsi="Times New Roman" w:cs="Times New Roman"/>
          <w:color w:val="000000"/>
          <w:sz w:val="24"/>
          <w:szCs w:val="24"/>
          <w:shd w:val="clear" w:color="auto" w:fill="FFFFFF"/>
        </w:rPr>
        <w:t>Criscuolo</w:t>
      </w:r>
      <w:proofErr w:type="spellEnd"/>
      <w:r w:rsidR="00D15458">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Verspagen</w:t>
      </w:r>
      <w:proofErr w:type="spellEnd"/>
      <w:r w:rsidRPr="00A271BB">
        <w:rPr>
          <w:rStyle w:val="sentence-span"/>
          <w:rFonts w:ascii="Times New Roman" w:hAnsi="Times New Roman" w:cs="Times New Roman"/>
          <w:color w:val="000000"/>
          <w:sz w:val="24"/>
          <w:szCs w:val="24"/>
          <w:shd w:val="clear" w:color="auto" w:fill="FFFFFF"/>
        </w:rPr>
        <w:t xml:space="preserve"> (2008) point out that not all citations are the same, and it's important to distinguish between citations added by examiners and those added by applicants when assessing value. Other studies have explored opposition and litigation as signs of value after the fact. </w:t>
      </w:r>
    </w:p>
    <w:p w:rsidR="00A271BB" w:rsidRPr="00A271BB" w:rsidRDefault="00A271BB" w:rsidP="00A271BB">
      <w:pPr>
        <w:spacing w:before="100" w:beforeAutospacing="1" w:after="100" w:afterAutospacing="1" w:line="480" w:lineRule="auto"/>
        <w:jc w:val="both"/>
        <w:rPr>
          <w:rStyle w:val="sentence-span"/>
          <w:rFonts w:ascii="Times New Roman" w:hAnsi="Times New Roman" w:cs="Times New Roman"/>
          <w:color w:val="000000"/>
          <w:sz w:val="24"/>
          <w:szCs w:val="24"/>
          <w:shd w:val="clear" w:color="auto" w:fill="FFFFFF"/>
        </w:rPr>
      </w:pPr>
      <w:proofErr w:type="spellStart"/>
      <w:r w:rsidRPr="00A271BB">
        <w:rPr>
          <w:rStyle w:val="sentence-span"/>
          <w:rFonts w:ascii="Times New Roman" w:hAnsi="Times New Roman" w:cs="Times New Roman"/>
          <w:color w:val="000000"/>
          <w:sz w:val="24"/>
          <w:szCs w:val="24"/>
          <w:shd w:val="clear" w:color="auto" w:fill="FFFFFF"/>
        </w:rPr>
        <w:t>Harhoff</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Reitzig</w:t>
      </w:r>
      <w:proofErr w:type="spellEnd"/>
      <w:r w:rsidRPr="00A271BB">
        <w:rPr>
          <w:rStyle w:val="sentence-span"/>
          <w:rFonts w:ascii="Times New Roman" w:hAnsi="Times New Roman" w:cs="Times New Roman"/>
          <w:color w:val="000000"/>
          <w:sz w:val="24"/>
          <w:szCs w:val="24"/>
          <w:shd w:val="clear" w:color="auto" w:fill="FFFFFF"/>
        </w:rPr>
        <w:t xml:space="preserve"> (2004) discovered that patents opposed at the European Patent Office are often more valuable because companies tend to challenge patents that could threaten their market power. Similarly, Allison, Lemley, and Walker (2010) showed that U.S. patents involved in lawsuits tend to be quite valuable, though the risk of litigation also brings costs that make valuation tricky. Now, people are using machine learning and text analysis to create more precise proxies. Kelley, </w:t>
      </w:r>
      <w:proofErr w:type="spellStart"/>
      <w:r w:rsidRPr="00A271BB">
        <w:rPr>
          <w:rStyle w:val="sentence-span"/>
          <w:rFonts w:ascii="Times New Roman" w:hAnsi="Times New Roman" w:cs="Times New Roman"/>
          <w:color w:val="000000"/>
          <w:sz w:val="24"/>
          <w:szCs w:val="24"/>
          <w:shd w:val="clear" w:color="auto" w:fill="FFFFFF"/>
        </w:rPr>
        <w:t>Papanikolaou</w:t>
      </w:r>
      <w:proofErr w:type="spellEnd"/>
      <w:r w:rsidRPr="00A271BB">
        <w:rPr>
          <w:rStyle w:val="sentence-span"/>
          <w:rFonts w:ascii="Times New Roman" w:hAnsi="Times New Roman" w:cs="Times New Roman"/>
          <w:color w:val="000000"/>
          <w:sz w:val="24"/>
          <w:szCs w:val="24"/>
          <w:shd w:val="clear" w:color="auto" w:fill="FFFFFF"/>
        </w:rPr>
        <w:t xml:space="preserve">, </w:t>
      </w:r>
      <w:proofErr w:type="spellStart"/>
      <w:r w:rsidRPr="00A271BB">
        <w:rPr>
          <w:rStyle w:val="sentence-span"/>
          <w:rFonts w:ascii="Times New Roman" w:hAnsi="Times New Roman" w:cs="Times New Roman"/>
          <w:color w:val="000000"/>
          <w:sz w:val="24"/>
          <w:szCs w:val="24"/>
          <w:shd w:val="clear" w:color="auto" w:fill="FFFFFF"/>
        </w:rPr>
        <w:t>Seru</w:t>
      </w:r>
      <w:proofErr w:type="spellEnd"/>
      <w:r w:rsidRPr="00A271BB">
        <w:rPr>
          <w:rStyle w:val="sentence-span"/>
          <w:rFonts w:ascii="Times New Roman" w:hAnsi="Times New Roman" w:cs="Times New Roman"/>
          <w:color w:val="000000"/>
          <w:sz w:val="24"/>
          <w:szCs w:val="24"/>
          <w:shd w:val="clear" w:color="auto" w:fill="FFFFFF"/>
        </w:rPr>
        <w:t xml:space="preserve">, and </w:t>
      </w:r>
      <w:proofErr w:type="spellStart"/>
      <w:r w:rsidRPr="00A271BB">
        <w:rPr>
          <w:rStyle w:val="sentence-span"/>
          <w:rFonts w:ascii="Times New Roman" w:hAnsi="Times New Roman" w:cs="Times New Roman"/>
          <w:color w:val="000000"/>
          <w:sz w:val="24"/>
          <w:szCs w:val="24"/>
          <w:shd w:val="clear" w:color="auto" w:fill="FFFFFF"/>
        </w:rPr>
        <w:t>Taddy</w:t>
      </w:r>
      <w:proofErr w:type="spellEnd"/>
      <w:r w:rsidRPr="00A271BB">
        <w:rPr>
          <w:rStyle w:val="sentence-span"/>
          <w:rFonts w:ascii="Times New Roman" w:hAnsi="Times New Roman" w:cs="Times New Roman"/>
          <w:color w:val="000000"/>
          <w:sz w:val="24"/>
          <w:szCs w:val="24"/>
          <w:shd w:val="clear" w:color="auto" w:fill="FFFFFF"/>
        </w:rPr>
        <w:t xml:space="preserve"> (2020) used natural language processing on patent texts to predict innovation value and stock market reactions, showing that new textual metrics perform better than simple citation counts. This shows a broader trend of combining traditional indicators with computer-based methods to capture both the technical and financial sides of patents. In general, research suggests that patent renewal, citation, and family indicators strongly relate to financial value. Yet it also shows that we need to use many indicators together to reduce errors in measurement. Current work increasingly combines bibliometric, legal, and textual data, which gives richer support for valuation models. Still, there are issues, like adjusting proxies across technologies, considering strategic patenting, and adding dynamic, option-like aspects of innovation into valuation frameworks.</w:t>
      </w:r>
    </w:p>
    <w:p w:rsidR="00B6640E" w:rsidRPr="00956269" w:rsidRDefault="00B6640E" w:rsidP="00B6640E">
      <w:pPr>
        <w:spacing w:before="100" w:beforeAutospacing="1" w:after="100" w:afterAutospacing="1" w:line="480" w:lineRule="auto"/>
        <w:rPr>
          <w:rFonts w:ascii="Times New Roman" w:eastAsia="Times New Roman" w:hAnsi="Times New Roman" w:cs="Times New Roman"/>
          <w:sz w:val="24"/>
          <w:szCs w:val="24"/>
        </w:rPr>
      </w:pPr>
    </w:p>
    <w:p w:rsidR="008D1686" w:rsidRPr="00956269" w:rsidRDefault="00B33360" w:rsidP="008D1686">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8D1686" w:rsidRPr="00956269">
        <w:rPr>
          <w:rFonts w:ascii="Times New Roman" w:eastAsia="Times New Roman" w:hAnsi="Times New Roman" w:cs="Times New Roman"/>
          <w:b/>
          <w:bCs/>
          <w:sz w:val="24"/>
          <w:szCs w:val="24"/>
        </w:rPr>
        <w:t>Challenges and Limitations</w:t>
      </w:r>
    </w:p>
    <w:p w:rsidR="0036002D" w:rsidRDefault="008D1686" w:rsidP="00B6640E">
      <w:pPr>
        <w:spacing w:before="100" w:beforeAutospacing="1" w:after="100" w:afterAutospacing="1" w:line="480" w:lineRule="auto"/>
        <w:jc w:val="both"/>
        <w:rPr>
          <w:rFonts w:ascii="Times New Roman" w:eastAsia="Times New Roman" w:hAnsi="Times New Roman" w:cs="Times New Roman"/>
          <w:sz w:val="24"/>
          <w:szCs w:val="24"/>
        </w:rPr>
      </w:pPr>
      <w:r w:rsidRPr="00956269">
        <w:rPr>
          <w:rFonts w:ascii="Times New Roman" w:eastAsia="Times New Roman" w:hAnsi="Times New Roman" w:cs="Times New Roman"/>
          <w:sz w:val="24"/>
          <w:szCs w:val="24"/>
        </w:rPr>
        <w:lastRenderedPageBreak/>
        <w:t xml:space="preserve">Despite methodological progress, HTVI valuation remains fraught with uncertainty. </w:t>
      </w:r>
      <w:r w:rsidR="0036002D">
        <w:rPr>
          <w:rFonts w:ascii="Times New Roman" w:eastAsia="Times New Roman" w:hAnsi="Times New Roman" w:cs="Times New Roman"/>
          <w:sz w:val="24"/>
          <w:szCs w:val="24"/>
        </w:rPr>
        <w:t xml:space="preserve">The forecasting of future cashflows with certainty is not practical as it is subjective based on projected discount factors (OECD, 2017). Lack of comparable assets is another hindrance as similar </w:t>
      </w:r>
      <w:proofErr w:type="gramStart"/>
      <w:r w:rsidR="0036002D">
        <w:rPr>
          <w:rFonts w:ascii="Times New Roman" w:eastAsia="Times New Roman" w:hAnsi="Times New Roman" w:cs="Times New Roman"/>
          <w:sz w:val="24"/>
          <w:szCs w:val="24"/>
        </w:rPr>
        <w:t>intangibles</w:t>
      </w:r>
      <w:proofErr w:type="gramEnd"/>
      <w:r w:rsidR="0036002D">
        <w:rPr>
          <w:rFonts w:ascii="Times New Roman" w:eastAsia="Times New Roman" w:hAnsi="Times New Roman" w:cs="Times New Roman"/>
          <w:sz w:val="24"/>
          <w:szCs w:val="24"/>
        </w:rPr>
        <w:t xml:space="preserve"> may not be in existence (KPMG, 2020).</w:t>
      </w:r>
    </w:p>
    <w:p w:rsidR="008D1686"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t>Future Trends in HTVI Valuation</w:t>
      </w:r>
    </w:p>
    <w:p w:rsidR="0036002D" w:rsidRPr="0036002D" w:rsidRDefault="0036002D" w:rsidP="0036002D">
      <w:pPr>
        <w:spacing w:before="100" w:beforeAutospacing="1" w:after="100" w:afterAutospacing="1" w:line="480" w:lineRule="auto"/>
        <w:jc w:val="both"/>
        <w:outlineLvl w:val="1"/>
        <w:rPr>
          <w:rFonts w:ascii="Times New Roman" w:eastAsia="Times New Roman" w:hAnsi="Times New Roman" w:cs="Times New Roman"/>
          <w:bCs/>
          <w:sz w:val="24"/>
          <w:szCs w:val="24"/>
        </w:rPr>
      </w:pPr>
      <w:r w:rsidRPr="0036002D">
        <w:rPr>
          <w:rFonts w:ascii="Times New Roman" w:eastAsia="Times New Roman" w:hAnsi="Times New Roman" w:cs="Times New Roman"/>
          <w:bCs/>
          <w:sz w:val="24"/>
          <w:szCs w:val="24"/>
        </w:rPr>
        <w:t xml:space="preserve">In future hybrid valuation methodologies may be used for intangibles valuation. The use artificial intelligence predictive models will be preferred to reduce disputes with regulatory authorities. </w:t>
      </w:r>
      <w:r>
        <w:rPr>
          <w:rFonts w:ascii="Times New Roman" w:eastAsia="Times New Roman" w:hAnsi="Times New Roman" w:cs="Times New Roman"/>
          <w:bCs/>
          <w:sz w:val="24"/>
          <w:szCs w:val="24"/>
        </w:rPr>
        <w:t>Real time valuation of intangibles may also be practical with advent of technology. OECD (2020)</w:t>
      </w:r>
      <w:r w:rsidR="006F34BA">
        <w:rPr>
          <w:rFonts w:ascii="Times New Roman" w:eastAsia="Times New Roman" w:hAnsi="Times New Roman" w:cs="Times New Roman"/>
          <w:bCs/>
          <w:sz w:val="24"/>
          <w:szCs w:val="24"/>
        </w:rPr>
        <w:t xml:space="preserve"> forecasts future harmonization of regulatory framework in different jurisdictions especially for cross border transfer pricing.</w:t>
      </w:r>
    </w:p>
    <w:p w:rsidR="0036002D" w:rsidRDefault="0036002D" w:rsidP="00B6640E">
      <w:pPr>
        <w:spacing w:before="100" w:beforeAutospacing="1" w:after="100" w:afterAutospacing="1" w:line="480" w:lineRule="auto"/>
        <w:jc w:val="both"/>
        <w:rPr>
          <w:rFonts w:ascii="Times New Roman" w:eastAsia="Times New Roman" w:hAnsi="Times New Roman" w:cs="Times New Roman"/>
          <w:sz w:val="24"/>
          <w:szCs w:val="24"/>
          <w:highlight w:val="yellow"/>
        </w:rPr>
      </w:pPr>
    </w:p>
    <w:p w:rsidR="008D1686" w:rsidRPr="006F34BA"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6F34BA">
        <w:rPr>
          <w:rFonts w:ascii="Times New Roman" w:eastAsia="Times New Roman" w:hAnsi="Times New Roman" w:cs="Times New Roman"/>
          <w:b/>
          <w:bCs/>
          <w:sz w:val="24"/>
          <w:szCs w:val="24"/>
        </w:rPr>
        <w:t>Conclusion</w:t>
      </w:r>
    </w:p>
    <w:p w:rsidR="006F34BA" w:rsidRDefault="006F34BA" w:rsidP="00B6640E">
      <w:pPr>
        <w:spacing w:before="100" w:beforeAutospacing="1" w:after="100" w:afterAutospacing="1" w:line="480" w:lineRule="auto"/>
        <w:jc w:val="both"/>
        <w:rPr>
          <w:rFonts w:ascii="Times New Roman" w:eastAsia="Times New Roman" w:hAnsi="Times New Roman" w:cs="Times New Roman"/>
          <w:sz w:val="24"/>
          <w:szCs w:val="24"/>
        </w:rPr>
      </w:pPr>
      <w:r w:rsidRPr="006F34BA">
        <w:rPr>
          <w:rFonts w:ascii="Times New Roman" w:eastAsia="Times New Roman" w:hAnsi="Times New Roman" w:cs="Times New Roman"/>
          <w:sz w:val="24"/>
          <w:szCs w:val="24"/>
        </w:rPr>
        <w:t>Hard to value intangibles have evolved from traditional to market based methods. However, challenges still persist on harmonized methods for valuation of intangible assets. This calls for continuous evolution until optimal valuations will be derived. The future lies with integration of technology to come up with better valuation methods in future.</w:t>
      </w:r>
    </w:p>
    <w:p w:rsidR="001038BE" w:rsidRPr="001038BE" w:rsidRDefault="001038BE" w:rsidP="001038BE">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Figuring out ho</w:t>
      </w:r>
      <w:r>
        <w:rPr>
          <w:rFonts w:ascii="Times New Roman" w:eastAsia="Times New Roman" w:hAnsi="Times New Roman" w:cs="Times New Roman"/>
          <w:sz w:val="24"/>
          <w:szCs w:val="24"/>
        </w:rPr>
        <w:t>w much HTVIs</w:t>
      </w:r>
      <w:r w:rsidRPr="001038BE">
        <w:rPr>
          <w:rFonts w:ascii="Times New Roman" w:eastAsia="Times New Roman" w:hAnsi="Times New Roman" w:cs="Times New Roman"/>
          <w:sz w:val="24"/>
          <w:szCs w:val="24"/>
        </w:rPr>
        <w:t xml:space="preserve"> are worth is still a tough problem in today's accounting</w:t>
      </w:r>
      <w:r w:rsidR="00D40401">
        <w:rPr>
          <w:rFonts w:ascii="Times New Roman" w:eastAsia="Times New Roman" w:hAnsi="Times New Roman" w:cs="Times New Roman"/>
          <w:sz w:val="24"/>
          <w:szCs w:val="24"/>
        </w:rPr>
        <w:t xml:space="preserve"> environment world</w:t>
      </w:r>
      <w:r w:rsidRPr="001038BE">
        <w:rPr>
          <w:rFonts w:ascii="Times New Roman" w:eastAsia="Times New Roman" w:hAnsi="Times New Roman" w:cs="Times New Roman"/>
          <w:sz w:val="24"/>
          <w:szCs w:val="24"/>
        </w:rPr>
        <w:t xml:space="preserve">. Since economies now focus on knowledge more than industries, </w:t>
      </w:r>
      <w:r w:rsidR="00D40401">
        <w:rPr>
          <w:rFonts w:ascii="Times New Roman" w:eastAsia="Times New Roman" w:hAnsi="Times New Roman" w:cs="Times New Roman"/>
          <w:sz w:val="24"/>
          <w:szCs w:val="24"/>
        </w:rPr>
        <w:t>factors like</w:t>
      </w:r>
      <w:r w:rsidRPr="001038BE">
        <w:rPr>
          <w:rFonts w:ascii="Times New Roman" w:eastAsia="Times New Roman" w:hAnsi="Times New Roman" w:cs="Times New Roman"/>
          <w:sz w:val="24"/>
          <w:szCs w:val="24"/>
        </w:rPr>
        <w:t xml:space="preserve"> data, algorithms, platforms, patents, and special tech</w:t>
      </w:r>
      <w:r w:rsidR="00D40401">
        <w:rPr>
          <w:rFonts w:ascii="Times New Roman" w:eastAsia="Times New Roman" w:hAnsi="Times New Roman" w:cs="Times New Roman"/>
          <w:sz w:val="24"/>
          <w:szCs w:val="24"/>
        </w:rPr>
        <w:t>nologies</w:t>
      </w:r>
      <w:r w:rsidRPr="001038BE">
        <w:rPr>
          <w:rFonts w:ascii="Times New Roman" w:eastAsia="Times New Roman" w:hAnsi="Times New Roman" w:cs="Times New Roman"/>
          <w:sz w:val="24"/>
          <w:szCs w:val="24"/>
        </w:rPr>
        <w:t xml:space="preserve"> are increasingly what make companies va</w:t>
      </w:r>
      <w:r w:rsidR="00D40401">
        <w:rPr>
          <w:rFonts w:ascii="Times New Roman" w:eastAsia="Times New Roman" w:hAnsi="Times New Roman" w:cs="Times New Roman"/>
          <w:sz w:val="24"/>
          <w:szCs w:val="24"/>
        </w:rPr>
        <w:t xml:space="preserve">luable. It’s clear that old methods to value assets </w:t>
      </w:r>
      <w:r w:rsidRPr="001038BE">
        <w:rPr>
          <w:rFonts w:ascii="Times New Roman" w:eastAsia="Times New Roman" w:hAnsi="Times New Roman" w:cs="Times New Roman"/>
          <w:sz w:val="24"/>
          <w:szCs w:val="24"/>
        </w:rPr>
        <w:t xml:space="preserve">don't really work for HTVIs. </w:t>
      </w:r>
      <w:r w:rsidRPr="001038BE">
        <w:rPr>
          <w:rFonts w:ascii="Times New Roman" w:eastAsia="Times New Roman" w:hAnsi="Times New Roman" w:cs="Times New Roman"/>
          <w:sz w:val="24"/>
          <w:szCs w:val="24"/>
        </w:rPr>
        <w:lastRenderedPageBreak/>
        <w:t>These methods oft</w:t>
      </w:r>
      <w:r w:rsidR="00D40401">
        <w:rPr>
          <w:rFonts w:ascii="Times New Roman" w:eastAsia="Times New Roman" w:hAnsi="Times New Roman" w:cs="Times New Roman"/>
          <w:sz w:val="24"/>
          <w:szCs w:val="24"/>
        </w:rPr>
        <w:t>en miss the risks, how well the assets</w:t>
      </w:r>
      <w:r w:rsidRPr="001038BE">
        <w:rPr>
          <w:rFonts w:ascii="Times New Roman" w:eastAsia="Times New Roman" w:hAnsi="Times New Roman" w:cs="Times New Roman"/>
          <w:sz w:val="24"/>
          <w:szCs w:val="24"/>
        </w:rPr>
        <w:t xml:space="preserve"> can grow, and the possible value they might have later.</w:t>
      </w:r>
    </w:p>
    <w:p w:rsidR="001038BE" w:rsidRPr="001038BE" w:rsidRDefault="00D40401"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Newer methods</w:t>
      </w:r>
      <w:r w:rsidR="001038BE" w:rsidRPr="001038BE">
        <w:rPr>
          <w:rFonts w:ascii="Times New Roman" w:eastAsia="Times New Roman" w:hAnsi="Times New Roman" w:cs="Times New Roman"/>
          <w:sz w:val="24"/>
          <w:szCs w:val="24"/>
        </w:rPr>
        <w:t>, like discounted cash flow (DCF), profit split, and real options, try to fix some issues by using expected cash flows, how profits are split between countries, and how mana</w:t>
      </w:r>
      <w:r>
        <w:rPr>
          <w:rFonts w:ascii="Times New Roman" w:eastAsia="Times New Roman" w:hAnsi="Times New Roman" w:cs="Times New Roman"/>
          <w:sz w:val="24"/>
          <w:szCs w:val="24"/>
        </w:rPr>
        <w:t>gers can be flexible when assets</w:t>
      </w:r>
      <w:r w:rsidR="001038BE" w:rsidRPr="001038BE">
        <w:rPr>
          <w:rFonts w:ascii="Times New Roman" w:eastAsia="Times New Roman" w:hAnsi="Times New Roman" w:cs="Times New Roman"/>
          <w:sz w:val="24"/>
          <w:szCs w:val="24"/>
        </w:rPr>
        <w:t xml:space="preserve"> are uncertain. But, even though they make sense, they depend a lot on assumpti</w:t>
      </w:r>
      <w:r>
        <w:rPr>
          <w:rFonts w:ascii="Times New Roman" w:eastAsia="Times New Roman" w:hAnsi="Times New Roman" w:cs="Times New Roman"/>
          <w:sz w:val="24"/>
          <w:szCs w:val="24"/>
        </w:rPr>
        <w:t>ons and data. This causes problems</w:t>
      </w:r>
      <w:r w:rsidR="001038BE" w:rsidRPr="001038BE">
        <w:rPr>
          <w:rFonts w:ascii="Times New Roman" w:eastAsia="Times New Roman" w:hAnsi="Times New Roman" w:cs="Times New Roman"/>
          <w:sz w:val="24"/>
          <w:szCs w:val="24"/>
        </w:rPr>
        <w:t xml:space="preserve"> for regulators and tax people since differen</w:t>
      </w:r>
      <w:r>
        <w:rPr>
          <w:rFonts w:ascii="Times New Roman" w:eastAsia="Times New Roman" w:hAnsi="Times New Roman" w:cs="Times New Roman"/>
          <w:sz w:val="24"/>
          <w:szCs w:val="24"/>
        </w:rPr>
        <w:t>t ways of valuing the same asset can give</w:t>
      </w:r>
      <w:r w:rsidR="001038BE" w:rsidRPr="001038BE">
        <w:rPr>
          <w:rFonts w:ascii="Times New Roman" w:eastAsia="Times New Roman" w:hAnsi="Times New Roman" w:cs="Times New Roman"/>
          <w:sz w:val="24"/>
          <w:szCs w:val="24"/>
        </w:rPr>
        <w:t xml:space="preserve"> different numbers based on what you assume and the data you have.</w:t>
      </w:r>
    </w:p>
    <w:p w:rsidR="001038BE" w:rsidRPr="001038BE" w:rsidRDefault="00D40401"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challenge is</w:t>
      </w:r>
      <w:r w:rsidR="001038BE" w:rsidRPr="001038BE">
        <w:rPr>
          <w:rFonts w:ascii="Times New Roman" w:eastAsia="Times New Roman" w:hAnsi="Times New Roman" w:cs="Times New Roman"/>
          <w:sz w:val="24"/>
          <w:szCs w:val="24"/>
        </w:rPr>
        <w:t xml:space="preserve"> about how organiz</w:t>
      </w:r>
      <w:r>
        <w:rPr>
          <w:rFonts w:ascii="Times New Roman" w:eastAsia="Times New Roman" w:hAnsi="Times New Roman" w:cs="Times New Roman"/>
          <w:sz w:val="24"/>
          <w:szCs w:val="24"/>
        </w:rPr>
        <w:t xml:space="preserve">ations work and the theories </w:t>
      </w:r>
      <w:r w:rsidR="001038BE" w:rsidRPr="001038BE">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001038BE" w:rsidRPr="001038BE">
        <w:rPr>
          <w:rFonts w:ascii="Times New Roman" w:eastAsia="Times New Roman" w:hAnsi="Times New Roman" w:cs="Times New Roman"/>
          <w:sz w:val="24"/>
          <w:szCs w:val="24"/>
        </w:rPr>
        <w:t>. The resource-based view (RBV), dynamic capabilities, and knowledge-based ideas tell us that an intangible's value is tied to how a company is set up, its people, and its plans, so it's hard to make a standard way to measure it. Signaling theory and information asymmetry also show that people outside the company often don't have all t</w:t>
      </w:r>
      <w:r>
        <w:rPr>
          <w:rFonts w:ascii="Times New Roman" w:eastAsia="Times New Roman" w:hAnsi="Times New Roman" w:cs="Times New Roman"/>
          <w:sz w:val="24"/>
          <w:szCs w:val="24"/>
        </w:rPr>
        <w:t>he facts about what these assets</w:t>
      </w:r>
      <w:r w:rsidR="001038BE" w:rsidRPr="001038BE">
        <w:rPr>
          <w:rFonts w:ascii="Times New Roman" w:eastAsia="Times New Roman" w:hAnsi="Times New Roman" w:cs="Times New Roman"/>
          <w:sz w:val="24"/>
          <w:szCs w:val="24"/>
        </w:rPr>
        <w:t xml:space="preserve"> are really worth, which messes up how they're valued in financial reports and markets.</w:t>
      </w:r>
    </w:p>
    <w:p w:rsidR="001038BE" w:rsidRPr="001038BE" w:rsidRDefault="00136EC7" w:rsidP="001038B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show that assets </w:t>
      </w:r>
      <w:r w:rsidR="001038BE" w:rsidRPr="001038BE">
        <w:rPr>
          <w:rFonts w:ascii="Times New Roman" w:eastAsia="Times New Roman" w:hAnsi="Times New Roman" w:cs="Times New Roman"/>
          <w:sz w:val="24"/>
          <w:szCs w:val="24"/>
        </w:rPr>
        <w:t>like patent renewals, citations, and related patents can give us some idea of value, but we need to mix them with money and text data to be more accurate. New tech like machine learning, natural language processing (NLP), and AI can help value things better by being more objective, consistent, and comparab</w:t>
      </w:r>
      <w:r w:rsidR="000B0814">
        <w:rPr>
          <w:rFonts w:ascii="Times New Roman" w:eastAsia="Times New Roman" w:hAnsi="Times New Roman" w:cs="Times New Roman"/>
          <w:sz w:val="24"/>
          <w:szCs w:val="24"/>
        </w:rPr>
        <w:t>le. These tools can value assets</w:t>
      </w:r>
      <w:r w:rsidR="001038BE" w:rsidRPr="001038BE">
        <w:rPr>
          <w:rFonts w:ascii="Times New Roman" w:eastAsia="Times New Roman" w:hAnsi="Times New Roman" w:cs="Times New Roman"/>
          <w:sz w:val="24"/>
          <w:szCs w:val="24"/>
        </w:rPr>
        <w:t xml:space="preserve"> in real-time and make things clearer by studying lots of data like patent texts, R&amp;D info, and licensing details.</w:t>
      </w:r>
    </w:p>
    <w:p w:rsidR="001038BE" w:rsidRPr="001038BE" w:rsidRDefault="001038BE" w:rsidP="001038BE">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In the future, valuing HTVIs will probably be a mix of methods, use tech, and be the same worldwide. We'll mix old financial ways with data analysis, and AI will help us make better </w:t>
      </w:r>
      <w:r w:rsidRPr="001038BE">
        <w:rPr>
          <w:rFonts w:ascii="Times New Roman" w:eastAsia="Times New Roman" w:hAnsi="Times New Roman" w:cs="Times New Roman"/>
          <w:sz w:val="24"/>
          <w:szCs w:val="24"/>
        </w:rPr>
        <w:lastRenderedPageBreak/>
        <w:t>guesses and cause fewer arguments about prices. Groups like the OECD are working to make the rules the same in different countries, which should make things fairer, especially for companies that do business in many countries.</w:t>
      </w:r>
    </w:p>
    <w:p w:rsidR="006F34BA" w:rsidRDefault="001038BE" w:rsidP="006A4D33">
      <w:pPr>
        <w:spacing w:before="100" w:beforeAutospacing="1" w:after="100" w:afterAutospacing="1" w:line="48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In the end, how much HTVIs are worth will depend on using good methods and being willing to change how we think to match the way the digital world works. Leaders, audi</w:t>
      </w:r>
      <w:r w:rsidR="002521BB">
        <w:rPr>
          <w:rFonts w:ascii="Times New Roman" w:eastAsia="Times New Roman" w:hAnsi="Times New Roman" w:cs="Times New Roman"/>
          <w:sz w:val="24"/>
          <w:szCs w:val="24"/>
        </w:rPr>
        <w:t>tors, and analysts need to abandon</w:t>
      </w:r>
      <w:r w:rsidRPr="001038BE">
        <w:rPr>
          <w:rFonts w:ascii="Times New Roman" w:eastAsia="Times New Roman" w:hAnsi="Times New Roman" w:cs="Times New Roman"/>
          <w:sz w:val="24"/>
          <w:szCs w:val="24"/>
        </w:rPr>
        <w:t xml:space="preserve"> old ideas behind and </w:t>
      </w:r>
      <w:r w:rsidR="002521BB">
        <w:rPr>
          <w:rFonts w:ascii="Times New Roman" w:eastAsia="Times New Roman" w:hAnsi="Times New Roman" w:cs="Times New Roman"/>
          <w:sz w:val="24"/>
          <w:szCs w:val="24"/>
        </w:rPr>
        <w:t>new methods</w:t>
      </w:r>
      <w:r w:rsidRPr="001038BE">
        <w:rPr>
          <w:rFonts w:ascii="Times New Roman" w:eastAsia="Times New Roman" w:hAnsi="Times New Roman" w:cs="Times New Roman"/>
          <w:sz w:val="24"/>
          <w:szCs w:val="24"/>
        </w:rPr>
        <w:t xml:space="preserve"> that are </w:t>
      </w:r>
      <w:r w:rsidR="002521BB">
        <w:rPr>
          <w:rFonts w:ascii="Times New Roman" w:eastAsia="Times New Roman" w:hAnsi="Times New Roman" w:cs="Times New Roman"/>
          <w:sz w:val="24"/>
          <w:szCs w:val="24"/>
        </w:rPr>
        <w:t>hybrid</w:t>
      </w:r>
      <w:r w:rsidRPr="001038BE">
        <w:rPr>
          <w:rFonts w:ascii="Times New Roman" w:eastAsia="Times New Roman" w:hAnsi="Times New Roman" w:cs="Times New Roman"/>
          <w:sz w:val="24"/>
          <w:szCs w:val="24"/>
        </w:rPr>
        <w:t>, flexible, and clear. That's the only way to reall</w:t>
      </w:r>
      <w:r w:rsidR="002521BB">
        <w:rPr>
          <w:rFonts w:ascii="Times New Roman" w:eastAsia="Times New Roman" w:hAnsi="Times New Roman" w:cs="Times New Roman"/>
          <w:sz w:val="24"/>
          <w:szCs w:val="24"/>
        </w:rPr>
        <w:t>y see how much intangible assets</w:t>
      </w:r>
      <w:r w:rsidRPr="001038BE">
        <w:rPr>
          <w:rFonts w:ascii="Times New Roman" w:eastAsia="Times New Roman" w:hAnsi="Times New Roman" w:cs="Times New Roman"/>
          <w:sz w:val="24"/>
          <w:szCs w:val="24"/>
        </w:rPr>
        <w:t xml:space="preserve"> help companies do well and help the world economy grow.</w:t>
      </w:r>
    </w:p>
    <w:p w:rsidR="00903D6B" w:rsidRDefault="00903D6B" w:rsidP="006A4D33">
      <w:pPr>
        <w:spacing w:before="100" w:beforeAutospacing="1" w:after="100" w:afterAutospacing="1" w:line="480" w:lineRule="auto"/>
        <w:jc w:val="both"/>
        <w:rPr>
          <w:rFonts w:ascii="Times New Roman" w:eastAsia="Times New Roman" w:hAnsi="Times New Roman" w:cs="Times New Roman"/>
          <w:sz w:val="24"/>
          <w:szCs w:val="24"/>
        </w:rPr>
      </w:pP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Disclaimer (Artificial intelligence)</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 xml:space="preserve">Option 1: </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Author(s) hereby declare that NO generative AI technologies such as Large Language Models (</w:t>
      </w:r>
      <w:proofErr w:type="spellStart"/>
      <w:r w:rsidRPr="00903D6B">
        <w:rPr>
          <w:rFonts w:ascii="Calibri" w:eastAsia="Calibri" w:hAnsi="Calibri" w:cs="Times New Roman"/>
          <w:kern w:val="2"/>
          <w:highlight w:val="yellow"/>
        </w:rPr>
        <w:t>ChatGPT</w:t>
      </w:r>
      <w:proofErr w:type="spellEnd"/>
      <w:r w:rsidRPr="00903D6B">
        <w:rPr>
          <w:rFonts w:ascii="Calibri" w:eastAsia="Calibri" w:hAnsi="Calibri" w:cs="Times New Roman"/>
          <w:kern w:val="2"/>
          <w:highlight w:val="yellow"/>
        </w:rPr>
        <w:t xml:space="preserve">, COPILOT, etc.) and text-to-image generators have been used during the writing or editing of this manuscript. </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 xml:space="preserve">Option 2: </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Details of the AI usage are given below:</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1.</w:t>
      </w:r>
    </w:p>
    <w:p w:rsidR="00903D6B" w:rsidRPr="00903D6B" w:rsidRDefault="00903D6B" w:rsidP="00903D6B">
      <w:pPr>
        <w:rPr>
          <w:rFonts w:ascii="Calibri" w:eastAsia="Calibri" w:hAnsi="Calibri" w:cs="Times New Roman"/>
          <w:kern w:val="2"/>
          <w:highlight w:val="yellow"/>
        </w:rPr>
      </w:pPr>
      <w:r w:rsidRPr="00903D6B">
        <w:rPr>
          <w:rFonts w:ascii="Calibri" w:eastAsia="Calibri" w:hAnsi="Calibri" w:cs="Times New Roman"/>
          <w:kern w:val="2"/>
          <w:highlight w:val="yellow"/>
        </w:rPr>
        <w:t>2.</w:t>
      </w:r>
    </w:p>
    <w:p w:rsidR="00903D6B" w:rsidRPr="00903D6B" w:rsidRDefault="00903D6B" w:rsidP="00903D6B">
      <w:pPr>
        <w:rPr>
          <w:rFonts w:ascii="Calibri" w:eastAsia="Calibri" w:hAnsi="Calibri" w:cs="Times New Roman"/>
          <w:kern w:val="2"/>
        </w:rPr>
      </w:pPr>
      <w:r w:rsidRPr="00903D6B">
        <w:rPr>
          <w:rFonts w:ascii="Calibri" w:eastAsia="Calibri" w:hAnsi="Calibri" w:cs="Times New Roman"/>
          <w:kern w:val="2"/>
          <w:highlight w:val="yellow"/>
        </w:rPr>
        <w:t>3.</w:t>
      </w:r>
    </w:p>
    <w:p w:rsidR="00903D6B" w:rsidRPr="00956269" w:rsidRDefault="00903D6B" w:rsidP="006A4D33">
      <w:pPr>
        <w:spacing w:before="100" w:beforeAutospacing="1" w:after="100" w:afterAutospacing="1" w:line="480" w:lineRule="auto"/>
        <w:jc w:val="both"/>
        <w:rPr>
          <w:rFonts w:ascii="Times New Roman" w:eastAsia="Times New Roman" w:hAnsi="Times New Roman" w:cs="Times New Roman"/>
          <w:sz w:val="24"/>
          <w:szCs w:val="24"/>
        </w:rPr>
      </w:pPr>
    </w:p>
    <w:p w:rsidR="008D1686" w:rsidRDefault="008D1686" w:rsidP="008D1686">
      <w:pPr>
        <w:spacing w:before="100" w:beforeAutospacing="1" w:after="100" w:afterAutospacing="1" w:line="240" w:lineRule="auto"/>
        <w:outlineLvl w:val="1"/>
        <w:rPr>
          <w:rFonts w:ascii="Times New Roman" w:eastAsia="Times New Roman" w:hAnsi="Times New Roman" w:cs="Times New Roman"/>
          <w:b/>
          <w:bCs/>
          <w:sz w:val="24"/>
          <w:szCs w:val="24"/>
        </w:rPr>
      </w:pPr>
      <w:r w:rsidRPr="00956269">
        <w:rPr>
          <w:rFonts w:ascii="Times New Roman" w:eastAsia="Times New Roman" w:hAnsi="Times New Roman" w:cs="Times New Roman"/>
          <w:b/>
          <w:bCs/>
          <w:sz w:val="24"/>
          <w:szCs w:val="24"/>
        </w:rPr>
        <w:lastRenderedPageBreak/>
        <w:t>References</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Aboody</w:t>
      </w:r>
      <w:proofErr w:type="spellEnd"/>
      <w:r w:rsidRPr="001038BE">
        <w:rPr>
          <w:rFonts w:ascii="Times New Roman" w:eastAsia="Times New Roman" w:hAnsi="Times New Roman" w:cs="Times New Roman"/>
          <w:sz w:val="24"/>
          <w:szCs w:val="24"/>
        </w:rPr>
        <w:t xml:space="preserve">, D., &amp; Lev, B. (2000). Information asymmetry, R&amp;D, and insider gains. </w:t>
      </w:r>
      <w:r w:rsidRPr="001038BE">
        <w:rPr>
          <w:rFonts w:ascii="Times New Roman" w:eastAsia="Times New Roman" w:hAnsi="Times New Roman" w:cs="Times New Roman"/>
          <w:i/>
          <w:iCs/>
          <w:sz w:val="24"/>
          <w:szCs w:val="24"/>
        </w:rPr>
        <w:t>Journal of Finance, 55</w:t>
      </w:r>
      <w:r w:rsidRPr="001038BE">
        <w:rPr>
          <w:rFonts w:ascii="Times New Roman" w:eastAsia="Times New Roman" w:hAnsi="Times New Roman" w:cs="Times New Roman"/>
          <w:sz w:val="24"/>
          <w:szCs w:val="24"/>
        </w:rPr>
        <w:t>(6), 2747–2766. https://doi.org/10.1111/0022-1082.00305</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Allison, J. R., Lemley, M. A., &amp; Walker, J. (2010). Patent quality and settlement among repeat patent litigants. </w:t>
      </w:r>
      <w:r w:rsidRPr="001038BE">
        <w:rPr>
          <w:rFonts w:ascii="Times New Roman" w:eastAsia="Times New Roman" w:hAnsi="Times New Roman" w:cs="Times New Roman"/>
          <w:i/>
          <w:iCs/>
          <w:sz w:val="24"/>
          <w:szCs w:val="24"/>
        </w:rPr>
        <w:t>Georgetown Law Journal, 99</w:t>
      </w:r>
      <w:r w:rsidRPr="001038BE">
        <w:rPr>
          <w:rFonts w:ascii="Times New Roman" w:eastAsia="Times New Roman" w:hAnsi="Times New Roman" w:cs="Times New Roman"/>
          <w:sz w:val="24"/>
          <w:szCs w:val="24"/>
        </w:rPr>
        <w:t>(2), 677–712.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Barney, J. (1991). Firm resources and sustained competitive advantage. </w:t>
      </w:r>
      <w:r w:rsidRPr="001038BE">
        <w:rPr>
          <w:rFonts w:ascii="Times New Roman" w:eastAsia="Times New Roman" w:hAnsi="Times New Roman" w:cs="Times New Roman"/>
          <w:i/>
          <w:iCs/>
          <w:sz w:val="24"/>
          <w:szCs w:val="24"/>
        </w:rPr>
        <w:t>Journal of Management, 17</w:t>
      </w:r>
      <w:r w:rsidRPr="001038BE">
        <w:rPr>
          <w:rFonts w:ascii="Times New Roman" w:eastAsia="Times New Roman" w:hAnsi="Times New Roman" w:cs="Times New Roman"/>
          <w:sz w:val="24"/>
          <w:szCs w:val="24"/>
        </w:rPr>
        <w:t>(1), 99–120. https://doi.org/10.1177/014920639101700108</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Criscuolo</w:t>
      </w:r>
      <w:proofErr w:type="spellEnd"/>
      <w:r w:rsidRPr="001038BE">
        <w:rPr>
          <w:rFonts w:ascii="Times New Roman" w:eastAsia="Times New Roman" w:hAnsi="Times New Roman" w:cs="Times New Roman"/>
          <w:sz w:val="24"/>
          <w:szCs w:val="24"/>
        </w:rPr>
        <w:t>, P., &amp;</w:t>
      </w:r>
      <w:proofErr w:type="spellStart"/>
      <w:r w:rsidRPr="001038BE">
        <w:rPr>
          <w:rFonts w:ascii="Times New Roman" w:eastAsia="Times New Roman" w:hAnsi="Times New Roman" w:cs="Times New Roman"/>
          <w:sz w:val="24"/>
          <w:szCs w:val="24"/>
        </w:rPr>
        <w:t>Verspagen</w:t>
      </w:r>
      <w:proofErr w:type="spellEnd"/>
      <w:r w:rsidRPr="001038BE">
        <w:rPr>
          <w:rFonts w:ascii="Times New Roman" w:eastAsia="Times New Roman" w:hAnsi="Times New Roman" w:cs="Times New Roman"/>
          <w:sz w:val="24"/>
          <w:szCs w:val="24"/>
        </w:rPr>
        <w:t xml:space="preserve">, B. (2008). Does it matter where patent citations come from? Inventor vs. examiner citations in European patents. </w:t>
      </w:r>
      <w:r w:rsidRPr="001038BE">
        <w:rPr>
          <w:rFonts w:ascii="Times New Roman" w:eastAsia="Times New Roman" w:hAnsi="Times New Roman" w:cs="Times New Roman"/>
          <w:i/>
          <w:iCs/>
          <w:sz w:val="24"/>
          <w:szCs w:val="24"/>
        </w:rPr>
        <w:t>Research Policy, 37</w:t>
      </w:r>
      <w:r w:rsidRPr="001038BE">
        <w:rPr>
          <w:rFonts w:ascii="Times New Roman" w:eastAsia="Times New Roman" w:hAnsi="Times New Roman" w:cs="Times New Roman"/>
          <w:sz w:val="24"/>
          <w:szCs w:val="24"/>
        </w:rPr>
        <w:t>(10), 1892–1908. https://doi.org/10.1016/j.respol.2008.07.011</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Czarnitzki</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Hussinger</w:t>
      </w:r>
      <w:proofErr w:type="spellEnd"/>
      <w:r w:rsidRPr="001038BE">
        <w:rPr>
          <w:rFonts w:ascii="Times New Roman" w:eastAsia="Times New Roman" w:hAnsi="Times New Roman" w:cs="Times New Roman"/>
          <w:sz w:val="24"/>
          <w:szCs w:val="24"/>
        </w:rPr>
        <w:t>, K., &amp; Schneider, C. (2011). The nexus between science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based innovation and the market value of firms. </w:t>
      </w:r>
      <w:r w:rsidRPr="001038BE">
        <w:rPr>
          <w:rFonts w:ascii="Times New Roman" w:eastAsia="Times New Roman" w:hAnsi="Times New Roman" w:cs="Times New Roman"/>
          <w:i/>
          <w:iCs/>
          <w:sz w:val="24"/>
          <w:szCs w:val="24"/>
        </w:rPr>
        <w:t>Journal of Applied Econometrics, 26</w:t>
      </w:r>
      <w:r w:rsidRPr="001038BE">
        <w:rPr>
          <w:rFonts w:ascii="Times New Roman" w:eastAsia="Times New Roman" w:hAnsi="Times New Roman" w:cs="Times New Roman"/>
          <w:sz w:val="24"/>
          <w:szCs w:val="24"/>
        </w:rPr>
        <w:t>(4), 701–729. https://doi.org/10.1002/jae.1153</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Deloitte. (2021). </w:t>
      </w:r>
      <w:r w:rsidRPr="001038BE">
        <w:rPr>
          <w:rFonts w:ascii="Times New Roman" w:eastAsia="Times New Roman" w:hAnsi="Times New Roman" w:cs="Times New Roman"/>
          <w:i/>
          <w:iCs/>
          <w:sz w:val="24"/>
          <w:szCs w:val="24"/>
        </w:rPr>
        <w:t>Valuing intangible assets in the digital economy.</w:t>
      </w:r>
      <w:r w:rsidRPr="001038BE">
        <w:rPr>
          <w:rFonts w:ascii="Times New Roman" w:eastAsia="Times New Roman" w:hAnsi="Times New Roman" w:cs="Times New Roman"/>
          <w:sz w:val="24"/>
          <w:szCs w:val="24"/>
        </w:rPr>
        <w:t xml:space="preserve"> Deloitte Insights. https://www.deloitte.com</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EY. (2020). </w:t>
      </w:r>
      <w:r w:rsidRPr="001038BE">
        <w:rPr>
          <w:rFonts w:ascii="Times New Roman" w:eastAsia="Times New Roman" w:hAnsi="Times New Roman" w:cs="Times New Roman"/>
          <w:i/>
          <w:iCs/>
          <w:sz w:val="24"/>
          <w:szCs w:val="24"/>
        </w:rPr>
        <w:t>Oil and gas intangible asset valuation guide.</w:t>
      </w:r>
      <w:r w:rsidRPr="001038BE">
        <w:rPr>
          <w:rFonts w:ascii="Times New Roman" w:eastAsia="Times New Roman" w:hAnsi="Times New Roman" w:cs="Times New Roman"/>
          <w:sz w:val="24"/>
          <w:szCs w:val="24"/>
        </w:rPr>
        <w:t xml:space="preserve"> Ernst &amp; Young Global. https://www.ey.com</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Gambardella, A., </w:t>
      </w: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D., &amp;</w:t>
      </w:r>
      <w:proofErr w:type="spellStart"/>
      <w:r w:rsidRPr="001038BE">
        <w:rPr>
          <w:rFonts w:ascii="Times New Roman" w:eastAsia="Times New Roman" w:hAnsi="Times New Roman" w:cs="Times New Roman"/>
          <w:sz w:val="24"/>
          <w:szCs w:val="24"/>
        </w:rPr>
        <w:t>Verspagen</w:t>
      </w:r>
      <w:proofErr w:type="spellEnd"/>
      <w:r w:rsidRPr="001038BE">
        <w:rPr>
          <w:rFonts w:ascii="Times New Roman" w:eastAsia="Times New Roman" w:hAnsi="Times New Roman" w:cs="Times New Roman"/>
          <w:sz w:val="24"/>
          <w:szCs w:val="24"/>
        </w:rPr>
        <w:t xml:space="preserve">, B. (2008). The value of European patents. </w:t>
      </w:r>
      <w:r w:rsidRPr="001038BE">
        <w:rPr>
          <w:rFonts w:ascii="Times New Roman" w:eastAsia="Times New Roman" w:hAnsi="Times New Roman" w:cs="Times New Roman"/>
          <w:i/>
          <w:iCs/>
          <w:sz w:val="24"/>
          <w:szCs w:val="24"/>
        </w:rPr>
        <w:t>European Management Review, 5</w:t>
      </w:r>
      <w:r w:rsidRPr="001038BE">
        <w:rPr>
          <w:rFonts w:ascii="Times New Roman" w:eastAsia="Times New Roman" w:hAnsi="Times New Roman" w:cs="Times New Roman"/>
          <w:sz w:val="24"/>
          <w:szCs w:val="24"/>
        </w:rPr>
        <w:t>(2), 69–84. https://doi.org/10.1057/emr.2008.5</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Grant, R. M. (1996). Toward a knowledge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based theory of the firm. </w:t>
      </w:r>
      <w:r w:rsidRPr="001038BE">
        <w:rPr>
          <w:rFonts w:ascii="Times New Roman" w:eastAsia="Times New Roman" w:hAnsi="Times New Roman" w:cs="Times New Roman"/>
          <w:i/>
          <w:iCs/>
          <w:sz w:val="24"/>
          <w:szCs w:val="24"/>
        </w:rPr>
        <w:t>Strategic Management Journal, 17</w:t>
      </w:r>
      <w:r w:rsidRPr="001038BE">
        <w:rPr>
          <w:rFonts w:ascii="Times New Roman" w:eastAsia="Times New Roman" w:hAnsi="Times New Roman" w:cs="Times New Roman"/>
          <w:sz w:val="24"/>
          <w:szCs w:val="24"/>
        </w:rPr>
        <w:t>(S2), 109–122. https://doi.org/10.1002/smj.4250171110</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Hall, B. H., Jaffe, A., &amp; Trajtenberg, M. (2005). Market value and patent citations. </w:t>
      </w:r>
      <w:r w:rsidRPr="001038BE">
        <w:rPr>
          <w:rFonts w:ascii="Times New Roman" w:eastAsia="Times New Roman" w:hAnsi="Times New Roman" w:cs="Times New Roman"/>
          <w:i/>
          <w:iCs/>
          <w:sz w:val="24"/>
          <w:szCs w:val="24"/>
        </w:rPr>
        <w:t>RAND Journal of Economics, 36</w:t>
      </w:r>
      <w:r w:rsidRPr="001038BE">
        <w:rPr>
          <w:rFonts w:ascii="Times New Roman" w:eastAsia="Times New Roman" w:hAnsi="Times New Roman" w:cs="Times New Roman"/>
          <w:sz w:val="24"/>
          <w:szCs w:val="24"/>
        </w:rPr>
        <w:t>(1), 16–38. https://doi.org/10.2307/1593752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Narin</w:t>
      </w:r>
      <w:proofErr w:type="spellEnd"/>
      <w:r w:rsidRPr="001038BE">
        <w:rPr>
          <w:rFonts w:ascii="Times New Roman" w:eastAsia="Times New Roman" w:hAnsi="Times New Roman" w:cs="Times New Roman"/>
          <w:sz w:val="24"/>
          <w:szCs w:val="24"/>
        </w:rPr>
        <w:t>, F., Scherer, F. M., &amp;</w:t>
      </w:r>
      <w:proofErr w:type="spellStart"/>
      <w:r w:rsidRPr="001038BE">
        <w:rPr>
          <w:rFonts w:ascii="Times New Roman" w:eastAsia="Times New Roman" w:hAnsi="Times New Roman" w:cs="Times New Roman"/>
          <w:sz w:val="24"/>
          <w:szCs w:val="24"/>
        </w:rPr>
        <w:t>Vopel</w:t>
      </w:r>
      <w:proofErr w:type="spellEnd"/>
      <w:r w:rsidRPr="001038BE">
        <w:rPr>
          <w:rFonts w:ascii="Times New Roman" w:eastAsia="Times New Roman" w:hAnsi="Times New Roman" w:cs="Times New Roman"/>
          <w:sz w:val="24"/>
          <w:szCs w:val="24"/>
        </w:rPr>
        <w:t xml:space="preserve">, K. (2003). Citation frequency and the value of patented inventions. </w:t>
      </w:r>
      <w:r w:rsidRPr="001038BE">
        <w:rPr>
          <w:rFonts w:ascii="Times New Roman" w:eastAsia="Times New Roman" w:hAnsi="Times New Roman" w:cs="Times New Roman"/>
          <w:i/>
          <w:iCs/>
          <w:sz w:val="24"/>
          <w:szCs w:val="24"/>
        </w:rPr>
        <w:t>Review of Economics and Statistics, 85</w:t>
      </w:r>
      <w:r w:rsidRPr="001038BE">
        <w:rPr>
          <w:rFonts w:ascii="Times New Roman" w:eastAsia="Times New Roman" w:hAnsi="Times New Roman" w:cs="Times New Roman"/>
          <w:sz w:val="24"/>
          <w:szCs w:val="24"/>
        </w:rPr>
        <w:t>(3), 511–515. https://doi.org/10.1162/003465303322369812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Harhoff</w:t>
      </w:r>
      <w:proofErr w:type="spellEnd"/>
      <w:r w:rsidRPr="001038BE">
        <w:rPr>
          <w:rFonts w:ascii="Times New Roman" w:eastAsia="Times New Roman" w:hAnsi="Times New Roman" w:cs="Times New Roman"/>
          <w:sz w:val="24"/>
          <w:szCs w:val="24"/>
        </w:rPr>
        <w:t>, D., &amp;</w:t>
      </w:r>
      <w:proofErr w:type="spellStart"/>
      <w:r w:rsidRPr="001038BE">
        <w:rPr>
          <w:rFonts w:ascii="Times New Roman" w:eastAsia="Times New Roman" w:hAnsi="Times New Roman" w:cs="Times New Roman"/>
          <w:sz w:val="24"/>
          <w:szCs w:val="24"/>
        </w:rPr>
        <w:t>Reitzig</w:t>
      </w:r>
      <w:proofErr w:type="spellEnd"/>
      <w:r w:rsidRPr="001038BE">
        <w:rPr>
          <w:rFonts w:ascii="Times New Roman" w:eastAsia="Times New Roman" w:hAnsi="Times New Roman" w:cs="Times New Roman"/>
          <w:sz w:val="24"/>
          <w:szCs w:val="24"/>
        </w:rPr>
        <w:t xml:space="preserve">, M. (2004). Determinants of opposition against EPO patent grants—the case of biotechnology and pharmaceuticals. </w:t>
      </w:r>
      <w:r w:rsidRPr="001038BE">
        <w:rPr>
          <w:rFonts w:ascii="Times New Roman" w:eastAsia="Times New Roman" w:hAnsi="Times New Roman" w:cs="Times New Roman"/>
          <w:i/>
          <w:iCs/>
          <w:sz w:val="24"/>
          <w:szCs w:val="24"/>
        </w:rPr>
        <w:t>International Journal of Industrial Organization, 22</w:t>
      </w:r>
      <w:r w:rsidRPr="001038BE">
        <w:rPr>
          <w:rFonts w:ascii="Times New Roman" w:eastAsia="Times New Roman" w:hAnsi="Times New Roman" w:cs="Times New Roman"/>
          <w:sz w:val="24"/>
          <w:szCs w:val="24"/>
        </w:rPr>
        <w:t>(4), 443–480. https://doi.org/10.1016/j.ijindorg.2003.12.002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Kelley, B., </w:t>
      </w:r>
      <w:proofErr w:type="spellStart"/>
      <w:r w:rsidRPr="001038BE">
        <w:rPr>
          <w:rFonts w:ascii="Times New Roman" w:eastAsia="Times New Roman" w:hAnsi="Times New Roman" w:cs="Times New Roman"/>
          <w:sz w:val="24"/>
          <w:szCs w:val="24"/>
        </w:rPr>
        <w:t>Papanikolaou</w:t>
      </w:r>
      <w:proofErr w:type="spellEnd"/>
      <w:r w:rsidRPr="001038BE">
        <w:rPr>
          <w:rFonts w:ascii="Times New Roman" w:eastAsia="Times New Roman" w:hAnsi="Times New Roman" w:cs="Times New Roman"/>
          <w:sz w:val="24"/>
          <w:szCs w:val="24"/>
        </w:rPr>
        <w:t xml:space="preserve">, D., </w:t>
      </w:r>
      <w:proofErr w:type="spellStart"/>
      <w:r w:rsidRPr="001038BE">
        <w:rPr>
          <w:rFonts w:ascii="Times New Roman" w:eastAsia="Times New Roman" w:hAnsi="Times New Roman" w:cs="Times New Roman"/>
          <w:sz w:val="24"/>
          <w:szCs w:val="24"/>
        </w:rPr>
        <w:t>Seru</w:t>
      </w:r>
      <w:proofErr w:type="spellEnd"/>
      <w:r w:rsidRPr="001038BE">
        <w:rPr>
          <w:rFonts w:ascii="Times New Roman" w:eastAsia="Times New Roman" w:hAnsi="Times New Roman" w:cs="Times New Roman"/>
          <w:sz w:val="24"/>
          <w:szCs w:val="24"/>
        </w:rPr>
        <w:t>, A., &amp;</w:t>
      </w:r>
      <w:proofErr w:type="spellStart"/>
      <w:r w:rsidRPr="001038BE">
        <w:rPr>
          <w:rFonts w:ascii="Times New Roman" w:eastAsia="Times New Roman" w:hAnsi="Times New Roman" w:cs="Times New Roman"/>
          <w:sz w:val="24"/>
          <w:szCs w:val="24"/>
        </w:rPr>
        <w:t>Taddy</w:t>
      </w:r>
      <w:proofErr w:type="spellEnd"/>
      <w:r w:rsidRPr="001038BE">
        <w:rPr>
          <w:rFonts w:ascii="Times New Roman" w:eastAsia="Times New Roman" w:hAnsi="Times New Roman" w:cs="Times New Roman"/>
          <w:sz w:val="24"/>
          <w:szCs w:val="24"/>
        </w:rPr>
        <w:t xml:space="preserve">, M. (2020). Measuring technological innovation over the long run. </w:t>
      </w:r>
      <w:r w:rsidRPr="001038BE">
        <w:rPr>
          <w:rFonts w:ascii="Times New Roman" w:eastAsia="Times New Roman" w:hAnsi="Times New Roman" w:cs="Times New Roman"/>
          <w:i/>
          <w:iCs/>
          <w:sz w:val="24"/>
          <w:szCs w:val="24"/>
        </w:rPr>
        <w:t>American Economic Review: Insights, 2</w:t>
      </w:r>
      <w:r w:rsidRPr="001038BE">
        <w:rPr>
          <w:rFonts w:ascii="Times New Roman" w:eastAsia="Times New Roman" w:hAnsi="Times New Roman" w:cs="Times New Roman"/>
          <w:sz w:val="24"/>
          <w:szCs w:val="24"/>
        </w:rPr>
        <w:t>(2), 1–18. https://doi.org/10.1257/aeri.20180334</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lastRenderedPageBreak/>
        <w:t>Kogut</w:t>
      </w:r>
      <w:proofErr w:type="spellEnd"/>
      <w:r w:rsidRPr="001038BE">
        <w:rPr>
          <w:rFonts w:ascii="Times New Roman" w:eastAsia="Times New Roman" w:hAnsi="Times New Roman" w:cs="Times New Roman"/>
          <w:sz w:val="24"/>
          <w:szCs w:val="24"/>
        </w:rPr>
        <w:t>, B., &amp;</w:t>
      </w:r>
      <w:proofErr w:type="spellStart"/>
      <w:r w:rsidRPr="001038BE">
        <w:rPr>
          <w:rFonts w:ascii="Times New Roman" w:eastAsia="Times New Roman" w:hAnsi="Times New Roman" w:cs="Times New Roman"/>
          <w:sz w:val="24"/>
          <w:szCs w:val="24"/>
        </w:rPr>
        <w:t>Kulatilaka</w:t>
      </w:r>
      <w:proofErr w:type="spellEnd"/>
      <w:r w:rsidRPr="001038BE">
        <w:rPr>
          <w:rFonts w:ascii="Times New Roman" w:eastAsia="Times New Roman" w:hAnsi="Times New Roman" w:cs="Times New Roman"/>
          <w:sz w:val="24"/>
          <w:szCs w:val="24"/>
        </w:rPr>
        <w:t xml:space="preserve">, N. (2001). Capabilities as real options. </w:t>
      </w:r>
      <w:r w:rsidRPr="001038BE">
        <w:rPr>
          <w:rFonts w:ascii="Times New Roman" w:eastAsia="Times New Roman" w:hAnsi="Times New Roman" w:cs="Times New Roman"/>
          <w:i/>
          <w:iCs/>
          <w:sz w:val="24"/>
          <w:szCs w:val="24"/>
        </w:rPr>
        <w:t>Organization Science, 12</w:t>
      </w:r>
      <w:r w:rsidRPr="001038BE">
        <w:rPr>
          <w:rFonts w:ascii="Times New Roman" w:eastAsia="Times New Roman" w:hAnsi="Times New Roman" w:cs="Times New Roman"/>
          <w:sz w:val="24"/>
          <w:szCs w:val="24"/>
        </w:rPr>
        <w:t>(6), 744–758. https://doi.org/10.1287/orsc.12.6.744.10082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KPMG. (2020). </w:t>
      </w:r>
      <w:r w:rsidRPr="001038BE">
        <w:rPr>
          <w:rFonts w:ascii="Times New Roman" w:eastAsia="Times New Roman" w:hAnsi="Times New Roman" w:cs="Times New Roman"/>
          <w:i/>
          <w:iCs/>
          <w:sz w:val="24"/>
          <w:szCs w:val="24"/>
        </w:rPr>
        <w:t>Valuation of intangible assets and intellectual property: Practical guidance.</w:t>
      </w:r>
      <w:r w:rsidRPr="001038BE">
        <w:rPr>
          <w:rFonts w:ascii="Times New Roman" w:eastAsia="Times New Roman" w:hAnsi="Times New Roman" w:cs="Times New Roman"/>
          <w:sz w:val="24"/>
          <w:szCs w:val="24"/>
        </w:rPr>
        <w:t xml:space="preserve"> KPMG International. https://home.kpmg</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Lanjouw</w:t>
      </w:r>
      <w:proofErr w:type="spellEnd"/>
      <w:r w:rsidRPr="001038BE">
        <w:rPr>
          <w:rFonts w:ascii="Times New Roman" w:eastAsia="Times New Roman" w:hAnsi="Times New Roman" w:cs="Times New Roman"/>
          <w:sz w:val="24"/>
          <w:szCs w:val="24"/>
        </w:rPr>
        <w:t>, J. O., &amp;</w:t>
      </w:r>
      <w:proofErr w:type="spellStart"/>
      <w:r w:rsidRPr="001038BE">
        <w:rPr>
          <w:rFonts w:ascii="Times New Roman" w:eastAsia="Times New Roman" w:hAnsi="Times New Roman" w:cs="Times New Roman"/>
          <w:sz w:val="24"/>
          <w:szCs w:val="24"/>
        </w:rPr>
        <w:t>Schankerman</w:t>
      </w:r>
      <w:proofErr w:type="spellEnd"/>
      <w:r w:rsidRPr="001038BE">
        <w:rPr>
          <w:rFonts w:ascii="Times New Roman" w:eastAsia="Times New Roman" w:hAnsi="Times New Roman" w:cs="Times New Roman"/>
          <w:sz w:val="24"/>
          <w:szCs w:val="24"/>
        </w:rPr>
        <w:t xml:space="preserve">, M. (2004). Patent quality and research productivity: Measuring innovation with multiple indicators. </w:t>
      </w:r>
      <w:r w:rsidRPr="001038BE">
        <w:rPr>
          <w:rFonts w:ascii="Times New Roman" w:eastAsia="Times New Roman" w:hAnsi="Times New Roman" w:cs="Times New Roman"/>
          <w:i/>
          <w:iCs/>
          <w:sz w:val="24"/>
          <w:szCs w:val="24"/>
        </w:rPr>
        <w:t>Economic Journal, 114</w:t>
      </w:r>
      <w:r w:rsidRPr="001038BE">
        <w:rPr>
          <w:rFonts w:ascii="Times New Roman" w:eastAsia="Times New Roman" w:hAnsi="Times New Roman" w:cs="Times New Roman"/>
          <w:sz w:val="24"/>
          <w:szCs w:val="24"/>
        </w:rPr>
        <w:t>(495), 441–465. https://doi.org/10.1111/j.1468-0297.2004.00216.x</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Levi, M. (2001). </w:t>
      </w:r>
      <w:r w:rsidRPr="001038BE">
        <w:rPr>
          <w:rFonts w:ascii="Times New Roman" w:eastAsia="Times New Roman" w:hAnsi="Times New Roman" w:cs="Times New Roman"/>
          <w:i/>
          <w:iCs/>
          <w:sz w:val="24"/>
          <w:szCs w:val="24"/>
        </w:rPr>
        <w:t>Valuation of intangible assets in corporate finance.</w:t>
      </w:r>
      <w:r w:rsidRPr="001038BE">
        <w:rPr>
          <w:rFonts w:ascii="Times New Roman" w:eastAsia="Times New Roman" w:hAnsi="Times New Roman" w:cs="Times New Roman"/>
          <w:sz w:val="24"/>
          <w:szCs w:val="24"/>
        </w:rPr>
        <w:t xml:space="preserve"> Oxford University Press.</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(2017). </w:t>
      </w:r>
      <w:r w:rsidRPr="001038BE">
        <w:rPr>
          <w:rFonts w:ascii="Times New Roman" w:eastAsia="Times New Roman" w:hAnsi="Times New Roman" w:cs="Times New Roman"/>
          <w:i/>
          <w:iCs/>
          <w:sz w:val="24"/>
          <w:szCs w:val="24"/>
        </w:rPr>
        <w:t>Annual intangible asset market value study (2000–2017).</w:t>
      </w:r>
      <w:r w:rsidRPr="001038BE">
        <w:rPr>
          <w:rFonts w:ascii="Times New Roman" w:eastAsia="Times New Roman" w:hAnsi="Times New Roman" w:cs="Times New Roman"/>
          <w:sz w:val="24"/>
          <w:szCs w:val="24"/>
        </w:rPr>
        <w:t xml:space="preserve"> 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LLC. https://www.oceantomo.com</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(2020). </w:t>
      </w:r>
      <w:r w:rsidRPr="001038BE">
        <w:rPr>
          <w:rFonts w:ascii="Times New Roman" w:eastAsia="Times New Roman" w:hAnsi="Times New Roman" w:cs="Times New Roman"/>
          <w:i/>
          <w:iCs/>
          <w:sz w:val="24"/>
          <w:szCs w:val="24"/>
        </w:rPr>
        <w:t>Intangible asset market value study (2020 update).</w:t>
      </w:r>
      <w:r w:rsidRPr="001038BE">
        <w:rPr>
          <w:rFonts w:ascii="Times New Roman" w:eastAsia="Times New Roman" w:hAnsi="Times New Roman" w:cs="Times New Roman"/>
          <w:sz w:val="24"/>
          <w:szCs w:val="24"/>
        </w:rPr>
        <w:t xml:space="preserve"> Ocean </w:t>
      </w:r>
      <w:proofErr w:type="spellStart"/>
      <w:r w:rsidRPr="001038BE">
        <w:rPr>
          <w:rFonts w:ascii="Times New Roman" w:eastAsia="Times New Roman" w:hAnsi="Times New Roman" w:cs="Times New Roman"/>
          <w:sz w:val="24"/>
          <w:szCs w:val="24"/>
        </w:rPr>
        <w:t>Tomo</w:t>
      </w:r>
      <w:proofErr w:type="spellEnd"/>
      <w:r w:rsidRPr="001038BE">
        <w:rPr>
          <w:rFonts w:ascii="Times New Roman" w:eastAsia="Times New Roman" w:hAnsi="Times New Roman" w:cs="Times New Roman"/>
          <w:sz w:val="24"/>
          <w:szCs w:val="24"/>
        </w:rPr>
        <w:t xml:space="preserve"> LLC. https://www.oceantomo.com</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(2015). </w:t>
      </w:r>
      <w:r w:rsidRPr="001038BE">
        <w:rPr>
          <w:rFonts w:ascii="Times New Roman" w:eastAsia="Times New Roman" w:hAnsi="Times New Roman" w:cs="Times New Roman"/>
          <w:i/>
          <w:iCs/>
          <w:sz w:val="24"/>
          <w:szCs w:val="24"/>
        </w:rPr>
        <w:t>OECD transfer pricing guidelines for multinational enterprises and tax administrations.</w:t>
      </w:r>
      <w:r w:rsidRPr="001038BE">
        <w:rPr>
          <w:rFonts w:ascii="Times New Roman" w:eastAsia="Times New Roman" w:hAnsi="Times New Roman" w:cs="Times New Roman"/>
          <w:sz w:val="24"/>
          <w:szCs w:val="24"/>
        </w:rPr>
        <w:t xml:space="preserve"> OECD Publishing. https://doi.org/10.1787/tpg-2015-en</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(2017). </w:t>
      </w:r>
      <w:r w:rsidRPr="001038BE">
        <w:rPr>
          <w:rFonts w:ascii="Times New Roman" w:eastAsia="Times New Roman" w:hAnsi="Times New Roman" w:cs="Times New Roman"/>
          <w:i/>
          <w:iCs/>
          <w:sz w:val="24"/>
          <w:szCs w:val="24"/>
        </w:rPr>
        <w:t>Hard-to-value intangibles: Guidance on the application of the approach under BEPS Actions 8–10.</w:t>
      </w:r>
      <w:r w:rsidRPr="001038BE">
        <w:rPr>
          <w:rFonts w:ascii="Times New Roman" w:eastAsia="Times New Roman" w:hAnsi="Times New Roman" w:cs="Times New Roman"/>
          <w:sz w:val="24"/>
          <w:szCs w:val="24"/>
        </w:rPr>
        <w:t xml:space="preserve"> OECD Publishing.</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Organisation</w:t>
      </w:r>
      <w:proofErr w:type="spellEnd"/>
      <w:r w:rsidRPr="001038BE">
        <w:rPr>
          <w:rFonts w:ascii="Times New Roman" w:eastAsia="Times New Roman" w:hAnsi="Times New Roman" w:cs="Times New Roman"/>
          <w:sz w:val="24"/>
          <w:szCs w:val="24"/>
        </w:rPr>
        <w:t xml:space="preserve"> for Economic Co-operation and Development (OECD). (2020). </w:t>
      </w:r>
      <w:r w:rsidRPr="001038BE">
        <w:rPr>
          <w:rFonts w:ascii="Times New Roman" w:eastAsia="Times New Roman" w:hAnsi="Times New Roman" w:cs="Times New Roman"/>
          <w:i/>
          <w:iCs/>
          <w:sz w:val="24"/>
          <w:szCs w:val="24"/>
        </w:rPr>
        <w:t>Revised guidance on the application of the transactional profit split method.</w:t>
      </w:r>
      <w:r w:rsidRPr="001038BE">
        <w:rPr>
          <w:rFonts w:ascii="Times New Roman" w:eastAsia="Times New Roman" w:hAnsi="Times New Roman" w:cs="Times New Roman"/>
          <w:sz w:val="24"/>
          <w:szCs w:val="24"/>
        </w:rPr>
        <w:t xml:space="preserve"> OECD Publishing.</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Pakes</w:t>
      </w:r>
      <w:proofErr w:type="spellEnd"/>
      <w:r w:rsidRPr="001038BE">
        <w:rPr>
          <w:rFonts w:ascii="Times New Roman" w:eastAsia="Times New Roman" w:hAnsi="Times New Roman" w:cs="Times New Roman"/>
          <w:sz w:val="24"/>
          <w:szCs w:val="24"/>
        </w:rPr>
        <w:t xml:space="preserve">, A. (1986). Patents as options: Some estimates of the value of holding European patent stocks. </w:t>
      </w:r>
      <w:proofErr w:type="spellStart"/>
      <w:r w:rsidRPr="001038BE">
        <w:rPr>
          <w:rFonts w:ascii="Times New Roman" w:eastAsia="Times New Roman" w:hAnsi="Times New Roman" w:cs="Times New Roman"/>
          <w:i/>
          <w:iCs/>
          <w:sz w:val="24"/>
          <w:szCs w:val="24"/>
        </w:rPr>
        <w:t>Econometrica</w:t>
      </w:r>
      <w:proofErr w:type="spellEnd"/>
      <w:r w:rsidRPr="001038BE">
        <w:rPr>
          <w:rFonts w:ascii="Times New Roman" w:eastAsia="Times New Roman" w:hAnsi="Times New Roman" w:cs="Times New Roman"/>
          <w:i/>
          <w:iCs/>
          <w:sz w:val="24"/>
          <w:szCs w:val="24"/>
        </w:rPr>
        <w:t>, 54</w:t>
      </w:r>
      <w:r w:rsidRPr="001038BE">
        <w:rPr>
          <w:rFonts w:ascii="Times New Roman" w:eastAsia="Times New Roman" w:hAnsi="Times New Roman" w:cs="Times New Roman"/>
          <w:sz w:val="24"/>
          <w:szCs w:val="24"/>
        </w:rPr>
        <w:t>(4), 755–784. https://doi.org/10.2307/1912840</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PricewaterhouseCoopers (PwC). (2020). </w:t>
      </w:r>
      <w:r w:rsidRPr="001038BE">
        <w:rPr>
          <w:rFonts w:ascii="Times New Roman" w:eastAsia="Times New Roman" w:hAnsi="Times New Roman" w:cs="Times New Roman"/>
          <w:i/>
          <w:iCs/>
          <w:sz w:val="24"/>
          <w:szCs w:val="24"/>
        </w:rPr>
        <w:t>Transfer pricing and intangible valuation in a digital economy.</w:t>
      </w:r>
      <w:r w:rsidRPr="001038BE">
        <w:rPr>
          <w:rFonts w:ascii="Times New Roman" w:eastAsia="Times New Roman" w:hAnsi="Times New Roman" w:cs="Times New Roman"/>
          <w:sz w:val="24"/>
          <w:szCs w:val="24"/>
        </w:rPr>
        <w:t xml:space="preserve"> PwC Global. https://www.pwc.com</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Schankerman</w:t>
      </w:r>
      <w:proofErr w:type="spellEnd"/>
      <w:r w:rsidRPr="001038BE">
        <w:rPr>
          <w:rFonts w:ascii="Times New Roman" w:eastAsia="Times New Roman" w:hAnsi="Times New Roman" w:cs="Times New Roman"/>
          <w:sz w:val="24"/>
          <w:szCs w:val="24"/>
        </w:rPr>
        <w:t>, M., &amp;</w:t>
      </w:r>
      <w:proofErr w:type="spellStart"/>
      <w:r w:rsidRPr="001038BE">
        <w:rPr>
          <w:rFonts w:ascii="Times New Roman" w:eastAsia="Times New Roman" w:hAnsi="Times New Roman" w:cs="Times New Roman"/>
          <w:sz w:val="24"/>
          <w:szCs w:val="24"/>
        </w:rPr>
        <w:t>Pakes</w:t>
      </w:r>
      <w:proofErr w:type="spellEnd"/>
      <w:r w:rsidRPr="001038BE">
        <w:rPr>
          <w:rFonts w:ascii="Times New Roman" w:eastAsia="Times New Roman" w:hAnsi="Times New Roman" w:cs="Times New Roman"/>
          <w:sz w:val="24"/>
          <w:szCs w:val="24"/>
        </w:rPr>
        <w:t xml:space="preserve">, A. (1986). Estimates of the value of patent rights in European countries during the post-1950 period. </w:t>
      </w:r>
      <w:r w:rsidRPr="001038BE">
        <w:rPr>
          <w:rFonts w:ascii="Times New Roman" w:eastAsia="Times New Roman" w:hAnsi="Times New Roman" w:cs="Times New Roman"/>
          <w:i/>
          <w:iCs/>
          <w:sz w:val="24"/>
          <w:szCs w:val="24"/>
        </w:rPr>
        <w:t>Economic Journal, 96</w:t>
      </w:r>
      <w:r w:rsidRPr="001038BE">
        <w:rPr>
          <w:rFonts w:ascii="Times New Roman" w:eastAsia="Times New Roman" w:hAnsi="Times New Roman" w:cs="Times New Roman"/>
          <w:sz w:val="24"/>
          <w:szCs w:val="24"/>
        </w:rPr>
        <w:t>(384), 1052–1076. https://doi.org/10.2307/2233173</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Spence, M. (1973). Job market signaling. </w:t>
      </w:r>
      <w:r w:rsidRPr="001038BE">
        <w:rPr>
          <w:rFonts w:ascii="Times New Roman" w:eastAsia="Times New Roman" w:hAnsi="Times New Roman" w:cs="Times New Roman"/>
          <w:i/>
          <w:iCs/>
          <w:sz w:val="24"/>
          <w:szCs w:val="24"/>
        </w:rPr>
        <w:t>Quarterly Journal of Economics, 87</w:t>
      </w:r>
      <w:r w:rsidRPr="001038BE">
        <w:rPr>
          <w:rFonts w:ascii="Times New Roman" w:eastAsia="Times New Roman" w:hAnsi="Times New Roman" w:cs="Times New Roman"/>
          <w:sz w:val="24"/>
          <w:szCs w:val="24"/>
        </w:rPr>
        <w:t>(3), 355–374. https://doi.org/10.2307/1882010</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Teece, D. J. (2007). Explicating dynamic capabilities: The nature and </w:t>
      </w:r>
      <w:proofErr w:type="spellStart"/>
      <w:r w:rsidRPr="001038BE">
        <w:rPr>
          <w:rFonts w:ascii="Times New Roman" w:eastAsia="Times New Roman" w:hAnsi="Times New Roman" w:cs="Times New Roman"/>
          <w:sz w:val="24"/>
          <w:szCs w:val="24"/>
        </w:rPr>
        <w:t>microfoundations</w:t>
      </w:r>
      <w:proofErr w:type="spellEnd"/>
      <w:r w:rsidRPr="001038BE">
        <w:rPr>
          <w:rFonts w:ascii="Times New Roman" w:eastAsia="Times New Roman" w:hAnsi="Times New Roman" w:cs="Times New Roman"/>
          <w:sz w:val="24"/>
          <w:szCs w:val="24"/>
        </w:rPr>
        <w:t xml:space="preserve"> of (sustainable) enterprise performance. </w:t>
      </w:r>
      <w:r w:rsidRPr="001038BE">
        <w:rPr>
          <w:rFonts w:ascii="Times New Roman" w:eastAsia="Times New Roman" w:hAnsi="Times New Roman" w:cs="Times New Roman"/>
          <w:i/>
          <w:iCs/>
          <w:sz w:val="24"/>
          <w:szCs w:val="24"/>
        </w:rPr>
        <w:t>Strategic Management Journal, 28</w:t>
      </w:r>
      <w:r w:rsidRPr="001038BE">
        <w:rPr>
          <w:rFonts w:ascii="Times New Roman" w:eastAsia="Times New Roman" w:hAnsi="Times New Roman" w:cs="Times New Roman"/>
          <w:sz w:val="24"/>
          <w:szCs w:val="24"/>
        </w:rPr>
        <w:t>(13), 1319–1350. https://doi.org/10.1002/smj.640</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lastRenderedPageBreak/>
        <w:t>Teece, D. J., Pisano, G., &amp;</w:t>
      </w:r>
      <w:proofErr w:type="spellStart"/>
      <w:r w:rsidRPr="001038BE">
        <w:rPr>
          <w:rFonts w:ascii="Times New Roman" w:eastAsia="Times New Roman" w:hAnsi="Times New Roman" w:cs="Times New Roman"/>
          <w:sz w:val="24"/>
          <w:szCs w:val="24"/>
        </w:rPr>
        <w:t>Shuen</w:t>
      </w:r>
      <w:proofErr w:type="spellEnd"/>
      <w:r w:rsidRPr="001038BE">
        <w:rPr>
          <w:rFonts w:ascii="Times New Roman" w:eastAsia="Times New Roman" w:hAnsi="Times New Roman" w:cs="Times New Roman"/>
          <w:sz w:val="24"/>
          <w:szCs w:val="24"/>
        </w:rPr>
        <w:t xml:space="preserve">, A. (1997). Dynamic capabilities and strategic management. </w:t>
      </w:r>
      <w:r w:rsidRPr="001038BE">
        <w:rPr>
          <w:rFonts w:ascii="Times New Roman" w:eastAsia="Times New Roman" w:hAnsi="Times New Roman" w:cs="Times New Roman"/>
          <w:i/>
          <w:iCs/>
          <w:sz w:val="24"/>
          <w:szCs w:val="24"/>
        </w:rPr>
        <w:t>Strategic Management Journal, 18</w:t>
      </w:r>
      <w:r w:rsidRPr="001038BE">
        <w:rPr>
          <w:rFonts w:ascii="Times New Roman" w:eastAsia="Times New Roman" w:hAnsi="Times New Roman" w:cs="Times New Roman"/>
          <w:sz w:val="24"/>
          <w:szCs w:val="24"/>
        </w:rPr>
        <w:t>(7), 509–533. https://doi.org/10.1002/(SICI)1097-0266(199708)18:7&lt;</w:t>
      </w:r>
      <w:proofErr w:type="gramStart"/>
      <w:r w:rsidRPr="001038BE">
        <w:rPr>
          <w:rFonts w:ascii="Times New Roman" w:eastAsia="Times New Roman" w:hAnsi="Times New Roman" w:cs="Times New Roman"/>
          <w:sz w:val="24"/>
          <w:szCs w:val="24"/>
        </w:rPr>
        <w:t>509::</w:t>
      </w:r>
      <w:proofErr w:type="gramEnd"/>
      <w:r w:rsidRPr="001038BE">
        <w:rPr>
          <w:rFonts w:ascii="Times New Roman" w:eastAsia="Times New Roman" w:hAnsi="Times New Roman" w:cs="Times New Roman"/>
          <w:sz w:val="24"/>
          <w:szCs w:val="24"/>
        </w:rPr>
        <w:t>AID-SMJ882&gt;3.0.CO;2-Z</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 xml:space="preserve">Trajtenberg, M. (1990). A penny for your quotes: Patent citations and the value of innovations. </w:t>
      </w:r>
      <w:r w:rsidRPr="001038BE">
        <w:rPr>
          <w:rFonts w:ascii="Times New Roman" w:eastAsia="Times New Roman" w:hAnsi="Times New Roman" w:cs="Times New Roman"/>
          <w:i/>
          <w:iCs/>
          <w:sz w:val="24"/>
          <w:szCs w:val="24"/>
        </w:rPr>
        <w:t>RAND Journal of Economics, 21</w:t>
      </w:r>
      <w:r w:rsidRPr="001038BE">
        <w:rPr>
          <w:rFonts w:ascii="Times New Roman" w:eastAsia="Times New Roman" w:hAnsi="Times New Roman" w:cs="Times New Roman"/>
          <w:sz w:val="24"/>
          <w:szCs w:val="24"/>
        </w:rPr>
        <w:t>(1), 172–187. https://doi.org/10.2307/2555502</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038BE">
        <w:rPr>
          <w:rFonts w:ascii="Times New Roman" w:eastAsia="Times New Roman" w:hAnsi="Times New Roman" w:cs="Times New Roman"/>
          <w:sz w:val="24"/>
          <w:szCs w:val="24"/>
        </w:rPr>
        <w:t>Trigeorgis</w:t>
      </w:r>
      <w:proofErr w:type="spellEnd"/>
      <w:r w:rsidRPr="001038BE">
        <w:rPr>
          <w:rFonts w:ascii="Times New Roman" w:eastAsia="Times New Roman" w:hAnsi="Times New Roman" w:cs="Times New Roman"/>
          <w:sz w:val="24"/>
          <w:szCs w:val="24"/>
        </w:rPr>
        <w:t xml:space="preserve">, L. (1996). </w:t>
      </w:r>
      <w:r w:rsidRPr="001038BE">
        <w:rPr>
          <w:rFonts w:ascii="Times New Roman" w:eastAsia="Times New Roman" w:hAnsi="Times New Roman" w:cs="Times New Roman"/>
          <w:i/>
          <w:iCs/>
          <w:sz w:val="24"/>
          <w:szCs w:val="24"/>
        </w:rPr>
        <w:t>Real options: Managerial flexibility and strategy in resource allocation.</w:t>
      </w:r>
      <w:r w:rsidRPr="001038BE">
        <w:rPr>
          <w:rFonts w:ascii="Times New Roman" w:eastAsia="Times New Roman" w:hAnsi="Times New Roman" w:cs="Times New Roman"/>
          <w:sz w:val="24"/>
          <w:szCs w:val="24"/>
        </w:rPr>
        <w:t xml:space="preserve"> MIT Press.</w:t>
      </w:r>
    </w:p>
    <w:p w:rsidR="001038BE" w:rsidRPr="001038BE" w:rsidRDefault="001038BE" w:rsidP="001038BE">
      <w:pPr>
        <w:spacing w:before="100" w:beforeAutospacing="1" w:after="100" w:afterAutospacing="1" w:line="240" w:lineRule="auto"/>
        <w:jc w:val="both"/>
        <w:rPr>
          <w:rFonts w:ascii="Times New Roman" w:eastAsia="Times New Roman" w:hAnsi="Times New Roman" w:cs="Times New Roman"/>
          <w:sz w:val="24"/>
          <w:szCs w:val="24"/>
        </w:rPr>
      </w:pPr>
      <w:r w:rsidRPr="001038BE">
        <w:rPr>
          <w:rFonts w:ascii="Times New Roman" w:eastAsia="Times New Roman" w:hAnsi="Times New Roman" w:cs="Times New Roman"/>
          <w:sz w:val="24"/>
          <w:szCs w:val="24"/>
        </w:rPr>
        <w:t>Wyatt, A. (2008). What financial and non</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financial information on intangibles is value</w:t>
      </w:r>
      <w:r w:rsidRPr="001038BE">
        <w:rPr>
          <w:rFonts w:ascii="Cambria Math" w:eastAsia="Times New Roman" w:hAnsi="Cambria Math" w:cs="Cambria Math"/>
          <w:sz w:val="24"/>
          <w:szCs w:val="24"/>
        </w:rPr>
        <w:t>‐</w:t>
      </w:r>
      <w:r w:rsidRPr="001038BE">
        <w:rPr>
          <w:rFonts w:ascii="Times New Roman" w:eastAsia="Times New Roman" w:hAnsi="Times New Roman" w:cs="Times New Roman"/>
          <w:sz w:val="24"/>
          <w:szCs w:val="24"/>
        </w:rPr>
        <w:t xml:space="preserve">relevant? A review of the evidence. </w:t>
      </w:r>
      <w:r w:rsidRPr="001038BE">
        <w:rPr>
          <w:rFonts w:ascii="Times New Roman" w:eastAsia="Times New Roman" w:hAnsi="Times New Roman" w:cs="Times New Roman"/>
          <w:i/>
          <w:iCs/>
          <w:sz w:val="24"/>
          <w:szCs w:val="24"/>
        </w:rPr>
        <w:t>Accounting and Business Research, 38</w:t>
      </w:r>
      <w:r w:rsidRPr="001038BE">
        <w:rPr>
          <w:rFonts w:ascii="Times New Roman" w:eastAsia="Times New Roman" w:hAnsi="Times New Roman" w:cs="Times New Roman"/>
          <w:sz w:val="24"/>
          <w:szCs w:val="24"/>
        </w:rPr>
        <w:t>(3), 217–256. https://doi.org/10.1080/00014788.2008.9663336</w:t>
      </w:r>
    </w:p>
    <w:p w:rsidR="00C424B0" w:rsidRPr="00B102A0" w:rsidRDefault="00C424B0" w:rsidP="001038BE">
      <w:pPr>
        <w:spacing w:before="100" w:beforeAutospacing="1" w:after="100" w:afterAutospacing="1" w:line="240" w:lineRule="auto"/>
        <w:rPr>
          <w:rFonts w:ascii="Times New Roman" w:eastAsia="Times New Roman" w:hAnsi="Times New Roman" w:cs="Times New Roman"/>
          <w:sz w:val="24"/>
          <w:szCs w:val="24"/>
        </w:rPr>
      </w:pPr>
    </w:p>
    <w:sectPr w:rsidR="00C424B0" w:rsidRPr="00B102A0" w:rsidSect="00A475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AEF" w:rsidRDefault="007D1AEF" w:rsidP="00FF10AE">
      <w:pPr>
        <w:spacing w:after="0" w:line="240" w:lineRule="auto"/>
      </w:pPr>
      <w:r>
        <w:separator/>
      </w:r>
    </w:p>
  </w:endnote>
  <w:endnote w:type="continuationSeparator" w:id="0">
    <w:p w:rsidR="007D1AEF" w:rsidRDefault="007D1AEF" w:rsidP="00FF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6E8" w:rsidRDefault="00966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7859"/>
      <w:docPartObj>
        <w:docPartGallery w:val="Page Numbers (Bottom of Page)"/>
        <w:docPartUnique/>
      </w:docPartObj>
    </w:sdtPr>
    <w:sdtEndPr/>
    <w:sdtContent>
      <w:p w:rsidR="00CC222F" w:rsidRDefault="00901CEC">
        <w:pPr>
          <w:pStyle w:val="Footer"/>
          <w:jc w:val="center"/>
        </w:pPr>
        <w:r>
          <w:fldChar w:fldCharType="begin"/>
        </w:r>
        <w:r w:rsidR="00F63033">
          <w:instrText xml:space="preserve"> PAGE   \* MERGEFORMAT </w:instrText>
        </w:r>
        <w:r>
          <w:fldChar w:fldCharType="separate"/>
        </w:r>
        <w:r w:rsidR="00091A47">
          <w:rPr>
            <w:noProof/>
          </w:rPr>
          <w:t>1</w:t>
        </w:r>
        <w:r>
          <w:rPr>
            <w:noProof/>
          </w:rPr>
          <w:fldChar w:fldCharType="end"/>
        </w:r>
      </w:p>
    </w:sdtContent>
  </w:sdt>
  <w:p w:rsidR="00CC222F" w:rsidRDefault="00CC2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6E8" w:rsidRDefault="0096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AEF" w:rsidRDefault="007D1AEF" w:rsidP="00FF10AE">
      <w:pPr>
        <w:spacing w:after="0" w:line="240" w:lineRule="auto"/>
      </w:pPr>
      <w:r>
        <w:separator/>
      </w:r>
    </w:p>
  </w:footnote>
  <w:footnote w:type="continuationSeparator" w:id="0">
    <w:p w:rsidR="007D1AEF" w:rsidRDefault="007D1AEF" w:rsidP="00FF1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6E8" w:rsidRDefault="007D1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6E8" w:rsidRDefault="007D1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6E8" w:rsidRDefault="007D1A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2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82781"/>
    <w:multiLevelType w:val="multilevel"/>
    <w:tmpl w:val="758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B5800"/>
    <w:multiLevelType w:val="multilevel"/>
    <w:tmpl w:val="9E02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E0NLEA0hZmhibmFko6SsGpxcWZ+XkgBYa1AJd9LRMsAAAA"/>
  </w:docVars>
  <w:rsids>
    <w:rsidRoot w:val="008D1686"/>
    <w:rsid w:val="0001440F"/>
    <w:rsid w:val="00015256"/>
    <w:rsid w:val="00091A47"/>
    <w:rsid w:val="000B0814"/>
    <w:rsid w:val="000C1E10"/>
    <w:rsid w:val="000E7D82"/>
    <w:rsid w:val="001038BE"/>
    <w:rsid w:val="00136EC7"/>
    <w:rsid w:val="00190864"/>
    <w:rsid w:val="001B32B6"/>
    <w:rsid w:val="001C6111"/>
    <w:rsid w:val="00207AA1"/>
    <w:rsid w:val="0021294E"/>
    <w:rsid w:val="0022734D"/>
    <w:rsid w:val="002521BB"/>
    <w:rsid w:val="00252268"/>
    <w:rsid w:val="002B6622"/>
    <w:rsid w:val="002E48BA"/>
    <w:rsid w:val="002F541D"/>
    <w:rsid w:val="003443B0"/>
    <w:rsid w:val="00347730"/>
    <w:rsid w:val="0035070B"/>
    <w:rsid w:val="0036002D"/>
    <w:rsid w:val="003B1433"/>
    <w:rsid w:val="003D623C"/>
    <w:rsid w:val="004066FC"/>
    <w:rsid w:val="00426C3F"/>
    <w:rsid w:val="00431A4F"/>
    <w:rsid w:val="00447C47"/>
    <w:rsid w:val="00474D11"/>
    <w:rsid w:val="00476F10"/>
    <w:rsid w:val="004A125F"/>
    <w:rsid w:val="004C3272"/>
    <w:rsid w:val="004D3B6B"/>
    <w:rsid w:val="004F267C"/>
    <w:rsid w:val="004F6B02"/>
    <w:rsid w:val="00506C5A"/>
    <w:rsid w:val="0051038A"/>
    <w:rsid w:val="005164FC"/>
    <w:rsid w:val="00565965"/>
    <w:rsid w:val="005719FA"/>
    <w:rsid w:val="00580CBF"/>
    <w:rsid w:val="00583B9B"/>
    <w:rsid w:val="005A2EB7"/>
    <w:rsid w:val="005B2E78"/>
    <w:rsid w:val="005D57B4"/>
    <w:rsid w:val="00622DD7"/>
    <w:rsid w:val="00672B02"/>
    <w:rsid w:val="006746E3"/>
    <w:rsid w:val="006A4D33"/>
    <w:rsid w:val="006A541C"/>
    <w:rsid w:val="006B48F7"/>
    <w:rsid w:val="006F34BA"/>
    <w:rsid w:val="00700819"/>
    <w:rsid w:val="007852E4"/>
    <w:rsid w:val="007D1AEF"/>
    <w:rsid w:val="007D681F"/>
    <w:rsid w:val="007E09D6"/>
    <w:rsid w:val="008100DF"/>
    <w:rsid w:val="008115F0"/>
    <w:rsid w:val="00825A31"/>
    <w:rsid w:val="008C2A3D"/>
    <w:rsid w:val="008D1686"/>
    <w:rsid w:val="00901CEC"/>
    <w:rsid w:val="00903D6B"/>
    <w:rsid w:val="009051A6"/>
    <w:rsid w:val="00943100"/>
    <w:rsid w:val="009470E6"/>
    <w:rsid w:val="00956269"/>
    <w:rsid w:val="009666E8"/>
    <w:rsid w:val="009B77CD"/>
    <w:rsid w:val="00A271BB"/>
    <w:rsid w:val="00A475EF"/>
    <w:rsid w:val="00A7288F"/>
    <w:rsid w:val="00A878FB"/>
    <w:rsid w:val="00AA2C60"/>
    <w:rsid w:val="00AF66C7"/>
    <w:rsid w:val="00B102A0"/>
    <w:rsid w:val="00B33360"/>
    <w:rsid w:val="00B42426"/>
    <w:rsid w:val="00B6640E"/>
    <w:rsid w:val="00BB12B7"/>
    <w:rsid w:val="00BC2DEB"/>
    <w:rsid w:val="00BD52BC"/>
    <w:rsid w:val="00C10F29"/>
    <w:rsid w:val="00C11411"/>
    <w:rsid w:val="00C24793"/>
    <w:rsid w:val="00C424B0"/>
    <w:rsid w:val="00C64121"/>
    <w:rsid w:val="00CB6B74"/>
    <w:rsid w:val="00CC222F"/>
    <w:rsid w:val="00CC601C"/>
    <w:rsid w:val="00CF48D9"/>
    <w:rsid w:val="00D15458"/>
    <w:rsid w:val="00D332F2"/>
    <w:rsid w:val="00D40401"/>
    <w:rsid w:val="00D43CFC"/>
    <w:rsid w:val="00D44BCC"/>
    <w:rsid w:val="00D50C0E"/>
    <w:rsid w:val="00E04B57"/>
    <w:rsid w:val="00E15789"/>
    <w:rsid w:val="00E672C9"/>
    <w:rsid w:val="00F51E39"/>
    <w:rsid w:val="00F63033"/>
    <w:rsid w:val="00F76036"/>
    <w:rsid w:val="00FA7435"/>
    <w:rsid w:val="00FC68A6"/>
    <w:rsid w:val="00FF1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142935"/>
  <w15:docId w15:val="{093D5A64-5E9A-4E8C-AEFB-F3DF69A2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5EF"/>
  </w:style>
  <w:style w:type="paragraph" w:styleId="Heading1">
    <w:name w:val="heading 1"/>
    <w:basedOn w:val="Normal"/>
    <w:link w:val="Heading1Char"/>
    <w:uiPriority w:val="9"/>
    <w:qFormat/>
    <w:rsid w:val="008D1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1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16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16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168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D16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1686"/>
    <w:rPr>
      <w:b/>
      <w:bCs/>
    </w:rPr>
  </w:style>
  <w:style w:type="character" w:styleId="Emphasis">
    <w:name w:val="Emphasis"/>
    <w:basedOn w:val="DefaultParagraphFont"/>
    <w:uiPriority w:val="20"/>
    <w:qFormat/>
    <w:rsid w:val="008D1686"/>
    <w:rPr>
      <w:i/>
      <w:iCs/>
    </w:rPr>
  </w:style>
  <w:style w:type="table" w:styleId="TableGrid">
    <w:name w:val="Table Grid"/>
    <w:basedOn w:val="TableNormal"/>
    <w:uiPriority w:val="59"/>
    <w:rsid w:val="00785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852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
    <w:name w:val="Authors"/>
    <w:basedOn w:val="Normal"/>
    <w:next w:val="Normal"/>
    <w:rsid w:val="008100D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uiPriority w:val="99"/>
    <w:unhideWhenUsed/>
    <w:rsid w:val="008100DF"/>
    <w:rPr>
      <w:color w:val="0000FF"/>
      <w:u w:val="single"/>
    </w:rPr>
  </w:style>
  <w:style w:type="table" w:styleId="LightShading-Accent2">
    <w:name w:val="Light Shading Accent 2"/>
    <w:basedOn w:val="TableNormal"/>
    <w:uiPriority w:val="60"/>
    <w:rsid w:val="0095626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FF1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0AE"/>
  </w:style>
  <w:style w:type="paragraph" w:styleId="Footer">
    <w:name w:val="footer"/>
    <w:basedOn w:val="Normal"/>
    <w:link w:val="FooterChar"/>
    <w:uiPriority w:val="99"/>
    <w:unhideWhenUsed/>
    <w:rsid w:val="00FF1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0AE"/>
  </w:style>
  <w:style w:type="paragraph" w:styleId="ListParagraph">
    <w:name w:val="List Paragraph"/>
    <w:basedOn w:val="Normal"/>
    <w:uiPriority w:val="34"/>
    <w:qFormat/>
    <w:rsid w:val="00C424B0"/>
    <w:pPr>
      <w:ind w:left="720"/>
      <w:contextualSpacing/>
    </w:pPr>
  </w:style>
  <w:style w:type="character" w:customStyle="1" w:styleId="sentence-span">
    <w:name w:val="sentence-span"/>
    <w:basedOn w:val="DefaultParagraphFont"/>
    <w:rsid w:val="00A271BB"/>
  </w:style>
  <w:style w:type="character" w:customStyle="1" w:styleId="UnresolvedMention1">
    <w:name w:val="Unresolved Mention1"/>
    <w:basedOn w:val="DefaultParagraphFont"/>
    <w:uiPriority w:val="99"/>
    <w:semiHidden/>
    <w:unhideWhenUsed/>
    <w:rsid w:val="003D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413696">
      <w:bodyDiv w:val="1"/>
      <w:marLeft w:val="0"/>
      <w:marRight w:val="0"/>
      <w:marTop w:val="0"/>
      <w:marBottom w:val="0"/>
      <w:divBdr>
        <w:top w:val="none" w:sz="0" w:space="0" w:color="auto"/>
        <w:left w:val="none" w:sz="0" w:space="0" w:color="auto"/>
        <w:bottom w:val="none" w:sz="0" w:space="0" w:color="auto"/>
        <w:right w:val="none" w:sz="0" w:space="0" w:color="auto"/>
      </w:divBdr>
    </w:div>
    <w:div w:id="491725772">
      <w:bodyDiv w:val="1"/>
      <w:marLeft w:val="0"/>
      <w:marRight w:val="0"/>
      <w:marTop w:val="0"/>
      <w:marBottom w:val="0"/>
      <w:divBdr>
        <w:top w:val="none" w:sz="0" w:space="0" w:color="auto"/>
        <w:left w:val="none" w:sz="0" w:space="0" w:color="auto"/>
        <w:bottom w:val="none" w:sz="0" w:space="0" w:color="auto"/>
        <w:right w:val="none" w:sz="0" w:space="0" w:color="auto"/>
      </w:divBdr>
    </w:div>
    <w:div w:id="749277265">
      <w:bodyDiv w:val="1"/>
      <w:marLeft w:val="0"/>
      <w:marRight w:val="0"/>
      <w:marTop w:val="0"/>
      <w:marBottom w:val="0"/>
      <w:divBdr>
        <w:top w:val="none" w:sz="0" w:space="0" w:color="auto"/>
        <w:left w:val="none" w:sz="0" w:space="0" w:color="auto"/>
        <w:bottom w:val="none" w:sz="0" w:space="0" w:color="auto"/>
        <w:right w:val="none" w:sz="0" w:space="0" w:color="auto"/>
      </w:divBdr>
      <w:divsChild>
        <w:div w:id="1610624355">
          <w:marLeft w:val="0"/>
          <w:marRight w:val="0"/>
          <w:marTop w:val="0"/>
          <w:marBottom w:val="0"/>
          <w:divBdr>
            <w:top w:val="none" w:sz="0" w:space="0" w:color="auto"/>
            <w:left w:val="none" w:sz="0" w:space="0" w:color="auto"/>
            <w:bottom w:val="none" w:sz="0" w:space="0" w:color="auto"/>
            <w:right w:val="none" w:sz="0" w:space="0" w:color="auto"/>
          </w:divBdr>
          <w:divsChild>
            <w:div w:id="1147670745">
              <w:marLeft w:val="0"/>
              <w:marRight w:val="0"/>
              <w:marTop w:val="0"/>
              <w:marBottom w:val="0"/>
              <w:divBdr>
                <w:top w:val="none" w:sz="0" w:space="0" w:color="auto"/>
                <w:left w:val="none" w:sz="0" w:space="0" w:color="auto"/>
                <w:bottom w:val="none" w:sz="0" w:space="0" w:color="auto"/>
                <w:right w:val="none" w:sz="0" w:space="0" w:color="auto"/>
              </w:divBdr>
            </w:div>
          </w:divsChild>
        </w:div>
        <w:div w:id="1996227469">
          <w:marLeft w:val="0"/>
          <w:marRight w:val="0"/>
          <w:marTop w:val="0"/>
          <w:marBottom w:val="0"/>
          <w:divBdr>
            <w:top w:val="none" w:sz="0" w:space="0" w:color="auto"/>
            <w:left w:val="none" w:sz="0" w:space="0" w:color="auto"/>
            <w:bottom w:val="none" w:sz="0" w:space="0" w:color="auto"/>
            <w:right w:val="none" w:sz="0" w:space="0" w:color="auto"/>
          </w:divBdr>
          <w:divsChild>
            <w:div w:id="836458318">
              <w:marLeft w:val="0"/>
              <w:marRight w:val="0"/>
              <w:marTop w:val="0"/>
              <w:marBottom w:val="0"/>
              <w:divBdr>
                <w:top w:val="none" w:sz="0" w:space="0" w:color="auto"/>
                <w:left w:val="none" w:sz="0" w:space="0" w:color="auto"/>
                <w:bottom w:val="none" w:sz="0" w:space="0" w:color="auto"/>
                <w:right w:val="none" w:sz="0" w:space="0" w:color="auto"/>
              </w:divBdr>
            </w:div>
          </w:divsChild>
        </w:div>
        <w:div w:id="1910339703">
          <w:marLeft w:val="0"/>
          <w:marRight w:val="0"/>
          <w:marTop w:val="0"/>
          <w:marBottom w:val="0"/>
          <w:divBdr>
            <w:top w:val="none" w:sz="0" w:space="0" w:color="auto"/>
            <w:left w:val="none" w:sz="0" w:space="0" w:color="auto"/>
            <w:bottom w:val="none" w:sz="0" w:space="0" w:color="auto"/>
            <w:right w:val="none" w:sz="0" w:space="0" w:color="auto"/>
          </w:divBdr>
          <w:divsChild>
            <w:div w:id="941181289">
              <w:marLeft w:val="0"/>
              <w:marRight w:val="0"/>
              <w:marTop w:val="0"/>
              <w:marBottom w:val="0"/>
              <w:divBdr>
                <w:top w:val="none" w:sz="0" w:space="0" w:color="auto"/>
                <w:left w:val="none" w:sz="0" w:space="0" w:color="auto"/>
                <w:bottom w:val="none" w:sz="0" w:space="0" w:color="auto"/>
                <w:right w:val="none" w:sz="0" w:space="0" w:color="auto"/>
              </w:divBdr>
            </w:div>
          </w:divsChild>
        </w:div>
        <w:div w:id="720710418">
          <w:marLeft w:val="0"/>
          <w:marRight w:val="0"/>
          <w:marTop w:val="0"/>
          <w:marBottom w:val="0"/>
          <w:divBdr>
            <w:top w:val="none" w:sz="0" w:space="0" w:color="auto"/>
            <w:left w:val="none" w:sz="0" w:space="0" w:color="auto"/>
            <w:bottom w:val="none" w:sz="0" w:space="0" w:color="auto"/>
            <w:right w:val="none" w:sz="0" w:space="0" w:color="auto"/>
          </w:divBdr>
          <w:divsChild>
            <w:div w:id="307176842">
              <w:marLeft w:val="0"/>
              <w:marRight w:val="0"/>
              <w:marTop w:val="0"/>
              <w:marBottom w:val="0"/>
              <w:divBdr>
                <w:top w:val="none" w:sz="0" w:space="0" w:color="auto"/>
                <w:left w:val="none" w:sz="0" w:space="0" w:color="auto"/>
                <w:bottom w:val="none" w:sz="0" w:space="0" w:color="auto"/>
                <w:right w:val="none" w:sz="0" w:space="0" w:color="auto"/>
              </w:divBdr>
            </w:div>
          </w:divsChild>
        </w:div>
        <w:div w:id="799297970">
          <w:marLeft w:val="0"/>
          <w:marRight w:val="0"/>
          <w:marTop w:val="0"/>
          <w:marBottom w:val="0"/>
          <w:divBdr>
            <w:top w:val="none" w:sz="0" w:space="0" w:color="auto"/>
            <w:left w:val="none" w:sz="0" w:space="0" w:color="auto"/>
            <w:bottom w:val="none" w:sz="0" w:space="0" w:color="auto"/>
            <w:right w:val="none" w:sz="0" w:space="0" w:color="auto"/>
          </w:divBdr>
          <w:divsChild>
            <w:div w:id="19067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2740">
      <w:bodyDiv w:val="1"/>
      <w:marLeft w:val="0"/>
      <w:marRight w:val="0"/>
      <w:marTop w:val="0"/>
      <w:marBottom w:val="0"/>
      <w:divBdr>
        <w:top w:val="none" w:sz="0" w:space="0" w:color="auto"/>
        <w:left w:val="none" w:sz="0" w:space="0" w:color="auto"/>
        <w:bottom w:val="none" w:sz="0" w:space="0" w:color="auto"/>
        <w:right w:val="none" w:sz="0" w:space="0" w:color="auto"/>
      </w:divBdr>
    </w:div>
    <w:div w:id="13902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DBAD-536D-4892-998B-3DAFDB5C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3542</Words>
  <Characters>20192</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Hard to Value Intangibles Valuation Methods: Emerging and Future Trends</vt:lpstr>
      <vt:lpstr/>
      <vt:lpstr>    Abstract</vt:lpstr>
      <vt:lpstr>    1.0 Introduction</vt:lpstr>
      <vt:lpstr>        Table 1: Growth of Intangible Assets vs Tangible Assets in Global Corporate Valu</vt:lpstr>
      <vt:lpstr>2.0 Review of Underlying Theories</vt:lpstr>
      <vt:lpstr>The intangible assets have become a pertinent part of modern business despite ch</vt:lpstr>
      <vt:lpstr>Resource based view theory</vt:lpstr>
      <vt:lpstr>Barney (1991) describes a resource as an asset which is valuable and able to con</vt:lpstr>
      <vt:lpstr>Signaling theory and information asymmetry</vt:lpstr>
      <vt:lpstr>According to Aboody and Levy (2000), most intangibles are generated internally. </vt:lpstr>
      <vt:lpstr>Real options and options theory</vt:lpstr>
      <vt:lpstr>Due to uncertainties on expected future cashflows, some scholars have developed </vt:lpstr>
      <vt:lpstr>Accounting and Institutional Perspectives</vt:lpstr>
      <vt:lpstr>In terms of institutional perspective, accounting for intangibles is to be guide</vt:lpstr>
      <vt:lpstr>Knowledge based view and dynamic capabilities</vt:lpstr>
      <vt:lpstr>Knowledge based view emphasizes knowledge as the most significant resource. This</vt:lpstr>
      <vt:lpstr>    3.0 Traditional and Contemporary Valuation Approaches</vt:lpstr>
      <vt:lpstr>        Table 2: Worldwide Industrial Sectors Intangibles (2020)</vt:lpstr>
      <vt:lpstr>    </vt:lpstr>
      <vt:lpstr>    Methodological Applications and Limitations</vt:lpstr>
      <vt:lpstr>        Table 3: Common Valuation Methodologies for HTVIs and Reported Limitations</vt:lpstr>
      <vt:lpstr>    Case Studies: HTVIs in Global Tax Disputes</vt:lpstr>
      <vt:lpstr>        Table 4: Tax Disputes Involving HTVIs (Selected Cases)</vt:lpstr>
      <vt:lpstr>    5.0 Challenges and Limitations</vt:lpstr>
      <vt:lpstr>    Future Trends in HTVI Valuation</vt:lpstr>
      <vt:lpstr>    In future hybrid valuation methodologies may be used for intangibles valuation. </vt:lpstr>
      <vt:lpstr>    Conclusion</vt:lpstr>
      <vt:lpstr>    References</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GACHAU</dc:creator>
  <cp:lastModifiedBy>SDI PC New 16</cp:lastModifiedBy>
  <cp:revision>7</cp:revision>
  <dcterms:created xsi:type="dcterms:W3CDTF">2025-10-10T12:51:00Z</dcterms:created>
  <dcterms:modified xsi:type="dcterms:W3CDTF">2025-10-14T11:27:00Z</dcterms:modified>
</cp:coreProperties>
</file>