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772AD" w14:textId="77777777" w:rsidR="00695F0E" w:rsidRPr="00695F0E" w:rsidRDefault="00695F0E" w:rsidP="00695F0E">
      <w:pPr>
        <w:spacing w:after="0" w:line="240" w:lineRule="auto"/>
        <w:jc w:val="center"/>
        <w:rPr>
          <w:rFonts w:ascii="Times New Roman" w:eastAsia="Times New Roman" w:hAnsi="Times New Roman" w:cs="Times New Roman"/>
          <w:b/>
          <w:bCs/>
          <w:sz w:val="28"/>
          <w:szCs w:val="28"/>
          <w:lang w:bidi="bn-IN"/>
        </w:rPr>
      </w:pPr>
      <w:r w:rsidRPr="00695F0E">
        <w:rPr>
          <w:rFonts w:ascii="Times New Roman" w:eastAsia="Times New Roman" w:hAnsi="Times New Roman" w:cs="Times New Roman"/>
          <w:b/>
          <w:bCs/>
          <w:sz w:val="28"/>
          <w:szCs w:val="28"/>
          <w:lang w:bidi="bn-IN"/>
        </w:rPr>
        <w:t>Sustainable Fisheries Management Approach of Bangladesh: A Potential Blue Economy Path</w:t>
      </w:r>
    </w:p>
    <w:p w14:paraId="3AD89298" w14:textId="77777777" w:rsidR="00152062" w:rsidRDefault="00152062" w:rsidP="005112E0">
      <w:pPr>
        <w:spacing w:line="360" w:lineRule="auto"/>
        <w:rPr>
          <w:bCs/>
        </w:rPr>
      </w:pPr>
    </w:p>
    <w:p w14:paraId="466ED443" w14:textId="77777777" w:rsidR="00A63035" w:rsidRDefault="00A63035" w:rsidP="005112E0">
      <w:pPr>
        <w:spacing w:line="360" w:lineRule="auto"/>
        <w:rPr>
          <w:bCs/>
        </w:rPr>
      </w:pPr>
    </w:p>
    <w:p w14:paraId="217CB447" w14:textId="77777777" w:rsidR="007D5167" w:rsidRPr="006A2999" w:rsidRDefault="007D5167" w:rsidP="007D5167">
      <w:pPr>
        <w:spacing w:line="360" w:lineRule="auto"/>
        <w:jc w:val="both"/>
        <w:rPr>
          <w:rFonts w:ascii="Times New Roman" w:hAnsi="Times New Roman" w:cs="Times New Roman"/>
          <w:b/>
          <w:bCs/>
          <w:sz w:val="24"/>
          <w:szCs w:val="24"/>
        </w:rPr>
      </w:pPr>
      <w:r w:rsidRPr="006A2999">
        <w:rPr>
          <w:rFonts w:ascii="Times New Roman" w:hAnsi="Times New Roman" w:cs="Times New Roman"/>
          <w:b/>
          <w:bCs/>
          <w:sz w:val="24"/>
          <w:szCs w:val="24"/>
        </w:rPr>
        <w:t>Abstract:</w:t>
      </w:r>
    </w:p>
    <w:p w14:paraId="481CC037" w14:textId="77777777" w:rsidR="00695F0E" w:rsidRPr="008403D9" w:rsidRDefault="00695F0E" w:rsidP="00695F0E">
      <w:pPr>
        <w:spacing w:after="0" w:line="240" w:lineRule="auto"/>
        <w:jc w:val="both"/>
        <w:rPr>
          <w:rFonts w:ascii="Times New Roman" w:eastAsia="Times New Roman" w:hAnsi="Times New Roman" w:cs="Times New Roman"/>
          <w:color w:val="FF0000"/>
          <w:sz w:val="24"/>
          <w:szCs w:val="24"/>
          <w:lang w:bidi="bn-IN"/>
        </w:rPr>
      </w:pPr>
      <w:commentRangeStart w:id="0"/>
      <w:r w:rsidRPr="008403D9">
        <w:rPr>
          <w:rFonts w:ascii="Times New Roman" w:eastAsia="Times New Roman" w:hAnsi="Times New Roman" w:cs="Times New Roman"/>
          <w:color w:val="FF0000"/>
          <w:sz w:val="24"/>
          <w:szCs w:val="24"/>
          <w:lang w:bidi="bn-IN"/>
        </w:rPr>
        <w:t>Bangladesh is a land of rivers and numerous waterbody all over the country. Approximately 4.70 million hectares of water sources, including oxbow lakes, floodplains, and numerous canals, are a blessing for Bangladesh. However, issues with food safety in the fisheries industry are a result of urbanization, industrial expansion, high levels of exploitation, habitat degradation, and population growth. It was discovered that many legal shortcomings, a lack of clear strategies and well-considered guidelines, an inaccessible authoritarian framework, authority disputes and non-compliance, a lack of regular legislative review, and a lack of bylaws, rules, and guidelines all contributed to the implementation of regulations, laws, and policies frequently meeting with limited success. The government of Bangladesh has implemented a number of socially conscious initiatives to address the issues, including raising fish productivity, protecting fish stocks, and managing fisheries. However, the accumulation of microplastics in the fishing industry is currently one of the main issues from the standpoint of public health.Moreover, Bangladesh's sustainable fisheries management depends on a broad criminal code. As a result, via natural management, fishing privileges have been expanded and promoted well beyond fishing.</w:t>
      </w:r>
      <w:commentRangeEnd w:id="0"/>
      <w:r w:rsidR="008403D9" w:rsidRPr="008403D9">
        <w:rPr>
          <w:rStyle w:val="CommentReference"/>
          <w:color w:val="FF0000"/>
        </w:rPr>
        <w:commentReference w:id="0"/>
      </w:r>
    </w:p>
    <w:p w14:paraId="1206CF35" w14:textId="77777777" w:rsidR="00695F0E" w:rsidRDefault="00695F0E" w:rsidP="00D622E7">
      <w:pPr>
        <w:spacing w:line="360" w:lineRule="auto"/>
        <w:jc w:val="both"/>
        <w:rPr>
          <w:rFonts w:ascii="Times New Roman" w:hAnsi="Times New Roman" w:cs="Times New Roman"/>
          <w:b/>
          <w:bCs/>
          <w:sz w:val="24"/>
          <w:szCs w:val="24"/>
        </w:rPr>
      </w:pPr>
    </w:p>
    <w:p w14:paraId="2A47D3D6" w14:textId="77777777" w:rsidR="00D622E7" w:rsidRDefault="00D622E7" w:rsidP="00D622E7">
      <w:pPr>
        <w:spacing w:line="360" w:lineRule="auto"/>
        <w:jc w:val="both"/>
        <w:rPr>
          <w:rFonts w:ascii="Times New Roman" w:hAnsi="Times New Roman" w:cs="Times New Roman"/>
          <w:sz w:val="24"/>
          <w:szCs w:val="24"/>
        </w:rPr>
      </w:pPr>
      <w:r w:rsidRPr="006A2999">
        <w:rPr>
          <w:rFonts w:ascii="Times New Roman" w:hAnsi="Times New Roman" w:cs="Times New Roman"/>
          <w:b/>
          <w:bCs/>
          <w:sz w:val="24"/>
          <w:szCs w:val="24"/>
        </w:rPr>
        <w:t>Keywords:</w:t>
      </w:r>
      <w:r w:rsidRPr="00D622E7">
        <w:rPr>
          <w:rFonts w:ascii="Times New Roman" w:hAnsi="Times New Roman" w:cs="Times New Roman"/>
          <w:sz w:val="24"/>
          <w:szCs w:val="24"/>
        </w:rPr>
        <w:t xml:space="preserve"> Fisheries Resources, Management Practice, Fisher's livelihoods, Bangladesh</w:t>
      </w:r>
    </w:p>
    <w:p w14:paraId="20967955" w14:textId="77777777" w:rsidR="00333E23" w:rsidRPr="006C68A0" w:rsidRDefault="006C68A0" w:rsidP="00D622E7">
      <w:pPr>
        <w:spacing w:line="360" w:lineRule="auto"/>
        <w:jc w:val="both"/>
        <w:rPr>
          <w:rFonts w:ascii="Times New Roman" w:hAnsi="Times New Roman" w:cs="Times New Roman"/>
          <w:b/>
          <w:sz w:val="24"/>
          <w:szCs w:val="24"/>
        </w:rPr>
      </w:pPr>
      <w:r w:rsidRPr="006C68A0">
        <w:rPr>
          <w:rFonts w:ascii="Times New Roman" w:hAnsi="Times New Roman" w:cs="Times New Roman"/>
          <w:b/>
          <w:sz w:val="24"/>
          <w:szCs w:val="24"/>
        </w:rPr>
        <w:t>Introduction</w:t>
      </w:r>
    </w:p>
    <w:p w14:paraId="47B97B62" w14:textId="77777777" w:rsidR="00C32E43" w:rsidRDefault="00C953EC" w:rsidP="00D622E7">
      <w:pPr>
        <w:spacing w:line="360" w:lineRule="auto"/>
        <w:jc w:val="both"/>
        <w:rPr>
          <w:rFonts w:ascii="Times New Roman" w:hAnsi="Times New Roman" w:cs="Times New Roman"/>
          <w:sz w:val="24"/>
          <w:szCs w:val="24"/>
        </w:rPr>
      </w:pPr>
      <w:r>
        <w:rPr>
          <w:rFonts w:ascii="Times New Roman" w:hAnsi="Times New Roman" w:cs="Times New Roman"/>
          <w:sz w:val="24"/>
          <w:szCs w:val="24"/>
        </w:rPr>
        <w:t>F</w:t>
      </w:r>
      <w:r w:rsidR="00D622E7" w:rsidRPr="00D622E7">
        <w:rPr>
          <w:rFonts w:ascii="Times New Roman" w:hAnsi="Times New Roman" w:cs="Times New Roman"/>
          <w:sz w:val="24"/>
          <w:szCs w:val="24"/>
        </w:rPr>
        <w:t>ishing enterprise</w:t>
      </w:r>
      <w:r>
        <w:rPr>
          <w:rFonts w:ascii="Times New Roman" w:hAnsi="Times New Roman" w:cs="Times New Roman"/>
          <w:sz w:val="24"/>
          <w:szCs w:val="24"/>
        </w:rPr>
        <w:t xml:space="preserve"> of Bangladesh</w:t>
      </w:r>
      <w:r w:rsidR="00D622E7" w:rsidRPr="00D622E7">
        <w:rPr>
          <w:rFonts w:ascii="Times New Roman" w:hAnsi="Times New Roman" w:cs="Times New Roman"/>
          <w:sz w:val="24"/>
          <w:szCs w:val="24"/>
        </w:rPr>
        <w:t xml:space="preserve"> is one of the most effective and colourful sectors. It performs a key position in assuaging protein deficiency, imparting employment for unemployed teens, foreign-income exchange, and enhancing socio-fina</w:t>
      </w:r>
      <w:r>
        <w:rPr>
          <w:rFonts w:ascii="Times New Roman" w:hAnsi="Times New Roman" w:cs="Times New Roman"/>
          <w:sz w:val="24"/>
          <w:szCs w:val="24"/>
        </w:rPr>
        <w:t>ncial fame—the world debts for 5.00% of national GDP and 25</w:t>
      </w:r>
      <w:r w:rsidR="00D622E7" w:rsidRPr="00D622E7">
        <w:rPr>
          <w:rFonts w:ascii="Times New Roman" w:hAnsi="Times New Roman" w:cs="Times New Roman"/>
          <w:sz w:val="24"/>
          <w:szCs w:val="24"/>
        </w:rPr>
        <w:t>.81% of general agricultural GDP. Fish and fish products were the second o</w:t>
      </w:r>
      <w:r>
        <w:rPr>
          <w:rFonts w:ascii="Times New Roman" w:hAnsi="Times New Roman" w:cs="Times New Roman"/>
          <w:sz w:val="24"/>
          <w:szCs w:val="24"/>
        </w:rPr>
        <w:t>nes of the top exporters in 2020</w:t>
      </w:r>
      <w:r w:rsidR="00D622E7" w:rsidRPr="00D622E7">
        <w:rPr>
          <w:rFonts w:ascii="Times New Roman" w:hAnsi="Times New Roman" w:cs="Times New Roman"/>
          <w:sz w:val="24"/>
          <w:szCs w:val="24"/>
        </w:rPr>
        <w:t>–20</w:t>
      </w:r>
      <w:r>
        <w:rPr>
          <w:rFonts w:ascii="Times New Roman" w:hAnsi="Times New Roman" w:cs="Times New Roman"/>
          <w:sz w:val="24"/>
          <w:szCs w:val="24"/>
        </w:rPr>
        <w:t>21, accounting for 2.56</w:t>
      </w:r>
      <w:r w:rsidR="00D622E7" w:rsidRPr="00D622E7">
        <w:rPr>
          <w:rFonts w:ascii="Times New Roman" w:hAnsi="Times New Roman" w:cs="Times New Roman"/>
          <w:sz w:val="24"/>
          <w:szCs w:val="24"/>
        </w:rPr>
        <w:t>% of the total</w:t>
      </w:r>
      <w:r>
        <w:rPr>
          <w:rFonts w:ascii="Times New Roman" w:hAnsi="Times New Roman" w:cs="Times New Roman"/>
          <w:sz w:val="24"/>
          <w:szCs w:val="24"/>
        </w:rPr>
        <w:t xml:space="preserve"> earning rate ( Barua and Barua, 2021). </w:t>
      </w:r>
      <w:r w:rsidR="00D622E7" w:rsidRPr="00D622E7">
        <w:rPr>
          <w:rFonts w:ascii="Times New Roman" w:hAnsi="Times New Roman" w:cs="Times New Roman"/>
          <w:sz w:val="24"/>
          <w:szCs w:val="24"/>
        </w:rPr>
        <w:t>However, inland fisheries have declined substantially over time, declining and deteriorating wetlands. Bangladesh's fisheries are at risk from overfishing and environmental degradation caused by population oppression (Hoggarth et al., 1999; Siddique, 1990; Tasi and Ali, 1987). From 1983-to 1984, inland fishing and traditional fishing contributed 62.59 % and 15.53 % of total f</w:t>
      </w:r>
      <w:r>
        <w:rPr>
          <w:rFonts w:ascii="Times New Roman" w:hAnsi="Times New Roman" w:cs="Times New Roman"/>
          <w:sz w:val="24"/>
          <w:szCs w:val="24"/>
        </w:rPr>
        <w:t>ish production, whereas, in 2020-21</w:t>
      </w:r>
      <w:r w:rsidR="00D622E7" w:rsidRPr="00D622E7">
        <w:rPr>
          <w:rFonts w:ascii="Times New Roman" w:hAnsi="Times New Roman" w:cs="Times New Roman"/>
          <w:sz w:val="24"/>
          <w:szCs w:val="24"/>
        </w:rPr>
        <w:t>, in</w:t>
      </w:r>
      <w:r>
        <w:rPr>
          <w:rFonts w:ascii="Times New Roman" w:hAnsi="Times New Roman" w:cs="Times New Roman"/>
          <w:sz w:val="24"/>
          <w:szCs w:val="24"/>
        </w:rPr>
        <w:t>land fishing only contributed 30</w:t>
      </w:r>
      <w:r w:rsidR="00D622E7" w:rsidRPr="00D622E7">
        <w:rPr>
          <w:rFonts w:ascii="Times New Roman" w:hAnsi="Times New Roman" w:cs="Times New Roman"/>
          <w:sz w:val="24"/>
          <w:szCs w:val="24"/>
        </w:rPr>
        <w:t>.</w:t>
      </w:r>
      <w:r>
        <w:rPr>
          <w:rFonts w:ascii="Times New Roman" w:hAnsi="Times New Roman" w:cs="Times New Roman"/>
          <w:sz w:val="24"/>
          <w:szCs w:val="24"/>
        </w:rPr>
        <w:t>50</w:t>
      </w:r>
      <w:r w:rsidR="00D622E7" w:rsidRPr="00D622E7">
        <w:rPr>
          <w:rFonts w:ascii="Times New Roman" w:hAnsi="Times New Roman" w:cs="Times New Roman"/>
          <w:sz w:val="24"/>
          <w:szCs w:val="24"/>
        </w:rPr>
        <w:t xml:space="preserve"> % while tr</w:t>
      </w:r>
      <w:r>
        <w:rPr>
          <w:rFonts w:ascii="Times New Roman" w:hAnsi="Times New Roman" w:cs="Times New Roman"/>
          <w:sz w:val="24"/>
          <w:szCs w:val="24"/>
        </w:rPr>
        <w:t>aditional fishing contributed 60</w:t>
      </w:r>
      <w:r w:rsidR="00D622E7" w:rsidRPr="00D622E7">
        <w:rPr>
          <w:rFonts w:ascii="Times New Roman" w:hAnsi="Times New Roman" w:cs="Times New Roman"/>
          <w:sz w:val="24"/>
          <w:szCs w:val="24"/>
        </w:rPr>
        <w:t>.</w:t>
      </w:r>
      <w:r>
        <w:rPr>
          <w:rFonts w:ascii="Times New Roman" w:hAnsi="Times New Roman" w:cs="Times New Roman"/>
          <w:sz w:val="24"/>
          <w:szCs w:val="24"/>
        </w:rPr>
        <w:t>00 % of total fish production</w:t>
      </w:r>
      <w:r w:rsidR="00D622E7" w:rsidRPr="00D622E7">
        <w:rPr>
          <w:rFonts w:ascii="Times New Roman" w:hAnsi="Times New Roman" w:cs="Times New Roman"/>
          <w:sz w:val="24"/>
          <w:szCs w:val="24"/>
        </w:rPr>
        <w:t xml:space="preserve"> (B</w:t>
      </w:r>
      <w:r>
        <w:rPr>
          <w:rFonts w:ascii="Times New Roman" w:hAnsi="Times New Roman" w:cs="Times New Roman"/>
          <w:sz w:val="24"/>
          <w:szCs w:val="24"/>
        </w:rPr>
        <w:t>arua et al., 2021)</w:t>
      </w:r>
      <w:r w:rsidR="00D622E7" w:rsidRPr="00D622E7">
        <w:rPr>
          <w:rFonts w:ascii="Times New Roman" w:hAnsi="Times New Roman" w:cs="Times New Roman"/>
          <w:sz w:val="24"/>
          <w:szCs w:val="24"/>
        </w:rPr>
        <w:t xml:space="preserve">. The </w:t>
      </w:r>
      <w:r w:rsidR="00D622E7" w:rsidRPr="00D622E7">
        <w:rPr>
          <w:rFonts w:ascii="Times New Roman" w:hAnsi="Times New Roman" w:cs="Times New Roman"/>
          <w:sz w:val="24"/>
          <w:szCs w:val="24"/>
        </w:rPr>
        <w:lastRenderedPageBreak/>
        <w:t xml:space="preserve">authorities are currently focusing on progressing organic control in public water structures to diminish the loss of resources and increase production. There are both opportunities and challenges in Bangladesh's fishery. Land seizes, inland tradition, and maritime captivity make up the </w:t>
      </w:r>
      <w:r w:rsidR="00CC084F">
        <w:rPr>
          <w:rFonts w:ascii="Times New Roman" w:hAnsi="Times New Roman" w:cs="Times New Roman"/>
          <w:sz w:val="24"/>
          <w:szCs w:val="24"/>
        </w:rPr>
        <w:t>country’s</w:t>
      </w:r>
      <w:r w:rsidR="00D622E7" w:rsidRPr="00D622E7">
        <w:rPr>
          <w:rFonts w:ascii="Times New Roman" w:hAnsi="Times New Roman" w:cs="Times New Roman"/>
          <w:sz w:val="24"/>
          <w:szCs w:val="24"/>
        </w:rPr>
        <w:t xml:space="preserve"> fishing sources. The fishery of inland cover five categories of habitats include rive and estuary (853,863 ha), bells (1,14,161 ha), Kaptai Lake (68,800 ha), Sundarbans mangrove rainforests (1,77,000 ha), floods (2,695,529 ha); and an inland fishing endeavor such as six forms, principally lake (three,71,309 ha), regular waterfront (1,30,488), baor (5,488 ha), shrimp / prawn farm (2,75,274 ha ), pen culture (6.78 ha), and cage culture (7 ha) [</w:t>
      </w:r>
      <w:r w:rsidR="00CC084F">
        <w:rPr>
          <w:rFonts w:ascii="Times New Roman" w:hAnsi="Times New Roman" w:cs="Times New Roman"/>
          <w:sz w:val="24"/>
          <w:szCs w:val="24"/>
        </w:rPr>
        <w:t>MoFL, 2021)</w:t>
      </w:r>
    </w:p>
    <w:p w14:paraId="31BF3FB6" w14:textId="77777777" w:rsidR="00E37FF4" w:rsidRDefault="00E37FF4" w:rsidP="00CC084F">
      <w:pPr>
        <w:spacing w:after="0" w:line="360" w:lineRule="auto"/>
        <w:jc w:val="both"/>
        <w:rPr>
          <w:rFonts w:ascii="Times New Roman" w:hAnsi="Times New Roman" w:cs="Times New Roman"/>
          <w:sz w:val="24"/>
          <w:szCs w:val="24"/>
        </w:rPr>
      </w:pPr>
    </w:p>
    <w:p w14:paraId="10FBEC2E" w14:textId="77777777" w:rsidR="00D622E7" w:rsidRDefault="00D622E7" w:rsidP="00CC084F">
      <w:pPr>
        <w:spacing w:after="0" w:line="360" w:lineRule="auto"/>
        <w:jc w:val="both"/>
        <w:rPr>
          <w:rFonts w:ascii="Times New Roman" w:hAnsi="Times New Roman" w:cs="Times New Roman"/>
          <w:sz w:val="24"/>
          <w:szCs w:val="24"/>
        </w:rPr>
      </w:pPr>
      <w:r w:rsidRPr="00D622E7">
        <w:rPr>
          <w:rFonts w:ascii="Times New Roman" w:hAnsi="Times New Roman" w:cs="Times New Roman"/>
          <w:sz w:val="24"/>
          <w:szCs w:val="24"/>
        </w:rPr>
        <w:t>The Bangladesh fishery has several plans to develop the national financial sector. The dramatic decline in fish production over the past two decades may also be due to the current right of access and more that should contribute to overfishing, deforestation and restriction of fish migration during the breeding season (Mustafa GM et .al 2017). Due to their tremendous gains and measurements, climate change conflicts include significant activity and loss of habitat, habitat exchange, disease outbreaks, barriers to migration routes and similarities, and declining fishery production. (John E Thornes et al. 2001; BCCSAP'09 among technological assist from IUCN Bangladesh workplace, 2009). Nonetheless, take a good look at the reputation of the fishery and modern management practices and get a chance to get closer to the fishery management arrangements that can gather more efficiency, equity and sustainability. Small-scale aquatic animals also became popular and contributed to modern fish production. With time some years ago, hatching and kindergarten developed very rapidly, which helped trade in marine animals.</w:t>
      </w:r>
    </w:p>
    <w:p w14:paraId="2BA069FE" w14:textId="77777777" w:rsidR="00E753AD" w:rsidRPr="00D622E7" w:rsidRDefault="00E753AD" w:rsidP="00CC084F">
      <w:pPr>
        <w:spacing w:after="0" w:line="360" w:lineRule="auto"/>
        <w:jc w:val="both"/>
        <w:rPr>
          <w:rFonts w:ascii="Times New Roman" w:hAnsi="Times New Roman" w:cs="Times New Roman"/>
          <w:sz w:val="24"/>
          <w:szCs w:val="24"/>
        </w:rPr>
      </w:pPr>
      <w:r w:rsidRPr="00E753AD">
        <w:rPr>
          <w:rFonts w:ascii="Times New Roman" w:hAnsi="Times New Roman" w:cs="Times New Roman"/>
          <w:sz w:val="24"/>
          <w:szCs w:val="24"/>
        </w:rPr>
        <w:t xml:space="preserve">In Bangladesh, marine pollution is classified into two types: land-based and sea-based. Land-based sources of pollution include municipal garbage, industrial waste (including ship-breaking activities), and agricultural waste. Land-based marine pollution (LMP) has emerged as the leading source of pollution and contamination in the marine environment. According to the National Program of Action (NPA) for Land-based Marine Pollution Control in Bangladesh, all main rivers in Bangladesh discharge billions of tons of sediments into the BOB. The increasing rate of LMP degrades marine and coastal resources, undermining the country's economic development and impeding achievement of the 'Blue Economy or Blue Growth,' including the </w:t>
      </w:r>
      <w:r>
        <w:rPr>
          <w:rFonts w:ascii="Times New Roman" w:hAnsi="Times New Roman" w:cs="Times New Roman"/>
          <w:sz w:val="24"/>
          <w:szCs w:val="24"/>
        </w:rPr>
        <w:t xml:space="preserve">Sustainable </w:t>
      </w:r>
      <w:r w:rsidRPr="00E753AD">
        <w:rPr>
          <w:rFonts w:ascii="Times New Roman" w:hAnsi="Times New Roman" w:cs="Times New Roman"/>
          <w:sz w:val="24"/>
          <w:szCs w:val="24"/>
        </w:rPr>
        <w:t>Development Goals (MDG).</w:t>
      </w:r>
    </w:p>
    <w:p w14:paraId="440F017A" w14:textId="77777777" w:rsidR="00D622E7" w:rsidRPr="00D622E7" w:rsidRDefault="00D622E7" w:rsidP="00CC084F">
      <w:pPr>
        <w:spacing w:after="0" w:line="360" w:lineRule="auto"/>
        <w:jc w:val="both"/>
        <w:rPr>
          <w:rFonts w:ascii="Times New Roman" w:hAnsi="Times New Roman" w:cs="Times New Roman"/>
          <w:sz w:val="24"/>
          <w:szCs w:val="24"/>
        </w:rPr>
      </w:pPr>
      <w:r w:rsidRPr="00D622E7">
        <w:rPr>
          <w:rFonts w:ascii="Times New Roman" w:hAnsi="Times New Roman" w:cs="Times New Roman"/>
          <w:sz w:val="24"/>
          <w:szCs w:val="24"/>
        </w:rPr>
        <w:lastRenderedPageBreak/>
        <w:t>Bangladesh has excellent maritime resources. Despite the abundance of seawater, the most straightforward, about 15.31 per cent of modern fish production in America is supplied with the aid of the sea. More than 255 industrial corporation ports and nearly sixty-eight vessels operate within a closed coastal water belt, with the constant use of a flawed system to make several species diverse. Both commercial and manual vessels are considered one fishery of many species (DOF; MOFL; countrywide Fish Week 2014). Compendium (in Bengali), Licensing and monitoring are inadequate due to limited institutional capacity. The leading role of authorities in the protection, conservation and biodiversity of marine and coastal ecosystems. As a result, Saint Martin Island and the Sundarbans, a well-known mangrove forest, have been declared a nature reserve and guarding fishery in addition to the biodiversity of the area. The government has also announced a marine reserve (covering an area of ​​698 square kilometres) and a marine protected area (MPA) (surrounding 1738 sq. Km) in the Bay of Bengal to defend and preserve plant reproduction grounds and marine animals. (Yearbook of Fisheries information of Bangladesh 2018).</w:t>
      </w:r>
    </w:p>
    <w:p w14:paraId="0EB874BF" w14:textId="77777777" w:rsidR="00D622E7" w:rsidRPr="00D622E7" w:rsidRDefault="00D622E7" w:rsidP="00D622E7">
      <w:pPr>
        <w:spacing w:after="0" w:line="240" w:lineRule="auto"/>
        <w:jc w:val="both"/>
        <w:rPr>
          <w:rFonts w:ascii="Times New Roman" w:hAnsi="Times New Roman" w:cs="Times New Roman"/>
          <w:sz w:val="24"/>
          <w:szCs w:val="24"/>
        </w:rPr>
      </w:pPr>
    </w:p>
    <w:p w14:paraId="55638B8B" w14:textId="77777777" w:rsidR="00D622E7" w:rsidRPr="00D622E7" w:rsidRDefault="00D622E7" w:rsidP="00CC084F">
      <w:pPr>
        <w:spacing w:after="0" w:line="360" w:lineRule="auto"/>
        <w:jc w:val="both"/>
        <w:rPr>
          <w:rFonts w:ascii="Times New Roman" w:hAnsi="Times New Roman" w:cs="Times New Roman"/>
          <w:sz w:val="24"/>
          <w:szCs w:val="24"/>
        </w:rPr>
      </w:pPr>
      <w:r w:rsidRPr="00D622E7">
        <w:rPr>
          <w:rFonts w:ascii="Times New Roman" w:hAnsi="Times New Roman" w:cs="Times New Roman"/>
          <w:sz w:val="24"/>
          <w:szCs w:val="24"/>
        </w:rPr>
        <w:t>There's a collection of jobs'(every financially based on the 12 months of July 1-June 30) which is expected to be the last day of 2023. The goal is to increase the contribution of coastal and marine fishers to the economic sector, poverty reduction, and environmental equity. The proposed PDO (proposed development goal) is the primary function of decorating the management of coastal and marine and marine fisheries (world economic centre; Bangladesh Sustainable Coastal and Marine Fisheries (P161568) and the production of marine living resources in intensive coastal fisheries in a secure manner, by defined standards and targeted families with access to subsistence sports that are encouraged to be exported from fishing grounds. (DoF).</w:t>
      </w:r>
    </w:p>
    <w:p w14:paraId="66ED2A43" w14:textId="77777777" w:rsidR="00D622E7" w:rsidRPr="00D622E7" w:rsidRDefault="00D622E7" w:rsidP="00D622E7">
      <w:pPr>
        <w:spacing w:after="0" w:line="240" w:lineRule="auto"/>
        <w:jc w:val="both"/>
        <w:rPr>
          <w:rFonts w:ascii="Times New Roman" w:hAnsi="Times New Roman" w:cs="Times New Roman"/>
          <w:sz w:val="24"/>
          <w:szCs w:val="24"/>
        </w:rPr>
      </w:pPr>
    </w:p>
    <w:p w14:paraId="337B3338" w14:textId="77777777" w:rsidR="00216017" w:rsidRDefault="00216017" w:rsidP="00D622E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1868ADE2" w14:textId="77777777" w:rsidR="00216017" w:rsidRPr="008403D9" w:rsidRDefault="00216017" w:rsidP="00D622E7">
      <w:pPr>
        <w:spacing w:after="0" w:line="240" w:lineRule="auto"/>
        <w:jc w:val="both"/>
        <w:rPr>
          <w:rFonts w:ascii="Times New Roman" w:hAnsi="Times New Roman" w:cs="Times New Roman"/>
          <w:color w:val="FF0000"/>
          <w:sz w:val="24"/>
          <w:szCs w:val="24"/>
        </w:rPr>
      </w:pPr>
      <w:commentRangeStart w:id="1"/>
      <w:r w:rsidRPr="008403D9">
        <w:rPr>
          <w:rFonts w:ascii="Times New Roman" w:hAnsi="Times New Roman" w:cs="Times New Roman"/>
          <w:color w:val="FF0000"/>
          <w:sz w:val="24"/>
          <w:szCs w:val="24"/>
        </w:rPr>
        <w:t xml:space="preserve">Data on fish contamination and ingestion were gathered through the use of the following search engines: Google Search, Science Direct, Research Gate online, Scopus, PubMed, SpringerLink, Web of Science, Wiley Online Library, and Springer Nature database. </w:t>
      </w:r>
      <w:r w:rsidR="00351FB5" w:rsidRPr="008403D9">
        <w:rPr>
          <w:rFonts w:ascii="Times New Roman" w:hAnsi="Times New Roman" w:cs="Times New Roman"/>
          <w:color w:val="FF0000"/>
          <w:sz w:val="24"/>
          <w:szCs w:val="24"/>
        </w:rPr>
        <w:t xml:space="preserve">There are different research work has been found in Bangladesh perspsectives about coastal and marine pollution, microplastic problem on fisheries resources in different media. </w:t>
      </w:r>
    </w:p>
    <w:p w14:paraId="02E375F8" w14:textId="77777777" w:rsidR="007E359D" w:rsidRPr="008403D9" w:rsidRDefault="007E359D" w:rsidP="00D622E7">
      <w:pPr>
        <w:spacing w:after="0" w:line="240" w:lineRule="auto"/>
        <w:jc w:val="both"/>
        <w:rPr>
          <w:rFonts w:ascii="Times New Roman" w:hAnsi="Times New Roman" w:cs="Times New Roman"/>
          <w:color w:val="FF0000"/>
          <w:sz w:val="24"/>
          <w:szCs w:val="24"/>
        </w:rPr>
      </w:pPr>
    </w:p>
    <w:p w14:paraId="6B316DC7" w14:textId="77777777" w:rsidR="007E359D" w:rsidRPr="008403D9" w:rsidRDefault="007E359D" w:rsidP="00D622E7">
      <w:pPr>
        <w:spacing w:after="0" w:line="240" w:lineRule="auto"/>
        <w:jc w:val="both"/>
        <w:rPr>
          <w:rFonts w:ascii="Times New Roman" w:hAnsi="Times New Roman" w:cs="Times New Roman"/>
          <w:color w:val="FF0000"/>
          <w:sz w:val="24"/>
          <w:szCs w:val="24"/>
        </w:rPr>
      </w:pPr>
      <w:r w:rsidRPr="008403D9">
        <w:rPr>
          <w:rFonts w:ascii="Times New Roman" w:hAnsi="Times New Roman" w:cs="Times New Roman"/>
          <w:color w:val="FF0000"/>
          <w:sz w:val="24"/>
          <w:szCs w:val="24"/>
        </w:rPr>
        <w:t xml:space="preserve">The article is based on a survey of information gathered from articles, books, and government papers published in various formats. Policy papers, commissioned reports, negotiating documents, and regional and international instruments on marine pollution are analyzed in addition to reviewing secondary literature, primary legal sources, statutory instruments and </w:t>
      </w:r>
      <w:r w:rsidRPr="008403D9">
        <w:rPr>
          <w:rFonts w:ascii="Times New Roman" w:hAnsi="Times New Roman" w:cs="Times New Roman"/>
          <w:color w:val="FF0000"/>
          <w:sz w:val="24"/>
          <w:szCs w:val="24"/>
        </w:rPr>
        <w:lastRenderedPageBreak/>
        <w:t>subsidiary legislation, and marine environmental pollution in Bangladesh. Secondary data was also gathered through newspaper reports, which provided vital information regarding various environmental protection activities undertaken by the Bangladesh government and numerous NGOs. For this study, existing policy papers were evaluated, with occasional revisions considered, focused on land pollution, marine environmental protection, ecosystem conservation, and marine resource development, among other things.</w:t>
      </w:r>
      <w:commentRangeEnd w:id="1"/>
      <w:r w:rsidR="008403D9">
        <w:rPr>
          <w:rStyle w:val="CommentReference"/>
        </w:rPr>
        <w:commentReference w:id="1"/>
      </w:r>
    </w:p>
    <w:p w14:paraId="624D5E75" w14:textId="77777777" w:rsidR="007E359D" w:rsidRDefault="007E359D" w:rsidP="00D622E7">
      <w:pPr>
        <w:spacing w:after="0" w:line="240" w:lineRule="auto"/>
        <w:jc w:val="both"/>
        <w:rPr>
          <w:rFonts w:ascii="Times New Roman" w:hAnsi="Times New Roman" w:cs="Times New Roman"/>
          <w:sz w:val="24"/>
          <w:szCs w:val="24"/>
        </w:rPr>
      </w:pPr>
    </w:p>
    <w:p w14:paraId="4D2DA650" w14:textId="77777777" w:rsidR="007E359D" w:rsidRPr="007E359D" w:rsidRDefault="007E359D" w:rsidP="00D622E7">
      <w:pPr>
        <w:spacing w:after="0" w:line="240" w:lineRule="auto"/>
        <w:jc w:val="both"/>
        <w:rPr>
          <w:rFonts w:ascii="Times New Roman" w:hAnsi="Times New Roman" w:cs="Times New Roman"/>
          <w:b/>
          <w:bCs/>
          <w:sz w:val="24"/>
          <w:szCs w:val="24"/>
        </w:rPr>
      </w:pPr>
      <w:r w:rsidRPr="007E359D">
        <w:rPr>
          <w:rFonts w:ascii="Times New Roman" w:hAnsi="Times New Roman" w:cs="Times New Roman"/>
          <w:b/>
          <w:bCs/>
          <w:sz w:val="24"/>
          <w:szCs w:val="24"/>
        </w:rPr>
        <w:t>Result and Discussions</w:t>
      </w:r>
    </w:p>
    <w:p w14:paraId="6B5235E8" w14:textId="77777777" w:rsidR="007E359D" w:rsidRDefault="007E359D" w:rsidP="00D622E7">
      <w:pPr>
        <w:spacing w:after="0" w:line="240" w:lineRule="auto"/>
        <w:jc w:val="both"/>
        <w:rPr>
          <w:rFonts w:ascii="Times New Roman" w:hAnsi="Times New Roman" w:cs="Times New Roman"/>
          <w:sz w:val="24"/>
          <w:szCs w:val="24"/>
        </w:rPr>
      </w:pPr>
    </w:p>
    <w:p w14:paraId="4BEB063C" w14:textId="77777777" w:rsidR="009B45F8" w:rsidRDefault="009B45F8" w:rsidP="00D622E7">
      <w:pPr>
        <w:spacing w:after="0" w:line="240" w:lineRule="auto"/>
        <w:jc w:val="both"/>
        <w:rPr>
          <w:rFonts w:ascii="Times New Roman" w:hAnsi="Times New Roman" w:cs="Times New Roman"/>
          <w:sz w:val="24"/>
          <w:szCs w:val="24"/>
        </w:rPr>
      </w:pPr>
      <w:r w:rsidRPr="009B45F8">
        <w:rPr>
          <w:rFonts w:ascii="Times New Roman" w:hAnsi="Times New Roman" w:cs="Times New Roman"/>
          <w:sz w:val="24"/>
          <w:szCs w:val="24"/>
        </w:rPr>
        <w:t xml:space="preserve">The Bay of Bengal, with its extensive coastal communities and diversity, is currently being subjected to many anthropogenic pollution (Hossain et al. 2018). Heavy metal pollution in our coastal water bodies has come from the rapid rise of industry, posing a serious environmental risk to invertebrates, fish, and humans (Uluturhan and Kucuksezgin 2007). Coastal areas are the most polluted areas on the planet. Bangladesh's shoreline is known as a zone of many </w:t>
      </w:r>
      <w:bookmarkStart w:id="2" w:name="_GoBack"/>
      <w:bookmarkEnd w:id="2"/>
      <w:r w:rsidRPr="009B45F8">
        <w:rPr>
          <w:rFonts w:ascii="Times New Roman" w:hAnsi="Times New Roman" w:cs="Times New Roman"/>
          <w:sz w:val="24"/>
          <w:szCs w:val="24"/>
        </w:rPr>
        <w:t>vulnerabilities due to various forms of pollution that have rendered the entire coastline and marine environment vulnerable (Islam et al. 2015). Ships, industrial effluents, sewerage discharge, untreated effluents, e-waste, and open dumping are the main sources of marine and coastal pollution.</w:t>
      </w:r>
    </w:p>
    <w:p w14:paraId="125AF681" w14:textId="77777777" w:rsidR="00E46B58" w:rsidRDefault="00E46B58" w:rsidP="00D622E7">
      <w:pPr>
        <w:spacing w:after="0" w:line="240" w:lineRule="auto"/>
        <w:jc w:val="both"/>
        <w:rPr>
          <w:rFonts w:ascii="Times New Roman" w:hAnsi="Times New Roman" w:cs="Times New Roman"/>
          <w:sz w:val="24"/>
          <w:szCs w:val="24"/>
        </w:rPr>
      </w:pPr>
    </w:p>
    <w:p w14:paraId="46AF6A03" w14:textId="77777777" w:rsidR="00410502" w:rsidRDefault="008A6171" w:rsidP="00ED0142">
      <w:pPr>
        <w:pStyle w:val="Heading1"/>
        <w:spacing w:before="0" w:after="0"/>
        <w:jc w:val="both"/>
        <w:rPr>
          <w:rFonts w:eastAsiaTheme="minorHAnsi"/>
          <w:b w:val="0"/>
          <w:bCs w:val="0"/>
          <w:kern w:val="0"/>
          <w:sz w:val="24"/>
          <w:szCs w:val="24"/>
          <w:lang w:bidi="ar-SA"/>
        </w:rPr>
      </w:pPr>
      <w:r>
        <w:rPr>
          <w:rFonts w:eastAsiaTheme="minorHAnsi"/>
          <w:b w:val="0"/>
          <w:bCs w:val="0"/>
          <w:kern w:val="0"/>
          <w:sz w:val="24"/>
          <w:szCs w:val="24"/>
          <w:lang w:bidi="ar-SA"/>
        </w:rPr>
        <w:t xml:space="preserve">Sarker et al., (2020) </w:t>
      </w:r>
      <w:r w:rsidRPr="008A6171">
        <w:rPr>
          <w:rFonts w:eastAsiaTheme="minorHAnsi"/>
          <w:b w:val="0"/>
          <w:bCs w:val="0"/>
          <w:kern w:val="0"/>
          <w:sz w:val="24"/>
          <w:szCs w:val="24"/>
          <w:lang w:bidi="ar-SA"/>
        </w:rPr>
        <w:t>determine</w:t>
      </w:r>
      <w:r>
        <w:rPr>
          <w:rFonts w:eastAsiaTheme="minorHAnsi"/>
          <w:b w:val="0"/>
          <w:bCs w:val="0"/>
          <w:kern w:val="0"/>
          <w:sz w:val="24"/>
          <w:szCs w:val="24"/>
          <w:lang w:bidi="ar-SA"/>
        </w:rPr>
        <w:t>d</w:t>
      </w:r>
      <w:r w:rsidRPr="008A6171">
        <w:rPr>
          <w:rFonts w:eastAsiaTheme="minorHAnsi"/>
          <w:b w:val="0"/>
          <w:bCs w:val="0"/>
          <w:kern w:val="0"/>
          <w:sz w:val="24"/>
          <w:szCs w:val="24"/>
          <w:lang w:bidi="ar-SA"/>
        </w:rPr>
        <w:t xml:space="preserve"> the concentrations of selected heavy metals such as chromium (Cr), copper (Cu), zinc (Zn), arsenic (As), lead (Pb), and cadmium (Cd) as well as the potential human health risk from 9 popular freshwater native edible fishes (</w:t>
      </w:r>
      <w:r w:rsidRPr="008A6171">
        <w:rPr>
          <w:rFonts w:eastAsiaTheme="minorHAnsi"/>
          <w:b w:val="0"/>
          <w:bCs w:val="0"/>
          <w:i/>
          <w:iCs/>
          <w:kern w:val="0"/>
          <w:sz w:val="24"/>
          <w:szCs w:val="24"/>
          <w:lang w:bidi="ar-SA"/>
        </w:rPr>
        <w:t>Anabas testudineus, Channa punctatus, Gagata youssoufi, Heteropneustes fossilis, Mastacembelus armatus, Mystus tengara, Ompok pabda, Puntius ticto and Xenentodon cancila</w:t>
      </w:r>
      <w:r w:rsidRPr="008A6171">
        <w:rPr>
          <w:rFonts w:eastAsiaTheme="minorHAnsi"/>
          <w:b w:val="0"/>
          <w:bCs w:val="0"/>
          <w:kern w:val="0"/>
          <w:sz w:val="24"/>
          <w:szCs w:val="24"/>
          <w:lang w:bidi="ar-SA"/>
        </w:rPr>
        <w:t xml:space="preserve">) </w:t>
      </w:r>
      <w:r>
        <w:rPr>
          <w:rFonts w:eastAsiaTheme="minorHAnsi"/>
          <w:b w:val="0"/>
          <w:bCs w:val="0"/>
          <w:kern w:val="0"/>
          <w:sz w:val="24"/>
          <w:szCs w:val="24"/>
          <w:lang w:bidi="ar-SA"/>
        </w:rPr>
        <w:t xml:space="preserve">from Meghna river of Bangladesh during 2019. They found that all heavy elements were higher </w:t>
      </w:r>
      <w:r w:rsidRPr="008A6171">
        <w:rPr>
          <w:rFonts w:eastAsiaTheme="minorHAnsi"/>
          <w:b w:val="0"/>
          <w:bCs w:val="0"/>
          <w:kern w:val="0"/>
          <w:sz w:val="24"/>
          <w:szCs w:val="24"/>
          <w:lang w:bidi="ar-SA"/>
        </w:rPr>
        <w:t xml:space="preserve">than the permitted levels set by national and international organizations. </w:t>
      </w:r>
      <w:r w:rsidR="00410502" w:rsidRPr="00410502">
        <w:rPr>
          <w:rFonts w:eastAsiaTheme="minorHAnsi"/>
          <w:b w:val="0"/>
          <w:bCs w:val="0"/>
          <w:kern w:val="0"/>
          <w:sz w:val="24"/>
          <w:szCs w:val="24"/>
          <w:lang w:bidi="ar-SA"/>
        </w:rPr>
        <w:t>However, continuous exposure to heavy metals may pose a risk to people of all ages, particularly children.</w:t>
      </w:r>
    </w:p>
    <w:p w14:paraId="5282C2F1" w14:textId="77777777" w:rsidR="008A6171" w:rsidRDefault="008A6171" w:rsidP="00ED0142">
      <w:pPr>
        <w:pStyle w:val="Heading1"/>
        <w:spacing w:before="0" w:after="0"/>
        <w:jc w:val="both"/>
        <w:rPr>
          <w:rFonts w:eastAsiaTheme="minorHAnsi"/>
          <w:b w:val="0"/>
          <w:bCs w:val="0"/>
          <w:kern w:val="0"/>
          <w:sz w:val="24"/>
          <w:szCs w:val="24"/>
          <w:lang w:bidi="ar-SA"/>
        </w:rPr>
      </w:pPr>
      <w:r w:rsidRPr="008A6171">
        <w:rPr>
          <w:rFonts w:eastAsiaTheme="minorHAnsi"/>
          <w:b w:val="0"/>
          <w:bCs w:val="0"/>
          <w:kern w:val="0"/>
          <w:sz w:val="24"/>
          <w:szCs w:val="24"/>
          <w:lang w:bidi="ar-SA"/>
        </w:rPr>
        <w:t xml:space="preserve">Furthermore, the measured heavy metals concentration in the </w:t>
      </w:r>
      <w:r w:rsidR="00410502">
        <w:rPr>
          <w:rFonts w:eastAsiaTheme="minorHAnsi"/>
          <w:b w:val="0"/>
          <w:bCs w:val="0"/>
          <w:kern w:val="0"/>
          <w:sz w:val="24"/>
          <w:szCs w:val="24"/>
          <w:lang w:bidi="ar-SA"/>
        </w:rPr>
        <w:t>selected locations was lower t</w:t>
      </w:r>
      <w:r w:rsidRPr="008A6171">
        <w:rPr>
          <w:rFonts w:eastAsiaTheme="minorHAnsi"/>
          <w:b w:val="0"/>
          <w:bCs w:val="0"/>
          <w:kern w:val="0"/>
          <w:sz w:val="24"/>
          <w:szCs w:val="24"/>
          <w:lang w:bidi="ar-SA"/>
        </w:rPr>
        <w:t>n in the river's neighboring urban and estuary areas. To interpret the effect of health risk, estimated daily intake, target hazard quotient (THQ), and carcinogenic risk (CR) were calculated. The THQ values were 1, indicating that neither children nor adults were at risk. Furthermore, the CR value for youngsters was 104, whilst the quantity for adults was usually less than 104, indicating that there were no significant negative effects on the consumers. However, continuous exposure to heavy metals may pose a risk to people of all ages, particularly children.</w:t>
      </w:r>
    </w:p>
    <w:p w14:paraId="7D7D66D2" w14:textId="77777777" w:rsidR="00E46B58" w:rsidRDefault="00E46B58" w:rsidP="00ED0142">
      <w:pPr>
        <w:pStyle w:val="Heading1"/>
        <w:spacing w:before="0" w:after="0"/>
        <w:jc w:val="both"/>
        <w:rPr>
          <w:rFonts w:eastAsiaTheme="minorHAnsi"/>
          <w:b w:val="0"/>
          <w:bCs w:val="0"/>
          <w:kern w:val="0"/>
          <w:sz w:val="24"/>
          <w:szCs w:val="24"/>
          <w:lang w:bidi="ar-SA"/>
        </w:rPr>
      </w:pPr>
      <w:r w:rsidRPr="00E46B58">
        <w:rPr>
          <w:rFonts w:eastAsiaTheme="minorHAnsi"/>
          <w:b w:val="0"/>
          <w:bCs w:val="0"/>
          <w:kern w:val="0"/>
          <w:sz w:val="24"/>
          <w:szCs w:val="24"/>
          <w:lang w:bidi="ar-SA"/>
        </w:rPr>
        <w:t xml:space="preserve">Rahman et al., (2019) assess the heavy metals contamination in selected 5 marine fish species from Kutubdia channel of Nothern Bay of Bengal and their impact on human health. </w:t>
      </w:r>
      <w:r>
        <w:rPr>
          <w:rFonts w:eastAsiaTheme="minorHAnsi"/>
          <w:b w:val="0"/>
          <w:bCs w:val="0"/>
          <w:kern w:val="0"/>
          <w:sz w:val="24"/>
          <w:szCs w:val="24"/>
          <w:lang w:bidi="ar-SA"/>
        </w:rPr>
        <w:t xml:space="preserve">The selected 5 commercially marine fish species </w:t>
      </w:r>
      <w:r w:rsidRPr="00E46B58">
        <w:rPr>
          <w:rFonts w:eastAsiaTheme="minorHAnsi"/>
          <w:b w:val="0"/>
          <w:bCs w:val="0"/>
          <w:kern w:val="0"/>
          <w:sz w:val="24"/>
          <w:szCs w:val="24"/>
          <w:lang w:bidi="ar-SA"/>
        </w:rPr>
        <w:t xml:space="preserve"> (</w:t>
      </w:r>
      <w:r w:rsidRPr="00410502">
        <w:rPr>
          <w:rFonts w:eastAsiaTheme="minorHAnsi"/>
          <w:b w:val="0"/>
          <w:bCs w:val="0"/>
          <w:i/>
          <w:iCs/>
          <w:kern w:val="0"/>
          <w:sz w:val="24"/>
          <w:szCs w:val="24"/>
          <w:lang w:bidi="ar-SA"/>
        </w:rPr>
        <w:t>Sillaginopsis panijus, Trichiurus lepturus, Harpadon nehereus, Rita rita, and Coilia dussumieri</w:t>
      </w:r>
      <w:r w:rsidRPr="00E46B58">
        <w:rPr>
          <w:rFonts w:eastAsiaTheme="minorHAnsi"/>
          <w:b w:val="0"/>
          <w:bCs w:val="0"/>
          <w:kern w:val="0"/>
          <w:sz w:val="24"/>
          <w:szCs w:val="24"/>
          <w:lang w:bidi="ar-SA"/>
        </w:rPr>
        <w:t>)</w:t>
      </w:r>
      <w:r>
        <w:rPr>
          <w:rFonts w:eastAsiaTheme="minorHAnsi"/>
          <w:b w:val="0"/>
          <w:bCs w:val="0"/>
          <w:kern w:val="0"/>
          <w:sz w:val="24"/>
          <w:szCs w:val="24"/>
          <w:lang w:bidi="ar-SA"/>
        </w:rPr>
        <w:t xml:space="preserve"> </w:t>
      </w:r>
      <w:r w:rsidRPr="00E46B58">
        <w:rPr>
          <w:rFonts w:eastAsiaTheme="minorHAnsi"/>
          <w:b w:val="0"/>
          <w:bCs w:val="0"/>
          <w:kern w:val="0"/>
          <w:sz w:val="24"/>
          <w:szCs w:val="24"/>
          <w:lang w:bidi="ar-SA"/>
        </w:rPr>
        <w:t>were collected throughout the pre- a</w:t>
      </w:r>
      <w:r>
        <w:rPr>
          <w:rFonts w:eastAsiaTheme="minorHAnsi"/>
          <w:b w:val="0"/>
          <w:bCs w:val="0"/>
          <w:kern w:val="0"/>
          <w:sz w:val="24"/>
          <w:szCs w:val="24"/>
          <w:lang w:bidi="ar-SA"/>
        </w:rPr>
        <w:t xml:space="preserve">nd post monsoon during 2018. They found that </w:t>
      </w:r>
      <w:r w:rsidRPr="00E46B58">
        <w:rPr>
          <w:rFonts w:eastAsiaTheme="minorHAnsi"/>
          <w:b w:val="0"/>
          <w:bCs w:val="0"/>
          <w:kern w:val="0"/>
          <w:sz w:val="24"/>
          <w:szCs w:val="24"/>
          <w:lang w:bidi="ar-SA"/>
        </w:rPr>
        <w:t xml:space="preserve">The target hazard quotient (THQ) values </w:t>
      </w:r>
      <w:r>
        <w:rPr>
          <w:rFonts w:eastAsiaTheme="minorHAnsi"/>
          <w:b w:val="0"/>
          <w:bCs w:val="0"/>
          <w:kern w:val="0"/>
          <w:sz w:val="24"/>
          <w:szCs w:val="24"/>
          <w:lang w:bidi="ar-SA"/>
        </w:rPr>
        <w:t>out of limit than normal ranges and all the trace metal values (Fe, Cr, Cu, Al, Mn) are higher than normal ranges. The values indicated that all the fishes have cancer riskes wher taken by the consumers.</w:t>
      </w:r>
    </w:p>
    <w:p w14:paraId="4EDE8D3C" w14:textId="77777777" w:rsidR="00410502" w:rsidRPr="00ED0142" w:rsidRDefault="002330EF" w:rsidP="00ED0142">
      <w:pPr>
        <w:pStyle w:val="Heading1"/>
        <w:spacing w:before="0" w:after="0"/>
        <w:jc w:val="both"/>
        <w:rPr>
          <w:rFonts w:eastAsiaTheme="minorHAnsi"/>
          <w:b w:val="0"/>
          <w:bCs w:val="0"/>
          <w:kern w:val="0"/>
          <w:sz w:val="24"/>
          <w:szCs w:val="24"/>
          <w:lang w:bidi="ar-SA"/>
        </w:rPr>
      </w:pPr>
      <w:r w:rsidRPr="002330EF">
        <w:rPr>
          <w:rFonts w:eastAsiaTheme="minorHAnsi"/>
          <w:b w:val="0"/>
          <w:bCs w:val="0"/>
          <w:kern w:val="0"/>
          <w:sz w:val="24"/>
          <w:szCs w:val="24"/>
          <w:lang w:bidi="ar-SA"/>
        </w:rPr>
        <w:lastRenderedPageBreak/>
        <w:t>Wang</w:t>
      </w:r>
      <w:r>
        <w:rPr>
          <w:rFonts w:eastAsiaTheme="minorHAnsi"/>
          <w:b w:val="0"/>
          <w:bCs w:val="0"/>
          <w:kern w:val="0"/>
          <w:sz w:val="24"/>
          <w:szCs w:val="24"/>
          <w:lang w:bidi="ar-SA"/>
        </w:rPr>
        <w:t xml:space="preserve"> </w:t>
      </w:r>
      <w:r w:rsidRPr="002330EF">
        <w:rPr>
          <w:rFonts w:eastAsiaTheme="minorHAnsi"/>
          <w:b w:val="0"/>
          <w:bCs w:val="0"/>
          <w:kern w:val="0"/>
          <w:sz w:val="24"/>
          <w:szCs w:val="24"/>
          <w:lang w:bidi="ar-SA"/>
        </w:rPr>
        <w:t>et al., (2016) studied five heavy metals, chromium (Cr), copper (Cu), nickel (Ni), lead (Pb), and zinc (Zn), were studied in surface and core sediments of the Karnaphuli River (KR) estuary in Chittagong, Bangladesh, to reveal the history of heavy metal contamination and its response to catastrophic events and human activities. The surface sediment was primarily consisted of silt and sand, and it was contaminated with Cr and Pb. Because of the fast physical growth of urban and industrial regions in Chittagong, anthropogenic heavy metal inputs have surged. In general, the accumulation pattern of heavy metals in sediments after normalization to Aluminum suggested a faster pace of urbanization and industr</w:t>
      </w:r>
      <w:r>
        <w:rPr>
          <w:rFonts w:eastAsiaTheme="minorHAnsi"/>
          <w:b w:val="0"/>
          <w:bCs w:val="0"/>
          <w:kern w:val="0"/>
          <w:sz w:val="24"/>
          <w:szCs w:val="24"/>
          <w:lang w:bidi="ar-SA"/>
        </w:rPr>
        <w:t xml:space="preserve">ialization in the last 30 years and creating the problem of reproductive behavior of fishes of Karnaphuli river. </w:t>
      </w:r>
    </w:p>
    <w:p w14:paraId="4ADD15E1" w14:textId="77777777" w:rsidR="00E46B58" w:rsidRDefault="00A77A2C" w:rsidP="00D622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Hossain et al., (2022) found that trace metals accumulation in 15 commercially important fish species from coastal areas are above the permissible level of fish consumtion according the acceptable limit of WHO and FAO. </w:t>
      </w:r>
      <w:r w:rsidRPr="00A77A2C">
        <w:rPr>
          <w:rFonts w:ascii="Times New Roman" w:hAnsi="Times New Roman" w:cs="Times New Roman"/>
          <w:sz w:val="24"/>
          <w:szCs w:val="24"/>
        </w:rPr>
        <w:t>Furthermore, carnivorous, benthic, and euryhaline species were the largest metal accumulators in that area, demonstrating the influence of habitat preferences and bio-magnification of metals through the food cycle.</w:t>
      </w:r>
    </w:p>
    <w:p w14:paraId="1E9D45D6" w14:textId="77777777" w:rsidR="00BF4CFE" w:rsidRDefault="00BF4CFE" w:rsidP="00D622E7">
      <w:pPr>
        <w:spacing w:after="0" w:line="240" w:lineRule="auto"/>
        <w:jc w:val="both"/>
        <w:rPr>
          <w:rFonts w:ascii="Times New Roman" w:hAnsi="Times New Roman" w:cs="Times New Roman"/>
          <w:sz w:val="24"/>
          <w:szCs w:val="24"/>
        </w:rPr>
      </w:pPr>
    </w:p>
    <w:p w14:paraId="128CE834" w14:textId="77777777" w:rsidR="008A6171" w:rsidRDefault="00EA009E" w:rsidP="00D622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Rakib et al., ( 2021) explore the heavy metal concentration on dried fishes </w:t>
      </w:r>
      <w:r w:rsidR="00BF4CFE" w:rsidRPr="00EA009E">
        <w:rPr>
          <w:rFonts w:ascii="Times New Roman" w:hAnsi="Times New Roman" w:cs="Times New Roman"/>
          <w:sz w:val="24"/>
          <w:szCs w:val="24"/>
        </w:rPr>
        <w:t>(</w:t>
      </w:r>
      <w:r w:rsidR="00BF4CFE" w:rsidRPr="00EA009E">
        <w:rPr>
          <w:rFonts w:ascii="Times New Roman" w:hAnsi="Times New Roman" w:cs="Times New Roman"/>
          <w:i/>
          <w:iCs/>
          <w:sz w:val="24"/>
          <w:szCs w:val="24"/>
        </w:rPr>
        <w:t>H. neherius, T. lepturu, P.chinensis, P. affinis, A. mola, P. microdon, I. megaloptera, C. dussumieri, L. calcarifer, and G. chapra</w:t>
      </w:r>
      <w:r w:rsidR="00BF4CFE" w:rsidRPr="00EA009E">
        <w:rPr>
          <w:rFonts w:ascii="Times New Roman" w:hAnsi="Times New Roman" w:cs="Times New Roman"/>
          <w:sz w:val="24"/>
          <w:szCs w:val="24"/>
        </w:rPr>
        <w:t xml:space="preserve">) were analyzed for Cr, Mn, Fe, Co, Cu, Zn, Se, Rb, Hg, Pb, Ni and As </w:t>
      </w:r>
      <w:r>
        <w:rPr>
          <w:rFonts w:ascii="Times New Roman" w:hAnsi="Times New Roman" w:cs="Times New Roman"/>
          <w:sz w:val="24"/>
          <w:szCs w:val="24"/>
        </w:rPr>
        <w:t xml:space="preserve">from the coastal areas of Bangladesh. They found that all </w:t>
      </w:r>
      <w:r w:rsidR="00BF4CFE" w:rsidRPr="00EA009E">
        <w:rPr>
          <w:rFonts w:ascii="Times New Roman" w:hAnsi="Times New Roman" w:cs="Times New Roman"/>
          <w:sz w:val="24"/>
          <w:szCs w:val="24"/>
        </w:rPr>
        <w:t>fish species showed moderate to high pollution, where the species </w:t>
      </w:r>
      <w:r w:rsidR="00BF4CFE" w:rsidRPr="00EA009E">
        <w:rPr>
          <w:rFonts w:ascii="Times New Roman" w:hAnsi="Times New Roman" w:cs="Times New Roman"/>
          <w:i/>
          <w:iCs/>
          <w:sz w:val="24"/>
          <w:szCs w:val="24"/>
        </w:rPr>
        <w:t>H. Neherius</w:t>
      </w:r>
      <w:r w:rsidR="00BF4CFE" w:rsidRPr="00EA009E">
        <w:rPr>
          <w:rFonts w:ascii="Times New Roman" w:hAnsi="Times New Roman" w:cs="Times New Roman"/>
          <w:sz w:val="24"/>
          <w:szCs w:val="24"/>
        </w:rPr>
        <w:t> and </w:t>
      </w:r>
      <w:r w:rsidR="00BF4CFE" w:rsidRPr="00EA009E">
        <w:rPr>
          <w:rFonts w:ascii="Times New Roman" w:hAnsi="Times New Roman" w:cs="Times New Roman"/>
          <w:i/>
          <w:iCs/>
          <w:sz w:val="24"/>
          <w:szCs w:val="24"/>
        </w:rPr>
        <w:t>P. Chinensis</w:t>
      </w:r>
      <w:r w:rsidR="00BF4CFE" w:rsidRPr="00EA009E">
        <w:rPr>
          <w:rFonts w:ascii="Times New Roman" w:hAnsi="Times New Roman" w:cs="Times New Roman"/>
          <w:sz w:val="24"/>
          <w:szCs w:val="24"/>
        </w:rPr>
        <w:t xml:space="preserve"> are the most and least polluted ones, respectively. </w:t>
      </w:r>
      <w:r>
        <w:rPr>
          <w:rFonts w:ascii="Times New Roman" w:hAnsi="Times New Roman" w:cs="Times New Roman"/>
          <w:sz w:val="24"/>
          <w:szCs w:val="24"/>
        </w:rPr>
        <w:t xml:space="preserve">They showed that </w:t>
      </w:r>
      <w:r w:rsidR="00BF4CFE" w:rsidRPr="00EA009E">
        <w:rPr>
          <w:rFonts w:ascii="Times New Roman" w:hAnsi="Times New Roman" w:cs="Times New Roman"/>
          <w:sz w:val="24"/>
          <w:szCs w:val="24"/>
        </w:rPr>
        <w:t xml:space="preserve">carcinogenic risk </w:t>
      </w:r>
      <w:r>
        <w:rPr>
          <w:rFonts w:ascii="Times New Roman" w:hAnsi="Times New Roman" w:cs="Times New Roman"/>
          <w:sz w:val="24"/>
          <w:szCs w:val="24"/>
        </w:rPr>
        <w:t xml:space="preserve">from dried fish samples found </w:t>
      </w:r>
      <w:r w:rsidR="00BF4CFE" w:rsidRPr="00EA009E">
        <w:rPr>
          <w:rFonts w:ascii="Times New Roman" w:hAnsi="Times New Roman" w:cs="Times New Roman"/>
          <w:sz w:val="24"/>
          <w:szCs w:val="24"/>
        </w:rPr>
        <w:t xml:space="preserve">values lower than the acceptable limit for cancer risks (10–6 to 10–4). </w:t>
      </w:r>
    </w:p>
    <w:p w14:paraId="42B4D4FA" w14:textId="77777777" w:rsidR="00EA009E" w:rsidRDefault="00EA009E" w:rsidP="00D622E7">
      <w:pPr>
        <w:spacing w:after="0" w:line="240" w:lineRule="auto"/>
        <w:jc w:val="both"/>
        <w:rPr>
          <w:rFonts w:ascii="Times New Roman" w:hAnsi="Times New Roman" w:cs="Times New Roman"/>
          <w:sz w:val="24"/>
          <w:szCs w:val="24"/>
        </w:rPr>
      </w:pPr>
    </w:p>
    <w:p w14:paraId="2E5B5C9A" w14:textId="77777777" w:rsidR="00EA009E" w:rsidRDefault="00EA009E" w:rsidP="00D622E7">
      <w:pPr>
        <w:spacing w:after="0" w:line="240" w:lineRule="auto"/>
        <w:jc w:val="both"/>
      </w:pPr>
      <w:r>
        <w:rPr>
          <w:rFonts w:ascii="Times New Roman" w:hAnsi="Times New Roman" w:cs="Times New Roman"/>
          <w:sz w:val="24"/>
          <w:szCs w:val="24"/>
        </w:rPr>
        <w:t xml:space="preserve">Shipbreaking activities in </w:t>
      </w:r>
      <w:r w:rsidR="00CF00A2">
        <w:rPr>
          <w:rFonts w:ascii="Times New Roman" w:hAnsi="Times New Roman" w:cs="Times New Roman"/>
          <w:sz w:val="24"/>
          <w:szCs w:val="24"/>
        </w:rPr>
        <w:t>C</w:t>
      </w:r>
      <w:r>
        <w:rPr>
          <w:rFonts w:ascii="Times New Roman" w:hAnsi="Times New Roman" w:cs="Times New Roman"/>
          <w:sz w:val="24"/>
          <w:szCs w:val="24"/>
        </w:rPr>
        <w:t xml:space="preserve">hittagong coastal area creating </w:t>
      </w:r>
      <w:r w:rsidR="00CF00A2">
        <w:rPr>
          <w:rFonts w:ascii="Times New Roman" w:hAnsi="Times New Roman" w:cs="Times New Roman"/>
          <w:sz w:val="24"/>
          <w:szCs w:val="24"/>
        </w:rPr>
        <w:t xml:space="preserve">heavy metals pollution in water and sediments in the coastal environment and impacts on aquatic biodiversity. Barua et al., (2020) found that 30 fish species now unavailable in the coastal area of Chittagong due to increasing rates of  heavy metals abundance in sediments over the 43 years (1975 to 218). The </w:t>
      </w:r>
      <w:r w:rsidR="003A67D0">
        <w:rPr>
          <w:rFonts w:ascii="Times New Roman" w:hAnsi="Times New Roman" w:cs="Times New Roman"/>
          <w:sz w:val="24"/>
          <w:szCs w:val="24"/>
        </w:rPr>
        <w:t xml:space="preserve">finding also indicated same result for heavy metals accumulation study on water and sediments and its impact on biodiversity due to ship breaking activities in Bangladesh ( Barua et al., 2017; </w:t>
      </w:r>
      <w:r w:rsidR="003A67D0">
        <w:t xml:space="preserve">Aktaruzzaman et al., 2014; Siddique et al., 2009). </w:t>
      </w:r>
    </w:p>
    <w:p w14:paraId="01FC5B5D" w14:textId="77777777" w:rsidR="003978BF" w:rsidRDefault="003978BF" w:rsidP="00D622E7">
      <w:pPr>
        <w:spacing w:after="0" w:line="240" w:lineRule="auto"/>
        <w:jc w:val="both"/>
      </w:pPr>
    </w:p>
    <w:p w14:paraId="4949A2FA" w14:textId="77777777" w:rsidR="003978BF" w:rsidRDefault="003978BF" w:rsidP="003978BF">
      <w:pPr>
        <w:pStyle w:val="BodyText"/>
        <w:spacing w:line="360" w:lineRule="auto"/>
        <w:jc w:val="both"/>
        <w:rPr>
          <w:rFonts w:eastAsiaTheme="minorHAnsi"/>
          <w:sz w:val="24"/>
          <w:szCs w:val="24"/>
        </w:rPr>
      </w:pPr>
      <w:r w:rsidRPr="00270BA2">
        <w:rPr>
          <w:rFonts w:eastAsiaTheme="minorHAnsi"/>
          <w:sz w:val="24"/>
          <w:szCs w:val="24"/>
        </w:rPr>
        <w:t>Besides, there are various studies conducted about the heavy metal concentration in the water bodies of the different estuarine rivers of Bangladesh and international countries, which are shown  in Table 1</w:t>
      </w:r>
      <w:r>
        <w:rPr>
          <w:rFonts w:eastAsiaTheme="minorHAnsi"/>
          <w:sz w:val="24"/>
          <w:szCs w:val="24"/>
        </w:rPr>
        <w:t>.</w:t>
      </w:r>
    </w:p>
    <w:p w14:paraId="28FE2066" w14:textId="77777777" w:rsidR="003978BF" w:rsidRPr="00270BA2" w:rsidRDefault="003978BF" w:rsidP="003978BF">
      <w:pPr>
        <w:pStyle w:val="BodyText"/>
        <w:spacing w:line="360" w:lineRule="auto"/>
        <w:jc w:val="both"/>
        <w:rPr>
          <w:rFonts w:eastAsiaTheme="minorHAnsi"/>
          <w:sz w:val="24"/>
          <w:szCs w:val="24"/>
        </w:rPr>
      </w:pPr>
    </w:p>
    <w:p w14:paraId="382DAFCA" w14:textId="77777777" w:rsidR="003978BF" w:rsidRDefault="003978BF" w:rsidP="003978BF">
      <w:pPr>
        <w:pStyle w:val="BodyText"/>
        <w:spacing w:line="360" w:lineRule="auto"/>
        <w:jc w:val="both"/>
        <w:rPr>
          <w:rFonts w:ascii="Arial"/>
          <w:sz w:val="17"/>
        </w:rPr>
      </w:pPr>
      <w:r>
        <w:rPr>
          <w:rFonts w:eastAsiaTheme="minorHAnsi"/>
          <w:sz w:val="24"/>
          <w:szCs w:val="24"/>
        </w:rPr>
        <w:t xml:space="preserve">   </w:t>
      </w:r>
      <w:r w:rsidRPr="00270BA2">
        <w:rPr>
          <w:rFonts w:eastAsiaTheme="minorHAnsi"/>
          <w:sz w:val="24"/>
          <w:szCs w:val="24"/>
        </w:rPr>
        <w:t>Table 1: Metal concentration(mg/kg) in the estuarine rivers of Bangladesh and international countries</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22"/>
        <w:gridCol w:w="788"/>
        <w:gridCol w:w="921"/>
        <w:gridCol w:w="921"/>
        <w:gridCol w:w="752"/>
        <w:gridCol w:w="1109"/>
        <w:gridCol w:w="2041"/>
      </w:tblGrid>
      <w:tr w:rsidR="003978BF" w:rsidRPr="00C405EF" w14:paraId="175D67D1" w14:textId="77777777" w:rsidTr="008D09BE">
        <w:trPr>
          <w:trHeight w:val="332"/>
        </w:trPr>
        <w:tc>
          <w:tcPr>
            <w:tcW w:w="3222" w:type="dxa"/>
          </w:tcPr>
          <w:p w14:paraId="4BBD9DD7" w14:textId="77777777" w:rsidR="003978BF" w:rsidRPr="00C405EF" w:rsidRDefault="003978BF" w:rsidP="008D09BE">
            <w:pPr>
              <w:pStyle w:val="TableParagraph"/>
              <w:spacing w:line="192" w:lineRule="exact"/>
              <w:ind w:left="0"/>
              <w:rPr>
                <w:color w:val="000000" w:themeColor="text1"/>
                <w:sz w:val="20"/>
                <w:szCs w:val="20"/>
              </w:rPr>
            </w:pPr>
            <w:r w:rsidRPr="00C405EF">
              <w:rPr>
                <w:color w:val="000000" w:themeColor="text1"/>
                <w:sz w:val="20"/>
                <w:szCs w:val="20"/>
              </w:rPr>
              <w:t>Location</w:t>
            </w:r>
          </w:p>
        </w:tc>
        <w:tc>
          <w:tcPr>
            <w:tcW w:w="788" w:type="dxa"/>
          </w:tcPr>
          <w:p w14:paraId="445D298E" w14:textId="77777777" w:rsidR="003978BF" w:rsidRPr="00C405EF" w:rsidRDefault="003978BF" w:rsidP="008D09BE">
            <w:pPr>
              <w:pStyle w:val="TableParagraph"/>
              <w:spacing w:line="192" w:lineRule="exact"/>
              <w:ind w:left="127"/>
              <w:rPr>
                <w:color w:val="000000" w:themeColor="text1"/>
                <w:sz w:val="20"/>
                <w:szCs w:val="20"/>
              </w:rPr>
            </w:pPr>
            <w:r w:rsidRPr="00C405EF">
              <w:rPr>
                <w:color w:val="000000" w:themeColor="text1"/>
                <w:sz w:val="20"/>
                <w:szCs w:val="20"/>
              </w:rPr>
              <w:t>As</w:t>
            </w:r>
          </w:p>
        </w:tc>
        <w:tc>
          <w:tcPr>
            <w:tcW w:w="921" w:type="dxa"/>
          </w:tcPr>
          <w:p w14:paraId="45100E5E" w14:textId="77777777" w:rsidR="003978BF" w:rsidRPr="00C405EF" w:rsidRDefault="003978BF" w:rsidP="008D09BE">
            <w:pPr>
              <w:pStyle w:val="TableParagraph"/>
              <w:spacing w:line="192" w:lineRule="exact"/>
              <w:rPr>
                <w:color w:val="000000" w:themeColor="text1"/>
                <w:sz w:val="20"/>
                <w:szCs w:val="20"/>
              </w:rPr>
            </w:pPr>
            <w:r w:rsidRPr="00C405EF">
              <w:rPr>
                <w:color w:val="000000" w:themeColor="text1"/>
                <w:w w:val="105"/>
                <w:sz w:val="20"/>
                <w:szCs w:val="20"/>
              </w:rPr>
              <w:t>Cr</w:t>
            </w:r>
          </w:p>
        </w:tc>
        <w:tc>
          <w:tcPr>
            <w:tcW w:w="921" w:type="dxa"/>
          </w:tcPr>
          <w:p w14:paraId="14040790" w14:textId="77777777" w:rsidR="003978BF" w:rsidRPr="00C405EF" w:rsidRDefault="003978BF" w:rsidP="008D09BE">
            <w:pPr>
              <w:pStyle w:val="TableParagraph"/>
              <w:spacing w:line="192" w:lineRule="exact"/>
              <w:ind w:left="125"/>
              <w:rPr>
                <w:color w:val="000000" w:themeColor="text1"/>
                <w:sz w:val="20"/>
                <w:szCs w:val="20"/>
              </w:rPr>
            </w:pPr>
            <w:r w:rsidRPr="00C405EF">
              <w:rPr>
                <w:color w:val="000000" w:themeColor="text1"/>
                <w:w w:val="105"/>
                <w:sz w:val="20"/>
                <w:szCs w:val="20"/>
              </w:rPr>
              <w:t>Cd</w:t>
            </w:r>
          </w:p>
        </w:tc>
        <w:tc>
          <w:tcPr>
            <w:tcW w:w="752" w:type="dxa"/>
          </w:tcPr>
          <w:p w14:paraId="79A2E9DD" w14:textId="77777777" w:rsidR="003978BF" w:rsidRPr="00C405EF" w:rsidRDefault="003978BF" w:rsidP="008D09BE">
            <w:pPr>
              <w:pStyle w:val="TableParagraph"/>
              <w:spacing w:line="192" w:lineRule="exact"/>
              <w:rPr>
                <w:color w:val="000000" w:themeColor="text1"/>
                <w:sz w:val="20"/>
                <w:szCs w:val="20"/>
              </w:rPr>
            </w:pPr>
            <w:r w:rsidRPr="00C405EF">
              <w:rPr>
                <w:color w:val="000000" w:themeColor="text1"/>
                <w:w w:val="105"/>
                <w:sz w:val="20"/>
                <w:szCs w:val="20"/>
              </w:rPr>
              <w:t>Pb</w:t>
            </w:r>
          </w:p>
        </w:tc>
        <w:tc>
          <w:tcPr>
            <w:tcW w:w="1109" w:type="dxa"/>
          </w:tcPr>
          <w:p w14:paraId="79F2B938" w14:textId="77777777" w:rsidR="003978BF" w:rsidRPr="00C405EF" w:rsidRDefault="003978BF" w:rsidP="008D09BE">
            <w:pPr>
              <w:pStyle w:val="TableParagraph"/>
              <w:spacing w:line="192" w:lineRule="exact"/>
              <w:rPr>
                <w:color w:val="000000" w:themeColor="text1"/>
                <w:sz w:val="20"/>
                <w:szCs w:val="20"/>
              </w:rPr>
            </w:pPr>
            <w:r w:rsidRPr="00C405EF">
              <w:rPr>
                <w:color w:val="000000" w:themeColor="text1"/>
                <w:w w:val="105"/>
                <w:sz w:val="20"/>
                <w:szCs w:val="20"/>
              </w:rPr>
              <w:t>Country</w:t>
            </w:r>
          </w:p>
        </w:tc>
        <w:tc>
          <w:tcPr>
            <w:tcW w:w="2041" w:type="dxa"/>
          </w:tcPr>
          <w:p w14:paraId="6FB895F2" w14:textId="77777777" w:rsidR="003978BF" w:rsidRPr="00C405EF" w:rsidRDefault="003978BF" w:rsidP="008D09BE">
            <w:pPr>
              <w:pStyle w:val="TableParagraph"/>
              <w:spacing w:line="192" w:lineRule="exact"/>
              <w:rPr>
                <w:color w:val="000000" w:themeColor="text1"/>
                <w:sz w:val="20"/>
                <w:szCs w:val="20"/>
              </w:rPr>
            </w:pPr>
            <w:r w:rsidRPr="00C405EF">
              <w:rPr>
                <w:color w:val="000000" w:themeColor="text1"/>
                <w:sz w:val="20"/>
                <w:szCs w:val="20"/>
              </w:rPr>
              <w:t>References</w:t>
            </w:r>
          </w:p>
        </w:tc>
      </w:tr>
      <w:tr w:rsidR="003978BF" w:rsidRPr="00C405EF" w14:paraId="00FBAB8D" w14:textId="77777777" w:rsidTr="008D09BE">
        <w:trPr>
          <w:trHeight w:val="351"/>
        </w:trPr>
        <w:tc>
          <w:tcPr>
            <w:tcW w:w="3222" w:type="dxa"/>
          </w:tcPr>
          <w:p w14:paraId="75647CFD" w14:textId="77777777" w:rsidR="003978BF" w:rsidRPr="00C405EF" w:rsidRDefault="003978BF" w:rsidP="008D09BE">
            <w:pPr>
              <w:pStyle w:val="TableParagraph"/>
              <w:spacing w:before="2"/>
              <w:ind w:left="0"/>
              <w:rPr>
                <w:color w:val="000000" w:themeColor="text1"/>
                <w:sz w:val="20"/>
                <w:szCs w:val="20"/>
              </w:rPr>
            </w:pPr>
          </w:p>
          <w:p w14:paraId="2B1BDB5D" w14:textId="77777777" w:rsidR="003978BF" w:rsidRPr="00C405EF" w:rsidRDefault="003978BF" w:rsidP="008D09BE">
            <w:pPr>
              <w:pStyle w:val="TableParagraph"/>
              <w:ind w:left="0"/>
              <w:rPr>
                <w:color w:val="000000" w:themeColor="text1"/>
                <w:sz w:val="20"/>
                <w:szCs w:val="20"/>
              </w:rPr>
            </w:pPr>
            <w:r w:rsidRPr="00C405EF">
              <w:rPr>
                <w:color w:val="000000" w:themeColor="text1"/>
                <w:w w:val="105"/>
                <w:sz w:val="20"/>
                <w:szCs w:val="20"/>
              </w:rPr>
              <w:t>National</w:t>
            </w:r>
          </w:p>
        </w:tc>
        <w:tc>
          <w:tcPr>
            <w:tcW w:w="788" w:type="dxa"/>
          </w:tcPr>
          <w:p w14:paraId="66BB5686" w14:textId="77777777" w:rsidR="003978BF" w:rsidRPr="00C405EF" w:rsidRDefault="003978BF" w:rsidP="008D09BE">
            <w:pPr>
              <w:pStyle w:val="TableParagraph"/>
              <w:ind w:left="0"/>
              <w:rPr>
                <w:color w:val="000000" w:themeColor="text1"/>
                <w:sz w:val="20"/>
                <w:szCs w:val="20"/>
              </w:rPr>
            </w:pPr>
          </w:p>
        </w:tc>
        <w:tc>
          <w:tcPr>
            <w:tcW w:w="921" w:type="dxa"/>
          </w:tcPr>
          <w:p w14:paraId="3BF3476B" w14:textId="77777777" w:rsidR="003978BF" w:rsidRPr="00C405EF" w:rsidRDefault="003978BF" w:rsidP="008D09BE">
            <w:pPr>
              <w:pStyle w:val="TableParagraph"/>
              <w:ind w:left="0"/>
              <w:rPr>
                <w:color w:val="000000" w:themeColor="text1"/>
                <w:sz w:val="20"/>
                <w:szCs w:val="20"/>
              </w:rPr>
            </w:pPr>
          </w:p>
        </w:tc>
        <w:tc>
          <w:tcPr>
            <w:tcW w:w="921" w:type="dxa"/>
          </w:tcPr>
          <w:p w14:paraId="7F07AD8F" w14:textId="77777777" w:rsidR="003978BF" w:rsidRPr="00C405EF" w:rsidRDefault="003978BF" w:rsidP="008D09BE">
            <w:pPr>
              <w:pStyle w:val="TableParagraph"/>
              <w:ind w:left="0"/>
              <w:rPr>
                <w:color w:val="000000" w:themeColor="text1"/>
                <w:sz w:val="20"/>
                <w:szCs w:val="20"/>
              </w:rPr>
            </w:pPr>
          </w:p>
        </w:tc>
        <w:tc>
          <w:tcPr>
            <w:tcW w:w="752" w:type="dxa"/>
          </w:tcPr>
          <w:p w14:paraId="649A310C" w14:textId="77777777" w:rsidR="003978BF" w:rsidRPr="00C405EF" w:rsidRDefault="003978BF" w:rsidP="008D09BE">
            <w:pPr>
              <w:pStyle w:val="TableParagraph"/>
              <w:ind w:left="0"/>
              <w:rPr>
                <w:color w:val="000000" w:themeColor="text1"/>
                <w:sz w:val="20"/>
                <w:szCs w:val="20"/>
              </w:rPr>
            </w:pPr>
          </w:p>
        </w:tc>
        <w:tc>
          <w:tcPr>
            <w:tcW w:w="1109" w:type="dxa"/>
          </w:tcPr>
          <w:p w14:paraId="0A587AFF" w14:textId="77777777" w:rsidR="003978BF" w:rsidRPr="00C405EF" w:rsidRDefault="003978BF" w:rsidP="008D09BE">
            <w:pPr>
              <w:pStyle w:val="TableParagraph"/>
              <w:ind w:left="0"/>
              <w:rPr>
                <w:color w:val="000000" w:themeColor="text1"/>
                <w:sz w:val="20"/>
                <w:szCs w:val="20"/>
              </w:rPr>
            </w:pPr>
          </w:p>
        </w:tc>
        <w:tc>
          <w:tcPr>
            <w:tcW w:w="2041" w:type="dxa"/>
          </w:tcPr>
          <w:p w14:paraId="7F732FBF" w14:textId="77777777" w:rsidR="003978BF" w:rsidRPr="00C405EF" w:rsidRDefault="003978BF" w:rsidP="008D09BE">
            <w:pPr>
              <w:pStyle w:val="TableParagraph"/>
              <w:ind w:left="0"/>
              <w:rPr>
                <w:color w:val="000000" w:themeColor="text1"/>
                <w:sz w:val="20"/>
                <w:szCs w:val="20"/>
              </w:rPr>
            </w:pPr>
          </w:p>
        </w:tc>
      </w:tr>
      <w:tr w:rsidR="003978BF" w:rsidRPr="00C405EF" w14:paraId="6BE21647" w14:textId="77777777" w:rsidTr="008D09BE">
        <w:trPr>
          <w:trHeight w:val="331"/>
        </w:trPr>
        <w:tc>
          <w:tcPr>
            <w:tcW w:w="3222" w:type="dxa"/>
          </w:tcPr>
          <w:p w14:paraId="51F0E8C2" w14:textId="77777777" w:rsidR="003978BF" w:rsidRPr="00C405EF" w:rsidRDefault="003978BF" w:rsidP="008D09BE">
            <w:pPr>
              <w:pStyle w:val="TableParagraph"/>
              <w:spacing w:before="118"/>
              <w:ind w:left="139"/>
              <w:rPr>
                <w:color w:val="000000" w:themeColor="text1"/>
                <w:sz w:val="20"/>
                <w:szCs w:val="20"/>
              </w:rPr>
            </w:pPr>
            <w:r w:rsidRPr="00C405EF">
              <w:rPr>
                <w:color w:val="000000" w:themeColor="text1"/>
                <w:sz w:val="20"/>
                <w:szCs w:val="20"/>
              </w:rPr>
              <w:t>Rupsha River</w:t>
            </w:r>
          </w:p>
        </w:tc>
        <w:tc>
          <w:tcPr>
            <w:tcW w:w="788" w:type="dxa"/>
          </w:tcPr>
          <w:p w14:paraId="221E3E96" w14:textId="77777777" w:rsidR="003978BF" w:rsidRPr="00C405EF" w:rsidRDefault="003978BF" w:rsidP="008D09BE">
            <w:pPr>
              <w:pStyle w:val="TableParagraph"/>
              <w:spacing w:before="118"/>
              <w:ind w:left="127"/>
              <w:rPr>
                <w:color w:val="000000" w:themeColor="text1"/>
                <w:sz w:val="20"/>
                <w:szCs w:val="20"/>
              </w:rPr>
            </w:pPr>
            <w:r w:rsidRPr="00C405EF">
              <w:rPr>
                <w:color w:val="000000" w:themeColor="text1"/>
                <w:sz w:val="20"/>
                <w:szCs w:val="20"/>
              </w:rPr>
              <w:t>5.18</w:t>
            </w:r>
          </w:p>
        </w:tc>
        <w:tc>
          <w:tcPr>
            <w:tcW w:w="921" w:type="dxa"/>
          </w:tcPr>
          <w:p w14:paraId="7D53B2D7" w14:textId="77777777" w:rsidR="003978BF" w:rsidRPr="00C405EF" w:rsidRDefault="003978BF" w:rsidP="008D09BE">
            <w:pPr>
              <w:pStyle w:val="TableParagraph"/>
              <w:spacing w:before="118"/>
              <w:rPr>
                <w:color w:val="000000" w:themeColor="text1"/>
                <w:sz w:val="20"/>
                <w:szCs w:val="20"/>
              </w:rPr>
            </w:pPr>
            <w:r w:rsidRPr="00C405EF">
              <w:rPr>
                <w:color w:val="000000" w:themeColor="text1"/>
                <w:sz w:val="20"/>
                <w:szCs w:val="20"/>
              </w:rPr>
              <w:t>43.2</w:t>
            </w:r>
          </w:p>
        </w:tc>
        <w:tc>
          <w:tcPr>
            <w:tcW w:w="921" w:type="dxa"/>
          </w:tcPr>
          <w:p w14:paraId="0F00E4B5" w14:textId="77777777" w:rsidR="003978BF" w:rsidRPr="00C405EF" w:rsidRDefault="003978BF" w:rsidP="008D09BE">
            <w:pPr>
              <w:pStyle w:val="TableParagraph"/>
              <w:spacing w:before="118"/>
              <w:ind w:left="125"/>
              <w:rPr>
                <w:color w:val="000000" w:themeColor="text1"/>
                <w:sz w:val="20"/>
                <w:szCs w:val="20"/>
              </w:rPr>
            </w:pPr>
            <w:r w:rsidRPr="00C405EF">
              <w:rPr>
                <w:color w:val="000000" w:themeColor="text1"/>
                <w:sz w:val="20"/>
                <w:szCs w:val="20"/>
              </w:rPr>
              <w:t>1.8</w:t>
            </w:r>
          </w:p>
        </w:tc>
        <w:tc>
          <w:tcPr>
            <w:tcW w:w="752" w:type="dxa"/>
          </w:tcPr>
          <w:p w14:paraId="3052BE4F" w14:textId="77777777" w:rsidR="003978BF" w:rsidRPr="00C405EF" w:rsidRDefault="003978BF" w:rsidP="008D09BE">
            <w:pPr>
              <w:pStyle w:val="TableParagraph"/>
              <w:spacing w:before="118"/>
              <w:rPr>
                <w:color w:val="000000" w:themeColor="text1"/>
                <w:sz w:val="20"/>
                <w:szCs w:val="20"/>
              </w:rPr>
            </w:pPr>
            <w:r w:rsidRPr="00C405EF">
              <w:rPr>
                <w:color w:val="000000" w:themeColor="text1"/>
                <w:sz w:val="20"/>
                <w:szCs w:val="20"/>
              </w:rPr>
              <w:t>29.21</w:t>
            </w:r>
          </w:p>
        </w:tc>
        <w:tc>
          <w:tcPr>
            <w:tcW w:w="1109" w:type="dxa"/>
          </w:tcPr>
          <w:p w14:paraId="715BAC45" w14:textId="77777777" w:rsidR="003978BF" w:rsidRPr="00C405EF" w:rsidRDefault="003978BF" w:rsidP="008D09BE">
            <w:pPr>
              <w:pStyle w:val="TableParagraph"/>
              <w:spacing w:before="118"/>
              <w:rPr>
                <w:color w:val="000000" w:themeColor="text1"/>
                <w:sz w:val="20"/>
                <w:szCs w:val="20"/>
              </w:rPr>
            </w:pPr>
            <w:r w:rsidRPr="00C405EF">
              <w:rPr>
                <w:color w:val="000000" w:themeColor="text1"/>
                <w:sz w:val="20"/>
                <w:szCs w:val="20"/>
              </w:rPr>
              <w:t>Bangladesh</w:t>
            </w:r>
          </w:p>
        </w:tc>
        <w:tc>
          <w:tcPr>
            <w:tcW w:w="2041" w:type="dxa"/>
          </w:tcPr>
          <w:p w14:paraId="64ECCF85" w14:textId="77777777" w:rsidR="003978BF" w:rsidRPr="00C405EF" w:rsidRDefault="003978BF" w:rsidP="008D09BE">
            <w:pPr>
              <w:pStyle w:val="TableParagraph"/>
              <w:spacing w:before="118"/>
              <w:rPr>
                <w:color w:val="000000" w:themeColor="text1"/>
                <w:sz w:val="20"/>
                <w:szCs w:val="20"/>
              </w:rPr>
            </w:pPr>
            <w:r w:rsidRPr="00C405EF">
              <w:rPr>
                <w:color w:val="000000" w:themeColor="text1"/>
                <w:sz w:val="20"/>
                <w:szCs w:val="20"/>
              </w:rPr>
              <w:t>Kubra et al., (2022)</w:t>
            </w:r>
          </w:p>
        </w:tc>
      </w:tr>
      <w:tr w:rsidR="003978BF" w:rsidRPr="00C405EF" w14:paraId="1C9CFA01" w14:textId="77777777" w:rsidTr="008D09BE">
        <w:trPr>
          <w:trHeight w:val="248"/>
        </w:trPr>
        <w:tc>
          <w:tcPr>
            <w:tcW w:w="3222" w:type="dxa"/>
          </w:tcPr>
          <w:p w14:paraId="5B7D9063" w14:textId="77777777" w:rsidR="003978BF" w:rsidRPr="00C405EF" w:rsidRDefault="003978BF" w:rsidP="008D09BE">
            <w:pPr>
              <w:pStyle w:val="TableParagraph"/>
              <w:spacing w:before="35"/>
              <w:ind w:left="139"/>
              <w:rPr>
                <w:color w:val="000000" w:themeColor="text1"/>
                <w:sz w:val="20"/>
                <w:szCs w:val="20"/>
              </w:rPr>
            </w:pPr>
            <w:r w:rsidRPr="00C405EF">
              <w:rPr>
                <w:color w:val="000000" w:themeColor="text1"/>
                <w:sz w:val="20"/>
                <w:szCs w:val="20"/>
              </w:rPr>
              <w:t>Bhairab River</w:t>
            </w:r>
          </w:p>
        </w:tc>
        <w:tc>
          <w:tcPr>
            <w:tcW w:w="788" w:type="dxa"/>
          </w:tcPr>
          <w:p w14:paraId="7B1903B2"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sz w:val="20"/>
                <w:szCs w:val="20"/>
              </w:rPr>
              <w:t>3.68</w:t>
            </w:r>
          </w:p>
        </w:tc>
        <w:tc>
          <w:tcPr>
            <w:tcW w:w="921" w:type="dxa"/>
          </w:tcPr>
          <w:p w14:paraId="09AFCCC9"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31.74</w:t>
            </w:r>
          </w:p>
        </w:tc>
        <w:tc>
          <w:tcPr>
            <w:tcW w:w="921" w:type="dxa"/>
          </w:tcPr>
          <w:p w14:paraId="384FFE15" w14:textId="77777777" w:rsidR="003978BF" w:rsidRPr="00C405EF" w:rsidRDefault="003978BF" w:rsidP="008D09BE">
            <w:pPr>
              <w:pStyle w:val="TableParagraph"/>
              <w:spacing w:before="35"/>
              <w:ind w:left="125"/>
              <w:rPr>
                <w:color w:val="000000" w:themeColor="text1"/>
                <w:sz w:val="20"/>
                <w:szCs w:val="20"/>
              </w:rPr>
            </w:pPr>
            <w:r w:rsidRPr="00C405EF">
              <w:rPr>
                <w:color w:val="000000" w:themeColor="text1"/>
                <w:sz w:val="20"/>
                <w:szCs w:val="20"/>
              </w:rPr>
              <w:t>1.44</w:t>
            </w:r>
          </w:p>
        </w:tc>
        <w:tc>
          <w:tcPr>
            <w:tcW w:w="752" w:type="dxa"/>
          </w:tcPr>
          <w:p w14:paraId="6FD334E8"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23.82</w:t>
            </w:r>
          </w:p>
        </w:tc>
        <w:tc>
          <w:tcPr>
            <w:tcW w:w="1109" w:type="dxa"/>
          </w:tcPr>
          <w:p w14:paraId="14A19AD9"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Bangladesh</w:t>
            </w:r>
          </w:p>
        </w:tc>
        <w:tc>
          <w:tcPr>
            <w:tcW w:w="2041" w:type="dxa"/>
          </w:tcPr>
          <w:p w14:paraId="16BE4655" w14:textId="77777777" w:rsidR="003978BF" w:rsidRPr="00C405EF" w:rsidRDefault="007B3D3C" w:rsidP="008D09BE">
            <w:pPr>
              <w:pStyle w:val="TableParagraph"/>
              <w:spacing w:before="35"/>
              <w:rPr>
                <w:color w:val="000000" w:themeColor="text1"/>
                <w:sz w:val="20"/>
                <w:szCs w:val="20"/>
              </w:rPr>
            </w:pPr>
            <w:hyperlink w:anchor="_bookmark21" w:history="1">
              <w:r w:rsidR="003978BF" w:rsidRPr="00C405EF">
                <w:rPr>
                  <w:color w:val="000000" w:themeColor="text1"/>
                  <w:sz w:val="20"/>
                  <w:szCs w:val="20"/>
                </w:rPr>
                <w:t>Ali et al. (2022)</w:t>
              </w:r>
            </w:hyperlink>
          </w:p>
        </w:tc>
      </w:tr>
      <w:tr w:rsidR="003978BF" w:rsidRPr="00C405EF" w14:paraId="38D99F0E" w14:textId="77777777" w:rsidTr="008D09BE">
        <w:trPr>
          <w:trHeight w:val="249"/>
        </w:trPr>
        <w:tc>
          <w:tcPr>
            <w:tcW w:w="3222" w:type="dxa"/>
          </w:tcPr>
          <w:p w14:paraId="4D2FCB02"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lastRenderedPageBreak/>
              <w:t>Kutubdia Channel</w:t>
            </w:r>
          </w:p>
        </w:tc>
        <w:tc>
          <w:tcPr>
            <w:tcW w:w="788" w:type="dxa"/>
          </w:tcPr>
          <w:p w14:paraId="3D8BF2FA" w14:textId="77777777" w:rsidR="003978BF" w:rsidRPr="00C405EF" w:rsidRDefault="003978BF" w:rsidP="008D09BE">
            <w:pPr>
              <w:pStyle w:val="TableParagraph"/>
              <w:spacing w:before="36"/>
              <w:ind w:left="127"/>
              <w:rPr>
                <w:color w:val="000000" w:themeColor="text1"/>
                <w:sz w:val="20"/>
                <w:szCs w:val="20"/>
              </w:rPr>
            </w:pPr>
            <w:r w:rsidRPr="00C405EF">
              <w:rPr>
                <w:color w:val="000000" w:themeColor="text1"/>
                <w:sz w:val="20"/>
                <w:szCs w:val="20"/>
              </w:rPr>
              <w:t>9.0</w:t>
            </w:r>
          </w:p>
        </w:tc>
        <w:tc>
          <w:tcPr>
            <w:tcW w:w="921" w:type="dxa"/>
          </w:tcPr>
          <w:p w14:paraId="3CF54633"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11.0</w:t>
            </w:r>
          </w:p>
        </w:tc>
        <w:tc>
          <w:tcPr>
            <w:tcW w:w="921" w:type="dxa"/>
          </w:tcPr>
          <w:p w14:paraId="2892E327"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752" w:type="dxa"/>
          </w:tcPr>
          <w:p w14:paraId="262113BB"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22.0</w:t>
            </w:r>
          </w:p>
        </w:tc>
        <w:tc>
          <w:tcPr>
            <w:tcW w:w="1109" w:type="dxa"/>
          </w:tcPr>
          <w:p w14:paraId="5DFEA820"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Bangladesh</w:t>
            </w:r>
          </w:p>
        </w:tc>
        <w:tc>
          <w:tcPr>
            <w:tcW w:w="2041" w:type="dxa"/>
          </w:tcPr>
          <w:p w14:paraId="0D84C080" w14:textId="77777777" w:rsidR="003978BF" w:rsidRPr="00C405EF" w:rsidRDefault="007B3D3C" w:rsidP="008D09BE">
            <w:pPr>
              <w:pStyle w:val="TableParagraph"/>
              <w:spacing w:before="36"/>
              <w:rPr>
                <w:color w:val="000000" w:themeColor="text1"/>
                <w:sz w:val="20"/>
                <w:szCs w:val="20"/>
              </w:rPr>
            </w:pPr>
            <w:hyperlink w:anchor="_bookmark56" w:history="1">
              <w:r w:rsidR="003978BF" w:rsidRPr="00C405EF">
                <w:rPr>
                  <w:color w:val="000000" w:themeColor="text1"/>
                  <w:sz w:val="20"/>
                  <w:szCs w:val="20"/>
                </w:rPr>
                <w:t>Hossain et al. (2020b)</w:t>
              </w:r>
            </w:hyperlink>
          </w:p>
        </w:tc>
      </w:tr>
      <w:tr w:rsidR="003978BF" w:rsidRPr="00C405EF" w14:paraId="2F579089" w14:textId="77777777" w:rsidTr="008D09BE">
        <w:trPr>
          <w:trHeight w:val="248"/>
        </w:trPr>
        <w:tc>
          <w:tcPr>
            <w:tcW w:w="3222" w:type="dxa"/>
          </w:tcPr>
          <w:p w14:paraId="0FB7AA8A"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Feni River Estuary</w:t>
            </w:r>
          </w:p>
        </w:tc>
        <w:tc>
          <w:tcPr>
            <w:tcW w:w="788" w:type="dxa"/>
          </w:tcPr>
          <w:p w14:paraId="14162A6E" w14:textId="77777777" w:rsidR="003978BF" w:rsidRPr="00C405EF" w:rsidRDefault="003978BF" w:rsidP="008D09BE">
            <w:pPr>
              <w:pStyle w:val="TableParagraph"/>
              <w:spacing w:before="36"/>
              <w:ind w:left="127"/>
              <w:rPr>
                <w:color w:val="000000" w:themeColor="text1"/>
                <w:sz w:val="20"/>
                <w:szCs w:val="20"/>
              </w:rPr>
            </w:pPr>
            <w:r w:rsidRPr="00C405EF">
              <w:rPr>
                <w:color w:val="000000" w:themeColor="text1"/>
                <w:sz w:val="20"/>
                <w:szCs w:val="20"/>
              </w:rPr>
              <w:t>0.85</w:t>
            </w:r>
          </w:p>
        </w:tc>
        <w:tc>
          <w:tcPr>
            <w:tcW w:w="921" w:type="dxa"/>
          </w:tcPr>
          <w:p w14:paraId="31667D94"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35.28</w:t>
            </w:r>
          </w:p>
        </w:tc>
        <w:tc>
          <w:tcPr>
            <w:tcW w:w="921" w:type="dxa"/>
          </w:tcPr>
          <w:p w14:paraId="43EC5269"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752" w:type="dxa"/>
          </w:tcPr>
          <w:p w14:paraId="5C225019"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6.47</w:t>
            </w:r>
          </w:p>
        </w:tc>
        <w:tc>
          <w:tcPr>
            <w:tcW w:w="1109" w:type="dxa"/>
          </w:tcPr>
          <w:p w14:paraId="2B67B3A3"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Bangladesh</w:t>
            </w:r>
          </w:p>
        </w:tc>
        <w:tc>
          <w:tcPr>
            <w:tcW w:w="2041" w:type="dxa"/>
          </w:tcPr>
          <w:p w14:paraId="446344EA" w14:textId="77777777" w:rsidR="003978BF" w:rsidRPr="00C405EF" w:rsidRDefault="007B3D3C" w:rsidP="008D09BE">
            <w:pPr>
              <w:pStyle w:val="TableParagraph"/>
              <w:spacing w:before="36"/>
              <w:rPr>
                <w:color w:val="000000" w:themeColor="text1"/>
                <w:sz w:val="20"/>
                <w:szCs w:val="20"/>
              </w:rPr>
            </w:pPr>
            <w:hyperlink w:anchor="_bookmark66" w:history="1">
              <w:r w:rsidR="003978BF" w:rsidRPr="00C405EF">
                <w:rPr>
                  <w:color w:val="000000" w:themeColor="text1"/>
                  <w:sz w:val="20"/>
                  <w:szCs w:val="20"/>
                </w:rPr>
                <w:t>Islam et al. (2018)</w:t>
              </w:r>
            </w:hyperlink>
          </w:p>
        </w:tc>
      </w:tr>
      <w:tr w:rsidR="003978BF" w:rsidRPr="00C405EF" w14:paraId="754E4F82" w14:textId="77777777" w:rsidTr="008D09BE">
        <w:trPr>
          <w:trHeight w:val="248"/>
        </w:trPr>
        <w:tc>
          <w:tcPr>
            <w:tcW w:w="3222" w:type="dxa"/>
          </w:tcPr>
          <w:p w14:paraId="4D50B534" w14:textId="77777777" w:rsidR="003978BF" w:rsidRPr="00C405EF" w:rsidRDefault="003978BF" w:rsidP="008D09BE">
            <w:pPr>
              <w:pStyle w:val="TableParagraph"/>
              <w:spacing w:before="35"/>
              <w:ind w:left="139"/>
              <w:rPr>
                <w:color w:val="000000" w:themeColor="text1"/>
                <w:sz w:val="20"/>
                <w:szCs w:val="20"/>
              </w:rPr>
            </w:pPr>
            <w:r w:rsidRPr="00C405EF">
              <w:rPr>
                <w:color w:val="000000" w:themeColor="text1"/>
                <w:sz w:val="20"/>
                <w:szCs w:val="20"/>
              </w:rPr>
              <w:t>Pasur River</w:t>
            </w:r>
          </w:p>
        </w:tc>
        <w:tc>
          <w:tcPr>
            <w:tcW w:w="788" w:type="dxa"/>
          </w:tcPr>
          <w:p w14:paraId="2C447923"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sz w:val="20"/>
                <w:szCs w:val="20"/>
              </w:rPr>
              <w:t>3.15–19.9</w:t>
            </w:r>
          </w:p>
        </w:tc>
        <w:tc>
          <w:tcPr>
            <w:tcW w:w="921" w:type="dxa"/>
          </w:tcPr>
          <w:p w14:paraId="59E8071C"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20.67–83.7</w:t>
            </w:r>
          </w:p>
        </w:tc>
        <w:tc>
          <w:tcPr>
            <w:tcW w:w="921" w:type="dxa"/>
          </w:tcPr>
          <w:p w14:paraId="35659D61"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0.39–3.17</w:t>
            </w:r>
          </w:p>
        </w:tc>
        <w:tc>
          <w:tcPr>
            <w:tcW w:w="752" w:type="dxa"/>
          </w:tcPr>
          <w:p w14:paraId="165374C6"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7.34–55.32</w:t>
            </w:r>
          </w:p>
        </w:tc>
        <w:tc>
          <w:tcPr>
            <w:tcW w:w="1109" w:type="dxa"/>
          </w:tcPr>
          <w:p w14:paraId="1AB37DF0"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Bangladesh</w:t>
            </w:r>
          </w:p>
        </w:tc>
        <w:tc>
          <w:tcPr>
            <w:tcW w:w="2041" w:type="dxa"/>
          </w:tcPr>
          <w:p w14:paraId="72F327E4" w14:textId="77777777" w:rsidR="003978BF" w:rsidRPr="00C405EF" w:rsidRDefault="007B3D3C" w:rsidP="008D09BE">
            <w:pPr>
              <w:pStyle w:val="TableParagraph"/>
              <w:spacing w:before="35"/>
              <w:rPr>
                <w:color w:val="000000" w:themeColor="text1"/>
                <w:sz w:val="20"/>
                <w:szCs w:val="20"/>
              </w:rPr>
            </w:pPr>
            <w:hyperlink w:anchor="_bookmark17" w:history="1">
              <w:r w:rsidR="003978BF" w:rsidRPr="00C405EF">
                <w:rPr>
                  <w:color w:val="000000" w:themeColor="text1"/>
                  <w:sz w:val="20"/>
                  <w:szCs w:val="20"/>
                </w:rPr>
                <w:t>Ali et al. (2018)</w:t>
              </w:r>
            </w:hyperlink>
          </w:p>
        </w:tc>
      </w:tr>
      <w:tr w:rsidR="003978BF" w:rsidRPr="00C405EF" w14:paraId="647C9766" w14:textId="77777777" w:rsidTr="008D09BE">
        <w:trPr>
          <w:trHeight w:val="249"/>
        </w:trPr>
        <w:tc>
          <w:tcPr>
            <w:tcW w:w="3222" w:type="dxa"/>
          </w:tcPr>
          <w:p w14:paraId="584D2DD4"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Karnaphuli River</w:t>
            </w:r>
          </w:p>
        </w:tc>
        <w:tc>
          <w:tcPr>
            <w:tcW w:w="788" w:type="dxa"/>
          </w:tcPr>
          <w:p w14:paraId="23E404BF" w14:textId="77777777" w:rsidR="003978BF" w:rsidRPr="00C405EF" w:rsidRDefault="003978BF" w:rsidP="008D09BE">
            <w:pPr>
              <w:pStyle w:val="TableParagraph"/>
              <w:spacing w:before="36"/>
              <w:ind w:left="127"/>
              <w:rPr>
                <w:color w:val="000000" w:themeColor="text1"/>
                <w:sz w:val="20"/>
                <w:szCs w:val="20"/>
              </w:rPr>
            </w:pPr>
            <w:r w:rsidRPr="00C405EF">
              <w:rPr>
                <w:color w:val="000000" w:themeColor="text1"/>
                <w:sz w:val="20"/>
                <w:szCs w:val="20"/>
              </w:rPr>
              <w:t>81.09</w:t>
            </w:r>
          </w:p>
        </w:tc>
        <w:tc>
          <w:tcPr>
            <w:tcW w:w="921" w:type="dxa"/>
          </w:tcPr>
          <w:p w14:paraId="7D96C7FC"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20.3</w:t>
            </w:r>
          </w:p>
        </w:tc>
        <w:tc>
          <w:tcPr>
            <w:tcW w:w="921" w:type="dxa"/>
          </w:tcPr>
          <w:p w14:paraId="1C82FC05"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752" w:type="dxa"/>
          </w:tcPr>
          <w:p w14:paraId="680B0DD3"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43.69</w:t>
            </w:r>
          </w:p>
        </w:tc>
        <w:tc>
          <w:tcPr>
            <w:tcW w:w="1109" w:type="dxa"/>
          </w:tcPr>
          <w:p w14:paraId="0B1E58D5"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Bangladesh</w:t>
            </w:r>
          </w:p>
        </w:tc>
        <w:tc>
          <w:tcPr>
            <w:tcW w:w="2041" w:type="dxa"/>
          </w:tcPr>
          <w:p w14:paraId="26429C8D" w14:textId="77777777" w:rsidR="003978BF" w:rsidRPr="00C405EF" w:rsidRDefault="007B3D3C" w:rsidP="008D09BE">
            <w:pPr>
              <w:pStyle w:val="TableParagraph"/>
              <w:spacing w:before="36"/>
              <w:rPr>
                <w:color w:val="000000" w:themeColor="text1"/>
                <w:sz w:val="20"/>
                <w:szCs w:val="20"/>
              </w:rPr>
            </w:pPr>
            <w:hyperlink w:anchor="_bookmark18" w:history="1">
              <w:r w:rsidR="003978BF" w:rsidRPr="00C405EF">
                <w:rPr>
                  <w:color w:val="000000" w:themeColor="text1"/>
                  <w:sz w:val="20"/>
                  <w:szCs w:val="20"/>
                </w:rPr>
                <w:t>Ali et al. (2016)</w:t>
              </w:r>
            </w:hyperlink>
          </w:p>
        </w:tc>
      </w:tr>
      <w:tr w:rsidR="003978BF" w:rsidRPr="00C405EF" w14:paraId="74BC19E2" w14:textId="77777777" w:rsidTr="008D09BE">
        <w:trPr>
          <w:trHeight w:val="248"/>
        </w:trPr>
        <w:tc>
          <w:tcPr>
            <w:tcW w:w="3222" w:type="dxa"/>
          </w:tcPr>
          <w:p w14:paraId="1AC91D84"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Karnaphuli River</w:t>
            </w:r>
          </w:p>
        </w:tc>
        <w:tc>
          <w:tcPr>
            <w:tcW w:w="788" w:type="dxa"/>
          </w:tcPr>
          <w:p w14:paraId="307E154A"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70038488"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0.76</w:t>
            </w:r>
          </w:p>
        </w:tc>
        <w:tc>
          <w:tcPr>
            <w:tcW w:w="921" w:type="dxa"/>
          </w:tcPr>
          <w:p w14:paraId="52004EA4"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0.24</w:t>
            </w:r>
          </w:p>
        </w:tc>
        <w:tc>
          <w:tcPr>
            <w:tcW w:w="752" w:type="dxa"/>
          </w:tcPr>
          <w:p w14:paraId="70D5BF85"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4.96</w:t>
            </w:r>
          </w:p>
        </w:tc>
        <w:tc>
          <w:tcPr>
            <w:tcW w:w="1109" w:type="dxa"/>
          </w:tcPr>
          <w:p w14:paraId="53213844"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Bangladesh</w:t>
            </w:r>
          </w:p>
        </w:tc>
        <w:tc>
          <w:tcPr>
            <w:tcW w:w="2041" w:type="dxa"/>
          </w:tcPr>
          <w:p w14:paraId="3C7878B9" w14:textId="77777777" w:rsidR="003978BF" w:rsidRPr="00C405EF" w:rsidRDefault="007B3D3C" w:rsidP="008D09BE">
            <w:pPr>
              <w:pStyle w:val="TableParagraph"/>
              <w:spacing w:before="36"/>
              <w:rPr>
                <w:color w:val="000000" w:themeColor="text1"/>
                <w:sz w:val="20"/>
                <w:szCs w:val="20"/>
              </w:rPr>
            </w:pPr>
            <w:hyperlink w:anchor="_bookmark60" w:history="1">
              <w:r w:rsidR="003978BF" w:rsidRPr="00C405EF">
                <w:rPr>
                  <w:color w:val="000000" w:themeColor="text1"/>
                  <w:sz w:val="20"/>
                  <w:szCs w:val="20"/>
                </w:rPr>
                <w:t>Islam et al. (2013)</w:t>
              </w:r>
            </w:hyperlink>
          </w:p>
        </w:tc>
      </w:tr>
      <w:tr w:rsidR="003978BF" w:rsidRPr="00C405EF" w14:paraId="00416A55" w14:textId="77777777" w:rsidTr="008D09BE">
        <w:trPr>
          <w:trHeight w:val="248"/>
        </w:trPr>
        <w:tc>
          <w:tcPr>
            <w:tcW w:w="3222" w:type="dxa"/>
          </w:tcPr>
          <w:p w14:paraId="6F39FAA5" w14:textId="77777777" w:rsidR="003978BF" w:rsidRPr="00C405EF" w:rsidRDefault="003978BF" w:rsidP="008D09BE">
            <w:pPr>
              <w:pStyle w:val="TableParagraph"/>
              <w:spacing w:before="35"/>
              <w:ind w:left="139"/>
              <w:rPr>
                <w:color w:val="000000" w:themeColor="text1"/>
                <w:sz w:val="20"/>
                <w:szCs w:val="20"/>
              </w:rPr>
            </w:pPr>
            <w:r w:rsidRPr="00C405EF">
              <w:rPr>
                <w:color w:val="000000" w:themeColor="text1"/>
                <w:sz w:val="20"/>
                <w:szCs w:val="20"/>
              </w:rPr>
              <w:t>Karnaphuli River</w:t>
            </w:r>
          </w:p>
        </w:tc>
        <w:tc>
          <w:tcPr>
            <w:tcW w:w="788" w:type="dxa"/>
          </w:tcPr>
          <w:p w14:paraId="1E517C69"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371E9459"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28.17</w:t>
            </w:r>
          </w:p>
        </w:tc>
        <w:tc>
          <w:tcPr>
            <w:tcW w:w="921" w:type="dxa"/>
          </w:tcPr>
          <w:p w14:paraId="2B2DE9C2"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752" w:type="dxa"/>
          </w:tcPr>
          <w:p w14:paraId="1B6D7FA3"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15.49</w:t>
            </w:r>
          </w:p>
        </w:tc>
        <w:tc>
          <w:tcPr>
            <w:tcW w:w="1109" w:type="dxa"/>
          </w:tcPr>
          <w:p w14:paraId="52C6409E"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Bangladesh</w:t>
            </w:r>
          </w:p>
        </w:tc>
        <w:tc>
          <w:tcPr>
            <w:tcW w:w="2041" w:type="dxa"/>
          </w:tcPr>
          <w:p w14:paraId="1AA9D447"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Mamun et al., 2013</w:t>
            </w:r>
          </w:p>
        </w:tc>
      </w:tr>
      <w:tr w:rsidR="003978BF" w:rsidRPr="00C405EF" w14:paraId="3FC6FE38" w14:textId="77777777" w:rsidTr="008D09BE">
        <w:trPr>
          <w:trHeight w:val="249"/>
        </w:trPr>
        <w:tc>
          <w:tcPr>
            <w:tcW w:w="3222" w:type="dxa"/>
          </w:tcPr>
          <w:p w14:paraId="6898FDBE"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Karnaphuli River coast</w:t>
            </w:r>
          </w:p>
        </w:tc>
        <w:tc>
          <w:tcPr>
            <w:tcW w:w="788" w:type="dxa"/>
          </w:tcPr>
          <w:p w14:paraId="504B4B13"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738BF316" w14:textId="77777777" w:rsidR="003978BF" w:rsidRPr="00C405EF" w:rsidRDefault="003978BF" w:rsidP="008D09BE">
            <w:pPr>
              <w:pStyle w:val="TableParagraph"/>
              <w:spacing w:before="36"/>
              <w:rPr>
                <w:color w:val="000000" w:themeColor="text1"/>
                <w:sz w:val="20"/>
                <w:szCs w:val="20"/>
              </w:rPr>
            </w:pPr>
            <w:r w:rsidRPr="00C405EF">
              <w:rPr>
                <w:color w:val="000000" w:themeColor="text1"/>
                <w:w w:val="105"/>
                <w:sz w:val="20"/>
                <w:szCs w:val="20"/>
              </w:rPr>
              <w:t>-</w:t>
            </w:r>
          </w:p>
        </w:tc>
        <w:tc>
          <w:tcPr>
            <w:tcW w:w="921" w:type="dxa"/>
          </w:tcPr>
          <w:p w14:paraId="5AF9955E"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0.43</w:t>
            </w:r>
          </w:p>
        </w:tc>
        <w:tc>
          <w:tcPr>
            <w:tcW w:w="752" w:type="dxa"/>
          </w:tcPr>
          <w:p w14:paraId="33E41316"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26.7</w:t>
            </w:r>
          </w:p>
        </w:tc>
        <w:tc>
          <w:tcPr>
            <w:tcW w:w="1109" w:type="dxa"/>
          </w:tcPr>
          <w:p w14:paraId="4FBD07F6"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Bangladesh</w:t>
            </w:r>
          </w:p>
        </w:tc>
        <w:tc>
          <w:tcPr>
            <w:tcW w:w="2041" w:type="dxa"/>
          </w:tcPr>
          <w:p w14:paraId="21E74176" w14:textId="77777777" w:rsidR="003978BF" w:rsidRPr="00C405EF" w:rsidRDefault="007B3D3C" w:rsidP="008D09BE">
            <w:pPr>
              <w:pStyle w:val="TableParagraph"/>
              <w:spacing w:before="36"/>
              <w:rPr>
                <w:color w:val="000000" w:themeColor="text1"/>
                <w:sz w:val="20"/>
                <w:szCs w:val="20"/>
              </w:rPr>
            </w:pPr>
            <w:hyperlink w:anchor="_bookmark112" w:history="1">
              <w:r w:rsidR="003978BF" w:rsidRPr="00C405EF">
                <w:rPr>
                  <w:color w:val="000000" w:themeColor="text1"/>
                  <w:sz w:val="20"/>
                  <w:szCs w:val="20"/>
                </w:rPr>
                <w:t>Siddique and Aktar, (2012)</w:t>
              </w:r>
            </w:hyperlink>
          </w:p>
        </w:tc>
      </w:tr>
      <w:tr w:rsidR="003978BF" w:rsidRPr="00C405EF" w14:paraId="71CA23CC" w14:textId="77777777" w:rsidTr="008D09BE">
        <w:trPr>
          <w:trHeight w:val="248"/>
        </w:trPr>
        <w:tc>
          <w:tcPr>
            <w:tcW w:w="3222" w:type="dxa"/>
          </w:tcPr>
          <w:p w14:paraId="50138694"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Passur river</w:t>
            </w:r>
          </w:p>
        </w:tc>
        <w:tc>
          <w:tcPr>
            <w:tcW w:w="788" w:type="dxa"/>
          </w:tcPr>
          <w:p w14:paraId="181ECC9C"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709C4546"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2.80–31.90</w:t>
            </w:r>
          </w:p>
        </w:tc>
        <w:tc>
          <w:tcPr>
            <w:tcW w:w="921" w:type="dxa"/>
          </w:tcPr>
          <w:p w14:paraId="361A8F02"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0.80–2.70</w:t>
            </w:r>
          </w:p>
        </w:tc>
        <w:tc>
          <w:tcPr>
            <w:tcW w:w="752" w:type="dxa"/>
          </w:tcPr>
          <w:p w14:paraId="33ED0DE1"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5.33–18.42</w:t>
            </w:r>
          </w:p>
        </w:tc>
        <w:tc>
          <w:tcPr>
            <w:tcW w:w="1109" w:type="dxa"/>
          </w:tcPr>
          <w:p w14:paraId="283A3586"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Bangladesh</w:t>
            </w:r>
          </w:p>
        </w:tc>
        <w:tc>
          <w:tcPr>
            <w:tcW w:w="2041" w:type="dxa"/>
          </w:tcPr>
          <w:p w14:paraId="5C2425C7" w14:textId="77777777" w:rsidR="003978BF" w:rsidRPr="00C405EF" w:rsidRDefault="007B3D3C" w:rsidP="008D09BE">
            <w:pPr>
              <w:pStyle w:val="TableParagraph"/>
              <w:spacing w:before="36"/>
              <w:rPr>
                <w:color w:val="000000" w:themeColor="text1"/>
                <w:sz w:val="20"/>
                <w:szCs w:val="20"/>
              </w:rPr>
            </w:pPr>
            <w:hyperlink w:anchor="_bookmark99" w:history="1">
              <w:r w:rsidR="003978BF" w:rsidRPr="00C405EF">
                <w:rPr>
                  <w:color w:val="000000" w:themeColor="text1"/>
                  <w:sz w:val="20"/>
                  <w:szCs w:val="20"/>
                </w:rPr>
                <w:t>Rahman et al. (2011)</w:t>
              </w:r>
            </w:hyperlink>
          </w:p>
        </w:tc>
      </w:tr>
      <w:tr w:rsidR="003978BF" w:rsidRPr="00C405EF" w14:paraId="6F9B17C3" w14:textId="77777777" w:rsidTr="008D09BE">
        <w:trPr>
          <w:trHeight w:val="248"/>
        </w:trPr>
        <w:tc>
          <w:tcPr>
            <w:tcW w:w="3222" w:type="dxa"/>
          </w:tcPr>
          <w:p w14:paraId="72CC4783" w14:textId="77777777" w:rsidR="003978BF" w:rsidRPr="00C405EF" w:rsidRDefault="003978BF" w:rsidP="008D09BE">
            <w:pPr>
              <w:pStyle w:val="TableParagraph"/>
              <w:spacing w:before="35"/>
              <w:ind w:left="139"/>
              <w:rPr>
                <w:color w:val="000000" w:themeColor="text1"/>
                <w:sz w:val="20"/>
                <w:szCs w:val="20"/>
              </w:rPr>
            </w:pPr>
            <w:r w:rsidRPr="00C405EF">
              <w:rPr>
                <w:color w:val="000000" w:themeColor="text1"/>
                <w:sz w:val="20"/>
                <w:szCs w:val="20"/>
              </w:rPr>
              <w:t>Matamuhuri River</w:t>
            </w:r>
          </w:p>
        </w:tc>
        <w:tc>
          <w:tcPr>
            <w:tcW w:w="788" w:type="dxa"/>
          </w:tcPr>
          <w:p w14:paraId="21E056EA"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36731F42"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921" w:type="dxa"/>
          </w:tcPr>
          <w:p w14:paraId="7982EF0E"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752" w:type="dxa"/>
          </w:tcPr>
          <w:p w14:paraId="2F19E240"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26.42</w:t>
            </w:r>
          </w:p>
        </w:tc>
        <w:tc>
          <w:tcPr>
            <w:tcW w:w="1109" w:type="dxa"/>
          </w:tcPr>
          <w:p w14:paraId="0F0975F6"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Bangladesh</w:t>
            </w:r>
          </w:p>
        </w:tc>
        <w:tc>
          <w:tcPr>
            <w:tcW w:w="2041" w:type="dxa"/>
          </w:tcPr>
          <w:p w14:paraId="78FF277E" w14:textId="77777777" w:rsidR="003978BF" w:rsidRPr="00C405EF" w:rsidRDefault="007B3D3C" w:rsidP="008D09BE">
            <w:pPr>
              <w:pStyle w:val="TableParagraph"/>
              <w:spacing w:before="35"/>
              <w:rPr>
                <w:color w:val="000000" w:themeColor="text1"/>
                <w:sz w:val="20"/>
                <w:szCs w:val="20"/>
              </w:rPr>
            </w:pPr>
            <w:hyperlink w:anchor="_bookmark22" w:history="1">
              <w:r w:rsidR="003978BF" w:rsidRPr="00C405EF">
                <w:rPr>
                  <w:color w:val="000000" w:themeColor="text1"/>
                  <w:sz w:val="20"/>
                  <w:szCs w:val="20"/>
                </w:rPr>
                <w:t>Ashraful et al. (2009)</w:t>
              </w:r>
            </w:hyperlink>
          </w:p>
        </w:tc>
      </w:tr>
      <w:tr w:rsidR="003978BF" w:rsidRPr="00C405EF" w14:paraId="34D08D9E" w14:textId="77777777" w:rsidTr="008D09BE">
        <w:trPr>
          <w:trHeight w:val="249"/>
        </w:trPr>
        <w:tc>
          <w:tcPr>
            <w:tcW w:w="3222" w:type="dxa"/>
          </w:tcPr>
          <w:p w14:paraId="2BEB91F2"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Moheshkhali River</w:t>
            </w:r>
          </w:p>
        </w:tc>
        <w:tc>
          <w:tcPr>
            <w:tcW w:w="788" w:type="dxa"/>
          </w:tcPr>
          <w:p w14:paraId="074ABF5E"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599C3371"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921" w:type="dxa"/>
          </w:tcPr>
          <w:p w14:paraId="586E5C07"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752" w:type="dxa"/>
          </w:tcPr>
          <w:p w14:paraId="1CCD5A8D"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49.22</w:t>
            </w:r>
          </w:p>
        </w:tc>
        <w:tc>
          <w:tcPr>
            <w:tcW w:w="1109" w:type="dxa"/>
          </w:tcPr>
          <w:p w14:paraId="0D179D2E"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Bangladesh</w:t>
            </w:r>
          </w:p>
        </w:tc>
        <w:tc>
          <w:tcPr>
            <w:tcW w:w="2041" w:type="dxa"/>
          </w:tcPr>
          <w:p w14:paraId="5DF5ABE6" w14:textId="77777777" w:rsidR="003978BF" w:rsidRPr="00C405EF" w:rsidRDefault="007B3D3C" w:rsidP="008D09BE">
            <w:pPr>
              <w:pStyle w:val="TableParagraph"/>
              <w:spacing w:before="36"/>
              <w:rPr>
                <w:color w:val="000000" w:themeColor="text1"/>
                <w:sz w:val="20"/>
                <w:szCs w:val="20"/>
              </w:rPr>
            </w:pPr>
            <w:hyperlink w:anchor="_bookmark22" w:history="1">
              <w:r w:rsidR="003978BF" w:rsidRPr="00C405EF">
                <w:rPr>
                  <w:color w:val="000000" w:themeColor="text1"/>
                  <w:sz w:val="20"/>
                  <w:szCs w:val="20"/>
                </w:rPr>
                <w:t>Ashraful et al. (2009)</w:t>
              </w:r>
            </w:hyperlink>
          </w:p>
        </w:tc>
      </w:tr>
      <w:tr w:rsidR="003978BF" w:rsidRPr="00C405EF" w14:paraId="6F99C118" w14:textId="77777777" w:rsidTr="008D09BE">
        <w:trPr>
          <w:trHeight w:val="245"/>
        </w:trPr>
        <w:tc>
          <w:tcPr>
            <w:tcW w:w="3222" w:type="dxa"/>
          </w:tcPr>
          <w:p w14:paraId="3FD5B1ED"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Bakkhali River</w:t>
            </w:r>
          </w:p>
        </w:tc>
        <w:tc>
          <w:tcPr>
            <w:tcW w:w="788" w:type="dxa"/>
          </w:tcPr>
          <w:p w14:paraId="0417AE8A"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1B8F84A7"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921" w:type="dxa"/>
          </w:tcPr>
          <w:p w14:paraId="6BE0CE10"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752" w:type="dxa"/>
          </w:tcPr>
          <w:p w14:paraId="2A4E1C06"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3.12</w:t>
            </w:r>
          </w:p>
        </w:tc>
        <w:tc>
          <w:tcPr>
            <w:tcW w:w="1109" w:type="dxa"/>
          </w:tcPr>
          <w:p w14:paraId="1195CE5A"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Bangladesh</w:t>
            </w:r>
          </w:p>
        </w:tc>
        <w:tc>
          <w:tcPr>
            <w:tcW w:w="2041" w:type="dxa"/>
          </w:tcPr>
          <w:p w14:paraId="3B1A00B4" w14:textId="77777777" w:rsidR="003978BF" w:rsidRPr="00C405EF" w:rsidRDefault="007B3D3C" w:rsidP="008D09BE">
            <w:pPr>
              <w:pStyle w:val="TableParagraph"/>
              <w:spacing w:before="36"/>
              <w:rPr>
                <w:color w:val="000000" w:themeColor="text1"/>
                <w:sz w:val="20"/>
                <w:szCs w:val="20"/>
              </w:rPr>
            </w:pPr>
            <w:hyperlink w:anchor="_bookmark22" w:history="1">
              <w:r w:rsidR="003978BF" w:rsidRPr="00C405EF">
                <w:rPr>
                  <w:color w:val="000000" w:themeColor="text1"/>
                  <w:sz w:val="20"/>
                  <w:szCs w:val="20"/>
                </w:rPr>
                <w:t>Ashraful et al. (2009)</w:t>
              </w:r>
            </w:hyperlink>
          </w:p>
        </w:tc>
      </w:tr>
      <w:tr w:rsidR="003978BF" w:rsidRPr="00C405EF" w14:paraId="43B30CD8" w14:textId="77777777" w:rsidTr="008D09BE">
        <w:trPr>
          <w:trHeight w:val="245"/>
        </w:trPr>
        <w:tc>
          <w:tcPr>
            <w:tcW w:w="3222" w:type="dxa"/>
          </w:tcPr>
          <w:p w14:paraId="7891AF66"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Sandwip Channel</w:t>
            </w:r>
          </w:p>
        </w:tc>
        <w:tc>
          <w:tcPr>
            <w:tcW w:w="788" w:type="dxa"/>
          </w:tcPr>
          <w:p w14:paraId="0802DBA9" w14:textId="77777777" w:rsidR="003978BF" w:rsidRPr="00C405EF" w:rsidRDefault="003978BF" w:rsidP="008D09BE">
            <w:pPr>
              <w:pStyle w:val="TableParagraph"/>
              <w:spacing w:before="35"/>
              <w:ind w:left="127"/>
              <w:rPr>
                <w:color w:val="000000" w:themeColor="text1"/>
                <w:w w:val="91"/>
                <w:sz w:val="20"/>
                <w:szCs w:val="20"/>
              </w:rPr>
            </w:pPr>
            <w:r w:rsidRPr="00C405EF">
              <w:rPr>
                <w:color w:val="000000" w:themeColor="text1"/>
                <w:w w:val="91"/>
                <w:sz w:val="20"/>
                <w:szCs w:val="20"/>
              </w:rPr>
              <w:t>10.65</w:t>
            </w:r>
          </w:p>
        </w:tc>
        <w:tc>
          <w:tcPr>
            <w:tcW w:w="921" w:type="dxa"/>
          </w:tcPr>
          <w:p w14:paraId="70B1A2C1" w14:textId="77777777" w:rsidR="003978BF" w:rsidRPr="00C405EF" w:rsidRDefault="003978BF" w:rsidP="008D09BE">
            <w:pPr>
              <w:pStyle w:val="TableParagraph"/>
              <w:spacing w:before="35"/>
              <w:rPr>
                <w:color w:val="000000" w:themeColor="text1"/>
                <w:w w:val="91"/>
                <w:sz w:val="20"/>
                <w:szCs w:val="20"/>
              </w:rPr>
            </w:pPr>
            <w:r w:rsidRPr="00C405EF">
              <w:rPr>
                <w:color w:val="000000" w:themeColor="text1"/>
                <w:w w:val="91"/>
                <w:sz w:val="20"/>
                <w:szCs w:val="20"/>
              </w:rPr>
              <w:t>50</w:t>
            </w:r>
          </w:p>
        </w:tc>
        <w:tc>
          <w:tcPr>
            <w:tcW w:w="921" w:type="dxa"/>
          </w:tcPr>
          <w:p w14:paraId="69BDC770" w14:textId="77777777" w:rsidR="003978BF" w:rsidRPr="00C405EF" w:rsidRDefault="003978BF" w:rsidP="008D09BE">
            <w:pPr>
              <w:pStyle w:val="TableParagraph"/>
              <w:spacing w:before="35"/>
              <w:rPr>
                <w:color w:val="000000" w:themeColor="text1"/>
                <w:w w:val="91"/>
                <w:sz w:val="20"/>
                <w:szCs w:val="20"/>
              </w:rPr>
            </w:pPr>
            <w:r w:rsidRPr="00C405EF">
              <w:rPr>
                <w:color w:val="000000" w:themeColor="text1"/>
                <w:w w:val="91"/>
                <w:sz w:val="20"/>
                <w:szCs w:val="20"/>
              </w:rPr>
              <w:t>8</w:t>
            </w:r>
          </w:p>
        </w:tc>
        <w:tc>
          <w:tcPr>
            <w:tcW w:w="752" w:type="dxa"/>
          </w:tcPr>
          <w:p w14:paraId="3099014F"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60</w:t>
            </w:r>
          </w:p>
        </w:tc>
        <w:tc>
          <w:tcPr>
            <w:tcW w:w="1109" w:type="dxa"/>
          </w:tcPr>
          <w:p w14:paraId="78D40392"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Bangladesh</w:t>
            </w:r>
          </w:p>
        </w:tc>
        <w:tc>
          <w:tcPr>
            <w:tcW w:w="2041" w:type="dxa"/>
          </w:tcPr>
          <w:p w14:paraId="7899EA00"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Barua  et al. (2020)</w:t>
            </w:r>
          </w:p>
        </w:tc>
      </w:tr>
      <w:tr w:rsidR="003978BF" w:rsidRPr="00C405EF" w14:paraId="70C702B5" w14:textId="77777777" w:rsidTr="008D09BE">
        <w:trPr>
          <w:trHeight w:val="326"/>
        </w:trPr>
        <w:tc>
          <w:tcPr>
            <w:tcW w:w="3222" w:type="dxa"/>
          </w:tcPr>
          <w:p w14:paraId="47008446" w14:textId="77777777" w:rsidR="003978BF" w:rsidRPr="00C405EF" w:rsidRDefault="003978BF" w:rsidP="008D09BE">
            <w:pPr>
              <w:pStyle w:val="TableParagraph"/>
              <w:spacing w:before="118"/>
              <w:ind w:left="0"/>
              <w:rPr>
                <w:color w:val="000000" w:themeColor="text1"/>
                <w:sz w:val="20"/>
                <w:szCs w:val="20"/>
              </w:rPr>
            </w:pPr>
            <w:r w:rsidRPr="00C405EF">
              <w:rPr>
                <w:color w:val="000000" w:themeColor="text1"/>
                <w:w w:val="110"/>
                <w:sz w:val="20"/>
                <w:szCs w:val="20"/>
              </w:rPr>
              <w:t>International</w:t>
            </w:r>
          </w:p>
        </w:tc>
        <w:tc>
          <w:tcPr>
            <w:tcW w:w="788" w:type="dxa"/>
          </w:tcPr>
          <w:p w14:paraId="79DF480B" w14:textId="77777777" w:rsidR="003978BF" w:rsidRPr="00C405EF" w:rsidRDefault="003978BF" w:rsidP="008D09BE">
            <w:pPr>
              <w:pStyle w:val="TableParagraph"/>
              <w:ind w:left="0"/>
              <w:rPr>
                <w:color w:val="000000" w:themeColor="text1"/>
                <w:sz w:val="20"/>
                <w:szCs w:val="20"/>
              </w:rPr>
            </w:pPr>
          </w:p>
        </w:tc>
        <w:tc>
          <w:tcPr>
            <w:tcW w:w="921" w:type="dxa"/>
          </w:tcPr>
          <w:p w14:paraId="05DBCD4E" w14:textId="77777777" w:rsidR="003978BF" w:rsidRPr="00C405EF" w:rsidRDefault="003978BF" w:rsidP="008D09BE">
            <w:pPr>
              <w:pStyle w:val="TableParagraph"/>
              <w:ind w:left="0"/>
              <w:rPr>
                <w:color w:val="000000" w:themeColor="text1"/>
                <w:sz w:val="20"/>
                <w:szCs w:val="20"/>
              </w:rPr>
            </w:pPr>
          </w:p>
        </w:tc>
        <w:tc>
          <w:tcPr>
            <w:tcW w:w="921" w:type="dxa"/>
          </w:tcPr>
          <w:p w14:paraId="5C5FCDD3" w14:textId="77777777" w:rsidR="003978BF" w:rsidRPr="00C405EF" w:rsidRDefault="003978BF" w:rsidP="008D09BE">
            <w:pPr>
              <w:pStyle w:val="TableParagraph"/>
              <w:ind w:left="0"/>
              <w:rPr>
                <w:color w:val="000000" w:themeColor="text1"/>
                <w:sz w:val="20"/>
                <w:szCs w:val="20"/>
              </w:rPr>
            </w:pPr>
          </w:p>
        </w:tc>
        <w:tc>
          <w:tcPr>
            <w:tcW w:w="752" w:type="dxa"/>
          </w:tcPr>
          <w:p w14:paraId="62680319" w14:textId="77777777" w:rsidR="003978BF" w:rsidRPr="00C405EF" w:rsidRDefault="003978BF" w:rsidP="008D09BE">
            <w:pPr>
              <w:pStyle w:val="TableParagraph"/>
              <w:ind w:left="0"/>
              <w:rPr>
                <w:color w:val="000000" w:themeColor="text1"/>
                <w:sz w:val="20"/>
                <w:szCs w:val="20"/>
              </w:rPr>
            </w:pPr>
          </w:p>
        </w:tc>
        <w:tc>
          <w:tcPr>
            <w:tcW w:w="1109" w:type="dxa"/>
          </w:tcPr>
          <w:p w14:paraId="4B4BC20E" w14:textId="77777777" w:rsidR="003978BF" w:rsidRPr="00C405EF" w:rsidRDefault="003978BF" w:rsidP="008D09BE">
            <w:pPr>
              <w:pStyle w:val="TableParagraph"/>
              <w:ind w:left="0"/>
              <w:rPr>
                <w:color w:val="000000" w:themeColor="text1"/>
                <w:sz w:val="20"/>
                <w:szCs w:val="20"/>
              </w:rPr>
            </w:pPr>
          </w:p>
        </w:tc>
        <w:tc>
          <w:tcPr>
            <w:tcW w:w="2041" w:type="dxa"/>
          </w:tcPr>
          <w:p w14:paraId="3460631C" w14:textId="77777777" w:rsidR="003978BF" w:rsidRPr="00C405EF" w:rsidRDefault="003978BF" w:rsidP="008D09BE">
            <w:pPr>
              <w:pStyle w:val="TableParagraph"/>
              <w:ind w:left="0"/>
              <w:rPr>
                <w:color w:val="000000" w:themeColor="text1"/>
                <w:sz w:val="20"/>
                <w:szCs w:val="20"/>
              </w:rPr>
            </w:pPr>
          </w:p>
        </w:tc>
      </w:tr>
      <w:tr w:rsidR="003978BF" w:rsidRPr="00C405EF" w14:paraId="437F1A94" w14:textId="77777777" w:rsidTr="008D09BE">
        <w:trPr>
          <w:trHeight w:val="328"/>
        </w:trPr>
        <w:tc>
          <w:tcPr>
            <w:tcW w:w="3222" w:type="dxa"/>
          </w:tcPr>
          <w:p w14:paraId="1DBFDC48" w14:textId="77777777" w:rsidR="003978BF" w:rsidRPr="00C405EF" w:rsidRDefault="003978BF" w:rsidP="008D09BE">
            <w:pPr>
              <w:pStyle w:val="TableParagraph"/>
              <w:spacing w:before="115"/>
              <w:ind w:left="139"/>
              <w:rPr>
                <w:color w:val="000000" w:themeColor="text1"/>
                <w:sz w:val="20"/>
                <w:szCs w:val="20"/>
              </w:rPr>
            </w:pPr>
            <w:r w:rsidRPr="00C405EF">
              <w:rPr>
                <w:color w:val="000000" w:themeColor="text1"/>
                <w:sz w:val="20"/>
                <w:szCs w:val="20"/>
              </w:rPr>
              <w:t>Yangtze River Estuary</w:t>
            </w:r>
          </w:p>
        </w:tc>
        <w:tc>
          <w:tcPr>
            <w:tcW w:w="788" w:type="dxa"/>
          </w:tcPr>
          <w:p w14:paraId="647279D1" w14:textId="77777777" w:rsidR="003978BF" w:rsidRPr="00C405EF" w:rsidRDefault="003978BF" w:rsidP="008D09BE">
            <w:pPr>
              <w:pStyle w:val="TableParagraph"/>
              <w:spacing w:before="115"/>
              <w:ind w:left="127"/>
              <w:rPr>
                <w:color w:val="000000" w:themeColor="text1"/>
                <w:sz w:val="20"/>
                <w:szCs w:val="20"/>
              </w:rPr>
            </w:pPr>
            <w:r w:rsidRPr="00C405EF">
              <w:rPr>
                <w:color w:val="000000" w:themeColor="text1"/>
                <w:w w:val="91"/>
                <w:sz w:val="20"/>
                <w:szCs w:val="20"/>
              </w:rPr>
              <w:t>—</w:t>
            </w:r>
          </w:p>
        </w:tc>
        <w:tc>
          <w:tcPr>
            <w:tcW w:w="921" w:type="dxa"/>
          </w:tcPr>
          <w:p w14:paraId="16B82198" w14:textId="77777777" w:rsidR="003978BF" w:rsidRPr="00C405EF" w:rsidRDefault="003978BF" w:rsidP="008D09BE">
            <w:pPr>
              <w:pStyle w:val="TableParagraph"/>
              <w:spacing w:before="115"/>
              <w:rPr>
                <w:color w:val="000000" w:themeColor="text1"/>
                <w:sz w:val="20"/>
                <w:szCs w:val="20"/>
              </w:rPr>
            </w:pPr>
            <w:r w:rsidRPr="00C405EF">
              <w:rPr>
                <w:color w:val="000000" w:themeColor="text1"/>
                <w:sz w:val="20"/>
                <w:szCs w:val="20"/>
              </w:rPr>
              <w:t>34.4</w:t>
            </w:r>
          </w:p>
        </w:tc>
        <w:tc>
          <w:tcPr>
            <w:tcW w:w="921" w:type="dxa"/>
          </w:tcPr>
          <w:p w14:paraId="30ED6F74" w14:textId="77777777" w:rsidR="003978BF" w:rsidRPr="00C405EF" w:rsidRDefault="003978BF" w:rsidP="008D09BE">
            <w:pPr>
              <w:pStyle w:val="TableParagraph"/>
              <w:spacing w:before="115"/>
              <w:rPr>
                <w:color w:val="000000" w:themeColor="text1"/>
                <w:sz w:val="20"/>
                <w:szCs w:val="20"/>
              </w:rPr>
            </w:pPr>
            <w:r w:rsidRPr="00C405EF">
              <w:rPr>
                <w:color w:val="000000" w:themeColor="text1"/>
                <w:sz w:val="20"/>
                <w:szCs w:val="20"/>
              </w:rPr>
              <w:t>0.13</w:t>
            </w:r>
          </w:p>
        </w:tc>
        <w:tc>
          <w:tcPr>
            <w:tcW w:w="752" w:type="dxa"/>
          </w:tcPr>
          <w:p w14:paraId="1FD98790" w14:textId="77777777" w:rsidR="003978BF" w:rsidRPr="00C405EF" w:rsidRDefault="003978BF" w:rsidP="008D09BE">
            <w:pPr>
              <w:pStyle w:val="TableParagraph"/>
              <w:spacing w:before="115"/>
              <w:rPr>
                <w:color w:val="000000" w:themeColor="text1"/>
                <w:sz w:val="20"/>
                <w:szCs w:val="20"/>
              </w:rPr>
            </w:pPr>
            <w:r w:rsidRPr="00C405EF">
              <w:rPr>
                <w:color w:val="000000" w:themeColor="text1"/>
                <w:sz w:val="20"/>
                <w:szCs w:val="20"/>
              </w:rPr>
              <w:t>25.8</w:t>
            </w:r>
          </w:p>
        </w:tc>
        <w:tc>
          <w:tcPr>
            <w:tcW w:w="1109" w:type="dxa"/>
          </w:tcPr>
          <w:p w14:paraId="773271A8" w14:textId="77777777" w:rsidR="003978BF" w:rsidRPr="00C405EF" w:rsidRDefault="003978BF" w:rsidP="008D09BE">
            <w:pPr>
              <w:pStyle w:val="TableParagraph"/>
              <w:spacing w:before="115"/>
              <w:rPr>
                <w:color w:val="000000" w:themeColor="text1"/>
                <w:sz w:val="20"/>
                <w:szCs w:val="20"/>
              </w:rPr>
            </w:pPr>
            <w:r w:rsidRPr="00C405EF">
              <w:rPr>
                <w:color w:val="000000" w:themeColor="text1"/>
                <w:sz w:val="20"/>
                <w:szCs w:val="20"/>
              </w:rPr>
              <w:t>China</w:t>
            </w:r>
          </w:p>
        </w:tc>
        <w:tc>
          <w:tcPr>
            <w:tcW w:w="2041" w:type="dxa"/>
          </w:tcPr>
          <w:p w14:paraId="653F2BC5" w14:textId="77777777" w:rsidR="003978BF" w:rsidRPr="00C405EF" w:rsidRDefault="007B3D3C" w:rsidP="008D09BE">
            <w:pPr>
              <w:pStyle w:val="TableParagraph"/>
              <w:spacing w:before="115"/>
              <w:rPr>
                <w:color w:val="000000" w:themeColor="text1"/>
                <w:sz w:val="20"/>
                <w:szCs w:val="20"/>
              </w:rPr>
            </w:pPr>
            <w:hyperlink w:anchor="_bookmark41" w:history="1">
              <w:r w:rsidR="003978BF" w:rsidRPr="00C405EF">
                <w:rPr>
                  <w:color w:val="000000" w:themeColor="text1"/>
                  <w:sz w:val="20"/>
                  <w:szCs w:val="20"/>
                </w:rPr>
                <w:t>Fan et al. (2020)</w:t>
              </w:r>
            </w:hyperlink>
          </w:p>
        </w:tc>
      </w:tr>
      <w:tr w:rsidR="003978BF" w:rsidRPr="00C405EF" w14:paraId="22904AB9" w14:textId="77777777" w:rsidTr="008D09BE">
        <w:trPr>
          <w:trHeight w:val="249"/>
        </w:trPr>
        <w:tc>
          <w:tcPr>
            <w:tcW w:w="3222" w:type="dxa"/>
          </w:tcPr>
          <w:p w14:paraId="7E2B7CD3"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Yangtze River Estuary</w:t>
            </w:r>
          </w:p>
        </w:tc>
        <w:tc>
          <w:tcPr>
            <w:tcW w:w="788" w:type="dxa"/>
          </w:tcPr>
          <w:p w14:paraId="65609B6B"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46373FF2"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69.5–103</w:t>
            </w:r>
          </w:p>
        </w:tc>
        <w:tc>
          <w:tcPr>
            <w:tcW w:w="921" w:type="dxa"/>
          </w:tcPr>
          <w:p w14:paraId="509D0C37"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0.037–0.212</w:t>
            </w:r>
          </w:p>
        </w:tc>
        <w:tc>
          <w:tcPr>
            <w:tcW w:w="752" w:type="dxa"/>
          </w:tcPr>
          <w:p w14:paraId="33EA8A00"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13.7–23</w:t>
            </w:r>
          </w:p>
        </w:tc>
        <w:tc>
          <w:tcPr>
            <w:tcW w:w="1109" w:type="dxa"/>
          </w:tcPr>
          <w:p w14:paraId="47BCEAAE"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China</w:t>
            </w:r>
          </w:p>
        </w:tc>
        <w:tc>
          <w:tcPr>
            <w:tcW w:w="2041" w:type="dxa"/>
          </w:tcPr>
          <w:p w14:paraId="3583F665" w14:textId="77777777" w:rsidR="003978BF" w:rsidRPr="00C405EF" w:rsidRDefault="007B3D3C" w:rsidP="008D09BE">
            <w:pPr>
              <w:pStyle w:val="TableParagraph"/>
              <w:spacing w:before="36"/>
              <w:rPr>
                <w:color w:val="000000" w:themeColor="text1"/>
                <w:sz w:val="20"/>
                <w:szCs w:val="20"/>
              </w:rPr>
            </w:pPr>
            <w:hyperlink w:anchor="_bookmark131" w:history="1">
              <w:r w:rsidR="003978BF" w:rsidRPr="00C405EF">
                <w:rPr>
                  <w:color w:val="000000" w:themeColor="text1"/>
                  <w:sz w:val="20"/>
                  <w:szCs w:val="20"/>
                </w:rPr>
                <w:t>Wang et al. (2020)</w:t>
              </w:r>
            </w:hyperlink>
          </w:p>
        </w:tc>
      </w:tr>
      <w:tr w:rsidR="003978BF" w:rsidRPr="00C405EF" w14:paraId="53ED0C9D" w14:textId="77777777" w:rsidTr="008D09BE">
        <w:trPr>
          <w:trHeight w:val="248"/>
        </w:trPr>
        <w:tc>
          <w:tcPr>
            <w:tcW w:w="3222" w:type="dxa"/>
          </w:tcPr>
          <w:p w14:paraId="148F605E"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Kallar Estuary</w:t>
            </w:r>
          </w:p>
        </w:tc>
        <w:tc>
          <w:tcPr>
            <w:tcW w:w="788" w:type="dxa"/>
          </w:tcPr>
          <w:p w14:paraId="5B70C2B9" w14:textId="77777777" w:rsidR="003978BF" w:rsidRPr="00C405EF" w:rsidRDefault="003978BF" w:rsidP="008D09BE">
            <w:pPr>
              <w:pStyle w:val="TableParagraph"/>
              <w:spacing w:before="36"/>
              <w:ind w:left="127"/>
              <w:rPr>
                <w:color w:val="000000" w:themeColor="text1"/>
                <w:sz w:val="20"/>
                <w:szCs w:val="20"/>
              </w:rPr>
            </w:pPr>
            <w:r w:rsidRPr="00C405EF">
              <w:rPr>
                <w:color w:val="000000" w:themeColor="text1"/>
                <w:sz w:val="20"/>
                <w:szCs w:val="20"/>
              </w:rPr>
              <w:t>7.30</w:t>
            </w:r>
          </w:p>
        </w:tc>
        <w:tc>
          <w:tcPr>
            <w:tcW w:w="921" w:type="dxa"/>
          </w:tcPr>
          <w:p w14:paraId="0FEB257A"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10.12</w:t>
            </w:r>
          </w:p>
        </w:tc>
        <w:tc>
          <w:tcPr>
            <w:tcW w:w="921" w:type="dxa"/>
          </w:tcPr>
          <w:p w14:paraId="4B096CDF" w14:textId="77777777" w:rsidR="003978BF" w:rsidRPr="00C405EF" w:rsidRDefault="003978BF" w:rsidP="008D09BE">
            <w:pPr>
              <w:pStyle w:val="TableParagraph"/>
              <w:spacing w:before="36"/>
              <w:ind w:left="125"/>
              <w:rPr>
                <w:color w:val="000000" w:themeColor="text1"/>
                <w:sz w:val="20"/>
                <w:szCs w:val="20"/>
              </w:rPr>
            </w:pPr>
            <w:r w:rsidRPr="00C405EF">
              <w:rPr>
                <w:color w:val="000000" w:themeColor="text1"/>
                <w:sz w:val="20"/>
                <w:szCs w:val="20"/>
              </w:rPr>
              <w:t>3.61</w:t>
            </w:r>
          </w:p>
        </w:tc>
        <w:tc>
          <w:tcPr>
            <w:tcW w:w="752" w:type="dxa"/>
          </w:tcPr>
          <w:p w14:paraId="43A27FA7"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29.11</w:t>
            </w:r>
          </w:p>
        </w:tc>
        <w:tc>
          <w:tcPr>
            <w:tcW w:w="1109" w:type="dxa"/>
          </w:tcPr>
          <w:p w14:paraId="4C07FEF0"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India</w:t>
            </w:r>
          </w:p>
        </w:tc>
        <w:tc>
          <w:tcPr>
            <w:tcW w:w="2041" w:type="dxa"/>
          </w:tcPr>
          <w:p w14:paraId="69CC0BC9" w14:textId="77777777" w:rsidR="003978BF" w:rsidRPr="00C405EF" w:rsidRDefault="007B3D3C" w:rsidP="008D09BE">
            <w:pPr>
              <w:pStyle w:val="TableParagraph"/>
              <w:spacing w:before="36"/>
              <w:rPr>
                <w:color w:val="000000" w:themeColor="text1"/>
                <w:sz w:val="20"/>
                <w:szCs w:val="20"/>
              </w:rPr>
            </w:pPr>
            <w:hyperlink w:anchor="_bookmark85" w:history="1">
              <w:r w:rsidR="003978BF" w:rsidRPr="00C405EF">
                <w:rPr>
                  <w:color w:val="000000" w:themeColor="text1"/>
                  <w:sz w:val="20"/>
                  <w:szCs w:val="20"/>
                </w:rPr>
                <w:t>Magesh et al. (2013)</w:t>
              </w:r>
            </w:hyperlink>
          </w:p>
        </w:tc>
      </w:tr>
      <w:tr w:rsidR="003978BF" w:rsidRPr="00C405EF" w14:paraId="5334EBC8" w14:textId="77777777" w:rsidTr="008D09BE">
        <w:trPr>
          <w:trHeight w:val="248"/>
        </w:trPr>
        <w:tc>
          <w:tcPr>
            <w:tcW w:w="3222" w:type="dxa"/>
          </w:tcPr>
          <w:p w14:paraId="4809C0C5" w14:textId="77777777" w:rsidR="003978BF" w:rsidRPr="00C405EF" w:rsidRDefault="003978BF" w:rsidP="008D09BE">
            <w:pPr>
              <w:pStyle w:val="TableParagraph"/>
              <w:spacing w:before="35"/>
              <w:ind w:left="139"/>
              <w:rPr>
                <w:color w:val="000000" w:themeColor="text1"/>
                <w:sz w:val="20"/>
                <w:szCs w:val="20"/>
              </w:rPr>
            </w:pPr>
            <w:r w:rsidRPr="00C405EF">
              <w:rPr>
                <w:color w:val="000000" w:themeColor="text1"/>
                <w:sz w:val="20"/>
                <w:szCs w:val="20"/>
              </w:rPr>
              <w:t>Korampallam Creek</w:t>
            </w:r>
          </w:p>
        </w:tc>
        <w:tc>
          <w:tcPr>
            <w:tcW w:w="788" w:type="dxa"/>
          </w:tcPr>
          <w:p w14:paraId="39352853"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sz w:val="20"/>
                <w:szCs w:val="20"/>
              </w:rPr>
              <w:t>5.06</w:t>
            </w:r>
          </w:p>
        </w:tc>
        <w:tc>
          <w:tcPr>
            <w:tcW w:w="921" w:type="dxa"/>
          </w:tcPr>
          <w:p w14:paraId="4758BB10"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26.85</w:t>
            </w:r>
          </w:p>
        </w:tc>
        <w:tc>
          <w:tcPr>
            <w:tcW w:w="921" w:type="dxa"/>
          </w:tcPr>
          <w:p w14:paraId="320D3685" w14:textId="77777777" w:rsidR="003978BF" w:rsidRPr="00C405EF" w:rsidRDefault="003978BF" w:rsidP="008D09BE">
            <w:pPr>
              <w:pStyle w:val="TableParagraph"/>
              <w:spacing w:before="35"/>
              <w:ind w:left="125"/>
              <w:rPr>
                <w:color w:val="000000" w:themeColor="text1"/>
                <w:sz w:val="20"/>
                <w:szCs w:val="20"/>
              </w:rPr>
            </w:pPr>
            <w:r w:rsidRPr="00C405EF">
              <w:rPr>
                <w:color w:val="000000" w:themeColor="text1"/>
                <w:sz w:val="20"/>
                <w:szCs w:val="20"/>
              </w:rPr>
              <w:t>5.29</w:t>
            </w:r>
          </w:p>
        </w:tc>
        <w:tc>
          <w:tcPr>
            <w:tcW w:w="752" w:type="dxa"/>
          </w:tcPr>
          <w:p w14:paraId="3FF160C3"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67.38</w:t>
            </w:r>
          </w:p>
        </w:tc>
        <w:tc>
          <w:tcPr>
            <w:tcW w:w="1109" w:type="dxa"/>
          </w:tcPr>
          <w:p w14:paraId="2A19E784"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India</w:t>
            </w:r>
          </w:p>
        </w:tc>
        <w:tc>
          <w:tcPr>
            <w:tcW w:w="2041" w:type="dxa"/>
          </w:tcPr>
          <w:p w14:paraId="3ED38227" w14:textId="77777777" w:rsidR="003978BF" w:rsidRPr="00C405EF" w:rsidRDefault="007B3D3C" w:rsidP="008D09BE">
            <w:pPr>
              <w:pStyle w:val="TableParagraph"/>
              <w:spacing w:before="35"/>
              <w:rPr>
                <w:color w:val="000000" w:themeColor="text1"/>
                <w:sz w:val="20"/>
                <w:szCs w:val="20"/>
              </w:rPr>
            </w:pPr>
            <w:hyperlink w:anchor="_bookmark85" w:history="1">
              <w:r w:rsidR="003978BF" w:rsidRPr="00C405EF">
                <w:rPr>
                  <w:color w:val="000000" w:themeColor="text1"/>
                  <w:sz w:val="20"/>
                  <w:szCs w:val="20"/>
                </w:rPr>
                <w:t>Magesh et al. (2013)</w:t>
              </w:r>
            </w:hyperlink>
          </w:p>
        </w:tc>
      </w:tr>
      <w:tr w:rsidR="003978BF" w:rsidRPr="00C405EF" w14:paraId="59569A2E" w14:textId="77777777" w:rsidTr="008D09BE">
        <w:trPr>
          <w:trHeight w:val="249"/>
        </w:trPr>
        <w:tc>
          <w:tcPr>
            <w:tcW w:w="3222" w:type="dxa"/>
          </w:tcPr>
          <w:p w14:paraId="30463ACA"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Punnakayal Estuary</w:t>
            </w:r>
          </w:p>
        </w:tc>
        <w:tc>
          <w:tcPr>
            <w:tcW w:w="788" w:type="dxa"/>
          </w:tcPr>
          <w:p w14:paraId="114A16C6" w14:textId="77777777" w:rsidR="003978BF" w:rsidRPr="00C405EF" w:rsidRDefault="003978BF" w:rsidP="008D09BE">
            <w:pPr>
              <w:pStyle w:val="TableParagraph"/>
              <w:spacing w:before="36"/>
              <w:ind w:left="127"/>
              <w:rPr>
                <w:color w:val="000000" w:themeColor="text1"/>
                <w:sz w:val="20"/>
                <w:szCs w:val="20"/>
              </w:rPr>
            </w:pPr>
            <w:r w:rsidRPr="00C405EF">
              <w:rPr>
                <w:color w:val="000000" w:themeColor="text1"/>
                <w:sz w:val="20"/>
                <w:szCs w:val="20"/>
              </w:rPr>
              <w:t>5.69</w:t>
            </w:r>
          </w:p>
        </w:tc>
        <w:tc>
          <w:tcPr>
            <w:tcW w:w="921" w:type="dxa"/>
          </w:tcPr>
          <w:p w14:paraId="62587707"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9.34</w:t>
            </w:r>
          </w:p>
        </w:tc>
        <w:tc>
          <w:tcPr>
            <w:tcW w:w="921" w:type="dxa"/>
          </w:tcPr>
          <w:p w14:paraId="76DB4438" w14:textId="77777777" w:rsidR="003978BF" w:rsidRPr="00C405EF" w:rsidRDefault="003978BF" w:rsidP="008D09BE">
            <w:pPr>
              <w:pStyle w:val="TableParagraph"/>
              <w:spacing w:before="36"/>
              <w:ind w:left="125"/>
              <w:rPr>
                <w:color w:val="000000" w:themeColor="text1"/>
                <w:sz w:val="20"/>
                <w:szCs w:val="20"/>
              </w:rPr>
            </w:pPr>
            <w:r w:rsidRPr="00C405EF">
              <w:rPr>
                <w:color w:val="000000" w:themeColor="text1"/>
                <w:sz w:val="20"/>
                <w:szCs w:val="20"/>
              </w:rPr>
              <w:t>10.40</w:t>
            </w:r>
          </w:p>
        </w:tc>
        <w:tc>
          <w:tcPr>
            <w:tcW w:w="752" w:type="dxa"/>
          </w:tcPr>
          <w:p w14:paraId="54D52223"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28.13</w:t>
            </w:r>
          </w:p>
        </w:tc>
        <w:tc>
          <w:tcPr>
            <w:tcW w:w="1109" w:type="dxa"/>
          </w:tcPr>
          <w:p w14:paraId="0F8B740E"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India</w:t>
            </w:r>
          </w:p>
        </w:tc>
        <w:tc>
          <w:tcPr>
            <w:tcW w:w="2041" w:type="dxa"/>
          </w:tcPr>
          <w:p w14:paraId="73F000AB" w14:textId="77777777" w:rsidR="003978BF" w:rsidRPr="00C405EF" w:rsidRDefault="007B3D3C" w:rsidP="008D09BE">
            <w:pPr>
              <w:pStyle w:val="TableParagraph"/>
              <w:spacing w:before="36"/>
              <w:rPr>
                <w:color w:val="000000" w:themeColor="text1"/>
                <w:sz w:val="20"/>
                <w:szCs w:val="20"/>
              </w:rPr>
            </w:pPr>
            <w:hyperlink w:anchor="_bookmark85" w:history="1">
              <w:r w:rsidR="003978BF" w:rsidRPr="00C405EF">
                <w:rPr>
                  <w:color w:val="000000" w:themeColor="text1"/>
                  <w:sz w:val="20"/>
                  <w:szCs w:val="20"/>
                </w:rPr>
                <w:t>Magesh et al. (2013)</w:t>
              </w:r>
            </w:hyperlink>
          </w:p>
        </w:tc>
      </w:tr>
      <w:tr w:rsidR="003978BF" w:rsidRPr="00C405EF" w14:paraId="7BF4B21F" w14:textId="77777777" w:rsidTr="008D09BE">
        <w:trPr>
          <w:trHeight w:val="248"/>
        </w:trPr>
        <w:tc>
          <w:tcPr>
            <w:tcW w:w="3222" w:type="dxa"/>
          </w:tcPr>
          <w:p w14:paraId="6A65AC80"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Ennmore coast</w:t>
            </w:r>
          </w:p>
        </w:tc>
        <w:tc>
          <w:tcPr>
            <w:tcW w:w="788" w:type="dxa"/>
          </w:tcPr>
          <w:p w14:paraId="5997A9E0"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2A5CEE7D"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148.6–243.2</w:t>
            </w:r>
          </w:p>
        </w:tc>
        <w:tc>
          <w:tcPr>
            <w:tcW w:w="921" w:type="dxa"/>
          </w:tcPr>
          <w:p w14:paraId="4A35EB68"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4.6–7.5</w:t>
            </w:r>
          </w:p>
        </w:tc>
        <w:tc>
          <w:tcPr>
            <w:tcW w:w="752" w:type="dxa"/>
          </w:tcPr>
          <w:p w14:paraId="1194BEE3"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24.9–40</w:t>
            </w:r>
          </w:p>
        </w:tc>
        <w:tc>
          <w:tcPr>
            <w:tcW w:w="1109" w:type="dxa"/>
          </w:tcPr>
          <w:p w14:paraId="126BD698"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India</w:t>
            </w:r>
          </w:p>
        </w:tc>
        <w:tc>
          <w:tcPr>
            <w:tcW w:w="2041" w:type="dxa"/>
          </w:tcPr>
          <w:p w14:paraId="4E144DAD" w14:textId="77777777" w:rsidR="003978BF" w:rsidRPr="00C405EF" w:rsidRDefault="007B3D3C" w:rsidP="008D09BE">
            <w:pPr>
              <w:pStyle w:val="TableParagraph"/>
              <w:spacing w:before="36"/>
              <w:rPr>
                <w:color w:val="000000" w:themeColor="text1"/>
                <w:sz w:val="20"/>
                <w:szCs w:val="20"/>
              </w:rPr>
            </w:pPr>
            <w:hyperlink w:anchor="_bookmark100" w:history="1">
              <w:r w:rsidR="003978BF" w:rsidRPr="00C405EF">
                <w:rPr>
                  <w:color w:val="000000" w:themeColor="text1"/>
                  <w:sz w:val="20"/>
                  <w:szCs w:val="20"/>
                </w:rPr>
                <w:t>Raj and Jayaprakash, (2008)</w:t>
              </w:r>
            </w:hyperlink>
          </w:p>
        </w:tc>
      </w:tr>
      <w:tr w:rsidR="003978BF" w:rsidRPr="00C405EF" w14:paraId="62B05BD7" w14:textId="77777777" w:rsidTr="008D09BE">
        <w:trPr>
          <w:trHeight w:val="248"/>
        </w:trPr>
        <w:tc>
          <w:tcPr>
            <w:tcW w:w="3222" w:type="dxa"/>
          </w:tcPr>
          <w:p w14:paraId="75624C04" w14:textId="77777777" w:rsidR="003978BF" w:rsidRPr="00C405EF" w:rsidRDefault="003978BF" w:rsidP="008D09BE">
            <w:pPr>
              <w:pStyle w:val="TableParagraph"/>
              <w:spacing w:before="35"/>
              <w:ind w:left="139"/>
              <w:rPr>
                <w:color w:val="000000" w:themeColor="text1"/>
                <w:sz w:val="20"/>
                <w:szCs w:val="20"/>
              </w:rPr>
            </w:pPr>
            <w:r w:rsidRPr="00C405EF">
              <w:rPr>
                <w:color w:val="000000" w:themeColor="text1"/>
                <w:sz w:val="20"/>
                <w:szCs w:val="20"/>
              </w:rPr>
              <w:t>Vellar estuary</w:t>
            </w:r>
          </w:p>
        </w:tc>
        <w:tc>
          <w:tcPr>
            <w:tcW w:w="788" w:type="dxa"/>
          </w:tcPr>
          <w:p w14:paraId="570B1FED"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60D4A548"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38</w:t>
            </w:r>
          </w:p>
        </w:tc>
        <w:tc>
          <w:tcPr>
            <w:tcW w:w="921" w:type="dxa"/>
          </w:tcPr>
          <w:p w14:paraId="58D5A15B"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5"/>
                <w:sz w:val="20"/>
                <w:szCs w:val="20"/>
              </w:rPr>
              <w:t>7</w:t>
            </w:r>
          </w:p>
        </w:tc>
        <w:tc>
          <w:tcPr>
            <w:tcW w:w="752" w:type="dxa"/>
          </w:tcPr>
          <w:p w14:paraId="169C16F9"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5"/>
                <w:sz w:val="20"/>
                <w:szCs w:val="20"/>
              </w:rPr>
              <w:t>6</w:t>
            </w:r>
          </w:p>
        </w:tc>
        <w:tc>
          <w:tcPr>
            <w:tcW w:w="1109" w:type="dxa"/>
          </w:tcPr>
          <w:p w14:paraId="7D2A0C0B"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India</w:t>
            </w:r>
          </w:p>
        </w:tc>
        <w:tc>
          <w:tcPr>
            <w:tcW w:w="2041" w:type="dxa"/>
          </w:tcPr>
          <w:p w14:paraId="511D0E09" w14:textId="77777777" w:rsidR="003978BF" w:rsidRPr="00C405EF" w:rsidRDefault="007B3D3C" w:rsidP="008D09BE">
            <w:pPr>
              <w:pStyle w:val="TableParagraph"/>
              <w:spacing w:before="35"/>
              <w:rPr>
                <w:color w:val="000000" w:themeColor="text1"/>
                <w:sz w:val="20"/>
                <w:szCs w:val="20"/>
              </w:rPr>
            </w:pPr>
            <w:hyperlink w:anchor="_bookmark101" w:history="1">
              <w:r w:rsidR="003978BF" w:rsidRPr="00C405EF">
                <w:rPr>
                  <w:color w:val="000000" w:themeColor="text1"/>
                  <w:sz w:val="20"/>
                  <w:szCs w:val="20"/>
                </w:rPr>
                <w:t>Ramanathan et al. (1999)</w:t>
              </w:r>
            </w:hyperlink>
          </w:p>
        </w:tc>
      </w:tr>
      <w:tr w:rsidR="003978BF" w:rsidRPr="00C405EF" w14:paraId="560CC87D" w14:textId="77777777" w:rsidTr="008D09BE">
        <w:trPr>
          <w:trHeight w:val="248"/>
        </w:trPr>
        <w:tc>
          <w:tcPr>
            <w:tcW w:w="3222" w:type="dxa"/>
          </w:tcPr>
          <w:p w14:paraId="22C02884"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Pichavaram mangrove</w:t>
            </w:r>
          </w:p>
        </w:tc>
        <w:tc>
          <w:tcPr>
            <w:tcW w:w="788" w:type="dxa"/>
          </w:tcPr>
          <w:p w14:paraId="40DF0886"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4756DBD7"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141.2</w:t>
            </w:r>
          </w:p>
        </w:tc>
        <w:tc>
          <w:tcPr>
            <w:tcW w:w="921" w:type="dxa"/>
          </w:tcPr>
          <w:p w14:paraId="6A3C94CE"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6.60</w:t>
            </w:r>
          </w:p>
        </w:tc>
        <w:tc>
          <w:tcPr>
            <w:tcW w:w="752" w:type="dxa"/>
          </w:tcPr>
          <w:p w14:paraId="31258A8A"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11.2</w:t>
            </w:r>
          </w:p>
        </w:tc>
        <w:tc>
          <w:tcPr>
            <w:tcW w:w="1109" w:type="dxa"/>
          </w:tcPr>
          <w:p w14:paraId="08409299"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India</w:t>
            </w:r>
          </w:p>
        </w:tc>
        <w:tc>
          <w:tcPr>
            <w:tcW w:w="2041" w:type="dxa"/>
          </w:tcPr>
          <w:p w14:paraId="3044AF7B" w14:textId="77777777" w:rsidR="003978BF" w:rsidRPr="00C405EF" w:rsidRDefault="007B3D3C" w:rsidP="008D09BE">
            <w:pPr>
              <w:pStyle w:val="TableParagraph"/>
              <w:spacing w:before="36"/>
              <w:rPr>
                <w:color w:val="000000" w:themeColor="text1"/>
                <w:sz w:val="20"/>
                <w:szCs w:val="20"/>
              </w:rPr>
            </w:pPr>
            <w:hyperlink w:anchor="_bookmark101" w:history="1">
              <w:r w:rsidR="003978BF" w:rsidRPr="00C405EF">
                <w:rPr>
                  <w:color w:val="000000" w:themeColor="text1"/>
                  <w:sz w:val="20"/>
                  <w:szCs w:val="20"/>
                </w:rPr>
                <w:t>Ramanathan et al. (1999)</w:t>
              </w:r>
            </w:hyperlink>
          </w:p>
        </w:tc>
      </w:tr>
      <w:tr w:rsidR="003978BF" w:rsidRPr="00C405EF" w14:paraId="2CD92C52" w14:textId="77777777" w:rsidTr="008D09BE">
        <w:trPr>
          <w:trHeight w:val="248"/>
        </w:trPr>
        <w:tc>
          <w:tcPr>
            <w:tcW w:w="3222" w:type="dxa"/>
          </w:tcPr>
          <w:p w14:paraId="43745633" w14:textId="77777777" w:rsidR="003978BF" w:rsidRPr="00C405EF" w:rsidRDefault="003978BF" w:rsidP="008D09BE">
            <w:pPr>
              <w:pStyle w:val="TableParagraph"/>
              <w:spacing w:before="35"/>
              <w:ind w:left="139"/>
              <w:rPr>
                <w:color w:val="000000" w:themeColor="text1"/>
                <w:sz w:val="20"/>
                <w:szCs w:val="20"/>
              </w:rPr>
            </w:pPr>
            <w:r w:rsidRPr="00C405EF">
              <w:rPr>
                <w:color w:val="000000" w:themeColor="text1"/>
                <w:sz w:val="20"/>
                <w:szCs w:val="20"/>
              </w:rPr>
              <w:t>Coleroon Estuary</w:t>
            </w:r>
          </w:p>
        </w:tc>
        <w:tc>
          <w:tcPr>
            <w:tcW w:w="788" w:type="dxa"/>
          </w:tcPr>
          <w:p w14:paraId="611BC6DB"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01A8A1B8"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49.6</w:t>
            </w:r>
          </w:p>
        </w:tc>
        <w:tc>
          <w:tcPr>
            <w:tcW w:w="921" w:type="dxa"/>
          </w:tcPr>
          <w:p w14:paraId="3D50C15F" w14:textId="77777777" w:rsidR="003978BF" w:rsidRPr="00C405EF" w:rsidRDefault="003978BF" w:rsidP="008D09BE">
            <w:pPr>
              <w:pStyle w:val="TableParagraph"/>
              <w:spacing w:before="35"/>
              <w:ind w:left="125"/>
              <w:rPr>
                <w:color w:val="000000" w:themeColor="text1"/>
                <w:sz w:val="20"/>
                <w:szCs w:val="20"/>
              </w:rPr>
            </w:pPr>
            <w:r w:rsidRPr="00C405EF">
              <w:rPr>
                <w:color w:val="000000" w:themeColor="text1"/>
                <w:sz w:val="20"/>
                <w:szCs w:val="20"/>
              </w:rPr>
              <w:t>8.60</w:t>
            </w:r>
          </w:p>
        </w:tc>
        <w:tc>
          <w:tcPr>
            <w:tcW w:w="752" w:type="dxa"/>
          </w:tcPr>
          <w:p w14:paraId="5E1735D3"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4.60</w:t>
            </w:r>
          </w:p>
        </w:tc>
        <w:tc>
          <w:tcPr>
            <w:tcW w:w="1109" w:type="dxa"/>
          </w:tcPr>
          <w:p w14:paraId="3B78BC90"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India</w:t>
            </w:r>
          </w:p>
        </w:tc>
        <w:tc>
          <w:tcPr>
            <w:tcW w:w="2041" w:type="dxa"/>
          </w:tcPr>
          <w:p w14:paraId="21E6C325" w14:textId="77777777" w:rsidR="003978BF" w:rsidRPr="00C405EF" w:rsidRDefault="007B3D3C" w:rsidP="008D09BE">
            <w:pPr>
              <w:pStyle w:val="TableParagraph"/>
              <w:spacing w:before="35"/>
              <w:rPr>
                <w:color w:val="000000" w:themeColor="text1"/>
                <w:sz w:val="20"/>
                <w:szCs w:val="20"/>
              </w:rPr>
            </w:pPr>
            <w:hyperlink w:anchor="_bookmark101" w:history="1">
              <w:r w:rsidR="003978BF" w:rsidRPr="00C405EF">
                <w:rPr>
                  <w:color w:val="000000" w:themeColor="text1"/>
                  <w:sz w:val="20"/>
                  <w:szCs w:val="20"/>
                </w:rPr>
                <w:t>Ramanathan et al. (1999)</w:t>
              </w:r>
            </w:hyperlink>
          </w:p>
        </w:tc>
      </w:tr>
      <w:tr w:rsidR="003978BF" w:rsidRPr="00C405EF" w14:paraId="55433AC4" w14:textId="77777777" w:rsidTr="008D09BE">
        <w:trPr>
          <w:trHeight w:val="249"/>
        </w:trPr>
        <w:tc>
          <w:tcPr>
            <w:tcW w:w="3222" w:type="dxa"/>
          </w:tcPr>
          <w:p w14:paraId="22862360"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Boston Harbor</w:t>
            </w:r>
          </w:p>
        </w:tc>
        <w:tc>
          <w:tcPr>
            <w:tcW w:w="788" w:type="dxa"/>
          </w:tcPr>
          <w:p w14:paraId="0F07EEB2"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3E5CEDD1"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231.5</w:t>
            </w:r>
          </w:p>
        </w:tc>
        <w:tc>
          <w:tcPr>
            <w:tcW w:w="921" w:type="dxa"/>
          </w:tcPr>
          <w:p w14:paraId="0E1C4BE3"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752" w:type="dxa"/>
          </w:tcPr>
          <w:p w14:paraId="6E97F896"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135</w:t>
            </w:r>
          </w:p>
        </w:tc>
        <w:tc>
          <w:tcPr>
            <w:tcW w:w="1109" w:type="dxa"/>
          </w:tcPr>
          <w:p w14:paraId="57288A60"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United States</w:t>
            </w:r>
          </w:p>
        </w:tc>
        <w:tc>
          <w:tcPr>
            <w:tcW w:w="2041" w:type="dxa"/>
          </w:tcPr>
          <w:p w14:paraId="495176B1" w14:textId="77777777" w:rsidR="003978BF" w:rsidRPr="00C405EF" w:rsidRDefault="007B3D3C" w:rsidP="008D09BE">
            <w:pPr>
              <w:pStyle w:val="TableParagraph"/>
              <w:spacing w:before="36"/>
              <w:rPr>
                <w:color w:val="000000" w:themeColor="text1"/>
                <w:sz w:val="20"/>
                <w:szCs w:val="20"/>
              </w:rPr>
            </w:pPr>
            <w:hyperlink w:anchor="_bookmark32" w:history="1">
              <w:r w:rsidR="003978BF" w:rsidRPr="00C405EF">
                <w:rPr>
                  <w:color w:val="000000" w:themeColor="text1"/>
                  <w:sz w:val="20"/>
                  <w:szCs w:val="20"/>
                </w:rPr>
                <w:t>Bothner et al. (1998)</w:t>
              </w:r>
            </w:hyperlink>
          </w:p>
        </w:tc>
      </w:tr>
      <w:tr w:rsidR="003978BF" w:rsidRPr="00C405EF" w14:paraId="77F2D43C" w14:textId="77777777" w:rsidTr="008D09BE">
        <w:trPr>
          <w:trHeight w:val="249"/>
        </w:trPr>
        <w:tc>
          <w:tcPr>
            <w:tcW w:w="3222" w:type="dxa"/>
          </w:tcPr>
          <w:p w14:paraId="0F326293"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 xml:space="preserve">Hooghly river estuary </w:t>
            </w:r>
          </w:p>
        </w:tc>
        <w:tc>
          <w:tcPr>
            <w:tcW w:w="788" w:type="dxa"/>
          </w:tcPr>
          <w:p w14:paraId="1AFC4E10" w14:textId="77777777" w:rsidR="003978BF" w:rsidRPr="00C405EF" w:rsidRDefault="003978BF" w:rsidP="008D09BE">
            <w:pPr>
              <w:pStyle w:val="TableParagraph"/>
              <w:spacing w:before="35"/>
              <w:ind w:left="127"/>
              <w:rPr>
                <w:color w:val="000000" w:themeColor="text1"/>
                <w:w w:val="91"/>
                <w:sz w:val="20"/>
                <w:szCs w:val="20"/>
              </w:rPr>
            </w:pPr>
            <w:r w:rsidRPr="00C405EF">
              <w:rPr>
                <w:color w:val="000000" w:themeColor="text1"/>
                <w:w w:val="91"/>
                <w:sz w:val="20"/>
                <w:szCs w:val="20"/>
              </w:rPr>
              <w:t>12.50</w:t>
            </w:r>
          </w:p>
        </w:tc>
        <w:tc>
          <w:tcPr>
            <w:tcW w:w="921" w:type="dxa"/>
          </w:tcPr>
          <w:p w14:paraId="5C4B792D"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250.50</w:t>
            </w:r>
          </w:p>
        </w:tc>
        <w:tc>
          <w:tcPr>
            <w:tcW w:w="921" w:type="dxa"/>
          </w:tcPr>
          <w:p w14:paraId="5674AA7C" w14:textId="77777777" w:rsidR="003978BF" w:rsidRPr="00C405EF" w:rsidRDefault="003978BF" w:rsidP="008D09BE">
            <w:pPr>
              <w:pStyle w:val="TableParagraph"/>
              <w:spacing w:before="35"/>
              <w:rPr>
                <w:color w:val="000000" w:themeColor="text1"/>
                <w:w w:val="91"/>
                <w:sz w:val="20"/>
                <w:szCs w:val="20"/>
              </w:rPr>
            </w:pPr>
            <w:r w:rsidRPr="00C405EF">
              <w:rPr>
                <w:color w:val="000000" w:themeColor="text1"/>
                <w:w w:val="91"/>
                <w:sz w:val="20"/>
                <w:szCs w:val="20"/>
              </w:rPr>
              <w:t>5.80</w:t>
            </w:r>
          </w:p>
        </w:tc>
        <w:tc>
          <w:tcPr>
            <w:tcW w:w="752" w:type="dxa"/>
          </w:tcPr>
          <w:p w14:paraId="54BD298B"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150</w:t>
            </w:r>
          </w:p>
        </w:tc>
        <w:tc>
          <w:tcPr>
            <w:tcW w:w="1109" w:type="dxa"/>
          </w:tcPr>
          <w:p w14:paraId="77EF92CF"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India</w:t>
            </w:r>
          </w:p>
        </w:tc>
        <w:tc>
          <w:tcPr>
            <w:tcW w:w="2041" w:type="dxa"/>
          </w:tcPr>
          <w:p w14:paraId="3CDFFCD2"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Mitra et al.,(2022)</w:t>
            </w:r>
          </w:p>
        </w:tc>
      </w:tr>
      <w:tr w:rsidR="003978BF" w:rsidRPr="00C405EF" w14:paraId="67F0522C" w14:textId="77777777" w:rsidTr="008D09BE">
        <w:trPr>
          <w:trHeight w:val="249"/>
        </w:trPr>
        <w:tc>
          <w:tcPr>
            <w:tcW w:w="3222" w:type="dxa"/>
          </w:tcPr>
          <w:p w14:paraId="39C4FABB"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Matla river estuary</w:t>
            </w:r>
          </w:p>
        </w:tc>
        <w:tc>
          <w:tcPr>
            <w:tcW w:w="788" w:type="dxa"/>
          </w:tcPr>
          <w:p w14:paraId="54D3B85E" w14:textId="77777777" w:rsidR="003978BF" w:rsidRPr="00C405EF" w:rsidRDefault="003978BF" w:rsidP="008D09BE">
            <w:pPr>
              <w:pStyle w:val="TableParagraph"/>
              <w:spacing w:before="35"/>
              <w:ind w:left="127"/>
              <w:rPr>
                <w:color w:val="000000" w:themeColor="text1"/>
                <w:w w:val="91"/>
                <w:sz w:val="20"/>
                <w:szCs w:val="20"/>
              </w:rPr>
            </w:pPr>
            <w:r w:rsidRPr="00C405EF">
              <w:rPr>
                <w:color w:val="000000" w:themeColor="text1"/>
                <w:w w:val="91"/>
                <w:sz w:val="20"/>
                <w:szCs w:val="20"/>
              </w:rPr>
              <w:t>15.50</w:t>
            </w:r>
          </w:p>
        </w:tc>
        <w:tc>
          <w:tcPr>
            <w:tcW w:w="921" w:type="dxa"/>
          </w:tcPr>
          <w:p w14:paraId="5954BF38"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245</w:t>
            </w:r>
          </w:p>
        </w:tc>
        <w:tc>
          <w:tcPr>
            <w:tcW w:w="921" w:type="dxa"/>
          </w:tcPr>
          <w:p w14:paraId="2338B5B7" w14:textId="77777777" w:rsidR="003978BF" w:rsidRPr="00C405EF" w:rsidRDefault="003978BF" w:rsidP="008D09BE">
            <w:pPr>
              <w:pStyle w:val="TableParagraph"/>
              <w:spacing w:before="35"/>
              <w:rPr>
                <w:color w:val="000000" w:themeColor="text1"/>
                <w:w w:val="91"/>
                <w:sz w:val="20"/>
                <w:szCs w:val="20"/>
              </w:rPr>
            </w:pPr>
            <w:r w:rsidRPr="00C405EF">
              <w:rPr>
                <w:color w:val="000000" w:themeColor="text1"/>
                <w:w w:val="91"/>
                <w:sz w:val="20"/>
                <w:szCs w:val="20"/>
              </w:rPr>
              <w:t>6.50</w:t>
            </w:r>
          </w:p>
        </w:tc>
        <w:tc>
          <w:tcPr>
            <w:tcW w:w="752" w:type="dxa"/>
          </w:tcPr>
          <w:p w14:paraId="519FF64F"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180</w:t>
            </w:r>
          </w:p>
        </w:tc>
        <w:tc>
          <w:tcPr>
            <w:tcW w:w="1109" w:type="dxa"/>
          </w:tcPr>
          <w:p w14:paraId="00B923D2"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India</w:t>
            </w:r>
          </w:p>
        </w:tc>
        <w:tc>
          <w:tcPr>
            <w:tcW w:w="2041" w:type="dxa"/>
          </w:tcPr>
          <w:p w14:paraId="599FF113"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Barua et al., (2012)</w:t>
            </w:r>
          </w:p>
        </w:tc>
      </w:tr>
      <w:tr w:rsidR="003978BF" w:rsidRPr="00C405EF" w14:paraId="729C566A" w14:textId="77777777" w:rsidTr="008D09BE">
        <w:trPr>
          <w:trHeight w:val="244"/>
        </w:trPr>
        <w:tc>
          <w:tcPr>
            <w:tcW w:w="3222" w:type="dxa"/>
          </w:tcPr>
          <w:p w14:paraId="098D5959"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Tokyo Bay</w:t>
            </w:r>
          </w:p>
        </w:tc>
        <w:tc>
          <w:tcPr>
            <w:tcW w:w="788" w:type="dxa"/>
          </w:tcPr>
          <w:p w14:paraId="0EA96C60"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14AF4577"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77.3</w:t>
            </w:r>
          </w:p>
        </w:tc>
        <w:tc>
          <w:tcPr>
            <w:tcW w:w="921" w:type="dxa"/>
          </w:tcPr>
          <w:p w14:paraId="2308AE9D" w14:textId="77777777" w:rsidR="003978BF" w:rsidRPr="00C405EF" w:rsidRDefault="003978BF" w:rsidP="008D09BE">
            <w:pPr>
              <w:pStyle w:val="TableParagraph"/>
              <w:spacing w:before="36"/>
              <w:ind w:left="125"/>
              <w:rPr>
                <w:color w:val="000000" w:themeColor="text1"/>
                <w:sz w:val="20"/>
                <w:szCs w:val="20"/>
              </w:rPr>
            </w:pPr>
            <w:r w:rsidRPr="00C405EF">
              <w:rPr>
                <w:color w:val="000000" w:themeColor="text1"/>
                <w:sz w:val="20"/>
                <w:szCs w:val="20"/>
              </w:rPr>
              <w:t>0.996</w:t>
            </w:r>
          </w:p>
        </w:tc>
        <w:tc>
          <w:tcPr>
            <w:tcW w:w="752" w:type="dxa"/>
          </w:tcPr>
          <w:p w14:paraId="1F1F8259"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50.68</w:t>
            </w:r>
          </w:p>
        </w:tc>
        <w:tc>
          <w:tcPr>
            <w:tcW w:w="1109" w:type="dxa"/>
          </w:tcPr>
          <w:p w14:paraId="16D8447C"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Japan</w:t>
            </w:r>
          </w:p>
        </w:tc>
        <w:tc>
          <w:tcPr>
            <w:tcW w:w="2041" w:type="dxa"/>
          </w:tcPr>
          <w:p w14:paraId="01C80CB6" w14:textId="77777777" w:rsidR="003978BF" w:rsidRPr="00C405EF" w:rsidRDefault="007B3D3C" w:rsidP="008D09BE">
            <w:pPr>
              <w:pStyle w:val="TableParagraph"/>
              <w:spacing w:before="36"/>
              <w:rPr>
                <w:color w:val="000000" w:themeColor="text1"/>
                <w:sz w:val="20"/>
                <w:szCs w:val="20"/>
              </w:rPr>
            </w:pPr>
            <w:hyperlink w:anchor="_bookmark46" w:history="1">
              <w:r w:rsidR="003978BF" w:rsidRPr="00C405EF">
                <w:rPr>
                  <w:color w:val="000000" w:themeColor="text1"/>
                  <w:sz w:val="20"/>
                  <w:szCs w:val="20"/>
                </w:rPr>
                <w:t>Fukushima et al. (1992)</w:t>
              </w:r>
            </w:hyperlink>
          </w:p>
        </w:tc>
      </w:tr>
      <w:tr w:rsidR="003978BF" w:rsidRPr="00C405EF" w14:paraId="02B36B1F" w14:textId="77777777" w:rsidTr="008D09BE">
        <w:trPr>
          <w:trHeight w:val="328"/>
        </w:trPr>
        <w:tc>
          <w:tcPr>
            <w:tcW w:w="3222" w:type="dxa"/>
          </w:tcPr>
          <w:p w14:paraId="72AC1878" w14:textId="77777777" w:rsidR="003978BF" w:rsidRPr="00C405EF" w:rsidRDefault="003978BF" w:rsidP="008D09BE">
            <w:pPr>
              <w:pStyle w:val="TableParagraph"/>
              <w:spacing w:before="115"/>
              <w:ind w:left="139"/>
              <w:rPr>
                <w:color w:val="000000" w:themeColor="text1"/>
                <w:sz w:val="20"/>
                <w:szCs w:val="20"/>
              </w:rPr>
            </w:pPr>
            <w:r w:rsidRPr="00C405EF">
              <w:rPr>
                <w:color w:val="000000" w:themeColor="text1"/>
                <w:sz w:val="20"/>
                <w:szCs w:val="20"/>
              </w:rPr>
              <w:t>World Average</w:t>
            </w:r>
          </w:p>
        </w:tc>
        <w:tc>
          <w:tcPr>
            <w:tcW w:w="788" w:type="dxa"/>
          </w:tcPr>
          <w:p w14:paraId="4F339D04" w14:textId="77777777" w:rsidR="003978BF" w:rsidRPr="00C405EF" w:rsidRDefault="003978BF" w:rsidP="008D09BE">
            <w:pPr>
              <w:pStyle w:val="TableParagraph"/>
              <w:ind w:left="0"/>
              <w:rPr>
                <w:color w:val="000000" w:themeColor="text1"/>
                <w:sz w:val="20"/>
                <w:szCs w:val="20"/>
              </w:rPr>
            </w:pPr>
          </w:p>
        </w:tc>
        <w:tc>
          <w:tcPr>
            <w:tcW w:w="921" w:type="dxa"/>
          </w:tcPr>
          <w:p w14:paraId="0A1B922D" w14:textId="77777777" w:rsidR="003978BF" w:rsidRPr="00C405EF" w:rsidRDefault="003978BF" w:rsidP="008D09BE">
            <w:pPr>
              <w:pStyle w:val="TableParagraph"/>
              <w:spacing w:before="115"/>
              <w:rPr>
                <w:color w:val="000000" w:themeColor="text1"/>
                <w:sz w:val="20"/>
                <w:szCs w:val="20"/>
              </w:rPr>
            </w:pPr>
            <w:r w:rsidRPr="00C405EF">
              <w:rPr>
                <w:color w:val="000000" w:themeColor="text1"/>
                <w:sz w:val="20"/>
                <w:szCs w:val="20"/>
              </w:rPr>
              <w:t>100</w:t>
            </w:r>
          </w:p>
        </w:tc>
        <w:tc>
          <w:tcPr>
            <w:tcW w:w="921" w:type="dxa"/>
          </w:tcPr>
          <w:p w14:paraId="5EC37527" w14:textId="77777777" w:rsidR="003978BF" w:rsidRPr="00C405EF" w:rsidRDefault="003978BF" w:rsidP="008D09BE">
            <w:pPr>
              <w:pStyle w:val="TableParagraph"/>
              <w:ind w:left="0"/>
              <w:rPr>
                <w:color w:val="000000" w:themeColor="text1"/>
                <w:sz w:val="20"/>
                <w:szCs w:val="20"/>
              </w:rPr>
            </w:pPr>
          </w:p>
        </w:tc>
        <w:tc>
          <w:tcPr>
            <w:tcW w:w="752" w:type="dxa"/>
          </w:tcPr>
          <w:p w14:paraId="0B724AD6" w14:textId="77777777" w:rsidR="003978BF" w:rsidRPr="00C405EF" w:rsidRDefault="003978BF" w:rsidP="008D09BE">
            <w:pPr>
              <w:pStyle w:val="TableParagraph"/>
              <w:spacing w:before="115"/>
              <w:rPr>
                <w:color w:val="000000" w:themeColor="text1"/>
                <w:sz w:val="20"/>
                <w:szCs w:val="20"/>
              </w:rPr>
            </w:pPr>
            <w:r w:rsidRPr="00C405EF">
              <w:rPr>
                <w:color w:val="000000" w:themeColor="text1"/>
                <w:sz w:val="20"/>
                <w:szCs w:val="20"/>
              </w:rPr>
              <w:t>150</w:t>
            </w:r>
          </w:p>
        </w:tc>
        <w:tc>
          <w:tcPr>
            <w:tcW w:w="1109" w:type="dxa"/>
          </w:tcPr>
          <w:p w14:paraId="3AADBC46" w14:textId="77777777" w:rsidR="003978BF" w:rsidRPr="00C405EF" w:rsidRDefault="003978BF" w:rsidP="008D09BE">
            <w:pPr>
              <w:pStyle w:val="TableParagraph"/>
              <w:ind w:left="0"/>
              <w:rPr>
                <w:color w:val="000000" w:themeColor="text1"/>
                <w:sz w:val="20"/>
                <w:szCs w:val="20"/>
              </w:rPr>
            </w:pPr>
          </w:p>
        </w:tc>
        <w:tc>
          <w:tcPr>
            <w:tcW w:w="2041" w:type="dxa"/>
          </w:tcPr>
          <w:p w14:paraId="361C9CAD" w14:textId="77777777" w:rsidR="003978BF" w:rsidRPr="00C405EF" w:rsidRDefault="007B3D3C" w:rsidP="008D09BE">
            <w:pPr>
              <w:pStyle w:val="TableParagraph"/>
              <w:spacing w:before="115"/>
              <w:rPr>
                <w:color w:val="000000" w:themeColor="text1"/>
                <w:sz w:val="20"/>
                <w:szCs w:val="20"/>
              </w:rPr>
            </w:pPr>
            <w:hyperlink w:anchor="_bookmark129" w:history="1">
              <w:r w:rsidR="003978BF" w:rsidRPr="00C405EF">
                <w:rPr>
                  <w:color w:val="000000" w:themeColor="text1"/>
                  <w:sz w:val="20"/>
                  <w:szCs w:val="20"/>
                </w:rPr>
                <w:t>Venkatramanan et al. (2015)</w:t>
              </w:r>
            </w:hyperlink>
          </w:p>
        </w:tc>
      </w:tr>
      <w:tr w:rsidR="003978BF" w:rsidRPr="00C405EF" w14:paraId="7C1A866A" w14:textId="77777777" w:rsidTr="008D09BE">
        <w:trPr>
          <w:trHeight w:val="248"/>
        </w:trPr>
        <w:tc>
          <w:tcPr>
            <w:tcW w:w="3222" w:type="dxa"/>
          </w:tcPr>
          <w:p w14:paraId="382148AC"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Average Shale</w:t>
            </w:r>
          </w:p>
        </w:tc>
        <w:tc>
          <w:tcPr>
            <w:tcW w:w="788" w:type="dxa"/>
          </w:tcPr>
          <w:p w14:paraId="6FEDC21B" w14:textId="77777777" w:rsidR="003978BF" w:rsidRPr="00C405EF" w:rsidRDefault="003978BF" w:rsidP="008D09BE">
            <w:pPr>
              <w:pStyle w:val="TableParagraph"/>
              <w:spacing w:before="36"/>
              <w:ind w:left="127"/>
              <w:rPr>
                <w:color w:val="000000" w:themeColor="text1"/>
                <w:sz w:val="20"/>
                <w:szCs w:val="20"/>
              </w:rPr>
            </w:pPr>
            <w:r w:rsidRPr="00C405EF">
              <w:rPr>
                <w:color w:val="000000" w:themeColor="text1"/>
                <w:sz w:val="20"/>
                <w:szCs w:val="20"/>
              </w:rPr>
              <w:t>13</w:t>
            </w:r>
          </w:p>
        </w:tc>
        <w:tc>
          <w:tcPr>
            <w:tcW w:w="921" w:type="dxa"/>
          </w:tcPr>
          <w:p w14:paraId="0F3C6B91"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90</w:t>
            </w:r>
          </w:p>
        </w:tc>
        <w:tc>
          <w:tcPr>
            <w:tcW w:w="921" w:type="dxa"/>
          </w:tcPr>
          <w:p w14:paraId="1BF74091" w14:textId="77777777" w:rsidR="003978BF" w:rsidRPr="00C405EF" w:rsidRDefault="003978BF" w:rsidP="008D09BE">
            <w:pPr>
              <w:pStyle w:val="TableParagraph"/>
              <w:ind w:left="0"/>
              <w:rPr>
                <w:color w:val="000000" w:themeColor="text1"/>
                <w:sz w:val="20"/>
                <w:szCs w:val="20"/>
              </w:rPr>
            </w:pPr>
          </w:p>
        </w:tc>
        <w:tc>
          <w:tcPr>
            <w:tcW w:w="752" w:type="dxa"/>
          </w:tcPr>
          <w:p w14:paraId="7774B890"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20</w:t>
            </w:r>
          </w:p>
        </w:tc>
        <w:tc>
          <w:tcPr>
            <w:tcW w:w="1109" w:type="dxa"/>
          </w:tcPr>
          <w:p w14:paraId="53D96DDD" w14:textId="77777777" w:rsidR="003978BF" w:rsidRPr="00C405EF" w:rsidRDefault="003978BF" w:rsidP="008D09BE">
            <w:pPr>
              <w:pStyle w:val="TableParagraph"/>
              <w:ind w:left="0"/>
              <w:rPr>
                <w:color w:val="000000" w:themeColor="text1"/>
                <w:sz w:val="20"/>
                <w:szCs w:val="20"/>
              </w:rPr>
            </w:pPr>
          </w:p>
        </w:tc>
        <w:tc>
          <w:tcPr>
            <w:tcW w:w="2041" w:type="dxa"/>
          </w:tcPr>
          <w:p w14:paraId="5758935F" w14:textId="77777777" w:rsidR="003978BF" w:rsidRPr="00C405EF" w:rsidRDefault="007B3D3C" w:rsidP="008D09BE">
            <w:pPr>
              <w:pStyle w:val="TableParagraph"/>
              <w:spacing w:before="36"/>
              <w:rPr>
                <w:color w:val="000000" w:themeColor="text1"/>
                <w:sz w:val="20"/>
                <w:szCs w:val="20"/>
              </w:rPr>
            </w:pPr>
            <w:hyperlink w:anchor="_bookmark120" w:history="1">
              <w:r w:rsidR="003978BF" w:rsidRPr="00C405EF">
                <w:rPr>
                  <w:color w:val="000000" w:themeColor="text1"/>
                  <w:sz w:val="20"/>
                  <w:szCs w:val="20"/>
                </w:rPr>
                <w:t>Turekian and Wedepohl (1961)</w:t>
              </w:r>
            </w:hyperlink>
          </w:p>
        </w:tc>
      </w:tr>
      <w:tr w:rsidR="003978BF" w:rsidRPr="00C405EF" w14:paraId="4DC1C796" w14:textId="77777777" w:rsidTr="008D09BE">
        <w:trPr>
          <w:trHeight w:val="248"/>
        </w:trPr>
        <w:tc>
          <w:tcPr>
            <w:tcW w:w="3222" w:type="dxa"/>
          </w:tcPr>
          <w:p w14:paraId="20A387B9" w14:textId="77777777" w:rsidR="003978BF" w:rsidRPr="00C405EF" w:rsidRDefault="003978BF" w:rsidP="008D09BE">
            <w:pPr>
              <w:pStyle w:val="TableParagraph"/>
              <w:spacing w:before="35"/>
              <w:ind w:left="139"/>
              <w:rPr>
                <w:color w:val="000000" w:themeColor="text1"/>
                <w:sz w:val="20"/>
                <w:szCs w:val="20"/>
              </w:rPr>
            </w:pPr>
            <w:r w:rsidRPr="00C405EF">
              <w:rPr>
                <w:color w:val="000000" w:themeColor="text1"/>
                <w:sz w:val="20"/>
                <w:szCs w:val="20"/>
              </w:rPr>
              <w:t>Water Quality Guidelines (Effect range Low)</w:t>
            </w:r>
          </w:p>
        </w:tc>
        <w:tc>
          <w:tcPr>
            <w:tcW w:w="788" w:type="dxa"/>
          </w:tcPr>
          <w:p w14:paraId="3C9A7762"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sz w:val="20"/>
                <w:szCs w:val="20"/>
              </w:rPr>
              <w:t>8.2</w:t>
            </w:r>
          </w:p>
        </w:tc>
        <w:tc>
          <w:tcPr>
            <w:tcW w:w="921" w:type="dxa"/>
          </w:tcPr>
          <w:p w14:paraId="0CE2C6C4"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81</w:t>
            </w:r>
          </w:p>
        </w:tc>
        <w:tc>
          <w:tcPr>
            <w:tcW w:w="921" w:type="dxa"/>
          </w:tcPr>
          <w:p w14:paraId="72F010B6" w14:textId="77777777" w:rsidR="003978BF" w:rsidRPr="00C405EF" w:rsidRDefault="003978BF" w:rsidP="008D09BE">
            <w:pPr>
              <w:pStyle w:val="TableParagraph"/>
              <w:ind w:left="0"/>
              <w:rPr>
                <w:color w:val="000000" w:themeColor="text1"/>
                <w:sz w:val="20"/>
                <w:szCs w:val="20"/>
              </w:rPr>
            </w:pPr>
          </w:p>
        </w:tc>
        <w:tc>
          <w:tcPr>
            <w:tcW w:w="752" w:type="dxa"/>
          </w:tcPr>
          <w:p w14:paraId="7EBE0934"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47</w:t>
            </w:r>
          </w:p>
        </w:tc>
        <w:tc>
          <w:tcPr>
            <w:tcW w:w="1109" w:type="dxa"/>
          </w:tcPr>
          <w:p w14:paraId="5B741017" w14:textId="77777777" w:rsidR="003978BF" w:rsidRPr="00C405EF" w:rsidRDefault="003978BF" w:rsidP="008D09BE">
            <w:pPr>
              <w:pStyle w:val="TableParagraph"/>
              <w:ind w:left="0"/>
              <w:rPr>
                <w:color w:val="000000" w:themeColor="text1"/>
                <w:sz w:val="20"/>
                <w:szCs w:val="20"/>
              </w:rPr>
            </w:pPr>
          </w:p>
        </w:tc>
        <w:tc>
          <w:tcPr>
            <w:tcW w:w="2041" w:type="dxa"/>
          </w:tcPr>
          <w:p w14:paraId="0E9A3A78" w14:textId="77777777" w:rsidR="003978BF" w:rsidRPr="00C405EF" w:rsidRDefault="007B3D3C" w:rsidP="008D09BE">
            <w:pPr>
              <w:pStyle w:val="TableParagraph"/>
              <w:spacing w:before="35"/>
              <w:rPr>
                <w:color w:val="000000" w:themeColor="text1"/>
                <w:sz w:val="20"/>
                <w:szCs w:val="20"/>
              </w:rPr>
            </w:pPr>
            <w:hyperlink w:anchor="_bookmark82" w:history="1">
              <w:r w:rsidR="003978BF" w:rsidRPr="00C405EF">
                <w:rPr>
                  <w:color w:val="000000" w:themeColor="text1"/>
                  <w:sz w:val="20"/>
                  <w:szCs w:val="20"/>
                </w:rPr>
                <w:t>Long et al. (1995)</w:t>
              </w:r>
            </w:hyperlink>
          </w:p>
        </w:tc>
      </w:tr>
      <w:tr w:rsidR="003978BF" w:rsidRPr="00C405EF" w14:paraId="64A07927" w14:textId="77777777" w:rsidTr="008D09BE">
        <w:trPr>
          <w:trHeight w:val="244"/>
        </w:trPr>
        <w:tc>
          <w:tcPr>
            <w:tcW w:w="3222" w:type="dxa"/>
          </w:tcPr>
          <w:p w14:paraId="1E12B5F6" w14:textId="77777777" w:rsidR="003978BF" w:rsidRPr="00C405EF" w:rsidRDefault="003978BF" w:rsidP="008D09BE">
            <w:pPr>
              <w:pStyle w:val="TableParagraph"/>
              <w:spacing w:before="36"/>
              <w:ind w:left="139"/>
              <w:rPr>
                <w:color w:val="000000" w:themeColor="text1"/>
                <w:sz w:val="20"/>
                <w:szCs w:val="20"/>
              </w:rPr>
            </w:pPr>
            <w:r w:rsidRPr="00C405EF">
              <w:rPr>
                <w:color w:val="000000" w:themeColor="text1"/>
                <w:sz w:val="20"/>
                <w:szCs w:val="20"/>
              </w:rPr>
              <w:t>Water Quality  Guidelines (Effect range medium)</w:t>
            </w:r>
          </w:p>
        </w:tc>
        <w:tc>
          <w:tcPr>
            <w:tcW w:w="788" w:type="dxa"/>
          </w:tcPr>
          <w:p w14:paraId="4EDB6A7E" w14:textId="77777777" w:rsidR="003978BF" w:rsidRPr="00C405EF" w:rsidRDefault="003978BF" w:rsidP="008D09BE">
            <w:pPr>
              <w:pStyle w:val="TableParagraph"/>
              <w:spacing w:before="36"/>
              <w:ind w:left="127"/>
              <w:rPr>
                <w:color w:val="000000" w:themeColor="text1"/>
                <w:sz w:val="20"/>
                <w:szCs w:val="20"/>
              </w:rPr>
            </w:pPr>
            <w:r w:rsidRPr="00C405EF">
              <w:rPr>
                <w:color w:val="000000" w:themeColor="text1"/>
                <w:sz w:val="20"/>
                <w:szCs w:val="20"/>
              </w:rPr>
              <w:t>70</w:t>
            </w:r>
          </w:p>
        </w:tc>
        <w:tc>
          <w:tcPr>
            <w:tcW w:w="921" w:type="dxa"/>
          </w:tcPr>
          <w:p w14:paraId="52915297"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370</w:t>
            </w:r>
          </w:p>
        </w:tc>
        <w:tc>
          <w:tcPr>
            <w:tcW w:w="921" w:type="dxa"/>
          </w:tcPr>
          <w:p w14:paraId="2C1A5D7F" w14:textId="77777777" w:rsidR="003978BF" w:rsidRPr="00C405EF" w:rsidRDefault="003978BF" w:rsidP="008D09BE">
            <w:pPr>
              <w:pStyle w:val="TableParagraph"/>
              <w:ind w:left="0"/>
              <w:rPr>
                <w:color w:val="000000" w:themeColor="text1"/>
                <w:sz w:val="20"/>
                <w:szCs w:val="20"/>
              </w:rPr>
            </w:pPr>
          </w:p>
        </w:tc>
        <w:tc>
          <w:tcPr>
            <w:tcW w:w="752" w:type="dxa"/>
          </w:tcPr>
          <w:p w14:paraId="0A81A788"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220</w:t>
            </w:r>
          </w:p>
        </w:tc>
        <w:tc>
          <w:tcPr>
            <w:tcW w:w="1109" w:type="dxa"/>
          </w:tcPr>
          <w:p w14:paraId="2B04D071" w14:textId="77777777" w:rsidR="003978BF" w:rsidRPr="00C405EF" w:rsidRDefault="003978BF" w:rsidP="008D09BE">
            <w:pPr>
              <w:pStyle w:val="TableParagraph"/>
              <w:ind w:left="0"/>
              <w:rPr>
                <w:color w:val="000000" w:themeColor="text1"/>
                <w:sz w:val="20"/>
                <w:szCs w:val="20"/>
              </w:rPr>
            </w:pPr>
          </w:p>
        </w:tc>
        <w:tc>
          <w:tcPr>
            <w:tcW w:w="2041" w:type="dxa"/>
          </w:tcPr>
          <w:p w14:paraId="72BD5631" w14:textId="77777777" w:rsidR="003978BF" w:rsidRPr="00C405EF" w:rsidRDefault="007B3D3C" w:rsidP="008D09BE">
            <w:pPr>
              <w:pStyle w:val="TableParagraph"/>
              <w:spacing w:before="36"/>
              <w:rPr>
                <w:color w:val="000000" w:themeColor="text1"/>
                <w:sz w:val="20"/>
                <w:szCs w:val="20"/>
              </w:rPr>
            </w:pPr>
            <w:hyperlink w:anchor="_bookmark82" w:history="1">
              <w:r w:rsidR="003978BF" w:rsidRPr="00C405EF">
                <w:rPr>
                  <w:color w:val="000000" w:themeColor="text1"/>
                  <w:sz w:val="20"/>
                  <w:szCs w:val="20"/>
                </w:rPr>
                <w:t>Long et al. (1995)</w:t>
              </w:r>
            </w:hyperlink>
          </w:p>
        </w:tc>
      </w:tr>
      <w:tr w:rsidR="003978BF" w:rsidRPr="00C405EF" w14:paraId="04CA11EC" w14:textId="77777777" w:rsidTr="008D09BE">
        <w:trPr>
          <w:trHeight w:val="281"/>
        </w:trPr>
        <w:tc>
          <w:tcPr>
            <w:tcW w:w="3222" w:type="dxa"/>
          </w:tcPr>
          <w:p w14:paraId="7B54C7F9" w14:textId="77777777" w:rsidR="003978BF" w:rsidRPr="00C405EF" w:rsidRDefault="003978BF" w:rsidP="008D09BE">
            <w:pPr>
              <w:pStyle w:val="TableParagraph"/>
              <w:spacing w:before="115" w:line="146" w:lineRule="exact"/>
              <w:ind w:left="0"/>
              <w:rPr>
                <w:color w:val="000000" w:themeColor="text1"/>
                <w:sz w:val="20"/>
                <w:szCs w:val="20"/>
              </w:rPr>
            </w:pPr>
            <w:r w:rsidRPr="00C405EF">
              <w:rPr>
                <w:color w:val="000000" w:themeColor="text1"/>
                <w:w w:val="105"/>
                <w:sz w:val="20"/>
                <w:szCs w:val="20"/>
              </w:rPr>
              <w:t>Guideline</w:t>
            </w:r>
          </w:p>
        </w:tc>
        <w:tc>
          <w:tcPr>
            <w:tcW w:w="788" w:type="dxa"/>
          </w:tcPr>
          <w:p w14:paraId="7E88907E" w14:textId="77777777" w:rsidR="003978BF" w:rsidRPr="00C405EF" w:rsidRDefault="003978BF" w:rsidP="008D09BE">
            <w:pPr>
              <w:pStyle w:val="TableParagraph"/>
              <w:ind w:left="0"/>
              <w:rPr>
                <w:color w:val="000000" w:themeColor="text1"/>
                <w:sz w:val="20"/>
                <w:szCs w:val="20"/>
              </w:rPr>
            </w:pPr>
          </w:p>
        </w:tc>
        <w:tc>
          <w:tcPr>
            <w:tcW w:w="921" w:type="dxa"/>
          </w:tcPr>
          <w:p w14:paraId="581C277C" w14:textId="77777777" w:rsidR="003978BF" w:rsidRPr="00C405EF" w:rsidRDefault="003978BF" w:rsidP="008D09BE">
            <w:pPr>
              <w:pStyle w:val="TableParagraph"/>
              <w:ind w:left="0"/>
              <w:rPr>
                <w:color w:val="000000" w:themeColor="text1"/>
                <w:sz w:val="20"/>
                <w:szCs w:val="20"/>
              </w:rPr>
            </w:pPr>
          </w:p>
        </w:tc>
        <w:tc>
          <w:tcPr>
            <w:tcW w:w="921" w:type="dxa"/>
          </w:tcPr>
          <w:p w14:paraId="4B23A7AC" w14:textId="77777777" w:rsidR="003978BF" w:rsidRPr="00C405EF" w:rsidRDefault="003978BF" w:rsidP="008D09BE">
            <w:pPr>
              <w:pStyle w:val="TableParagraph"/>
              <w:ind w:left="0"/>
              <w:rPr>
                <w:color w:val="000000" w:themeColor="text1"/>
                <w:sz w:val="20"/>
                <w:szCs w:val="20"/>
              </w:rPr>
            </w:pPr>
          </w:p>
        </w:tc>
        <w:tc>
          <w:tcPr>
            <w:tcW w:w="752" w:type="dxa"/>
          </w:tcPr>
          <w:p w14:paraId="31E45358" w14:textId="77777777" w:rsidR="003978BF" w:rsidRPr="00C405EF" w:rsidRDefault="003978BF" w:rsidP="008D09BE">
            <w:pPr>
              <w:pStyle w:val="TableParagraph"/>
              <w:ind w:left="0"/>
              <w:rPr>
                <w:color w:val="000000" w:themeColor="text1"/>
                <w:sz w:val="20"/>
                <w:szCs w:val="20"/>
              </w:rPr>
            </w:pPr>
          </w:p>
        </w:tc>
        <w:tc>
          <w:tcPr>
            <w:tcW w:w="1109" w:type="dxa"/>
          </w:tcPr>
          <w:p w14:paraId="1F5E12FD" w14:textId="77777777" w:rsidR="003978BF" w:rsidRPr="00C405EF" w:rsidRDefault="003978BF" w:rsidP="008D09BE">
            <w:pPr>
              <w:pStyle w:val="TableParagraph"/>
              <w:ind w:left="0"/>
              <w:rPr>
                <w:color w:val="000000" w:themeColor="text1"/>
                <w:sz w:val="20"/>
                <w:szCs w:val="20"/>
              </w:rPr>
            </w:pPr>
          </w:p>
        </w:tc>
        <w:tc>
          <w:tcPr>
            <w:tcW w:w="2041" w:type="dxa"/>
          </w:tcPr>
          <w:p w14:paraId="770B3A57" w14:textId="77777777" w:rsidR="003978BF" w:rsidRPr="00C405EF" w:rsidRDefault="003978BF" w:rsidP="008D09BE">
            <w:pPr>
              <w:pStyle w:val="TableParagraph"/>
              <w:ind w:left="0"/>
              <w:rPr>
                <w:color w:val="000000" w:themeColor="text1"/>
                <w:sz w:val="20"/>
                <w:szCs w:val="20"/>
              </w:rPr>
            </w:pPr>
          </w:p>
        </w:tc>
      </w:tr>
      <w:tr w:rsidR="003978BF" w:rsidRPr="00C405EF" w14:paraId="12661DFB" w14:textId="77777777" w:rsidTr="008D09BE">
        <w:trPr>
          <w:trHeight w:val="297"/>
        </w:trPr>
        <w:tc>
          <w:tcPr>
            <w:tcW w:w="3222" w:type="dxa"/>
          </w:tcPr>
          <w:p w14:paraId="571E3704" w14:textId="77777777" w:rsidR="003978BF" w:rsidRPr="00C405EF" w:rsidRDefault="007B3D3C" w:rsidP="008D09BE">
            <w:pPr>
              <w:pStyle w:val="TableParagraph"/>
              <w:spacing w:before="84"/>
              <w:ind w:left="139"/>
              <w:rPr>
                <w:color w:val="000000" w:themeColor="text1"/>
                <w:sz w:val="20"/>
                <w:szCs w:val="20"/>
              </w:rPr>
            </w:pPr>
            <w:hyperlink w:anchor="_bookmark123" w:history="1">
              <w:r w:rsidR="003978BF" w:rsidRPr="00C405EF">
                <w:rPr>
                  <w:color w:val="000000" w:themeColor="text1"/>
                  <w:sz w:val="20"/>
                  <w:szCs w:val="20"/>
                </w:rPr>
                <w:t>USEPA (2006)</w:t>
              </w:r>
            </w:hyperlink>
          </w:p>
        </w:tc>
        <w:tc>
          <w:tcPr>
            <w:tcW w:w="788" w:type="dxa"/>
          </w:tcPr>
          <w:p w14:paraId="3D317BB4" w14:textId="77777777" w:rsidR="003978BF" w:rsidRPr="00C405EF" w:rsidRDefault="003978BF" w:rsidP="008D09BE">
            <w:pPr>
              <w:pStyle w:val="TableParagraph"/>
              <w:spacing w:before="84"/>
              <w:ind w:left="127"/>
              <w:rPr>
                <w:color w:val="000000" w:themeColor="text1"/>
                <w:sz w:val="20"/>
                <w:szCs w:val="20"/>
              </w:rPr>
            </w:pPr>
            <w:r w:rsidRPr="00C405EF">
              <w:rPr>
                <w:color w:val="000000" w:themeColor="text1"/>
                <w:w w:val="95"/>
                <w:sz w:val="20"/>
                <w:szCs w:val="20"/>
              </w:rPr>
              <w:t>6</w:t>
            </w:r>
          </w:p>
        </w:tc>
        <w:tc>
          <w:tcPr>
            <w:tcW w:w="921" w:type="dxa"/>
          </w:tcPr>
          <w:p w14:paraId="2E638DC5" w14:textId="77777777" w:rsidR="003978BF" w:rsidRPr="00C405EF" w:rsidRDefault="003978BF" w:rsidP="008D09BE">
            <w:pPr>
              <w:pStyle w:val="TableParagraph"/>
              <w:spacing w:before="84"/>
              <w:rPr>
                <w:color w:val="000000" w:themeColor="text1"/>
                <w:sz w:val="20"/>
                <w:szCs w:val="20"/>
              </w:rPr>
            </w:pPr>
            <w:r w:rsidRPr="00C405EF">
              <w:rPr>
                <w:color w:val="000000" w:themeColor="text1"/>
                <w:sz w:val="20"/>
                <w:szCs w:val="20"/>
              </w:rPr>
              <w:t>26</w:t>
            </w:r>
          </w:p>
        </w:tc>
        <w:tc>
          <w:tcPr>
            <w:tcW w:w="921" w:type="dxa"/>
          </w:tcPr>
          <w:p w14:paraId="3C428F31" w14:textId="77777777" w:rsidR="003978BF" w:rsidRPr="00C405EF" w:rsidRDefault="003978BF" w:rsidP="008D09BE">
            <w:pPr>
              <w:pStyle w:val="TableParagraph"/>
              <w:spacing w:before="83"/>
              <w:rPr>
                <w:color w:val="000000" w:themeColor="text1"/>
                <w:sz w:val="20"/>
                <w:szCs w:val="20"/>
              </w:rPr>
            </w:pPr>
            <w:r w:rsidRPr="00C405EF">
              <w:rPr>
                <w:color w:val="000000" w:themeColor="text1"/>
                <w:w w:val="91"/>
                <w:sz w:val="20"/>
                <w:szCs w:val="20"/>
              </w:rPr>
              <w:t>—</w:t>
            </w:r>
          </w:p>
        </w:tc>
        <w:tc>
          <w:tcPr>
            <w:tcW w:w="3902" w:type="dxa"/>
            <w:gridSpan w:val="3"/>
          </w:tcPr>
          <w:p w14:paraId="607C0F5C" w14:textId="77777777" w:rsidR="003978BF" w:rsidRPr="00C405EF" w:rsidRDefault="003978BF" w:rsidP="008D09BE">
            <w:pPr>
              <w:pStyle w:val="TableParagraph"/>
              <w:spacing w:before="84"/>
              <w:rPr>
                <w:color w:val="000000" w:themeColor="text1"/>
                <w:sz w:val="20"/>
                <w:szCs w:val="20"/>
              </w:rPr>
            </w:pPr>
            <w:r w:rsidRPr="00C405EF">
              <w:rPr>
                <w:color w:val="000000" w:themeColor="text1"/>
                <w:sz w:val="20"/>
                <w:szCs w:val="20"/>
              </w:rPr>
              <w:t>31</w:t>
            </w:r>
          </w:p>
        </w:tc>
      </w:tr>
      <w:tr w:rsidR="003978BF" w:rsidRPr="00C405EF" w14:paraId="52505E96" w14:textId="77777777" w:rsidTr="008D09BE">
        <w:trPr>
          <w:trHeight w:val="248"/>
        </w:trPr>
        <w:tc>
          <w:tcPr>
            <w:tcW w:w="3222" w:type="dxa"/>
          </w:tcPr>
          <w:p w14:paraId="7298ECB0" w14:textId="77777777" w:rsidR="003978BF" w:rsidRPr="00C405EF" w:rsidRDefault="007B3D3C" w:rsidP="008D09BE">
            <w:pPr>
              <w:pStyle w:val="TableParagraph"/>
              <w:spacing w:before="36"/>
              <w:ind w:left="139"/>
              <w:rPr>
                <w:color w:val="000000" w:themeColor="text1"/>
                <w:sz w:val="20"/>
                <w:szCs w:val="20"/>
              </w:rPr>
            </w:pPr>
            <w:hyperlink w:anchor="_bookmark127" w:history="1">
              <w:r w:rsidR="003978BF" w:rsidRPr="00C405EF">
                <w:rPr>
                  <w:color w:val="000000" w:themeColor="text1"/>
                  <w:sz w:val="20"/>
                  <w:szCs w:val="20"/>
                </w:rPr>
                <w:t>USEPA (1999)</w:t>
              </w:r>
            </w:hyperlink>
          </w:p>
        </w:tc>
        <w:tc>
          <w:tcPr>
            <w:tcW w:w="788" w:type="dxa"/>
          </w:tcPr>
          <w:p w14:paraId="6FBD1937"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447D47CB"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25</w:t>
            </w:r>
          </w:p>
        </w:tc>
        <w:tc>
          <w:tcPr>
            <w:tcW w:w="921" w:type="dxa"/>
          </w:tcPr>
          <w:p w14:paraId="1538177B" w14:textId="77777777" w:rsidR="003978BF" w:rsidRPr="00C405EF" w:rsidRDefault="003978BF" w:rsidP="008D09BE">
            <w:pPr>
              <w:pStyle w:val="TableParagraph"/>
              <w:spacing w:before="36"/>
              <w:ind w:left="125"/>
              <w:rPr>
                <w:color w:val="000000" w:themeColor="text1"/>
                <w:sz w:val="20"/>
                <w:szCs w:val="20"/>
              </w:rPr>
            </w:pPr>
            <w:r w:rsidRPr="00C405EF">
              <w:rPr>
                <w:color w:val="000000" w:themeColor="text1"/>
                <w:sz w:val="20"/>
                <w:szCs w:val="20"/>
              </w:rPr>
              <w:t>0.6</w:t>
            </w:r>
          </w:p>
        </w:tc>
        <w:tc>
          <w:tcPr>
            <w:tcW w:w="3902" w:type="dxa"/>
            <w:gridSpan w:val="3"/>
          </w:tcPr>
          <w:p w14:paraId="23E99045"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40</w:t>
            </w:r>
          </w:p>
        </w:tc>
      </w:tr>
      <w:tr w:rsidR="003978BF" w:rsidRPr="00C405EF" w14:paraId="4720A85D" w14:textId="77777777" w:rsidTr="008D09BE">
        <w:trPr>
          <w:trHeight w:val="248"/>
        </w:trPr>
        <w:tc>
          <w:tcPr>
            <w:tcW w:w="3222" w:type="dxa"/>
          </w:tcPr>
          <w:p w14:paraId="7049912F" w14:textId="77777777" w:rsidR="003978BF" w:rsidRPr="00C405EF" w:rsidRDefault="007B3D3C" w:rsidP="008D09BE">
            <w:pPr>
              <w:pStyle w:val="TableParagraph"/>
              <w:spacing w:before="35"/>
              <w:ind w:left="139"/>
              <w:rPr>
                <w:color w:val="000000" w:themeColor="text1"/>
                <w:sz w:val="20"/>
                <w:szCs w:val="20"/>
              </w:rPr>
            </w:pPr>
            <w:hyperlink w:anchor="_bookmark133" w:history="1">
              <w:r w:rsidR="003978BF" w:rsidRPr="00C405EF">
                <w:rPr>
                  <w:color w:val="000000" w:themeColor="text1"/>
                  <w:sz w:val="20"/>
                  <w:szCs w:val="20"/>
                </w:rPr>
                <w:t>WHO (2004)</w:t>
              </w:r>
            </w:hyperlink>
          </w:p>
        </w:tc>
        <w:tc>
          <w:tcPr>
            <w:tcW w:w="788" w:type="dxa"/>
          </w:tcPr>
          <w:p w14:paraId="5153991B"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0F258358" w14:textId="77777777" w:rsidR="003978BF" w:rsidRPr="00C405EF" w:rsidRDefault="003978BF" w:rsidP="008D09BE">
            <w:pPr>
              <w:pStyle w:val="TableParagraph"/>
              <w:spacing w:before="35"/>
              <w:rPr>
                <w:color w:val="000000" w:themeColor="text1"/>
                <w:sz w:val="20"/>
                <w:szCs w:val="20"/>
              </w:rPr>
            </w:pPr>
            <w:r w:rsidRPr="00C405EF">
              <w:rPr>
                <w:color w:val="000000" w:themeColor="text1"/>
                <w:sz w:val="20"/>
                <w:szCs w:val="20"/>
              </w:rPr>
              <w:t>25</w:t>
            </w:r>
          </w:p>
        </w:tc>
        <w:tc>
          <w:tcPr>
            <w:tcW w:w="921" w:type="dxa"/>
          </w:tcPr>
          <w:p w14:paraId="2D2C74FA" w14:textId="77777777" w:rsidR="003978BF" w:rsidRPr="00C405EF" w:rsidRDefault="003978BF" w:rsidP="008D09BE">
            <w:pPr>
              <w:pStyle w:val="TableParagraph"/>
              <w:spacing w:before="35"/>
              <w:ind w:left="125"/>
              <w:rPr>
                <w:color w:val="000000" w:themeColor="text1"/>
                <w:sz w:val="20"/>
                <w:szCs w:val="20"/>
              </w:rPr>
            </w:pPr>
            <w:r w:rsidRPr="00C405EF">
              <w:rPr>
                <w:color w:val="000000" w:themeColor="text1"/>
                <w:w w:val="95"/>
                <w:sz w:val="20"/>
                <w:szCs w:val="20"/>
              </w:rPr>
              <w:t>6</w:t>
            </w:r>
          </w:p>
        </w:tc>
        <w:tc>
          <w:tcPr>
            <w:tcW w:w="3902" w:type="dxa"/>
            <w:gridSpan w:val="3"/>
          </w:tcPr>
          <w:p w14:paraId="1D906287"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r>
      <w:tr w:rsidR="003978BF" w:rsidRPr="00C405EF" w14:paraId="4B786EE1" w14:textId="77777777" w:rsidTr="008D09BE">
        <w:trPr>
          <w:trHeight w:val="344"/>
        </w:trPr>
        <w:tc>
          <w:tcPr>
            <w:tcW w:w="3222" w:type="dxa"/>
          </w:tcPr>
          <w:p w14:paraId="4AE7D106" w14:textId="77777777" w:rsidR="003978BF" w:rsidRPr="00C405EF" w:rsidRDefault="007B3D3C" w:rsidP="008D09BE">
            <w:pPr>
              <w:pStyle w:val="TableParagraph"/>
              <w:spacing w:before="36"/>
              <w:ind w:left="139"/>
              <w:rPr>
                <w:color w:val="000000" w:themeColor="text1"/>
                <w:sz w:val="20"/>
                <w:szCs w:val="20"/>
              </w:rPr>
            </w:pPr>
            <w:hyperlink w:anchor="_bookmark23" w:history="1">
              <w:r w:rsidR="003978BF" w:rsidRPr="00C405EF">
                <w:rPr>
                  <w:color w:val="000000" w:themeColor="text1"/>
                  <w:sz w:val="20"/>
                  <w:szCs w:val="20"/>
                </w:rPr>
                <w:t>Ayers and Westcot. (1985)</w:t>
              </w:r>
            </w:hyperlink>
          </w:p>
        </w:tc>
        <w:tc>
          <w:tcPr>
            <w:tcW w:w="788" w:type="dxa"/>
          </w:tcPr>
          <w:p w14:paraId="3A4AB9D5" w14:textId="77777777" w:rsidR="003978BF" w:rsidRPr="00C405EF" w:rsidRDefault="003978BF" w:rsidP="008D09BE">
            <w:pPr>
              <w:pStyle w:val="TableParagraph"/>
              <w:spacing w:before="35"/>
              <w:ind w:left="127"/>
              <w:rPr>
                <w:color w:val="000000" w:themeColor="text1"/>
                <w:sz w:val="20"/>
                <w:szCs w:val="20"/>
              </w:rPr>
            </w:pPr>
            <w:r w:rsidRPr="00C405EF">
              <w:rPr>
                <w:color w:val="000000" w:themeColor="text1"/>
                <w:w w:val="91"/>
                <w:sz w:val="20"/>
                <w:szCs w:val="20"/>
              </w:rPr>
              <w:t>—</w:t>
            </w:r>
          </w:p>
        </w:tc>
        <w:tc>
          <w:tcPr>
            <w:tcW w:w="921" w:type="dxa"/>
          </w:tcPr>
          <w:p w14:paraId="5FC7F45F" w14:textId="77777777" w:rsidR="003978BF" w:rsidRPr="00C405EF" w:rsidRDefault="003978BF" w:rsidP="008D09BE">
            <w:pPr>
              <w:pStyle w:val="TableParagraph"/>
              <w:spacing w:before="36"/>
              <w:rPr>
                <w:color w:val="000000" w:themeColor="text1"/>
                <w:sz w:val="20"/>
                <w:szCs w:val="20"/>
              </w:rPr>
            </w:pPr>
            <w:r w:rsidRPr="00C405EF">
              <w:rPr>
                <w:color w:val="000000" w:themeColor="text1"/>
                <w:sz w:val="20"/>
                <w:szCs w:val="20"/>
              </w:rPr>
              <w:t>0.1</w:t>
            </w:r>
          </w:p>
        </w:tc>
        <w:tc>
          <w:tcPr>
            <w:tcW w:w="921" w:type="dxa"/>
          </w:tcPr>
          <w:p w14:paraId="14F6D21B" w14:textId="77777777" w:rsidR="003978BF" w:rsidRPr="00C405EF" w:rsidRDefault="003978BF" w:rsidP="008D09BE">
            <w:pPr>
              <w:pStyle w:val="TableParagraph"/>
              <w:spacing w:before="35"/>
              <w:rPr>
                <w:color w:val="000000" w:themeColor="text1"/>
                <w:sz w:val="20"/>
                <w:szCs w:val="20"/>
              </w:rPr>
            </w:pPr>
            <w:r w:rsidRPr="00C405EF">
              <w:rPr>
                <w:color w:val="000000" w:themeColor="text1"/>
                <w:w w:val="91"/>
                <w:sz w:val="20"/>
                <w:szCs w:val="20"/>
              </w:rPr>
              <w:t>—</w:t>
            </w:r>
          </w:p>
        </w:tc>
        <w:tc>
          <w:tcPr>
            <w:tcW w:w="3902" w:type="dxa"/>
            <w:gridSpan w:val="3"/>
          </w:tcPr>
          <w:p w14:paraId="5BE7175F" w14:textId="77777777" w:rsidR="003978BF" w:rsidRPr="00C405EF" w:rsidRDefault="003978BF" w:rsidP="008D09BE">
            <w:pPr>
              <w:pStyle w:val="TableParagraph"/>
              <w:spacing w:before="36"/>
              <w:rPr>
                <w:color w:val="000000" w:themeColor="text1"/>
                <w:sz w:val="20"/>
                <w:szCs w:val="20"/>
              </w:rPr>
            </w:pPr>
            <w:r w:rsidRPr="00C405EF">
              <w:rPr>
                <w:color w:val="000000" w:themeColor="text1"/>
                <w:w w:val="95"/>
                <w:sz w:val="20"/>
                <w:szCs w:val="20"/>
              </w:rPr>
              <w:t>5</w:t>
            </w:r>
          </w:p>
        </w:tc>
      </w:tr>
    </w:tbl>
    <w:p w14:paraId="66427FA2" w14:textId="77777777" w:rsidR="003978BF" w:rsidRDefault="003978BF" w:rsidP="00D622E7">
      <w:pPr>
        <w:spacing w:after="0" w:line="240" w:lineRule="auto"/>
        <w:jc w:val="both"/>
      </w:pPr>
    </w:p>
    <w:p w14:paraId="20275826" w14:textId="77777777" w:rsidR="003A67D0" w:rsidRDefault="003A67D0" w:rsidP="00D622E7">
      <w:pPr>
        <w:spacing w:after="0" w:line="240" w:lineRule="auto"/>
        <w:jc w:val="both"/>
        <w:rPr>
          <w:rFonts w:ascii="Times New Roman" w:hAnsi="Times New Roman" w:cs="Times New Roman"/>
          <w:sz w:val="24"/>
          <w:szCs w:val="24"/>
        </w:rPr>
      </w:pPr>
    </w:p>
    <w:p w14:paraId="206D6BAB" w14:textId="77777777" w:rsidR="003A67D0" w:rsidRDefault="003A67D0" w:rsidP="00D622E7">
      <w:pPr>
        <w:spacing w:after="0" w:line="240" w:lineRule="auto"/>
        <w:jc w:val="both"/>
        <w:rPr>
          <w:rFonts w:ascii="Times New Roman" w:hAnsi="Times New Roman" w:cs="Times New Roman"/>
          <w:b/>
          <w:bCs/>
          <w:sz w:val="24"/>
          <w:szCs w:val="24"/>
        </w:rPr>
      </w:pPr>
      <w:r w:rsidRPr="003A67D0">
        <w:rPr>
          <w:rFonts w:ascii="Times New Roman" w:hAnsi="Times New Roman" w:cs="Times New Roman"/>
          <w:b/>
          <w:bCs/>
          <w:sz w:val="24"/>
          <w:szCs w:val="24"/>
        </w:rPr>
        <w:t>Microplastic accumulation</w:t>
      </w:r>
    </w:p>
    <w:p w14:paraId="20C84C00" w14:textId="77777777" w:rsidR="003A67D0" w:rsidRDefault="003A67D0" w:rsidP="003A67D0">
      <w:pPr>
        <w:autoSpaceDE w:val="0"/>
        <w:autoSpaceDN w:val="0"/>
        <w:adjustRightInd w:val="0"/>
        <w:jc w:val="both"/>
        <w:rPr>
          <w:rFonts w:ascii="Times New Roman" w:hAnsi="Times New Roman" w:cs="Times New Roman"/>
          <w:sz w:val="24"/>
          <w:szCs w:val="24"/>
        </w:rPr>
      </w:pPr>
    </w:p>
    <w:p w14:paraId="3F185D6A" w14:textId="77777777" w:rsidR="003A67D0" w:rsidRPr="00DE0A4B" w:rsidRDefault="003A67D0" w:rsidP="003A67D0">
      <w:pPr>
        <w:autoSpaceDE w:val="0"/>
        <w:autoSpaceDN w:val="0"/>
        <w:adjustRightInd w:val="0"/>
        <w:jc w:val="both"/>
        <w:rPr>
          <w:rFonts w:ascii="Times New Roman" w:hAnsi="Times New Roman" w:cs="Times New Roman"/>
          <w:sz w:val="24"/>
          <w:szCs w:val="24"/>
        </w:rPr>
      </w:pPr>
      <w:r w:rsidRPr="00DE0A4B">
        <w:rPr>
          <w:rFonts w:ascii="Times New Roman" w:hAnsi="Times New Roman" w:cs="Times New Roman"/>
          <w:sz w:val="24"/>
          <w:szCs w:val="24"/>
        </w:rPr>
        <w:t xml:space="preserve">The Bay of Bengal is today known to be one of the world’s most polluted sea by the influence of urban and industrial wastes (Karn </w:t>
      </w:r>
      <w:r w:rsidRPr="00DE0A4B">
        <w:rPr>
          <w:rFonts w:ascii="Times New Roman" w:hAnsi="Times New Roman" w:cs="Times New Roman"/>
          <w:i/>
          <w:sz w:val="24"/>
          <w:szCs w:val="24"/>
          <w:shd w:val="clear" w:color="auto" w:fill="FFFFFF"/>
        </w:rPr>
        <w:t>et al</w:t>
      </w:r>
      <w:r w:rsidRPr="00DE0A4B">
        <w:rPr>
          <w:rFonts w:ascii="Times New Roman" w:hAnsi="Times New Roman" w:cs="Times New Roman"/>
          <w:sz w:val="24"/>
          <w:szCs w:val="24"/>
          <w:shd w:val="clear" w:color="auto" w:fill="FFFFFF"/>
        </w:rPr>
        <w:t xml:space="preserve">., </w:t>
      </w:r>
      <w:r w:rsidRPr="00DE0A4B">
        <w:rPr>
          <w:rFonts w:ascii="Times New Roman" w:hAnsi="Times New Roman" w:cs="Times New Roman"/>
          <w:sz w:val="24"/>
          <w:szCs w:val="24"/>
        </w:rPr>
        <w:t>2001). In 2017, according to ESDO, 6628.46 billion of microbeads from Dhaka, 1087.18 billion of microbeads from Chittagong and 212.38 billion of microbeads from Sylhet city are derelict into the water bodies monthly (The Daily Star, 2017). A recent study exposed that, developing economies are the most polluting. The study also showed that 83% of the 4.8–12.7 million tons of land-based plastic waste that ends up in the ocean from the 192 coastal countries originates from 20 countries where the position of Bangladesh is in number 10 on the list. Total annual waste generation was mainly determined by population size, therefore the large populations of the ‘leading countries’ on the list (Jambeck et</w:t>
      </w:r>
      <w:r w:rsidRPr="00DE0A4B">
        <w:rPr>
          <w:rFonts w:ascii="Times New Roman" w:hAnsi="Times New Roman" w:cs="Times New Roman"/>
          <w:i/>
          <w:sz w:val="24"/>
          <w:szCs w:val="24"/>
          <w:shd w:val="clear" w:color="auto" w:fill="FFFFFF"/>
        </w:rPr>
        <w:t xml:space="preserve"> et al</w:t>
      </w:r>
      <w:r w:rsidRPr="00DE0A4B">
        <w:rPr>
          <w:rFonts w:ascii="Times New Roman" w:hAnsi="Times New Roman" w:cs="Times New Roman"/>
          <w:sz w:val="24"/>
          <w:szCs w:val="24"/>
          <w:shd w:val="clear" w:color="auto" w:fill="FFFFFF"/>
        </w:rPr>
        <w:t xml:space="preserve">., </w:t>
      </w:r>
      <w:r w:rsidRPr="00DE0A4B">
        <w:rPr>
          <w:rFonts w:ascii="Times New Roman" w:hAnsi="Times New Roman" w:cs="Times New Roman"/>
          <w:sz w:val="24"/>
          <w:szCs w:val="24"/>
        </w:rPr>
        <w:t xml:space="preserve">2015). Another study calculated that between 1.15 and 2.41 million tons of plastic waste flows from rivers into the ocean annually, similarly the main drivers were population density, mismanaged plastic waste and production per country. Whereas, not only </w:t>
      </w:r>
      <w:r w:rsidRPr="00DE0A4B">
        <w:rPr>
          <w:rFonts w:ascii="Times New Roman" w:hAnsi="Times New Roman" w:cs="Times New Roman"/>
          <w:sz w:val="24"/>
          <w:szCs w:val="24"/>
          <w:shd w:val="clear" w:color="auto" w:fill="FFFFFF"/>
        </w:rPr>
        <w:t>plastic waste inputs from land into the ocean in a separated area, but also it</w:t>
      </w:r>
      <w:r w:rsidRPr="00DE0A4B">
        <w:rPr>
          <w:rFonts w:ascii="Times New Roman" w:hAnsi="Times New Roman" w:cs="Times New Roman"/>
          <w:sz w:val="24"/>
          <w:szCs w:val="24"/>
        </w:rPr>
        <w:t xml:space="preserve"> can be carried by the oceans across transboundary coastal border and river channels like Ganges from India in Bangladesh. Hence, there is need to supervise and to be documented about the response of the organisms after adopting microplastic.</w:t>
      </w:r>
    </w:p>
    <w:p w14:paraId="24C474F1" w14:textId="77777777" w:rsidR="003A67D0" w:rsidRPr="00DE0A4B" w:rsidRDefault="003A67D0" w:rsidP="003A67D0">
      <w:pPr>
        <w:autoSpaceDE w:val="0"/>
        <w:autoSpaceDN w:val="0"/>
        <w:adjustRightInd w:val="0"/>
        <w:jc w:val="both"/>
        <w:rPr>
          <w:rFonts w:ascii="Times New Roman" w:hAnsi="Times New Roman" w:cs="Times New Roman"/>
          <w:sz w:val="24"/>
          <w:szCs w:val="24"/>
        </w:rPr>
      </w:pPr>
      <w:r w:rsidRPr="00DE0A4B">
        <w:rPr>
          <w:rFonts w:ascii="Times New Roman" w:hAnsi="Times New Roman" w:cs="Times New Roman"/>
          <w:sz w:val="24"/>
          <w:szCs w:val="24"/>
        </w:rPr>
        <w:t>While many studies have now proven the abundance of microplastic pollution in the world’s oceans, far less research has been done on their presence or impacts in water ecosystems. We know now that plastic pieces are reaching remote and unexpected parts of the planet and it is critical to understand the role that all types of water body are playing in this equation (Free et al. 2014; Woodall et al. 2014). As a result, it is the goal of this exploratory quantitative study to build on the findings microplastic studies by investigating the abundance and types of microplastic pollution in the Bay of Bengal coast in Bangladesh. The results may also provide a clearer picture of how plastic concentrations differ spatially between different locations.</w:t>
      </w:r>
    </w:p>
    <w:p w14:paraId="1FC6F554" w14:textId="77777777" w:rsidR="000B5068" w:rsidRDefault="000B5068" w:rsidP="004E37A6">
      <w:pPr>
        <w:pStyle w:val="Heading1"/>
        <w:shd w:val="clear" w:color="auto" w:fill="FFFFFF"/>
        <w:jc w:val="both"/>
        <w:rPr>
          <w:rFonts w:ascii="Segoe UI" w:hAnsi="Segoe UI" w:cs="Segoe UI"/>
          <w:color w:val="212121"/>
          <w:sz w:val="16"/>
          <w:szCs w:val="16"/>
          <w:shd w:val="clear" w:color="auto" w:fill="FFFFFF"/>
        </w:rPr>
      </w:pPr>
      <w:r w:rsidRPr="000B5068">
        <w:rPr>
          <w:rFonts w:eastAsiaTheme="minorHAnsi"/>
          <w:b w:val="0"/>
          <w:bCs w:val="0"/>
          <w:kern w:val="0"/>
          <w:sz w:val="24"/>
          <w:szCs w:val="24"/>
          <w:lang w:bidi="ar-SA"/>
        </w:rPr>
        <w:t>Hossain et al., (2019) investigated the microplastic abundance in commercial important fishes like Bombay-duck (</w:t>
      </w:r>
      <w:r w:rsidRPr="000B5068">
        <w:rPr>
          <w:rFonts w:eastAsiaTheme="minorHAnsi"/>
          <w:b w:val="0"/>
          <w:bCs w:val="0"/>
          <w:i/>
          <w:iCs/>
          <w:kern w:val="0"/>
          <w:sz w:val="24"/>
          <w:szCs w:val="24"/>
          <w:lang w:bidi="ar-SA"/>
        </w:rPr>
        <w:t>Harpadon nehereus</w:t>
      </w:r>
      <w:r w:rsidRPr="000B5068">
        <w:rPr>
          <w:rFonts w:eastAsiaTheme="minorHAnsi"/>
          <w:b w:val="0"/>
          <w:bCs w:val="0"/>
          <w:kern w:val="0"/>
          <w:sz w:val="24"/>
          <w:szCs w:val="24"/>
          <w:lang w:bidi="ar-SA"/>
        </w:rPr>
        <w:t>), white Bombay-duck (</w:t>
      </w:r>
      <w:r w:rsidRPr="000B5068">
        <w:rPr>
          <w:rFonts w:eastAsiaTheme="minorHAnsi"/>
          <w:b w:val="0"/>
          <w:bCs w:val="0"/>
          <w:i/>
          <w:iCs/>
          <w:kern w:val="0"/>
          <w:sz w:val="24"/>
          <w:szCs w:val="24"/>
          <w:lang w:bidi="ar-SA"/>
        </w:rPr>
        <w:t>H. translucens</w:t>
      </w:r>
      <w:r w:rsidRPr="000B5068">
        <w:rPr>
          <w:rFonts w:eastAsiaTheme="minorHAnsi"/>
          <w:b w:val="0"/>
          <w:bCs w:val="0"/>
          <w:kern w:val="0"/>
          <w:sz w:val="24"/>
          <w:szCs w:val="24"/>
          <w:lang w:bidi="ar-SA"/>
        </w:rPr>
        <w:t>) and gold-stripe sardine (</w:t>
      </w:r>
      <w:r w:rsidRPr="000B5068">
        <w:rPr>
          <w:rFonts w:eastAsiaTheme="minorHAnsi"/>
          <w:b w:val="0"/>
          <w:bCs w:val="0"/>
          <w:i/>
          <w:iCs/>
          <w:kern w:val="0"/>
          <w:sz w:val="24"/>
          <w:szCs w:val="24"/>
          <w:lang w:bidi="ar-SA"/>
        </w:rPr>
        <w:t>Sardinella gibbosa</w:t>
      </w:r>
      <w:r w:rsidRPr="000B5068">
        <w:rPr>
          <w:rFonts w:eastAsiaTheme="minorHAnsi"/>
          <w:b w:val="0"/>
          <w:bCs w:val="0"/>
          <w:kern w:val="0"/>
          <w:sz w:val="24"/>
          <w:szCs w:val="24"/>
          <w:lang w:bidi="ar-SA"/>
        </w:rPr>
        <w:t xml:space="preserve">) collected from the Northern Bay of Bengal at Bangladesh. </w:t>
      </w:r>
      <w:r>
        <w:rPr>
          <w:rFonts w:eastAsiaTheme="minorHAnsi"/>
          <w:b w:val="0"/>
          <w:bCs w:val="0"/>
          <w:kern w:val="0"/>
          <w:sz w:val="24"/>
          <w:szCs w:val="24"/>
          <w:lang w:bidi="ar-SA"/>
        </w:rPr>
        <w:t xml:space="preserve">They found the </w:t>
      </w:r>
      <w:r w:rsidRPr="000B5068">
        <w:rPr>
          <w:rFonts w:eastAsiaTheme="minorHAnsi"/>
          <w:b w:val="0"/>
          <w:bCs w:val="0"/>
          <w:kern w:val="0"/>
          <w:sz w:val="24"/>
          <w:szCs w:val="24"/>
          <w:lang w:bidi="ar-SA"/>
        </w:rPr>
        <w:t>443 microplastic items were found in the intestines of </w:t>
      </w:r>
      <w:r w:rsidRPr="000B5068">
        <w:rPr>
          <w:rFonts w:eastAsiaTheme="minorHAnsi"/>
          <w:b w:val="0"/>
          <w:bCs w:val="0"/>
          <w:i/>
          <w:iCs/>
          <w:kern w:val="0"/>
          <w:sz w:val="24"/>
          <w:szCs w:val="24"/>
          <w:lang w:bidi="ar-SA"/>
        </w:rPr>
        <w:t xml:space="preserve">H. </w:t>
      </w:r>
      <w:r>
        <w:rPr>
          <w:rFonts w:eastAsiaTheme="minorHAnsi"/>
          <w:b w:val="0"/>
          <w:bCs w:val="0"/>
          <w:i/>
          <w:iCs/>
          <w:kern w:val="0"/>
          <w:sz w:val="24"/>
          <w:szCs w:val="24"/>
          <w:lang w:bidi="ar-SA"/>
        </w:rPr>
        <w:t>Nehereus</w:t>
      </w:r>
      <w:r w:rsidRPr="000B5068">
        <w:rPr>
          <w:rFonts w:eastAsiaTheme="minorHAnsi"/>
          <w:b w:val="0"/>
          <w:bCs w:val="0"/>
          <w:kern w:val="0"/>
          <w:sz w:val="24"/>
          <w:szCs w:val="24"/>
          <w:lang w:bidi="ar-SA"/>
        </w:rPr>
        <w:t>, </w:t>
      </w:r>
      <w:r w:rsidRPr="000B5068">
        <w:rPr>
          <w:rFonts w:eastAsiaTheme="minorHAnsi"/>
          <w:b w:val="0"/>
          <w:bCs w:val="0"/>
          <w:i/>
          <w:iCs/>
          <w:kern w:val="0"/>
          <w:sz w:val="24"/>
          <w:szCs w:val="24"/>
          <w:lang w:bidi="ar-SA"/>
        </w:rPr>
        <w:t>H. translucens</w:t>
      </w:r>
      <w:r w:rsidRPr="000B5068">
        <w:rPr>
          <w:rFonts w:eastAsiaTheme="minorHAnsi"/>
          <w:b w:val="0"/>
          <w:bCs w:val="0"/>
          <w:kern w:val="0"/>
          <w:sz w:val="24"/>
          <w:szCs w:val="24"/>
          <w:lang w:bidi="ar-SA"/>
        </w:rPr>
        <w:t> and </w:t>
      </w:r>
      <w:r w:rsidRPr="000B5068">
        <w:rPr>
          <w:rFonts w:eastAsiaTheme="minorHAnsi"/>
          <w:b w:val="0"/>
          <w:bCs w:val="0"/>
          <w:i/>
          <w:iCs/>
          <w:kern w:val="0"/>
          <w:sz w:val="24"/>
          <w:szCs w:val="24"/>
          <w:lang w:bidi="ar-SA"/>
        </w:rPr>
        <w:t>S. gibbosa</w:t>
      </w:r>
      <w:r w:rsidRPr="000B5068">
        <w:rPr>
          <w:rFonts w:eastAsiaTheme="minorHAnsi"/>
          <w:b w:val="0"/>
          <w:bCs w:val="0"/>
          <w:kern w:val="0"/>
          <w:sz w:val="24"/>
          <w:szCs w:val="24"/>
          <w:lang w:bidi="ar-SA"/>
        </w:rPr>
        <w:t xml:space="preserve">, averaging in the range of 3.20–8.72 items per species. </w:t>
      </w:r>
      <w:r>
        <w:rPr>
          <w:rFonts w:eastAsiaTheme="minorHAnsi"/>
          <w:b w:val="0"/>
          <w:bCs w:val="0"/>
          <w:kern w:val="0"/>
          <w:sz w:val="24"/>
          <w:szCs w:val="24"/>
          <w:lang w:bidi="ar-SA"/>
        </w:rPr>
        <w:t xml:space="preserve">Their finding explored that increasing pattern of </w:t>
      </w:r>
      <w:r w:rsidRPr="000B5068">
        <w:rPr>
          <w:rFonts w:eastAsiaTheme="minorHAnsi"/>
          <w:b w:val="0"/>
          <w:bCs w:val="0"/>
          <w:kern w:val="0"/>
          <w:sz w:val="24"/>
          <w:szCs w:val="24"/>
          <w:lang w:bidi="ar-SA"/>
        </w:rPr>
        <w:t xml:space="preserve">microplastics in marine fish </w:t>
      </w:r>
      <w:r w:rsidR="004E37A6">
        <w:rPr>
          <w:rFonts w:eastAsiaTheme="minorHAnsi"/>
          <w:b w:val="0"/>
          <w:bCs w:val="0"/>
          <w:kern w:val="0"/>
          <w:sz w:val="24"/>
          <w:szCs w:val="24"/>
          <w:lang w:bidi="ar-SA"/>
        </w:rPr>
        <w:t xml:space="preserve">might </w:t>
      </w:r>
      <w:r w:rsidRPr="000B5068">
        <w:rPr>
          <w:rFonts w:eastAsiaTheme="minorHAnsi"/>
          <w:b w:val="0"/>
          <w:bCs w:val="0"/>
          <w:kern w:val="0"/>
          <w:sz w:val="24"/>
          <w:szCs w:val="24"/>
          <w:lang w:bidi="ar-SA"/>
        </w:rPr>
        <w:t xml:space="preserve">be a </w:t>
      </w:r>
      <w:r w:rsidR="004E37A6">
        <w:rPr>
          <w:rFonts w:eastAsiaTheme="minorHAnsi"/>
          <w:b w:val="0"/>
          <w:bCs w:val="0"/>
          <w:kern w:val="0"/>
          <w:sz w:val="24"/>
          <w:szCs w:val="24"/>
          <w:lang w:bidi="ar-SA"/>
        </w:rPr>
        <w:t xml:space="preserve">major danger </w:t>
      </w:r>
      <w:r w:rsidRPr="000B5068">
        <w:rPr>
          <w:rFonts w:eastAsiaTheme="minorHAnsi"/>
          <w:b w:val="0"/>
          <w:bCs w:val="0"/>
          <w:kern w:val="0"/>
          <w:sz w:val="24"/>
          <w:szCs w:val="24"/>
          <w:lang w:bidi="ar-SA"/>
        </w:rPr>
        <w:t>to public health via the food chain.</w:t>
      </w:r>
      <w:r w:rsidR="004E37A6">
        <w:rPr>
          <w:rFonts w:eastAsiaTheme="minorHAnsi"/>
          <w:b w:val="0"/>
          <w:bCs w:val="0"/>
          <w:kern w:val="0"/>
          <w:sz w:val="24"/>
          <w:szCs w:val="24"/>
          <w:lang w:bidi="ar-SA"/>
        </w:rPr>
        <w:t xml:space="preserve"> Hossain et al., (2020) explored the contamination of microplastic in Peaneid shrimp (</w:t>
      </w:r>
      <w:r w:rsidR="004E37A6" w:rsidRPr="004D6111">
        <w:rPr>
          <w:rFonts w:eastAsiaTheme="minorHAnsi"/>
          <w:b w:val="0"/>
          <w:bCs w:val="0"/>
          <w:i/>
          <w:iCs/>
          <w:kern w:val="0"/>
          <w:sz w:val="24"/>
          <w:szCs w:val="24"/>
          <w:lang w:bidi="ar-SA"/>
        </w:rPr>
        <w:t>Metapenaeus monocerous, Penaeus monodon</w:t>
      </w:r>
      <w:r w:rsidR="004E37A6">
        <w:rPr>
          <w:rFonts w:ascii="Segoe UI" w:hAnsi="Segoe UI" w:cs="Segoe UI"/>
          <w:color w:val="212121"/>
          <w:sz w:val="16"/>
          <w:szCs w:val="16"/>
          <w:shd w:val="clear" w:color="auto" w:fill="FFFFFF"/>
        </w:rPr>
        <w:t xml:space="preserve">) </w:t>
      </w:r>
      <w:r w:rsidR="004E37A6" w:rsidRPr="004E37A6">
        <w:rPr>
          <w:rFonts w:eastAsiaTheme="minorHAnsi"/>
          <w:b w:val="0"/>
          <w:bCs w:val="0"/>
          <w:kern w:val="0"/>
          <w:sz w:val="24"/>
          <w:szCs w:val="24"/>
          <w:lang w:bidi="ar-SA"/>
        </w:rPr>
        <w:t>of the Northern Bay of Bengal, Bangladesh. There are 35 and 45 micropalstics items were explored in the shrimp species. The finding indicated potential risk of food safety to the people of Bangladesh for obtained shimp species as delicious food.</w:t>
      </w:r>
      <w:r w:rsidR="004E37A6">
        <w:rPr>
          <w:rFonts w:ascii="Segoe UI" w:hAnsi="Segoe UI" w:cs="Segoe UI"/>
          <w:color w:val="212121"/>
          <w:sz w:val="16"/>
          <w:szCs w:val="16"/>
          <w:shd w:val="clear" w:color="auto" w:fill="FFFFFF"/>
        </w:rPr>
        <w:t xml:space="preserve"> </w:t>
      </w:r>
    </w:p>
    <w:p w14:paraId="2EBE5EB3" w14:textId="77777777" w:rsidR="004E37A6" w:rsidRPr="004E37A6" w:rsidRDefault="004D6111" w:rsidP="004E37A6">
      <w:pPr>
        <w:pStyle w:val="Heading1"/>
        <w:shd w:val="clear" w:color="auto" w:fill="FFFFFF"/>
        <w:jc w:val="both"/>
        <w:rPr>
          <w:rFonts w:eastAsiaTheme="minorHAnsi"/>
          <w:b w:val="0"/>
          <w:bCs w:val="0"/>
          <w:kern w:val="0"/>
          <w:sz w:val="24"/>
          <w:szCs w:val="24"/>
          <w:lang w:bidi="ar-SA"/>
        </w:rPr>
      </w:pPr>
      <w:r>
        <w:rPr>
          <w:rFonts w:eastAsiaTheme="minorHAnsi"/>
          <w:b w:val="0"/>
          <w:bCs w:val="0"/>
          <w:kern w:val="0"/>
          <w:sz w:val="24"/>
          <w:szCs w:val="24"/>
          <w:lang w:bidi="ar-SA"/>
        </w:rPr>
        <w:lastRenderedPageBreak/>
        <w:t xml:space="preserve">This is reality that the fish </w:t>
      </w:r>
      <w:r w:rsidR="004E37A6" w:rsidRPr="004E37A6">
        <w:rPr>
          <w:rFonts w:eastAsiaTheme="minorHAnsi"/>
          <w:b w:val="0"/>
          <w:bCs w:val="0"/>
          <w:kern w:val="0"/>
          <w:sz w:val="24"/>
          <w:szCs w:val="24"/>
          <w:lang w:bidi="ar-SA"/>
        </w:rPr>
        <w:t>Hilsa shad</w:t>
      </w:r>
      <w:r>
        <w:rPr>
          <w:rFonts w:eastAsiaTheme="minorHAnsi"/>
          <w:b w:val="0"/>
          <w:bCs w:val="0"/>
          <w:kern w:val="0"/>
          <w:sz w:val="24"/>
          <w:szCs w:val="24"/>
          <w:lang w:bidi="ar-SA"/>
        </w:rPr>
        <w:t xml:space="preserve"> (</w:t>
      </w:r>
      <w:r w:rsidRPr="004D6111">
        <w:rPr>
          <w:rFonts w:eastAsiaTheme="minorHAnsi"/>
          <w:b w:val="0"/>
          <w:bCs w:val="0"/>
          <w:i/>
          <w:iCs/>
          <w:kern w:val="0"/>
          <w:sz w:val="24"/>
          <w:szCs w:val="24"/>
          <w:lang w:bidi="ar-SA"/>
        </w:rPr>
        <w:t>Tenualosa ilisha</w:t>
      </w:r>
      <w:r>
        <w:rPr>
          <w:rFonts w:eastAsiaTheme="minorHAnsi"/>
          <w:b w:val="0"/>
          <w:bCs w:val="0"/>
          <w:kern w:val="0"/>
          <w:sz w:val="24"/>
          <w:szCs w:val="24"/>
          <w:lang w:bidi="ar-SA"/>
        </w:rPr>
        <w:t>)</w:t>
      </w:r>
      <w:r w:rsidR="004E37A6" w:rsidRPr="004E37A6">
        <w:rPr>
          <w:rFonts w:eastAsiaTheme="minorHAnsi"/>
          <w:b w:val="0"/>
          <w:bCs w:val="0"/>
          <w:kern w:val="0"/>
          <w:sz w:val="24"/>
          <w:szCs w:val="24"/>
          <w:lang w:bidi="ar-SA"/>
        </w:rPr>
        <w:t xml:space="preserve"> is </w:t>
      </w:r>
      <w:r>
        <w:rPr>
          <w:rFonts w:eastAsiaTheme="minorHAnsi"/>
          <w:b w:val="0"/>
          <w:bCs w:val="0"/>
          <w:kern w:val="0"/>
          <w:sz w:val="24"/>
          <w:szCs w:val="24"/>
          <w:lang w:bidi="ar-SA"/>
        </w:rPr>
        <w:t xml:space="preserve">major commercial and national fish of Bangladesh providing nearly 13% </w:t>
      </w:r>
      <w:r w:rsidR="004E37A6" w:rsidRPr="004E37A6">
        <w:rPr>
          <w:rFonts w:eastAsiaTheme="minorHAnsi"/>
          <w:b w:val="0"/>
          <w:bCs w:val="0"/>
          <w:kern w:val="0"/>
          <w:sz w:val="24"/>
          <w:szCs w:val="24"/>
          <w:lang w:bidi="ar-SA"/>
        </w:rPr>
        <w:t xml:space="preserve">of the </w:t>
      </w:r>
      <w:r>
        <w:rPr>
          <w:rFonts w:eastAsiaTheme="minorHAnsi"/>
          <w:b w:val="0"/>
          <w:bCs w:val="0"/>
          <w:kern w:val="0"/>
          <w:sz w:val="24"/>
          <w:szCs w:val="24"/>
          <w:lang w:bidi="ar-SA"/>
        </w:rPr>
        <w:t xml:space="preserve">national </w:t>
      </w:r>
      <w:r w:rsidR="004E37A6" w:rsidRPr="004E37A6">
        <w:rPr>
          <w:rFonts w:eastAsiaTheme="minorHAnsi"/>
          <w:b w:val="0"/>
          <w:bCs w:val="0"/>
          <w:kern w:val="0"/>
          <w:sz w:val="24"/>
          <w:szCs w:val="24"/>
          <w:lang w:bidi="ar-SA"/>
        </w:rPr>
        <w:t xml:space="preserve">total fish production. </w:t>
      </w:r>
      <w:r>
        <w:rPr>
          <w:rFonts w:eastAsiaTheme="minorHAnsi"/>
          <w:b w:val="0"/>
          <w:bCs w:val="0"/>
          <w:kern w:val="0"/>
          <w:sz w:val="24"/>
          <w:szCs w:val="24"/>
          <w:lang w:bidi="ar-SA"/>
        </w:rPr>
        <w:t>Siddiquee et al., (2022) investigated the microplastics in a national fish,</w:t>
      </w:r>
      <w:r w:rsidRPr="004D6111">
        <w:rPr>
          <w:rFonts w:ascii="Georgia" w:hAnsi="Georgia"/>
          <w:color w:val="212121"/>
        </w:rPr>
        <w:t xml:space="preserve"> </w:t>
      </w:r>
      <w:r w:rsidRPr="004D6111">
        <w:rPr>
          <w:rFonts w:eastAsiaTheme="minorHAnsi"/>
          <w:b w:val="0"/>
          <w:bCs w:val="0"/>
          <w:kern w:val="0"/>
          <w:sz w:val="24"/>
          <w:szCs w:val="24"/>
          <w:lang w:bidi="ar-SA"/>
        </w:rPr>
        <w:t xml:space="preserve">Hilsa shad </w:t>
      </w:r>
      <w:r>
        <w:rPr>
          <w:rFonts w:eastAsiaTheme="minorHAnsi"/>
          <w:b w:val="0"/>
          <w:bCs w:val="0"/>
          <w:kern w:val="0"/>
          <w:sz w:val="24"/>
          <w:szCs w:val="24"/>
          <w:lang w:bidi="ar-SA"/>
        </w:rPr>
        <w:t>(</w:t>
      </w:r>
      <w:r w:rsidRPr="004D6111">
        <w:rPr>
          <w:rFonts w:eastAsiaTheme="minorHAnsi"/>
          <w:b w:val="0"/>
          <w:bCs w:val="0"/>
          <w:i/>
          <w:iCs/>
          <w:kern w:val="0"/>
          <w:sz w:val="24"/>
          <w:szCs w:val="24"/>
          <w:lang w:bidi="ar-SA"/>
        </w:rPr>
        <w:t>Tenualosa ilisha</w:t>
      </w:r>
      <w:r>
        <w:rPr>
          <w:rFonts w:eastAsiaTheme="minorHAnsi"/>
          <w:b w:val="0"/>
          <w:bCs w:val="0"/>
          <w:kern w:val="0"/>
          <w:sz w:val="24"/>
          <w:szCs w:val="24"/>
          <w:lang w:bidi="ar-SA"/>
        </w:rPr>
        <w:t xml:space="preserve">) </w:t>
      </w:r>
      <w:r w:rsidRPr="004D6111">
        <w:rPr>
          <w:rFonts w:eastAsiaTheme="minorHAnsi"/>
          <w:b w:val="0"/>
          <w:bCs w:val="0"/>
          <w:kern w:val="0"/>
          <w:sz w:val="24"/>
          <w:szCs w:val="24"/>
          <w:lang w:bidi="ar-SA"/>
        </w:rPr>
        <w:t>from the Bay of Bengal, Bangladesh</w:t>
      </w:r>
      <w:r>
        <w:rPr>
          <w:rFonts w:eastAsiaTheme="minorHAnsi"/>
          <w:b w:val="0"/>
          <w:bCs w:val="0"/>
          <w:kern w:val="0"/>
          <w:sz w:val="24"/>
          <w:szCs w:val="24"/>
          <w:lang w:bidi="ar-SA"/>
        </w:rPr>
        <w:t xml:space="preserve">. Total </w:t>
      </w:r>
      <w:r w:rsidR="004E37A6" w:rsidRPr="004E37A6">
        <w:rPr>
          <w:rFonts w:eastAsiaTheme="minorHAnsi"/>
          <w:b w:val="0"/>
          <w:bCs w:val="0"/>
          <w:kern w:val="0"/>
          <w:sz w:val="24"/>
          <w:szCs w:val="24"/>
          <w:lang w:bidi="ar-SA"/>
        </w:rPr>
        <w:t>287</w:t>
      </w:r>
      <w:r>
        <w:rPr>
          <w:rFonts w:eastAsiaTheme="minorHAnsi"/>
          <w:b w:val="0"/>
          <w:bCs w:val="0"/>
          <w:kern w:val="0"/>
          <w:sz w:val="24"/>
          <w:szCs w:val="24"/>
          <w:lang w:bidi="ar-SA"/>
        </w:rPr>
        <w:t xml:space="preserve"> number of microplastic samples </w:t>
      </w:r>
      <w:r w:rsidR="004E37A6" w:rsidRPr="004E37A6">
        <w:rPr>
          <w:rFonts w:eastAsiaTheme="minorHAnsi"/>
          <w:b w:val="0"/>
          <w:bCs w:val="0"/>
          <w:kern w:val="0"/>
          <w:sz w:val="24"/>
          <w:szCs w:val="24"/>
          <w:lang w:bidi="ar-SA"/>
        </w:rPr>
        <w:t xml:space="preserve">were </w:t>
      </w:r>
      <w:r>
        <w:rPr>
          <w:rFonts w:eastAsiaTheme="minorHAnsi"/>
          <w:b w:val="0"/>
          <w:bCs w:val="0"/>
          <w:kern w:val="0"/>
          <w:sz w:val="24"/>
          <w:szCs w:val="24"/>
          <w:lang w:bidi="ar-SA"/>
        </w:rPr>
        <w:t xml:space="preserve">identified </w:t>
      </w:r>
      <w:r w:rsidR="004E37A6" w:rsidRPr="004E37A6">
        <w:rPr>
          <w:rFonts w:eastAsiaTheme="minorHAnsi"/>
          <w:b w:val="0"/>
          <w:bCs w:val="0"/>
          <w:kern w:val="0"/>
          <w:sz w:val="24"/>
          <w:szCs w:val="24"/>
          <w:lang w:bidi="ar-SA"/>
        </w:rPr>
        <w:t>from the gastrointestinal tracts. All the fishes anal</w:t>
      </w:r>
      <w:r>
        <w:rPr>
          <w:rFonts w:eastAsiaTheme="minorHAnsi"/>
          <w:b w:val="0"/>
          <w:bCs w:val="0"/>
          <w:kern w:val="0"/>
          <w:sz w:val="24"/>
          <w:szCs w:val="24"/>
          <w:lang w:bidi="ar-SA"/>
        </w:rPr>
        <w:t xml:space="preserve">yzed were contaminated with MPs and indicated the threat of safe food security and nutrition level for the consumers of coastal communities of Bangladesh. </w:t>
      </w:r>
    </w:p>
    <w:p w14:paraId="5843C1EE" w14:textId="77777777" w:rsidR="00ED0142" w:rsidRDefault="00ED0142" w:rsidP="00CC084F">
      <w:pPr>
        <w:spacing w:after="0" w:line="360" w:lineRule="auto"/>
        <w:jc w:val="both"/>
        <w:rPr>
          <w:rFonts w:ascii="Times New Roman" w:hAnsi="Times New Roman" w:cs="Times New Roman"/>
          <w:sz w:val="24"/>
          <w:szCs w:val="24"/>
        </w:rPr>
      </w:pPr>
    </w:p>
    <w:p w14:paraId="3A73BD8C" w14:textId="77777777" w:rsidR="00365B9A" w:rsidRPr="00365B9A" w:rsidRDefault="00365B9A" w:rsidP="00CC084F">
      <w:pPr>
        <w:spacing w:after="0" w:line="360" w:lineRule="auto"/>
        <w:jc w:val="both"/>
        <w:rPr>
          <w:rFonts w:ascii="Times New Roman" w:hAnsi="Times New Roman" w:cs="Times New Roman"/>
          <w:sz w:val="24"/>
          <w:szCs w:val="24"/>
        </w:rPr>
      </w:pPr>
      <w:r w:rsidRPr="00365B9A">
        <w:rPr>
          <w:rFonts w:ascii="Times New Roman" w:hAnsi="Times New Roman" w:cs="Times New Roman"/>
          <w:sz w:val="24"/>
          <w:szCs w:val="24"/>
        </w:rPr>
        <w:t>Microplastics enter the Bay of Bengal via three major river systems, which transport pollution from hundreds of rivers in Bangladesh and neighboring nations. These plastics are also introduced by the breakdown of lost at sea fishing lines and nets, which are carried to shallow coastal waters by ocean currents. Plastic garbage improperly disposed of in the popular tourist beaches of Cox's Bazar and Kuakata also contributes to pollution in the Bay of Bengal. </w:t>
      </w:r>
      <w:r>
        <w:rPr>
          <w:rFonts w:ascii="Times New Roman" w:hAnsi="Times New Roman" w:cs="Times New Roman"/>
          <w:sz w:val="24"/>
          <w:szCs w:val="24"/>
        </w:rPr>
        <w:t xml:space="preserve">Jabed et al. (2022) detected </w:t>
      </w:r>
      <w:r w:rsidRPr="00365B9A">
        <w:rPr>
          <w:rFonts w:ascii="Times New Roman" w:hAnsi="Times New Roman" w:cs="Times New Roman"/>
          <w:sz w:val="24"/>
          <w:szCs w:val="24"/>
        </w:rPr>
        <w:t xml:space="preserve">microplastics in dried Bombay duck and ribbon fish </w:t>
      </w:r>
      <w:r>
        <w:rPr>
          <w:rFonts w:ascii="Times New Roman" w:hAnsi="Times New Roman" w:cs="Times New Roman"/>
          <w:sz w:val="24"/>
          <w:szCs w:val="24"/>
        </w:rPr>
        <w:t xml:space="preserve">from 2 coastal region of </w:t>
      </w:r>
      <w:r w:rsidR="00FB4511">
        <w:rPr>
          <w:rFonts w:ascii="Times New Roman" w:hAnsi="Times New Roman" w:cs="Times New Roman"/>
          <w:sz w:val="24"/>
          <w:szCs w:val="24"/>
        </w:rPr>
        <w:t>B</w:t>
      </w:r>
      <w:r>
        <w:rPr>
          <w:rFonts w:ascii="Times New Roman" w:hAnsi="Times New Roman" w:cs="Times New Roman"/>
          <w:sz w:val="24"/>
          <w:szCs w:val="24"/>
        </w:rPr>
        <w:t xml:space="preserve">angladesh </w:t>
      </w:r>
      <w:r w:rsidRPr="00365B9A">
        <w:rPr>
          <w:rFonts w:ascii="Times New Roman" w:hAnsi="Times New Roman" w:cs="Times New Roman"/>
          <w:sz w:val="24"/>
          <w:szCs w:val="24"/>
        </w:rPr>
        <w:t xml:space="preserve">is really </w:t>
      </w:r>
      <w:r w:rsidR="00FB4511">
        <w:rPr>
          <w:rFonts w:ascii="Times New Roman" w:hAnsi="Times New Roman" w:cs="Times New Roman"/>
          <w:sz w:val="24"/>
          <w:szCs w:val="24"/>
        </w:rPr>
        <w:t xml:space="preserve">alarming which becoming </w:t>
      </w:r>
      <w:r w:rsidRPr="00365B9A">
        <w:rPr>
          <w:rFonts w:ascii="Times New Roman" w:hAnsi="Times New Roman" w:cs="Times New Roman"/>
          <w:sz w:val="24"/>
          <w:szCs w:val="24"/>
        </w:rPr>
        <w:t>potentially hazardous microplastics to enter human systems and accumulate in organs.</w:t>
      </w:r>
    </w:p>
    <w:p w14:paraId="053B87E4" w14:textId="77777777" w:rsidR="00ED0142" w:rsidRDefault="00ED0142" w:rsidP="00CC084F">
      <w:pPr>
        <w:spacing w:after="0" w:line="360" w:lineRule="auto"/>
        <w:jc w:val="both"/>
        <w:rPr>
          <w:rFonts w:ascii="Times New Roman" w:hAnsi="Times New Roman" w:cs="Times New Roman"/>
          <w:sz w:val="24"/>
          <w:szCs w:val="24"/>
        </w:rPr>
      </w:pPr>
    </w:p>
    <w:p w14:paraId="57D8FC1C" w14:textId="77777777" w:rsidR="00D622E7" w:rsidRPr="00CC084F" w:rsidRDefault="00D622E7" w:rsidP="00D622E7">
      <w:pPr>
        <w:spacing w:after="0" w:line="240" w:lineRule="auto"/>
        <w:jc w:val="both"/>
        <w:rPr>
          <w:rFonts w:ascii="Times New Roman" w:hAnsi="Times New Roman" w:cs="Times New Roman"/>
          <w:b/>
          <w:bCs/>
          <w:sz w:val="24"/>
          <w:szCs w:val="24"/>
        </w:rPr>
      </w:pPr>
      <w:r w:rsidRPr="00CC084F">
        <w:rPr>
          <w:rFonts w:ascii="Times New Roman" w:hAnsi="Times New Roman" w:cs="Times New Roman"/>
          <w:b/>
          <w:bCs/>
          <w:sz w:val="24"/>
          <w:szCs w:val="24"/>
        </w:rPr>
        <w:t>Maritime fisheries resource conservation and management:</w:t>
      </w:r>
    </w:p>
    <w:p w14:paraId="3A4CA68C" w14:textId="77777777" w:rsidR="00D622E7" w:rsidRPr="00D622E7" w:rsidRDefault="00D622E7" w:rsidP="00CC084F">
      <w:pPr>
        <w:spacing w:after="0" w:line="360" w:lineRule="auto"/>
        <w:jc w:val="both"/>
        <w:rPr>
          <w:rFonts w:ascii="Times New Roman" w:hAnsi="Times New Roman" w:cs="Times New Roman"/>
          <w:sz w:val="24"/>
          <w:szCs w:val="24"/>
        </w:rPr>
      </w:pPr>
      <w:r w:rsidRPr="00D622E7">
        <w:rPr>
          <w:rFonts w:ascii="Times New Roman" w:hAnsi="Times New Roman" w:cs="Times New Roman"/>
          <w:sz w:val="24"/>
          <w:szCs w:val="24"/>
        </w:rPr>
        <w:t>The government has undertaken projects to expand the vision of the green economy, and Bangladesh has been selected as an initiative to launch the development of green financial instruments in 2014. Modern-day control and evaluation to address the Sustainable Development Goals (SDGs) 14th cause: protection and sustainability of seas, oceans and marine assets for sustainable development aimed at 2020. Correctly handling harvesting and stopping overfishing, unlawful, unreported and out of control fishing practices and dangerous fishing practices and impacting technology-based management structures on fish processing inside the shortest possible time, at least to the quantity that would make the Harvest more sustainable as determined by the source in their natural traits.</w:t>
      </w:r>
    </w:p>
    <w:p w14:paraId="299E23AD" w14:textId="77777777" w:rsidR="00D622E7" w:rsidRPr="00D622E7" w:rsidRDefault="00D622E7" w:rsidP="00D622E7">
      <w:pPr>
        <w:spacing w:after="0" w:line="240" w:lineRule="auto"/>
        <w:jc w:val="both"/>
        <w:rPr>
          <w:rFonts w:ascii="Times New Roman" w:hAnsi="Times New Roman" w:cs="Times New Roman"/>
          <w:sz w:val="24"/>
          <w:szCs w:val="24"/>
        </w:rPr>
      </w:pPr>
    </w:p>
    <w:p w14:paraId="32CB5D05" w14:textId="77777777" w:rsidR="00635C9C" w:rsidRDefault="00635C9C" w:rsidP="003275E9">
      <w:pPr>
        <w:spacing w:after="0" w:line="240" w:lineRule="auto"/>
        <w:jc w:val="center"/>
        <w:rPr>
          <w:rFonts w:ascii="Times New Roman" w:hAnsi="Times New Roman" w:cs="Times New Roman"/>
          <w:b/>
          <w:sz w:val="24"/>
          <w:szCs w:val="24"/>
        </w:rPr>
      </w:pPr>
    </w:p>
    <w:p w14:paraId="3EBC52FF"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 xml:space="preserve">The government assumes a lot of responsibility to manage those sectors using the resources of its representatives, especially the Department of fisheries. Nevertheless, several institutions are concerned about developing and managing fisheries in Bangladesh. The MoFL is the main control agency, accountable for drafting, formatting, and imposing fishing tips and recommendations. FL leads one-of-a-kind institutions, including the Department of Fisheries </w:t>
      </w:r>
      <w:r w:rsidRPr="0018538C">
        <w:rPr>
          <w:rFonts w:ascii="Times New Roman" w:hAnsi="Times New Roman" w:cs="Times New Roman"/>
          <w:sz w:val="24"/>
          <w:szCs w:val="24"/>
        </w:rPr>
        <w:lastRenderedPageBreak/>
        <w:t>(DoF), which has been concerned with sports-related to expansion, deception, exploitation, training and development of useful human resources, law enforcement and tips, environmental conservation, good governance, control, registration and certificates, fishing licenses, reputation building and promotions, an insurance component manual, and management (Shamsuzzaman MM et al.,2017). Bangladesh Fisheries Development Education. Finally, the Department of Fisheries and Cattle Statistics (FLID) has been conducting a campaign to distribute statistics on Fisheries and Cattle. Work of Bangladesh Delta Plan 2100. Department of modern economy, budget planning government of Bangladesh, 2015). The Bangladesh Fisheries Development Corporation (BFDC) has been actively involved in marketing, manufacturing, education, etc. In addition, Bangladesh Fisheries Research Institute (BFRI) is actively engaged in fisheries research and related species education. A new amendment to the fish and fish product present coding inspiration was amended on 21 December 2017. The proposed Fish and Fish products Act 2017 has been submitted to the Department of Fisheries and Ministry of livestock to authorize Parliament. Prison foundation for manufacturing of at ease fish and fish products to make sure the protection and first-rate of exportable fish and fishery products from farm to fork are as follows:</w:t>
      </w:r>
    </w:p>
    <w:p w14:paraId="59C8D3BB" w14:textId="77777777" w:rsidR="0018538C" w:rsidRPr="0018538C" w:rsidRDefault="0018538C" w:rsidP="00D20FEA">
      <w:pPr>
        <w:spacing w:after="0" w:line="360" w:lineRule="auto"/>
        <w:jc w:val="both"/>
        <w:rPr>
          <w:rFonts w:ascii="Times New Roman" w:hAnsi="Times New Roman" w:cs="Times New Roman"/>
          <w:sz w:val="24"/>
          <w:szCs w:val="24"/>
        </w:rPr>
      </w:pPr>
    </w:p>
    <w:p w14:paraId="086F97A3" w14:textId="77777777" w:rsidR="0018538C" w:rsidRDefault="00FB4511" w:rsidP="00D20FEA">
      <w:pPr>
        <w:spacing w:after="0" w:line="360" w:lineRule="auto"/>
        <w:jc w:val="both"/>
        <w:rPr>
          <w:rFonts w:ascii="Times New Roman" w:hAnsi="Times New Roman" w:cs="Times New Roman"/>
          <w:b/>
          <w:bCs/>
          <w:sz w:val="24"/>
          <w:szCs w:val="24"/>
        </w:rPr>
      </w:pPr>
      <w:r w:rsidRPr="00FB4511">
        <w:rPr>
          <w:rFonts w:ascii="Times New Roman" w:hAnsi="Times New Roman" w:cs="Times New Roman"/>
          <w:b/>
          <w:bCs/>
          <w:sz w:val="24"/>
          <w:szCs w:val="24"/>
        </w:rPr>
        <w:t xml:space="preserve">Policy Regarding Marine Fisheries Management </w:t>
      </w:r>
      <w:r>
        <w:rPr>
          <w:rFonts w:ascii="Times New Roman" w:hAnsi="Times New Roman" w:cs="Times New Roman"/>
          <w:b/>
          <w:bCs/>
          <w:sz w:val="24"/>
          <w:szCs w:val="24"/>
        </w:rPr>
        <w:t>and Pollution Control</w:t>
      </w:r>
    </w:p>
    <w:p w14:paraId="3C18EE81" w14:textId="77777777" w:rsidR="00FB4511" w:rsidRDefault="00FD2CDF" w:rsidP="00FD2CDF">
      <w:pPr>
        <w:spacing w:after="0" w:line="360" w:lineRule="auto"/>
        <w:jc w:val="both"/>
        <w:rPr>
          <w:rFonts w:ascii="Times New Roman" w:hAnsi="Times New Roman" w:cs="Times New Roman"/>
          <w:sz w:val="24"/>
          <w:szCs w:val="24"/>
        </w:rPr>
      </w:pPr>
      <w:r w:rsidRPr="00FD2CDF">
        <w:rPr>
          <w:rFonts w:ascii="Times New Roman" w:hAnsi="Times New Roman" w:cs="Times New Roman"/>
          <w:sz w:val="24"/>
          <w:szCs w:val="24"/>
        </w:rPr>
        <w:t>The Bangladesh Environment Conservation (BEC) Act, 1995 (amended 2010), was approved by the country government, and it was followed by the Bangladesh Environment Conservation (BEC) Rules, 1997, which is the main umbrella of environmental legislation to prevent overall pollution. The 1995 BEC Act calls for the improvement of environmental standards, the sustainability of environmental conservation, and the mitigation and control of environmental pollution.</w:t>
      </w:r>
      <w:r>
        <w:rPr>
          <w:rFonts w:ascii="Times New Roman" w:hAnsi="Times New Roman" w:cs="Times New Roman"/>
          <w:sz w:val="24"/>
          <w:szCs w:val="24"/>
        </w:rPr>
        <w:t xml:space="preserve"> </w:t>
      </w:r>
      <w:r w:rsidRPr="00FD2CDF">
        <w:rPr>
          <w:rFonts w:ascii="Times New Roman" w:hAnsi="Times New Roman" w:cs="Times New Roman"/>
          <w:sz w:val="24"/>
          <w:szCs w:val="24"/>
        </w:rPr>
        <w:t>The draft of the '2004 Marine Environmental Conservation Act' is primarily aimed at conserving the marine environment and preventing marine pollution in Bangladesh by putting MARPOL 73/78 into effect in Bangladesh8. The draft act also directs the government to implement seven other international conventions concerning the marine environment. As a result, the draft will not give these conventions effect. This is a good way to avoid the time-consuming process of ratifying these important conventions in Bangladesh.</w:t>
      </w:r>
      <w:r>
        <w:rPr>
          <w:rFonts w:ascii="Times New Roman" w:hAnsi="Times New Roman" w:cs="Times New Roman"/>
          <w:sz w:val="24"/>
          <w:szCs w:val="24"/>
        </w:rPr>
        <w:t xml:space="preserve"> </w:t>
      </w:r>
      <w:r w:rsidRPr="00FD2CDF">
        <w:rPr>
          <w:rFonts w:ascii="Times New Roman" w:hAnsi="Times New Roman" w:cs="Times New Roman"/>
          <w:sz w:val="24"/>
          <w:szCs w:val="24"/>
        </w:rPr>
        <w:t xml:space="preserve">The Coastal Zone Policy 2005 and the Coastal Development Strategy 2006 are also important legal-based </w:t>
      </w:r>
      <w:r w:rsidRPr="00FD2CDF">
        <w:rPr>
          <w:rFonts w:ascii="Times New Roman" w:hAnsi="Times New Roman" w:cs="Times New Roman"/>
          <w:sz w:val="24"/>
          <w:szCs w:val="24"/>
        </w:rPr>
        <w:lastRenderedPageBreak/>
        <w:t>instruments for the development and management of Bangladesh's coastal zone, but these policies have some shortcomings in terms of controlling marine and coastal pollution.</w:t>
      </w:r>
      <w:r>
        <w:rPr>
          <w:rFonts w:ascii="Times New Roman" w:hAnsi="Times New Roman" w:cs="Times New Roman"/>
          <w:sz w:val="24"/>
          <w:szCs w:val="24"/>
        </w:rPr>
        <w:t xml:space="preserve"> </w:t>
      </w:r>
    </w:p>
    <w:p w14:paraId="23829DBC" w14:textId="77777777" w:rsidR="00FD2CDF" w:rsidRDefault="00FD2CDF" w:rsidP="00FD2C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Besides, there are some rules and strategies in Bangladesh for marine fisheries conservation and management which are as follows:</w:t>
      </w:r>
    </w:p>
    <w:p w14:paraId="64EA0B16" w14:textId="77777777" w:rsidR="00FD2CDF" w:rsidRPr="00FD2CDF" w:rsidRDefault="00FD2CDF" w:rsidP="00FD2CDF">
      <w:pPr>
        <w:spacing w:after="0" w:line="360" w:lineRule="auto"/>
        <w:jc w:val="both"/>
        <w:rPr>
          <w:rFonts w:ascii="Times New Roman" w:hAnsi="Times New Roman" w:cs="Times New Roman"/>
          <w:sz w:val="24"/>
          <w:szCs w:val="24"/>
        </w:rPr>
      </w:pPr>
    </w:p>
    <w:p w14:paraId="01B84A60"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a)</w:t>
      </w:r>
      <w:r w:rsidRPr="0018538C">
        <w:rPr>
          <w:rFonts w:ascii="Times New Roman" w:hAnsi="Times New Roman" w:cs="Times New Roman"/>
          <w:sz w:val="24"/>
          <w:szCs w:val="24"/>
        </w:rPr>
        <w:tab/>
        <w:t>The Fish and Fish Product (Inspection and Quality Control) Ordinance, 1983</w:t>
      </w:r>
    </w:p>
    <w:p w14:paraId="1609F043"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b)</w:t>
      </w:r>
      <w:r w:rsidRPr="0018538C">
        <w:rPr>
          <w:rFonts w:ascii="Times New Roman" w:hAnsi="Times New Roman" w:cs="Times New Roman"/>
          <w:sz w:val="24"/>
          <w:szCs w:val="24"/>
        </w:rPr>
        <w:tab/>
        <w:t>The Marine Fisheries Ordinance, 1983</w:t>
      </w:r>
    </w:p>
    <w:p w14:paraId="1652F457"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c)</w:t>
      </w:r>
      <w:r w:rsidRPr="0018538C">
        <w:rPr>
          <w:rFonts w:ascii="Times New Roman" w:hAnsi="Times New Roman" w:cs="Times New Roman"/>
          <w:sz w:val="24"/>
          <w:szCs w:val="24"/>
        </w:rPr>
        <w:tab/>
        <w:t>The Marine Fisheries Rules, 1983</w:t>
      </w:r>
    </w:p>
    <w:p w14:paraId="0774685A"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d)</w:t>
      </w:r>
      <w:r w:rsidRPr="0018538C">
        <w:rPr>
          <w:rFonts w:ascii="Times New Roman" w:hAnsi="Times New Roman" w:cs="Times New Roman"/>
          <w:sz w:val="24"/>
          <w:szCs w:val="24"/>
        </w:rPr>
        <w:tab/>
        <w:t>The Fish and Fish Product (Inspection and quality control) Rules, 1997 (amended in</w:t>
      </w:r>
    </w:p>
    <w:p w14:paraId="17D407C2"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2008, 2014 &amp; 2017)</w:t>
      </w:r>
    </w:p>
    <w:p w14:paraId="3C3A66C2"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e)</w:t>
      </w:r>
      <w:r w:rsidRPr="0018538C">
        <w:rPr>
          <w:rFonts w:ascii="Times New Roman" w:hAnsi="Times New Roman" w:cs="Times New Roman"/>
          <w:sz w:val="24"/>
          <w:szCs w:val="24"/>
        </w:rPr>
        <w:tab/>
        <w:t>The Fish Hatchery Act, 2010</w:t>
      </w:r>
    </w:p>
    <w:p w14:paraId="2784ECAE" w14:textId="77777777" w:rsidR="0018538C" w:rsidRPr="0018538C" w:rsidRDefault="00FD2CDF" w:rsidP="00D20F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w:t>
      </w:r>
      <w:r w:rsidR="0018538C" w:rsidRPr="0018538C">
        <w:rPr>
          <w:rFonts w:ascii="Times New Roman" w:hAnsi="Times New Roman" w:cs="Times New Roman"/>
          <w:sz w:val="24"/>
          <w:szCs w:val="24"/>
        </w:rPr>
        <w:t>)</w:t>
      </w:r>
      <w:r w:rsidR="0018538C" w:rsidRPr="0018538C">
        <w:rPr>
          <w:rFonts w:ascii="Times New Roman" w:hAnsi="Times New Roman" w:cs="Times New Roman"/>
          <w:sz w:val="24"/>
          <w:szCs w:val="24"/>
        </w:rPr>
        <w:tab/>
        <w:t>The Fish Hatchery Rules, 2011</w:t>
      </w:r>
    </w:p>
    <w:p w14:paraId="31789EA3"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In addition to the regulations, the following policies and guidelines are also in place for official control of fish products-</w:t>
      </w:r>
    </w:p>
    <w:p w14:paraId="7B6A9B5E"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1.</w:t>
      </w:r>
      <w:r w:rsidRPr="0018538C">
        <w:rPr>
          <w:rFonts w:ascii="Times New Roman" w:hAnsi="Times New Roman" w:cs="Times New Roman"/>
          <w:sz w:val="24"/>
          <w:szCs w:val="24"/>
        </w:rPr>
        <w:tab/>
        <w:t>National Fisheries Policy-1998</w:t>
      </w:r>
    </w:p>
    <w:p w14:paraId="43D76247"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2.</w:t>
      </w:r>
      <w:r w:rsidRPr="0018538C">
        <w:rPr>
          <w:rFonts w:ascii="Times New Roman" w:hAnsi="Times New Roman" w:cs="Times New Roman"/>
          <w:sz w:val="24"/>
          <w:szCs w:val="24"/>
        </w:rPr>
        <w:tab/>
        <w:t>National Residue Control Plan Policy Guidelines, 2011 (amended in 2012)</w:t>
      </w:r>
    </w:p>
    <w:p w14:paraId="38E224D2"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3.</w:t>
      </w:r>
      <w:r w:rsidRPr="0018538C">
        <w:rPr>
          <w:rFonts w:ascii="Times New Roman" w:hAnsi="Times New Roman" w:cs="Times New Roman"/>
          <w:sz w:val="24"/>
          <w:szCs w:val="24"/>
        </w:rPr>
        <w:tab/>
        <w:t>National Shrimp Policy, 2014</w:t>
      </w:r>
    </w:p>
    <w:p w14:paraId="56AB5CC3"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4.</w:t>
      </w:r>
      <w:r w:rsidRPr="0018538C">
        <w:rPr>
          <w:rFonts w:ascii="Times New Roman" w:hAnsi="Times New Roman" w:cs="Times New Roman"/>
          <w:sz w:val="24"/>
          <w:szCs w:val="24"/>
        </w:rPr>
        <w:tab/>
        <w:t>Fish and Fishery Products Official Control Protocol, 2015</w:t>
      </w:r>
    </w:p>
    <w:p w14:paraId="071281D4"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5.</w:t>
      </w:r>
      <w:r w:rsidRPr="0018538C">
        <w:rPr>
          <w:rFonts w:ascii="Times New Roman" w:hAnsi="Times New Roman" w:cs="Times New Roman"/>
          <w:sz w:val="24"/>
          <w:szCs w:val="24"/>
        </w:rPr>
        <w:tab/>
        <w:t>Guidelines for the Control of Aquaculture Medicinal Products-AMPs, 2015</w:t>
      </w:r>
    </w:p>
    <w:p w14:paraId="6C0B6573"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6.</w:t>
      </w:r>
      <w:r w:rsidRPr="0018538C">
        <w:rPr>
          <w:rFonts w:ascii="Times New Roman" w:hAnsi="Times New Roman" w:cs="Times New Roman"/>
          <w:sz w:val="24"/>
          <w:szCs w:val="24"/>
        </w:rPr>
        <w:tab/>
        <w:t>Manual on Good Aquaculture Practice- Trainer Manual</w:t>
      </w:r>
    </w:p>
    <w:p w14:paraId="0C3FD8E7"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7.</w:t>
      </w:r>
      <w:r w:rsidRPr="0018538C">
        <w:rPr>
          <w:rFonts w:ascii="Times New Roman" w:hAnsi="Times New Roman" w:cs="Times New Roman"/>
          <w:sz w:val="24"/>
          <w:szCs w:val="24"/>
        </w:rPr>
        <w:tab/>
        <w:t>Compliance Guidelines for Fish Feed Production, Import &amp; Marketing</w:t>
      </w:r>
    </w:p>
    <w:p w14:paraId="0870CD98"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8.</w:t>
      </w:r>
      <w:r w:rsidRPr="0018538C">
        <w:rPr>
          <w:rFonts w:ascii="Times New Roman" w:hAnsi="Times New Roman" w:cs="Times New Roman"/>
          <w:sz w:val="24"/>
          <w:szCs w:val="24"/>
        </w:rPr>
        <w:tab/>
        <w:t>Guidebook on Waste Management in Fish and Fishery Industries</w:t>
      </w:r>
    </w:p>
    <w:p w14:paraId="6A8BF21E"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9.</w:t>
      </w:r>
      <w:r w:rsidRPr="0018538C">
        <w:rPr>
          <w:rFonts w:ascii="Times New Roman" w:hAnsi="Times New Roman" w:cs="Times New Roman"/>
          <w:sz w:val="24"/>
          <w:szCs w:val="24"/>
        </w:rPr>
        <w:tab/>
        <w:t>Good Aquaculture Practice – A Farmer's Guide</w:t>
      </w:r>
    </w:p>
    <w:p w14:paraId="15D4680E"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10.</w:t>
      </w:r>
      <w:r w:rsidRPr="0018538C">
        <w:rPr>
          <w:rFonts w:ascii="Times New Roman" w:hAnsi="Times New Roman" w:cs="Times New Roman"/>
          <w:sz w:val="24"/>
          <w:szCs w:val="24"/>
        </w:rPr>
        <w:tab/>
        <w:t>Compliance Guidelines for Shrimp Hatchery</w:t>
      </w:r>
    </w:p>
    <w:p w14:paraId="10A89DEE"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11.</w:t>
      </w:r>
      <w:r w:rsidRPr="0018538C">
        <w:rPr>
          <w:rFonts w:ascii="Times New Roman" w:hAnsi="Times New Roman" w:cs="Times New Roman"/>
          <w:sz w:val="24"/>
          <w:szCs w:val="24"/>
        </w:rPr>
        <w:tab/>
        <w:t>ISO/IEC 17025:2005 General Requirements for Competence of Testing Laboratory Enacting Acts, Rules and Policies.</w:t>
      </w:r>
    </w:p>
    <w:p w14:paraId="2FBF79D2"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12.</w:t>
      </w:r>
      <w:r w:rsidRPr="0018538C">
        <w:rPr>
          <w:rFonts w:ascii="Times New Roman" w:hAnsi="Times New Roman" w:cs="Times New Roman"/>
          <w:sz w:val="24"/>
          <w:szCs w:val="24"/>
        </w:rPr>
        <w:tab/>
        <w:t>Marine fisheries sector is governed by the Marine Fisheries Ordinance, 1983, Marine Fisheries Rules, 1983.</w:t>
      </w:r>
    </w:p>
    <w:p w14:paraId="5FB13645"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13.</w:t>
      </w:r>
      <w:r w:rsidRPr="0018538C">
        <w:rPr>
          <w:rFonts w:ascii="Times New Roman" w:hAnsi="Times New Roman" w:cs="Times New Roman"/>
          <w:sz w:val="24"/>
          <w:szCs w:val="24"/>
        </w:rPr>
        <w:tab/>
        <w:t>All industrial trawlers and mechanized fishing boats must have a license for fishing.</w:t>
      </w:r>
    </w:p>
    <w:p w14:paraId="2C7BCBC3"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14.</w:t>
      </w:r>
      <w:r w:rsidRPr="0018538C">
        <w:rPr>
          <w:rFonts w:ascii="Times New Roman" w:hAnsi="Times New Roman" w:cs="Times New Roman"/>
          <w:sz w:val="24"/>
          <w:szCs w:val="24"/>
        </w:rPr>
        <w:tab/>
        <w:t>Industrial fishing trawlers must take sailing permission (SP) from Marine Fisheries Office under the Department of fisheries (DoF).</w:t>
      </w:r>
    </w:p>
    <w:p w14:paraId="2444B163"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lastRenderedPageBreak/>
        <w:t>15.</w:t>
      </w:r>
      <w:r w:rsidRPr="0018538C">
        <w:rPr>
          <w:rFonts w:ascii="Times New Roman" w:hAnsi="Times New Roman" w:cs="Times New Roman"/>
          <w:sz w:val="24"/>
          <w:szCs w:val="24"/>
        </w:rPr>
        <w:tab/>
        <w:t>Trawlers can catch fish/shrimp in an area of not shallower than 40 meters depth. Mechanized fishing boats are allowed to fish below 40 meters in depth.</w:t>
      </w:r>
    </w:p>
    <w:p w14:paraId="7A55E99E"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16.</w:t>
      </w:r>
      <w:r w:rsidRPr="0018538C">
        <w:rPr>
          <w:rFonts w:ascii="Times New Roman" w:hAnsi="Times New Roman" w:cs="Times New Roman"/>
          <w:sz w:val="24"/>
          <w:szCs w:val="24"/>
        </w:rPr>
        <w:tab/>
        <w:t xml:space="preserve">The Fish and Fishery Products (Fish Inspection and Quality Control) Rules, </w:t>
      </w:r>
    </w:p>
    <w:p w14:paraId="4CF05D9D"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17.</w:t>
      </w:r>
      <w:r w:rsidRPr="0018538C">
        <w:rPr>
          <w:rFonts w:ascii="Times New Roman" w:hAnsi="Times New Roman" w:cs="Times New Roman"/>
          <w:sz w:val="24"/>
          <w:szCs w:val="24"/>
        </w:rPr>
        <w:tab/>
        <w:t>1997 provides guidelines for the production of safe seafood in trawlers.</w:t>
      </w:r>
    </w:p>
    <w:p w14:paraId="3C443CC2"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18.</w:t>
      </w:r>
      <w:r w:rsidRPr="0018538C">
        <w:rPr>
          <w:rFonts w:ascii="Times New Roman" w:hAnsi="Times New Roman" w:cs="Times New Roman"/>
          <w:sz w:val="24"/>
          <w:szCs w:val="24"/>
        </w:rPr>
        <w:tab/>
        <w:t>Currently, 63 freezing trawlers have been licensed by the Fish Inspection and Quality Control Office as their factory vessel complied with sanitary and hygienic standards.</w:t>
      </w:r>
    </w:p>
    <w:p w14:paraId="20DBA775" w14:textId="77777777" w:rsidR="0018538C" w:rsidRPr="0018538C" w:rsidRDefault="0018538C" w:rsidP="00D20FEA">
      <w:pPr>
        <w:spacing w:after="0" w:line="360" w:lineRule="auto"/>
        <w:jc w:val="both"/>
        <w:rPr>
          <w:rFonts w:ascii="Times New Roman" w:hAnsi="Times New Roman" w:cs="Times New Roman"/>
          <w:sz w:val="24"/>
          <w:szCs w:val="24"/>
        </w:rPr>
      </w:pPr>
    </w:p>
    <w:p w14:paraId="25B40A33" w14:textId="77777777" w:rsidR="0018538C" w:rsidRPr="00D20FEA" w:rsidRDefault="0018538C" w:rsidP="0018538C">
      <w:pPr>
        <w:spacing w:after="0" w:line="240" w:lineRule="auto"/>
        <w:jc w:val="both"/>
        <w:rPr>
          <w:rFonts w:ascii="Times New Roman" w:hAnsi="Times New Roman" w:cs="Times New Roman"/>
          <w:b/>
          <w:bCs/>
          <w:sz w:val="24"/>
          <w:szCs w:val="24"/>
        </w:rPr>
      </w:pPr>
      <w:r w:rsidRPr="00D20FEA">
        <w:rPr>
          <w:rFonts w:ascii="Times New Roman" w:hAnsi="Times New Roman" w:cs="Times New Roman"/>
          <w:b/>
          <w:bCs/>
          <w:sz w:val="24"/>
          <w:szCs w:val="24"/>
        </w:rPr>
        <w:t>Adaptive management based fisheries strategy:</w:t>
      </w:r>
    </w:p>
    <w:p w14:paraId="06F80013" w14:textId="77777777" w:rsidR="0018538C" w:rsidRPr="0018538C" w:rsidRDefault="0018538C" w:rsidP="0018538C">
      <w:pPr>
        <w:spacing w:after="0" w:line="240" w:lineRule="auto"/>
        <w:jc w:val="both"/>
        <w:rPr>
          <w:rFonts w:ascii="Times New Roman" w:hAnsi="Times New Roman" w:cs="Times New Roman"/>
          <w:sz w:val="24"/>
          <w:szCs w:val="24"/>
        </w:rPr>
      </w:pPr>
    </w:p>
    <w:p w14:paraId="73279F8F" w14:textId="77777777" w:rsidR="0018538C" w:rsidRPr="0018538C" w:rsidRDefault="0018538C" w:rsidP="00D20FEA">
      <w:pPr>
        <w:spacing w:after="0" w:line="360" w:lineRule="auto"/>
        <w:jc w:val="both"/>
        <w:rPr>
          <w:rFonts w:ascii="Times New Roman" w:hAnsi="Times New Roman" w:cs="Times New Roman"/>
          <w:sz w:val="24"/>
          <w:szCs w:val="24"/>
        </w:rPr>
      </w:pPr>
      <w:r w:rsidRPr="0018538C">
        <w:rPr>
          <w:rFonts w:ascii="Times New Roman" w:hAnsi="Times New Roman" w:cs="Times New Roman"/>
          <w:sz w:val="24"/>
          <w:szCs w:val="24"/>
        </w:rPr>
        <w:t xml:space="preserve">The Bangladesh government has taken initiatives to regulate the fishery primarily due to climate change. The fishery is said to be pushed by weather change, which incorporates loss of habitat, rotation, ailment outbreaks, restrictions on migration and copy routes, and declining fishery production. (John E Thornes. IPCC, climate alternate 2001; MoEF. Bangladesh weather trade strategy and motion Plan (BCCSAP'09), Ministry of Environment and Forests (MoEF) with a technical guide from IUCN Bangladesh USA workplace. 2009). For this reason, they have now installed another large Rustic Climate Fund, which was initially valued at 45 million USD and was later raised to 100 million USD, with a strong focus on different weather effects. They closed the fishing grounds because of the fundamental truth of Bangladesh's climate change system and movement system. The fishing industry has developed appropriate methods to maintain normal yields and widespread habitat in fishing communities. As well they have decided on fishery management strategies to capture fisheries based on appropriate flexibility, the popularity of the strategies used and the development of operational talent. single version strategies are used for areas such as aquaculture development and biodiversity management and biodiversity conservation (Mustafa MG et al. 2010) to improve the fishery (Magawata I, et al., 2014) development and expansion of fully community-based water resources. The framework uses a framework for rivers, canals, floodplains, valleys and lakes, to improve and re-dig connecting drainage ditches where it is necessary to keep the water intact with flow, improve water pressure in our bodies, and ensure that it is uninterrupted passage of fish.(BanDuDeltAS. Fisheries. Bangladesh Delta Plan 2100 formulation mission). </w:t>
      </w:r>
    </w:p>
    <w:p w14:paraId="522115CD" w14:textId="77777777" w:rsidR="0018538C" w:rsidRPr="0018538C" w:rsidRDefault="0018538C" w:rsidP="0018538C">
      <w:pPr>
        <w:spacing w:after="0" w:line="240" w:lineRule="auto"/>
        <w:jc w:val="both"/>
        <w:rPr>
          <w:rFonts w:ascii="Times New Roman" w:hAnsi="Times New Roman" w:cs="Times New Roman"/>
          <w:sz w:val="24"/>
          <w:szCs w:val="24"/>
        </w:rPr>
      </w:pPr>
    </w:p>
    <w:p w14:paraId="5A4E4631" w14:textId="77777777" w:rsidR="0018538C" w:rsidRPr="00D20FEA" w:rsidRDefault="0018538C" w:rsidP="0018538C">
      <w:pPr>
        <w:spacing w:after="0" w:line="240" w:lineRule="auto"/>
        <w:jc w:val="both"/>
        <w:rPr>
          <w:rFonts w:ascii="Times New Roman" w:hAnsi="Times New Roman" w:cs="Times New Roman"/>
          <w:b/>
          <w:bCs/>
          <w:sz w:val="24"/>
          <w:szCs w:val="24"/>
        </w:rPr>
      </w:pPr>
    </w:p>
    <w:p w14:paraId="07E7B526" w14:textId="77777777" w:rsidR="0018538C" w:rsidRPr="00D20FEA" w:rsidRDefault="0018538C" w:rsidP="0018538C">
      <w:pPr>
        <w:spacing w:after="0" w:line="240" w:lineRule="auto"/>
        <w:jc w:val="both"/>
        <w:rPr>
          <w:rFonts w:ascii="Times New Roman" w:hAnsi="Times New Roman" w:cs="Times New Roman"/>
          <w:b/>
          <w:bCs/>
          <w:sz w:val="24"/>
          <w:szCs w:val="24"/>
        </w:rPr>
      </w:pPr>
      <w:r w:rsidRPr="00D20FEA">
        <w:rPr>
          <w:rFonts w:ascii="Times New Roman" w:hAnsi="Times New Roman" w:cs="Times New Roman"/>
          <w:b/>
          <w:bCs/>
          <w:sz w:val="24"/>
          <w:szCs w:val="24"/>
        </w:rPr>
        <w:t>Conclusion:</w:t>
      </w:r>
    </w:p>
    <w:p w14:paraId="5F1D2322" w14:textId="77777777" w:rsidR="00270B9D" w:rsidRPr="008403D9" w:rsidRDefault="0018538C" w:rsidP="00D20FEA">
      <w:pPr>
        <w:spacing w:after="0" w:line="360" w:lineRule="auto"/>
        <w:jc w:val="both"/>
        <w:rPr>
          <w:rFonts w:ascii="Times New Roman" w:hAnsi="Times New Roman" w:cs="Times New Roman"/>
          <w:color w:val="FF0000"/>
          <w:sz w:val="24"/>
          <w:szCs w:val="24"/>
        </w:rPr>
      </w:pPr>
      <w:r w:rsidRPr="008403D9">
        <w:rPr>
          <w:rFonts w:ascii="Times New Roman" w:hAnsi="Times New Roman" w:cs="Times New Roman"/>
          <w:color w:val="FF0000"/>
          <w:sz w:val="24"/>
          <w:szCs w:val="24"/>
        </w:rPr>
        <w:lastRenderedPageBreak/>
        <w:t xml:space="preserve">The Bangladesh fishing industry has all the opportunities and challenges. Gambling has been a significant growth activity within the economic device over the past few decades and contributes </w:t>
      </w:r>
      <w:commentRangeStart w:id="3"/>
      <w:r w:rsidRPr="008403D9">
        <w:rPr>
          <w:rFonts w:ascii="Times New Roman" w:hAnsi="Times New Roman" w:cs="Times New Roman"/>
          <w:color w:val="FF0000"/>
          <w:sz w:val="24"/>
          <w:szCs w:val="24"/>
        </w:rPr>
        <w:t>significantly to the development of economic well-being, and deserves the potential for future development within Bangladesh's agricultural financial system. There may be a strong desire to recognize the capacity to change practical legal guidelines and procedures for the country's sustainable management and conservation of fishery resources. Fishers, suppliers, processors, buyers and consumers alike should hold on to these topics so that they can be concerned with the procurement control systems and enjoy a complete system. But a lack of access to finance, there may be a growing financial gap between bad fishers, boat owners, and fishermen. Fisheries are the most vulnerable to poverty due to the high exposure to drug failure and economic shock. Control measures should include managing the depth of fishing, driving the gadget selection, category of equipment and duration of the fish season, closed start-up, deprived fishing ban, closed fishing area, and allocation of fishing resources including staff, funding, funding and so on. Following fisheries insurance, Bangladeshi authorities need to legislate the entire criminal system to properly manage and use their assets for sustainable development and the well-being of its people.</w:t>
      </w:r>
      <w:commentRangeEnd w:id="3"/>
      <w:r w:rsidR="008403D9" w:rsidRPr="008403D9">
        <w:rPr>
          <w:rStyle w:val="CommentReference"/>
          <w:color w:val="FF0000"/>
        </w:rPr>
        <w:commentReference w:id="3"/>
      </w:r>
    </w:p>
    <w:p w14:paraId="7BD9AF42" w14:textId="77777777" w:rsidR="000910D6" w:rsidRPr="00FB2410" w:rsidRDefault="000910D6" w:rsidP="000910D6">
      <w:pPr>
        <w:jc w:val="both"/>
        <w:rPr>
          <w:rFonts w:ascii="Times New Roman" w:hAnsi="Times New Roman" w:cs="Times New Roman"/>
          <w:b/>
          <w:bCs/>
          <w:sz w:val="24"/>
          <w:szCs w:val="24"/>
        </w:rPr>
      </w:pPr>
      <w:r w:rsidRPr="00FB2410">
        <w:rPr>
          <w:rFonts w:ascii="Times New Roman" w:hAnsi="Times New Roman" w:cs="Times New Roman"/>
          <w:b/>
          <w:bCs/>
          <w:sz w:val="24"/>
          <w:szCs w:val="24"/>
        </w:rPr>
        <w:t xml:space="preserve">References </w:t>
      </w:r>
    </w:p>
    <w:p w14:paraId="692563FF"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 xml:space="preserve"> Aguero, M. and M. Ahmed. 1990. Economic rationalization of fisheries exploitation through management: experiences from the open-water inland fisheries management in Bangladesh, p.747-750. </w:t>
      </w:r>
    </w:p>
    <w:p w14:paraId="5A7A1290"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Aguero, M., Huq, S., Rahman, A. K. A., &amp; Ahmed, M. (1989). Inland fisheries management in Bangladesh.</w:t>
      </w:r>
    </w:p>
    <w:p w14:paraId="182711DB"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Ahmed, M., Capistrano, D., &amp; Hossain, M. (1992). Redirecting benefits to genuine fishermen: Bangladesh's new fisheries management policy. Naga, the ICLARM Quarterly, 15(4), 31-34.</w:t>
      </w:r>
    </w:p>
    <w:p w14:paraId="2DE4B57C"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Ahmed, M., D. Capistrano and M. Hossain. 1992. Redirecting benefits to genuine fishers: Bangladesh's new fisheries management policy. Naga: The ICLARM Quarterly, October 1992, p. 31-34.</w:t>
      </w:r>
    </w:p>
    <w:p w14:paraId="3A130EFE"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Alam, S.S., Ali, M.Y. and Tsai, C.F. (1997). Fishing gears of floodplain fisheries in Bangladesh: A case study of Chanda, BSKB and Halti beels, In Tsai, C., Ali, M.Y. (eds.), Open Water Fisheries of Bangladesh. University Press, Dhaka Ltd., pp. 137–152.</w:t>
      </w:r>
    </w:p>
    <w:p w14:paraId="083301EA" w14:textId="77777777" w:rsidR="000910D6" w:rsidRPr="007A2C18" w:rsidRDefault="000910D6" w:rsidP="000910D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A2C18">
        <w:rPr>
          <w:rFonts w:ascii="Times New Roman" w:hAnsi="Times New Roman" w:cs="Times New Roman"/>
          <w:sz w:val="24"/>
          <w:szCs w:val="24"/>
        </w:rPr>
        <w:t>Applegate, A., Cadrin, S., Hoenig, J., Moore, C., Murawski, S., &amp; Pikitch, E. (1998). Evaluation of existing overfishing definitions and recommendations for new overfishing definitions to comply with the Sustainable Fisheries Act. Overfishing Definition Review Panel Final Report.</w:t>
      </w:r>
    </w:p>
    <w:p w14:paraId="27DD271B"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Ashley Stewart Halls, Md. Golam Mustafa and Malcolm Dickson. Community-based Fisheries Management Approach Adopted in Bangladesh. Advances in Research 11(6): 1-17, 2017</w:t>
      </w:r>
    </w:p>
    <w:p w14:paraId="6A31FA04"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BanDuDeltAS. Fisheries. Bangladesh Delta Plan 2100 Formulation Project. General Economics Division, Planning Commission, Government of Bangladesh, 2015.</w:t>
      </w:r>
    </w:p>
    <w:p w14:paraId="1A516909"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Bangladesh Climate Change Strategy and Action Plan (BCCSAP’09). Ministry of Environment and Forests (MoEF) with technical support from IUCN Bangladesh Country Office. 2009</w:t>
      </w:r>
    </w:p>
    <w:p w14:paraId="4037423B"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Belton, B., Karim, M., Thilsted, S., Collis, W., &amp; Phillips, M. (2011). Review of aquaculture and fish consumption in Bangladesh.</w:t>
      </w:r>
    </w:p>
    <w:p w14:paraId="22F4A19C" w14:textId="77777777" w:rsidR="000910D6"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BOBLME. 2012. Marugement Advisory for the Bay of Bengal Hilsa Fishery. Regional Fisheries Managemer Advisory Committee, Bay of Bengal Large Marine Ecosystem (BOBLME) Project, Thailand. p 6.</w:t>
      </w:r>
    </w:p>
    <w:p w14:paraId="1DE89EC9" w14:textId="77777777" w:rsidR="000910D6" w:rsidRDefault="000910D6" w:rsidP="000910D6">
      <w:pPr>
        <w:autoSpaceDE w:val="0"/>
        <w:autoSpaceDN w:val="0"/>
        <w:adjustRightInd w:val="0"/>
        <w:spacing w:after="0" w:line="240" w:lineRule="auto"/>
        <w:jc w:val="both"/>
      </w:pPr>
      <w:r>
        <w:rPr>
          <w:b/>
        </w:rPr>
        <w:t>Barua, P. 2021.</w:t>
      </w:r>
      <w:r>
        <w:t xml:space="preserve"> Coping Practices of Coastal Fishermen Iin Response to Climate Change for Southern Coastal Belt of Bangladesh. Social Values and Society, 3(2), pp. 74-80.</w:t>
      </w:r>
    </w:p>
    <w:p w14:paraId="002058F2" w14:textId="77777777" w:rsidR="000910D6" w:rsidRDefault="000910D6" w:rsidP="000910D6">
      <w:pPr>
        <w:autoSpaceDE w:val="0"/>
        <w:autoSpaceDN w:val="0"/>
        <w:adjustRightInd w:val="0"/>
        <w:spacing w:after="0" w:line="240" w:lineRule="auto"/>
        <w:jc w:val="both"/>
        <w:rPr>
          <w:bCs/>
        </w:rPr>
      </w:pPr>
      <w:r>
        <w:rPr>
          <w:b/>
          <w:bCs/>
        </w:rPr>
        <w:t xml:space="preserve">Barua, P., &amp; Barua, P. </w:t>
      </w:r>
      <w:r w:rsidRPr="000B4FCE">
        <w:rPr>
          <w:bCs/>
        </w:rPr>
        <w:t>2021</w:t>
      </w:r>
      <w:r w:rsidRPr="000B4FCE">
        <w:rPr>
          <w:b/>
          <w:bCs/>
        </w:rPr>
        <w:t xml:space="preserve">. </w:t>
      </w:r>
      <w:r w:rsidRPr="000B4FCE">
        <w:rPr>
          <w:bCs/>
        </w:rPr>
        <w:t>Applicability of water reuse for coastal shrimp</w:t>
      </w:r>
      <w:r>
        <w:rPr>
          <w:bCs/>
        </w:rPr>
        <w:t xml:space="preserve"> ponds in southern Bangladesh. </w:t>
      </w:r>
      <w:r w:rsidRPr="000B4FCE">
        <w:rPr>
          <w:bCs/>
        </w:rPr>
        <w:t>Water Productivity Journal, Vol. 1, No. 4, pp. 24-42</w:t>
      </w:r>
    </w:p>
    <w:p w14:paraId="7400D9CF" w14:textId="77777777" w:rsidR="000910D6" w:rsidRPr="001C7969" w:rsidRDefault="000910D6" w:rsidP="000910D6">
      <w:pPr>
        <w:shd w:val="clear" w:color="auto" w:fill="FFFFFF"/>
        <w:spacing w:after="0" w:line="240" w:lineRule="auto"/>
        <w:jc w:val="both"/>
        <w:rPr>
          <w:bCs/>
        </w:rPr>
      </w:pPr>
      <w:r w:rsidRPr="001C7969">
        <w:rPr>
          <w:b/>
          <w:bCs/>
        </w:rPr>
        <w:t xml:space="preserve">Prabal Barua, </w:t>
      </w:r>
      <w:r>
        <w:rPr>
          <w:b/>
          <w:bCs/>
        </w:rPr>
        <w:t xml:space="preserve">P., </w:t>
      </w:r>
      <w:r w:rsidRPr="00A7352A">
        <w:t xml:space="preserve">Rahman, </w:t>
      </w:r>
      <w:r>
        <w:t xml:space="preserve">S. H., </w:t>
      </w:r>
      <w:r w:rsidRPr="00A7352A">
        <w:t>Barua</w:t>
      </w:r>
      <w:r>
        <w:t xml:space="preserve">, S., &amp; </w:t>
      </w:r>
      <w:r w:rsidRPr="00A7352A">
        <w:t xml:space="preserve"> Ismail M. M. 2020.</w:t>
      </w:r>
      <w:r>
        <w:t xml:space="preserve"> </w:t>
      </w:r>
      <w:r w:rsidRPr="00A7352A">
        <w:t>Climate Change Vulnerability and Responses of Fisherfolk Communities in the South-Eastern Coast of Bangladesh</w:t>
      </w:r>
      <w:r>
        <w:t>. Journal of Water Conservation and Management. Vol. 4, No. 1, pp. 45-65.</w:t>
      </w:r>
    </w:p>
    <w:p w14:paraId="5FB0C63F" w14:textId="77777777" w:rsidR="000910D6" w:rsidRDefault="000910D6" w:rsidP="000910D6">
      <w:pPr>
        <w:autoSpaceDE w:val="0"/>
        <w:autoSpaceDN w:val="0"/>
        <w:adjustRightInd w:val="0"/>
        <w:spacing w:after="0" w:line="240" w:lineRule="auto"/>
        <w:jc w:val="both"/>
        <w:rPr>
          <w:bCs/>
        </w:rPr>
      </w:pPr>
      <w:r>
        <w:rPr>
          <w:b/>
          <w:bCs/>
        </w:rPr>
        <w:t xml:space="preserve">Barua, P., </w:t>
      </w:r>
      <w:r w:rsidRPr="008E40DC">
        <w:rPr>
          <w:bCs/>
        </w:rPr>
        <w:t>Rahma</w:t>
      </w:r>
      <w:r>
        <w:rPr>
          <w:bCs/>
        </w:rPr>
        <w:t xml:space="preserve">, S.H., &amp; Barua, </w:t>
      </w:r>
      <w:r w:rsidRPr="008E40DC">
        <w:rPr>
          <w:bCs/>
        </w:rPr>
        <w:t>M</w:t>
      </w:r>
      <w:r>
        <w:rPr>
          <w:bCs/>
        </w:rPr>
        <w:t xml:space="preserve">. </w:t>
      </w:r>
      <w:r w:rsidRPr="008E40DC">
        <w:rPr>
          <w:bCs/>
        </w:rPr>
        <w:t>2021</w:t>
      </w:r>
      <w:r>
        <w:rPr>
          <w:rFonts w:ascii="AdvOT323a8e6c.B" w:hAnsi="AdvOT323a8e6c.B" w:cs="AdvOT323a8e6c.B"/>
          <w:sz w:val="43"/>
          <w:szCs w:val="43"/>
        </w:rPr>
        <w:t xml:space="preserve"> </w:t>
      </w:r>
      <w:r>
        <w:t>Sustainable management of agriculture products value chain in responses to climate change for South-Eastern coast of Bangladesh</w:t>
      </w:r>
      <w:r>
        <w:rPr>
          <w:bCs/>
        </w:rPr>
        <w:t>. Modern Supply Chain Research Applications,  Vol. 3, No. 2, pp. 98-126</w:t>
      </w:r>
    </w:p>
    <w:p w14:paraId="1BB24444" w14:textId="77777777" w:rsidR="000910D6" w:rsidRDefault="000910D6" w:rsidP="000910D6">
      <w:pPr>
        <w:autoSpaceDE w:val="0"/>
        <w:autoSpaceDN w:val="0"/>
        <w:adjustRightInd w:val="0"/>
        <w:spacing w:after="0" w:line="240" w:lineRule="auto"/>
        <w:jc w:val="both"/>
        <w:rPr>
          <w:bCs/>
        </w:rPr>
      </w:pPr>
    </w:p>
    <w:p w14:paraId="20F1B554" w14:textId="77777777" w:rsidR="000910D6" w:rsidRPr="00FB2410" w:rsidRDefault="000910D6" w:rsidP="000910D6">
      <w:pPr>
        <w:autoSpaceDE w:val="0"/>
        <w:autoSpaceDN w:val="0"/>
        <w:adjustRightInd w:val="0"/>
        <w:spacing w:after="0" w:line="240" w:lineRule="auto"/>
        <w:jc w:val="both"/>
        <w:rPr>
          <w:bCs/>
        </w:rPr>
      </w:pPr>
      <w:r w:rsidRPr="00FB2410">
        <w:rPr>
          <w:rFonts w:ascii="Times New Roman" w:hAnsi="Times New Roman" w:cs="Times New Roman"/>
          <w:sz w:val="24"/>
          <w:szCs w:val="24"/>
        </w:rPr>
        <w:t>Capistrano, A. D., Hossain, M., &amp; Ahmed, M. (2019). Poverty alleviation, empowerment, and sustainable resource use: Experiments in inland fisheries management in Bangladesh. In Environmental Sustainability (pp. 147-168). CRC Press.</w:t>
      </w:r>
    </w:p>
    <w:p w14:paraId="73C61C12"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Chakraborty, S.C., Hossain, M.A. and Hog, M.E. (1995). “Traditional inland fishing methods in Bangladesh”, J. Asiatic Soc. Bangladesh Sci., 21, 19–27.</w:t>
      </w:r>
    </w:p>
    <w:p w14:paraId="122FE676"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Clarke, J., Milligan, R. J., Bailey, D. M., &amp; Neat, F. C. (2015). A scientific basis for regulating deep-sea fishing by depth. Current Biology, 25(18), 2425-2429.</w:t>
      </w:r>
    </w:p>
    <w:p w14:paraId="52A90386"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Department of Fisheries (DOF), Ministry of Fisheries and Livestock MOFL). National Fish Week 2014. Compendium (in Bengali), Page 144.</w:t>
      </w:r>
    </w:p>
    <w:p w14:paraId="38F91089"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Dey, M. M., M.F. Alam, and M. L.Bose. 2010. Demand for aquaculture development: perspectives from Bangladesh for improved planning. Reviews in Aquaculture 2: 1-17.</w:t>
      </w:r>
    </w:p>
    <w:p w14:paraId="45FC1DFA"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lastRenderedPageBreak/>
        <w:t xml:space="preserve">DoF (Department of Fisheries) Jatka Conservation Week. DoF, Ministry of Fisheries and Livestock, Dhaka, 2013. </w:t>
      </w:r>
    </w:p>
    <w:p w14:paraId="7416E139"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DoF. National fish week, compendium (in Bengali). Department of Fish¬eries (DoF), Ministry of Fisheries and Livestock. Dhaka, Bangladesh: Government of Bangladesh; 2017.</w:t>
      </w:r>
    </w:p>
    <w:p w14:paraId="2CCB4D02"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Fisheries Statistical Report of Bangladesh. Fisheries Resources Survey System (FRSS), Department of Fisheries, 2016</w:t>
      </w:r>
    </w:p>
    <w:p w14:paraId="0E55FE9A"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Grüss, A. (2014). Modelling the impacts of marine protected areas for mobile exploited fish populations and their fisheries: what we recently learnt and where we should be going. Aquatic Living Resources, 27(3-4), 107-133.</w:t>
      </w:r>
    </w:p>
    <w:p w14:paraId="14150841"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Hoggarth, D.D., Cowan, V.J., Halls, A.S., Aeron- Tomas, M., Mcgregor, A.J., Garaway, C.A., Payne, A.I. andWelcomme, R.L. (1999). Management Guidelines for Asian Floodplain River Fisheries. FAO Fish. Tech. Pap. 384/1&amp;2 FAO, Rome, 63 and 117pp.</w:t>
      </w:r>
    </w:p>
    <w:p w14:paraId="05EA62D5"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Hossain MAR, Kabir H, Faruque AMO, et al. Livelihood security: Implications from aquaculture sectors. In: Habiba, editor. Food Security and Risk Reduction in Bangladesh. Japan: Springer; 2015:83–109.</w:t>
      </w:r>
    </w:p>
    <w:p w14:paraId="0BDE4838" w14:textId="77777777" w:rsidR="000910D6" w:rsidRPr="007A2C18" w:rsidRDefault="000910D6" w:rsidP="000910D6">
      <w:pPr>
        <w:jc w:val="both"/>
        <w:rPr>
          <w:rFonts w:ascii="Times New Roman" w:hAnsi="Times New Roman" w:cs="Times New Roman"/>
          <w:sz w:val="24"/>
          <w:szCs w:val="24"/>
        </w:rPr>
      </w:pPr>
      <w:r>
        <w:rPr>
          <w:rFonts w:ascii="Times New Roman" w:hAnsi="Times New Roman" w:cs="Times New Roman"/>
          <w:sz w:val="24"/>
          <w:szCs w:val="24"/>
        </w:rPr>
        <w:t xml:space="preserve"> </w:t>
      </w:r>
      <w:r w:rsidRPr="007A2C18">
        <w:rPr>
          <w:rFonts w:ascii="Times New Roman" w:hAnsi="Times New Roman" w:cs="Times New Roman"/>
          <w:sz w:val="24"/>
          <w:szCs w:val="24"/>
        </w:rPr>
        <w:t>Hossain MM, Kabir MS, Thompson PM, Islam MN, Kadir MM. Overview of the community based fisheries management project. In: Middendrop HAJ, Thompson PM, Pomeroy RS, (Eds.). Sustainable Inland Fisheries Management in Bangladesh, ICLARM Conf. Proc. 58. Manila, International Center for Living Aquatic Resources Management. 1999;9-18.</w:t>
      </w:r>
    </w:p>
    <w:p w14:paraId="698540B7"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Hossain, M. Y., Sayed, S. R. M., Mosaddequr Rahman, M., Ali, M. M., Hossen, M. A., Elgorban, A. M., &amp; Ohtomi, J. (2015). Length</w:t>
      </w:r>
      <w:r w:rsidRPr="00FB2410">
        <w:rPr>
          <w:rFonts w:ascii="Times New Roman" w:hAnsi="Times New Roman" w:cs="Times New Roman"/>
          <w:sz w:val="24"/>
          <w:szCs w:val="24"/>
        </w:rPr>
        <w:t>‐</w:t>
      </w:r>
      <w:r w:rsidRPr="007A2C18">
        <w:rPr>
          <w:rFonts w:ascii="Times New Roman" w:hAnsi="Times New Roman" w:cs="Times New Roman"/>
          <w:sz w:val="24"/>
          <w:szCs w:val="24"/>
        </w:rPr>
        <w:t>weight relationships of nine fish species from the Tetulia River, southern Bangladesh. Journal of applied ichthyology, 31(5), 967-969.</w:t>
      </w:r>
    </w:p>
    <w:p w14:paraId="3810AB69"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John E Thornes. IPCC, Climate Change 2001: Impacts, Adaptation, and Vulnerability. Contribution of Working Group II to the Third Assessment Report of the Intergovernmental Panel on Climate Change (IPCC). Cambridge, UK: Cambridge University Press. 2001. 1032 p.</w:t>
      </w:r>
    </w:p>
    <w:p w14:paraId="728CA971"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Kincaid, K. B., Rose, G., &amp; Mahudi, H. (2014). Fishers' perception of a multiple-use marine protected area: Why communities and gear users differ at Mafia Island, Tanzania. Marine Policy, 43, 226-235.</w:t>
      </w:r>
    </w:p>
    <w:p w14:paraId="194D4D23"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Leleu, K., Alban, F., Pelletier, D., Charbonnel, E., Letourneur, Y., &amp; Boudouresque, C. F. (2012). Fishers' perceptions as indicators of the performance of Marine Protected Areas (MPAs). Marine Policy, 36(2), 414-422.</w:t>
      </w:r>
    </w:p>
    <w:p w14:paraId="4594FF92"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M. Ahmed (ICLARM), D Capistrano (Ford Foundation) and M. Hossain (Department of Fisheries. Bangladesh) Fisheries Co-Management In Bangladesh – Experiences With Go-Ngo-</w:t>
      </w:r>
      <w:r w:rsidRPr="007A2C18">
        <w:rPr>
          <w:rFonts w:ascii="Times New Roman" w:hAnsi="Times New Roman" w:cs="Times New Roman"/>
          <w:sz w:val="24"/>
          <w:szCs w:val="24"/>
        </w:rPr>
        <w:lastRenderedPageBreak/>
        <w:t>Fisher Partnership Models' Conference paper, Paper presented at the Fifth Common Property Conference, 24-28 May, Bodoe, Norway.)</w:t>
      </w:r>
    </w:p>
    <w:p w14:paraId="001D654D"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M. G. MUSTAFA, Fishery resources trends and community-based management approaches adopted in the river Titas in Bangladesh  Intl. J. River Basin Management Vol. 7, No. 2 (2009), pp. 135–145</w:t>
      </w:r>
    </w:p>
    <w:p w14:paraId="02C3E59C"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Magawata I, Ipinjolu JK. Climate change: Mitigation and adaptation strategies in fisheries and aquacultures in Nigeria. Journal of Fisheries and Aquatic Science. 2014;9(4):257–262.</w:t>
      </w:r>
    </w:p>
    <w:p w14:paraId="304C52B6"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Magawata, I., Yakubu, A. A., &amp; Kabir, I. (2014). Fish processing methods: A case study of Argungu Local Government Area, Kebbi state, Nigeria. World J Fish &amp; Marine Sci, 6(6), 509-.</w:t>
      </w:r>
    </w:p>
    <w:p w14:paraId="7B0DEB71"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Mustafa MG, Firoz Khan AKM, Mohsin SKM.Community-based resources management approaches adopted in the three tributaries of river Surma, North-East Bangladesh. J. Fish. Aquat. Sci. 2017;12:54-63.</w:t>
      </w:r>
    </w:p>
    <w:p w14:paraId="600E381C" w14:textId="77777777" w:rsidR="000910D6"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Mustafa MG, Sharmin SE. Climate change implications for fisheries and aquaculture in Bangladesh: A review. Institute of Water and Flood Management (IWFM), Bangladesh University of Engineering and Technology (BUET); 2010.</w:t>
      </w:r>
    </w:p>
    <w:p w14:paraId="1C8B7B8A" w14:textId="77777777" w:rsidR="00FB3809" w:rsidRPr="007A2C18" w:rsidRDefault="00FB3809" w:rsidP="000910D6">
      <w:pPr>
        <w:jc w:val="both"/>
        <w:rPr>
          <w:rFonts w:ascii="Times New Roman" w:hAnsi="Times New Roman" w:cs="Times New Roman"/>
          <w:sz w:val="24"/>
          <w:szCs w:val="24"/>
        </w:rPr>
      </w:pPr>
      <w:r>
        <w:rPr>
          <w:rFonts w:ascii="Times New Roman" w:hAnsi="Times New Roman" w:cs="Times New Roman"/>
          <w:sz w:val="24"/>
          <w:szCs w:val="24"/>
        </w:rPr>
        <w:t xml:space="preserve">MoFL, 2021. Overview of Fisheries Production in Bangladesh 2020-2021, Ministry of Fisheries and Livestock, Government of Bangladesh, Dhaka, Bangladesh. </w:t>
      </w:r>
    </w:p>
    <w:p w14:paraId="2E0F3028"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 xml:space="preserve">Rahman M.J. Recent advances in biology and management of Indian shad (Tenualosa ilisha Ham.). SAARC Journal of Agriculture. 2006; 4:67-90. </w:t>
      </w:r>
    </w:p>
    <w:p w14:paraId="17B72BE6"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Shamsuzzaman, M. M., Islam, M. M., Tania, N. J., Al-Mamun, M. A., Barman, P. P., &amp; Xu, X. (2017). Fisheries resources of Bangladesh: Present status and future direction. Aquaculture and Fisheries, 2(4), 145-156.</w:t>
      </w:r>
    </w:p>
    <w:p w14:paraId="691BE753"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Sultana, P. and Thompson, P. (2000). Community Fishery Management Implications for Food Security and Livelihoods. Paper presented at the International Institute of Fisheries Economics and Trade conference at Corvallis, Oregon on 10–14 July 2000</w:t>
      </w:r>
    </w:p>
    <w:p w14:paraId="6E865402" w14:textId="77777777" w:rsidR="000910D6" w:rsidRPr="007A2C18" w:rsidRDefault="000910D6" w:rsidP="000910D6">
      <w:pPr>
        <w:jc w:val="both"/>
        <w:rPr>
          <w:rFonts w:ascii="Times New Roman" w:hAnsi="Times New Roman" w:cs="Times New Roman"/>
          <w:sz w:val="24"/>
          <w:szCs w:val="24"/>
        </w:rPr>
      </w:pPr>
      <w:r w:rsidRPr="007A2C18">
        <w:rPr>
          <w:rFonts w:ascii="Times New Roman" w:hAnsi="Times New Roman" w:cs="Times New Roman"/>
          <w:sz w:val="24"/>
          <w:szCs w:val="24"/>
        </w:rPr>
        <w:t xml:space="preserve">Sunny, A. R., Hassan, M. N., Mahashin, M., &amp; Nahiduzzaman, M. (2017). Present status of hilsa shad (Tenualosa ilisha) in Bangladesh: A review. J Entomol Zool Stud, 5(6), 2099-2105. </w:t>
      </w:r>
    </w:p>
    <w:p w14:paraId="3251D068" w14:textId="77777777" w:rsidR="000910D6" w:rsidRPr="00FB2410" w:rsidRDefault="000910D6" w:rsidP="000910D6">
      <w:pPr>
        <w:jc w:val="both"/>
        <w:rPr>
          <w:rFonts w:ascii="Times New Roman" w:hAnsi="Times New Roman" w:cs="Times New Roman"/>
          <w:sz w:val="24"/>
          <w:szCs w:val="24"/>
        </w:rPr>
      </w:pPr>
    </w:p>
    <w:p w14:paraId="07B4ED0B" w14:textId="77777777" w:rsidR="000910D6" w:rsidRPr="00FB2410" w:rsidRDefault="000910D6" w:rsidP="000910D6">
      <w:pPr>
        <w:jc w:val="both"/>
        <w:rPr>
          <w:rFonts w:ascii="Times New Roman" w:hAnsi="Times New Roman" w:cs="Times New Roman"/>
          <w:sz w:val="24"/>
          <w:szCs w:val="24"/>
        </w:rPr>
      </w:pPr>
    </w:p>
    <w:p w14:paraId="42F66882" w14:textId="77777777" w:rsidR="000910D6" w:rsidRPr="0018538C" w:rsidRDefault="000910D6" w:rsidP="00D20FEA">
      <w:pPr>
        <w:spacing w:after="0" w:line="360" w:lineRule="auto"/>
        <w:jc w:val="both"/>
        <w:rPr>
          <w:rFonts w:ascii="Times New Roman" w:hAnsi="Times New Roman" w:cs="Times New Roman"/>
          <w:sz w:val="24"/>
          <w:szCs w:val="24"/>
        </w:rPr>
      </w:pPr>
    </w:p>
    <w:sectPr w:rsidR="000910D6" w:rsidRPr="0018538C" w:rsidSect="00E72C2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GOWHAR IQBAL" w:date="2024-03-16T21:21:00Z" w:initials="GI">
    <w:p w14:paraId="6336A77F" w14:textId="29F7AA73" w:rsidR="008403D9" w:rsidRDefault="008403D9">
      <w:pPr>
        <w:pStyle w:val="CommentText"/>
      </w:pPr>
      <w:r>
        <w:rPr>
          <w:rStyle w:val="CommentReference"/>
        </w:rPr>
        <w:annotationRef/>
      </w:r>
      <w:r>
        <w:t xml:space="preserve">ADD FEW MORE LINES </w:t>
      </w:r>
    </w:p>
  </w:comment>
  <w:comment w:id="1" w:author="GOWHAR IQBAL" w:date="2024-03-16T21:23:00Z" w:initials="GI">
    <w:p w14:paraId="294FEC28" w14:textId="322B7F72" w:rsidR="008403D9" w:rsidRDefault="008403D9">
      <w:pPr>
        <w:pStyle w:val="CommentText"/>
      </w:pPr>
      <w:r>
        <w:rPr>
          <w:rStyle w:val="CommentReference"/>
        </w:rPr>
        <w:annotationRef/>
      </w:r>
      <w:r>
        <w:t xml:space="preserve">ADD 2-3 PARAGH IN THIS SECTION </w:t>
      </w:r>
    </w:p>
  </w:comment>
  <w:comment w:id="3" w:author="GOWHAR IQBAL" w:date="2024-03-16T21:22:00Z" w:initials="GI">
    <w:p w14:paraId="1071BFC9" w14:textId="1F2EE399" w:rsidR="008403D9" w:rsidRDefault="008403D9">
      <w:pPr>
        <w:pStyle w:val="CommentText"/>
      </w:pPr>
      <w:r>
        <w:rPr>
          <w:rStyle w:val="CommentReference"/>
        </w:rPr>
        <w:annotationRef/>
      </w:r>
      <w:r>
        <w:t xml:space="preserve">ADD FEW MORE LINES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36A77F" w15:done="0"/>
  <w15:commentEx w15:paraId="294FEC28" w15:done="0"/>
  <w15:commentEx w15:paraId="1071BFC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646E1" w14:textId="77777777" w:rsidR="007B3D3C" w:rsidRDefault="007B3D3C" w:rsidP="00A80742">
      <w:pPr>
        <w:spacing w:after="0" w:line="240" w:lineRule="auto"/>
      </w:pPr>
      <w:r>
        <w:separator/>
      </w:r>
    </w:p>
  </w:endnote>
  <w:endnote w:type="continuationSeparator" w:id="0">
    <w:p w14:paraId="1BFBCCF9" w14:textId="77777777" w:rsidR="007B3D3C" w:rsidRDefault="007B3D3C" w:rsidP="00A80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dvOT323a8e6c.B">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46AAA" w14:textId="77777777" w:rsidR="00A63035" w:rsidRDefault="00A6303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14BD2" w14:textId="77777777" w:rsidR="00A63035" w:rsidRDefault="00A6303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B1AAF" w14:textId="77777777" w:rsidR="00A63035" w:rsidRDefault="00A630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2534E" w14:textId="77777777" w:rsidR="007B3D3C" w:rsidRDefault="007B3D3C" w:rsidP="00A80742">
      <w:pPr>
        <w:spacing w:after="0" w:line="240" w:lineRule="auto"/>
      </w:pPr>
      <w:r>
        <w:separator/>
      </w:r>
    </w:p>
  </w:footnote>
  <w:footnote w:type="continuationSeparator" w:id="0">
    <w:p w14:paraId="2274AA45" w14:textId="77777777" w:rsidR="007B3D3C" w:rsidRDefault="007B3D3C" w:rsidP="00A80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20209" w14:textId="298C7CFA" w:rsidR="00A63035" w:rsidRDefault="007B3D3C">
    <w:pPr>
      <w:pStyle w:val="Header"/>
    </w:pPr>
    <w:r>
      <w:rPr>
        <w:noProof/>
      </w:rPr>
      <w:pict w14:anchorId="2D762C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0427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DBA33" w14:textId="66212403" w:rsidR="00A80742" w:rsidRDefault="007B3D3C">
    <w:pPr>
      <w:pStyle w:val="Header"/>
      <w:jc w:val="center"/>
    </w:pPr>
    <w:r>
      <w:rPr>
        <w:noProof/>
      </w:rPr>
      <w:pict w14:anchorId="6E5415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042783"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788658789"/>
        <w:docPartObj>
          <w:docPartGallery w:val="Page Numbers (Top of Page)"/>
          <w:docPartUnique/>
        </w:docPartObj>
      </w:sdtPr>
      <w:sdtEndPr>
        <w:rPr>
          <w:noProof/>
        </w:rPr>
      </w:sdtEndPr>
      <w:sdtContent>
        <w:r w:rsidR="00A80742">
          <w:fldChar w:fldCharType="begin"/>
        </w:r>
        <w:r w:rsidR="00A80742">
          <w:instrText xml:space="preserve"> PAGE   \* MERGEFORMAT </w:instrText>
        </w:r>
        <w:r w:rsidR="00A80742">
          <w:fldChar w:fldCharType="separate"/>
        </w:r>
        <w:r w:rsidR="008403D9">
          <w:rPr>
            <w:noProof/>
          </w:rPr>
          <w:t>3</w:t>
        </w:r>
        <w:r w:rsidR="00A80742">
          <w:rPr>
            <w:noProof/>
          </w:rPr>
          <w:fldChar w:fldCharType="end"/>
        </w:r>
      </w:sdtContent>
    </w:sdt>
  </w:p>
  <w:p w14:paraId="71890028" w14:textId="77777777" w:rsidR="00A80742" w:rsidRDefault="00A8074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16F9F" w14:textId="153B2C0B" w:rsidR="00A63035" w:rsidRDefault="007B3D3C">
    <w:pPr>
      <w:pStyle w:val="Header"/>
    </w:pPr>
    <w:r>
      <w:rPr>
        <w:noProof/>
      </w:rPr>
      <w:pict w14:anchorId="76A43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0427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F1F16"/>
    <w:multiLevelType w:val="hybridMultilevel"/>
    <w:tmpl w:val="9744B1CC"/>
    <w:lvl w:ilvl="0" w:tplc="919A588E">
      <w:start w:val="2"/>
      <w:numFmt w:val="bullet"/>
      <w:lvlText w:val=""/>
      <w:lvlJc w:val="left"/>
      <w:pPr>
        <w:ind w:left="720" w:hanging="360"/>
      </w:pPr>
      <w:rPr>
        <w:rFonts w:ascii="Symbol" w:eastAsiaTheme="minorHAnsi" w:hAnsi="Symbol" w:cstheme="minorBidi"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WHAR IQBAL">
    <w15:presenceInfo w15:providerId="Windows Live" w15:userId="2c2663ada29be3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D5167"/>
    <w:rsid w:val="00003689"/>
    <w:rsid w:val="000136DF"/>
    <w:rsid w:val="00041341"/>
    <w:rsid w:val="00054885"/>
    <w:rsid w:val="0005790F"/>
    <w:rsid w:val="00057E9C"/>
    <w:rsid w:val="000627D6"/>
    <w:rsid w:val="0006432F"/>
    <w:rsid w:val="000831FE"/>
    <w:rsid w:val="000910D6"/>
    <w:rsid w:val="00092C5A"/>
    <w:rsid w:val="000A2614"/>
    <w:rsid w:val="000B2FCF"/>
    <w:rsid w:val="000B5068"/>
    <w:rsid w:val="000C357F"/>
    <w:rsid w:val="000F4259"/>
    <w:rsid w:val="00101D0A"/>
    <w:rsid w:val="00102F6E"/>
    <w:rsid w:val="00103BBC"/>
    <w:rsid w:val="00115982"/>
    <w:rsid w:val="00116E5C"/>
    <w:rsid w:val="001262DD"/>
    <w:rsid w:val="00136BB8"/>
    <w:rsid w:val="00140A7B"/>
    <w:rsid w:val="001421C9"/>
    <w:rsid w:val="001502B0"/>
    <w:rsid w:val="00152062"/>
    <w:rsid w:val="00155E9C"/>
    <w:rsid w:val="0017660A"/>
    <w:rsid w:val="0018538C"/>
    <w:rsid w:val="00192ED8"/>
    <w:rsid w:val="001936C5"/>
    <w:rsid w:val="001B4109"/>
    <w:rsid w:val="001F1284"/>
    <w:rsid w:val="001F3139"/>
    <w:rsid w:val="0020379C"/>
    <w:rsid w:val="0021020E"/>
    <w:rsid w:val="00216017"/>
    <w:rsid w:val="002170CF"/>
    <w:rsid w:val="002174DF"/>
    <w:rsid w:val="00227480"/>
    <w:rsid w:val="00227674"/>
    <w:rsid w:val="002330EF"/>
    <w:rsid w:val="00245E9E"/>
    <w:rsid w:val="00250111"/>
    <w:rsid w:val="00253609"/>
    <w:rsid w:val="0025655D"/>
    <w:rsid w:val="00270B9D"/>
    <w:rsid w:val="00270D84"/>
    <w:rsid w:val="00273E41"/>
    <w:rsid w:val="00277D8E"/>
    <w:rsid w:val="002874CF"/>
    <w:rsid w:val="0028780F"/>
    <w:rsid w:val="002B19DB"/>
    <w:rsid w:val="002B2A9E"/>
    <w:rsid w:val="002C1E5B"/>
    <w:rsid w:val="002C3D70"/>
    <w:rsid w:val="002D783D"/>
    <w:rsid w:val="002E0041"/>
    <w:rsid w:val="002F0A2D"/>
    <w:rsid w:val="002F264A"/>
    <w:rsid w:val="00304B18"/>
    <w:rsid w:val="00305C78"/>
    <w:rsid w:val="00317A26"/>
    <w:rsid w:val="003219AD"/>
    <w:rsid w:val="00325304"/>
    <w:rsid w:val="00325758"/>
    <w:rsid w:val="003275E9"/>
    <w:rsid w:val="00333E23"/>
    <w:rsid w:val="0034082D"/>
    <w:rsid w:val="00350614"/>
    <w:rsid w:val="00351FB5"/>
    <w:rsid w:val="00365B9A"/>
    <w:rsid w:val="003978BF"/>
    <w:rsid w:val="003A67D0"/>
    <w:rsid w:val="003B7C0E"/>
    <w:rsid w:val="003C1783"/>
    <w:rsid w:val="003D2B56"/>
    <w:rsid w:val="003F7FE7"/>
    <w:rsid w:val="00405897"/>
    <w:rsid w:val="0040712D"/>
    <w:rsid w:val="00410502"/>
    <w:rsid w:val="00411B13"/>
    <w:rsid w:val="00456D67"/>
    <w:rsid w:val="0048317E"/>
    <w:rsid w:val="004856AE"/>
    <w:rsid w:val="004876B1"/>
    <w:rsid w:val="004B06C5"/>
    <w:rsid w:val="004B4DBF"/>
    <w:rsid w:val="004B4F37"/>
    <w:rsid w:val="004B6845"/>
    <w:rsid w:val="004D4219"/>
    <w:rsid w:val="004D6111"/>
    <w:rsid w:val="004E0680"/>
    <w:rsid w:val="004E37A6"/>
    <w:rsid w:val="004F52CB"/>
    <w:rsid w:val="004F6D33"/>
    <w:rsid w:val="004F71D1"/>
    <w:rsid w:val="004F79CD"/>
    <w:rsid w:val="00503BE9"/>
    <w:rsid w:val="005112E0"/>
    <w:rsid w:val="00536079"/>
    <w:rsid w:val="0054579C"/>
    <w:rsid w:val="00554417"/>
    <w:rsid w:val="00557D53"/>
    <w:rsid w:val="00562EA3"/>
    <w:rsid w:val="00565A4C"/>
    <w:rsid w:val="00582D5E"/>
    <w:rsid w:val="00587AF2"/>
    <w:rsid w:val="005915BD"/>
    <w:rsid w:val="005945E3"/>
    <w:rsid w:val="005A0ED0"/>
    <w:rsid w:val="005A2D0F"/>
    <w:rsid w:val="005B3408"/>
    <w:rsid w:val="005C3509"/>
    <w:rsid w:val="005D1ED1"/>
    <w:rsid w:val="005D24C0"/>
    <w:rsid w:val="005F16C3"/>
    <w:rsid w:val="005F1A9C"/>
    <w:rsid w:val="006069A5"/>
    <w:rsid w:val="00613A47"/>
    <w:rsid w:val="00632B9E"/>
    <w:rsid w:val="00635C9C"/>
    <w:rsid w:val="00645258"/>
    <w:rsid w:val="00665BD0"/>
    <w:rsid w:val="00695F0E"/>
    <w:rsid w:val="006A2999"/>
    <w:rsid w:val="006A2CBC"/>
    <w:rsid w:val="006A6825"/>
    <w:rsid w:val="006B4029"/>
    <w:rsid w:val="006B7E00"/>
    <w:rsid w:val="006C535F"/>
    <w:rsid w:val="006C68A0"/>
    <w:rsid w:val="006C6A9F"/>
    <w:rsid w:val="006D1F46"/>
    <w:rsid w:val="006D55D8"/>
    <w:rsid w:val="006E0477"/>
    <w:rsid w:val="006E3BD5"/>
    <w:rsid w:val="00715856"/>
    <w:rsid w:val="0073002E"/>
    <w:rsid w:val="007338E5"/>
    <w:rsid w:val="007570E5"/>
    <w:rsid w:val="0076664E"/>
    <w:rsid w:val="007A0484"/>
    <w:rsid w:val="007B3D3C"/>
    <w:rsid w:val="007C647A"/>
    <w:rsid w:val="007D5167"/>
    <w:rsid w:val="007E359D"/>
    <w:rsid w:val="007E6E79"/>
    <w:rsid w:val="007F1A53"/>
    <w:rsid w:val="008121BA"/>
    <w:rsid w:val="00817370"/>
    <w:rsid w:val="00825ABE"/>
    <w:rsid w:val="00826BF9"/>
    <w:rsid w:val="00835972"/>
    <w:rsid w:val="008403D9"/>
    <w:rsid w:val="00866A35"/>
    <w:rsid w:val="00875204"/>
    <w:rsid w:val="00875684"/>
    <w:rsid w:val="008A0FFF"/>
    <w:rsid w:val="008A6171"/>
    <w:rsid w:val="008B572F"/>
    <w:rsid w:val="008B6F75"/>
    <w:rsid w:val="008E0ABE"/>
    <w:rsid w:val="008E1F2E"/>
    <w:rsid w:val="008F2315"/>
    <w:rsid w:val="008F50B2"/>
    <w:rsid w:val="0090197A"/>
    <w:rsid w:val="00907C5C"/>
    <w:rsid w:val="00911827"/>
    <w:rsid w:val="00912EED"/>
    <w:rsid w:val="009252E9"/>
    <w:rsid w:val="00931A01"/>
    <w:rsid w:val="0095722B"/>
    <w:rsid w:val="009642CC"/>
    <w:rsid w:val="00970A87"/>
    <w:rsid w:val="00975775"/>
    <w:rsid w:val="0097666E"/>
    <w:rsid w:val="009B45F8"/>
    <w:rsid w:val="009C4EC0"/>
    <w:rsid w:val="009C619A"/>
    <w:rsid w:val="009D16B3"/>
    <w:rsid w:val="009D2642"/>
    <w:rsid w:val="009D53CC"/>
    <w:rsid w:val="009E3E1F"/>
    <w:rsid w:val="009F3386"/>
    <w:rsid w:val="009F6E1B"/>
    <w:rsid w:val="00A00210"/>
    <w:rsid w:val="00A007D6"/>
    <w:rsid w:val="00A07BC6"/>
    <w:rsid w:val="00A24335"/>
    <w:rsid w:val="00A24397"/>
    <w:rsid w:val="00A44C1E"/>
    <w:rsid w:val="00A46878"/>
    <w:rsid w:val="00A62277"/>
    <w:rsid w:val="00A63035"/>
    <w:rsid w:val="00A738BA"/>
    <w:rsid w:val="00A77A2C"/>
    <w:rsid w:val="00A80742"/>
    <w:rsid w:val="00A85B2A"/>
    <w:rsid w:val="00AA16AD"/>
    <w:rsid w:val="00AC07C3"/>
    <w:rsid w:val="00AD1385"/>
    <w:rsid w:val="00AD32F0"/>
    <w:rsid w:val="00AE7743"/>
    <w:rsid w:val="00AF0DAF"/>
    <w:rsid w:val="00AF223B"/>
    <w:rsid w:val="00B02DB5"/>
    <w:rsid w:val="00B24753"/>
    <w:rsid w:val="00B43994"/>
    <w:rsid w:val="00B467DA"/>
    <w:rsid w:val="00B472B2"/>
    <w:rsid w:val="00B52558"/>
    <w:rsid w:val="00B61989"/>
    <w:rsid w:val="00B65E05"/>
    <w:rsid w:val="00B7366E"/>
    <w:rsid w:val="00B74DF1"/>
    <w:rsid w:val="00B76966"/>
    <w:rsid w:val="00B97160"/>
    <w:rsid w:val="00BA2548"/>
    <w:rsid w:val="00BA3701"/>
    <w:rsid w:val="00BC1C9B"/>
    <w:rsid w:val="00BE6321"/>
    <w:rsid w:val="00BF2CBD"/>
    <w:rsid w:val="00BF4CFE"/>
    <w:rsid w:val="00C15A49"/>
    <w:rsid w:val="00C32E43"/>
    <w:rsid w:val="00C43022"/>
    <w:rsid w:val="00C51218"/>
    <w:rsid w:val="00C64954"/>
    <w:rsid w:val="00C85FC1"/>
    <w:rsid w:val="00C87876"/>
    <w:rsid w:val="00C953EC"/>
    <w:rsid w:val="00CA041D"/>
    <w:rsid w:val="00CA16BE"/>
    <w:rsid w:val="00CA16DE"/>
    <w:rsid w:val="00CA2346"/>
    <w:rsid w:val="00CC084F"/>
    <w:rsid w:val="00CC6457"/>
    <w:rsid w:val="00CC6B8D"/>
    <w:rsid w:val="00CD6513"/>
    <w:rsid w:val="00CE607D"/>
    <w:rsid w:val="00CE7A06"/>
    <w:rsid w:val="00CF00A2"/>
    <w:rsid w:val="00CF1880"/>
    <w:rsid w:val="00CF6EF1"/>
    <w:rsid w:val="00D20FEA"/>
    <w:rsid w:val="00D24BA3"/>
    <w:rsid w:val="00D33211"/>
    <w:rsid w:val="00D4290E"/>
    <w:rsid w:val="00D43C48"/>
    <w:rsid w:val="00D51C9D"/>
    <w:rsid w:val="00D622E7"/>
    <w:rsid w:val="00D97ED7"/>
    <w:rsid w:val="00DD4F7E"/>
    <w:rsid w:val="00DE6756"/>
    <w:rsid w:val="00DE7917"/>
    <w:rsid w:val="00DF383C"/>
    <w:rsid w:val="00DF618E"/>
    <w:rsid w:val="00E00789"/>
    <w:rsid w:val="00E0341B"/>
    <w:rsid w:val="00E112C4"/>
    <w:rsid w:val="00E148CA"/>
    <w:rsid w:val="00E228B2"/>
    <w:rsid w:val="00E33F03"/>
    <w:rsid w:val="00E367DB"/>
    <w:rsid w:val="00E37FF4"/>
    <w:rsid w:val="00E406B4"/>
    <w:rsid w:val="00E46B58"/>
    <w:rsid w:val="00E72C20"/>
    <w:rsid w:val="00E753AD"/>
    <w:rsid w:val="00E762BB"/>
    <w:rsid w:val="00E80D88"/>
    <w:rsid w:val="00E8252A"/>
    <w:rsid w:val="00E841EC"/>
    <w:rsid w:val="00E92439"/>
    <w:rsid w:val="00EA009E"/>
    <w:rsid w:val="00EB0DA6"/>
    <w:rsid w:val="00EC46E9"/>
    <w:rsid w:val="00EC64F3"/>
    <w:rsid w:val="00ED0142"/>
    <w:rsid w:val="00F00083"/>
    <w:rsid w:val="00F13DBF"/>
    <w:rsid w:val="00F16FE8"/>
    <w:rsid w:val="00F2124B"/>
    <w:rsid w:val="00F27CE7"/>
    <w:rsid w:val="00F42BFB"/>
    <w:rsid w:val="00F6437D"/>
    <w:rsid w:val="00F80665"/>
    <w:rsid w:val="00F9260D"/>
    <w:rsid w:val="00FA1E55"/>
    <w:rsid w:val="00FA300A"/>
    <w:rsid w:val="00FA3CEA"/>
    <w:rsid w:val="00FA6846"/>
    <w:rsid w:val="00FB3809"/>
    <w:rsid w:val="00FB4511"/>
    <w:rsid w:val="00FC26A2"/>
    <w:rsid w:val="00FC4891"/>
    <w:rsid w:val="00FC5E99"/>
    <w:rsid w:val="00FD2CDF"/>
    <w:rsid w:val="00FD3532"/>
    <w:rsid w:val="00FE3FFC"/>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8154FF"/>
  <w15:docId w15:val="{0760F5F7-712B-446E-B8EC-A442123A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79C"/>
  </w:style>
  <w:style w:type="paragraph" w:styleId="Heading1">
    <w:name w:val="heading 1"/>
    <w:basedOn w:val="Normal"/>
    <w:link w:val="Heading1Char"/>
    <w:uiPriority w:val="9"/>
    <w:qFormat/>
    <w:rsid w:val="009B45F8"/>
    <w:pPr>
      <w:spacing w:before="100" w:beforeAutospacing="1" w:after="100" w:afterAutospacing="1" w:line="240" w:lineRule="auto"/>
      <w:outlineLvl w:val="0"/>
    </w:pPr>
    <w:rPr>
      <w:rFonts w:ascii="Times New Roman" w:eastAsia="Times New Roman" w:hAnsi="Times New Roman" w:cs="Times New Roman"/>
      <w:b/>
      <w:bCs/>
      <w:kern w:val="36"/>
      <w:sz w:val="48"/>
      <w:szCs w:val="48"/>
      <w:lang w:bidi="b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3E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33E23"/>
    <w:pPr>
      <w:autoSpaceDE w:val="0"/>
      <w:autoSpaceDN w:val="0"/>
      <w:adjustRightInd w:val="0"/>
      <w:spacing w:after="0" w:line="240" w:lineRule="auto"/>
      <w:ind w:left="720"/>
      <w:contextualSpacing/>
      <w:jc w:val="both"/>
    </w:pPr>
    <w:rPr>
      <w:rFonts w:ascii="Times New Roman" w:hAnsi="Times New Roman" w:cs="Times New Roman"/>
      <w:bCs/>
      <w:color w:val="548ED5"/>
      <w:sz w:val="24"/>
      <w:szCs w:val="24"/>
      <w:lang w:bidi="he-IL"/>
    </w:rPr>
  </w:style>
  <w:style w:type="paragraph" w:styleId="Caption">
    <w:name w:val="caption"/>
    <w:basedOn w:val="Normal"/>
    <w:next w:val="Normal"/>
    <w:uiPriority w:val="35"/>
    <w:unhideWhenUsed/>
    <w:qFormat/>
    <w:rsid w:val="00333E23"/>
    <w:pPr>
      <w:autoSpaceDE w:val="0"/>
      <w:autoSpaceDN w:val="0"/>
      <w:adjustRightInd w:val="0"/>
      <w:spacing w:line="240" w:lineRule="auto"/>
      <w:jc w:val="both"/>
    </w:pPr>
    <w:rPr>
      <w:rFonts w:ascii="Times New Roman" w:hAnsi="Times New Roman" w:cs="Times New Roman"/>
      <w:b/>
      <w:color w:val="4F81BD" w:themeColor="accent1"/>
      <w:sz w:val="18"/>
      <w:szCs w:val="18"/>
      <w:lang w:bidi="he-IL"/>
    </w:rPr>
  </w:style>
  <w:style w:type="paragraph" w:styleId="BalloonText">
    <w:name w:val="Balloon Text"/>
    <w:basedOn w:val="Normal"/>
    <w:link w:val="BalloonTextChar"/>
    <w:uiPriority w:val="99"/>
    <w:semiHidden/>
    <w:unhideWhenUsed/>
    <w:rsid w:val="00256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55D"/>
    <w:rPr>
      <w:rFonts w:ascii="Tahoma" w:hAnsi="Tahoma" w:cs="Tahoma"/>
      <w:sz w:val="16"/>
      <w:szCs w:val="16"/>
    </w:rPr>
  </w:style>
  <w:style w:type="character" w:customStyle="1" w:styleId="Heading1Char">
    <w:name w:val="Heading 1 Char"/>
    <w:basedOn w:val="DefaultParagraphFont"/>
    <w:link w:val="Heading1"/>
    <w:uiPriority w:val="9"/>
    <w:rsid w:val="009B45F8"/>
    <w:rPr>
      <w:rFonts w:ascii="Times New Roman" w:eastAsia="Times New Roman" w:hAnsi="Times New Roman" w:cs="Times New Roman"/>
      <w:b/>
      <w:bCs/>
      <w:kern w:val="36"/>
      <w:sz w:val="48"/>
      <w:szCs w:val="48"/>
      <w:lang w:bidi="bn-IN"/>
    </w:rPr>
  </w:style>
  <w:style w:type="character" w:customStyle="1" w:styleId="title-text">
    <w:name w:val="title-text"/>
    <w:basedOn w:val="DefaultParagraphFont"/>
    <w:rsid w:val="009B45F8"/>
  </w:style>
  <w:style w:type="character" w:customStyle="1" w:styleId="text">
    <w:name w:val="text"/>
    <w:basedOn w:val="DefaultParagraphFont"/>
    <w:rsid w:val="000B5068"/>
  </w:style>
  <w:style w:type="character" w:styleId="Emphasis">
    <w:name w:val="Emphasis"/>
    <w:basedOn w:val="DefaultParagraphFont"/>
    <w:uiPriority w:val="20"/>
    <w:qFormat/>
    <w:rsid w:val="000B5068"/>
    <w:rPr>
      <w:i/>
      <w:iCs/>
    </w:rPr>
  </w:style>
  <w:style w:type="character" w:styleId="Hyperlink">
    <w:name w:val="Hyperlink"/>
    <w:basedOn w:val="DefaultParagraphFont"/>
    <w:uiPriority w:val="99"/>
    <w:unhideWhenUsed/>
    <w:rsid w:val="000B5068"/>
    <w:rPr>
      <w:color w:val="0000FF"/>
      <w:u w:val="single"/>
    </w:rPr>
  </w:style>
  <w:style w:type="character" w:customStyle="1" w:styleId="author-sup-separator">
    <w:name w:val="author-sup-separator"/>
    <w:basedOn w:val="DefaultParagraphFont"/>
    <w:rsid w:val="004D6111"/>
  </w:style>
  <w:style w:type="paragraph" w:styleId="BodyText">
    <w:name w:val="Body Text"/>
    <w:basedOn w:val="Normal"/>
    <w:link w:val="BodyTextChar"/>
    <w:uiPriority w:val="1"/>
    <w:qFormat/>
    <w:rsid w:val="003978BF"/>
    <w:pPr>
      <w:widowControl w:val="0"/>
      <w:autoSpaceDE w:val="0"/>
      <w:autoSpaceDN w:val="0"/>
      <w:spacing w:after="0" w:line="240" w:lineRule="auto"/>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3978BF"/>
    <w:rPr>
      <w:rFonts w:ascii="Times New Roman" w:eastAsia="Times New Roman" w:hAnsi="Times New Roman" w:cs="Times New Roman"/>
      <w:sz w:val="18"/>
      <w:szCs w:val="18"/>
    </w:rPr>
  </w:style>
  <w:style w:type="paragraph" w:customStyle="1" w:styleId="TableParagraph">
    <w:name w:val="Table Paragraph"/>
    <w:basedOn w:val="Normal"/>
    <w:uiPriority w:val="1"/>
    <w:qFormat/>
    <w:rsid w:val="003978BF"/>
    <w:pPr>
      <w:widowControl w:val="0"/>
      <w:autoSpaceDE w:val="0"/>
      <w:autoSpaceDN w:val="0"/>
      <w:spacing w:after="0" w:line="240" w:lineRule="auto"/>
      <w:ind w:left="126"/>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A80742"/>
    <w:rPr>
      <w:color w:val="605E5C"/>
      <w:shd w:val="clear" w:color="auto" w:fill="E1DFDD"/>
    </w:rPr>
  </w:style>
  <w:style w:type="paragraph" w:styleId="Header">
    <w:name w:val="header"/>
    <w:basedOn w:val="Normal"/>
    <w:link w:val="HeaderChar"/>
    <w:uiPriority w:val="99"/>
    <w:unhideWhenUsed/>
    <w:rsid w:val="00A80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742"/>
  </w:style>
  <w:style w:type="paragraph" w:styleId="Footer">
    <w:name w:val="footer"/>
    <w:basedOn w:val="Normal"/>
    <w:link w:val="FooterChar"/>
    <w:uiPriority w:val="99"/>
    <w:unhideWhenUsed/>
    <w:rsid w:val="00A80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742"/>
  </w:style>
  <w:style w:type="character" w:styleId="CommentReference">
    <w:name w:val="annotation reference"/>
    <w:basedOn w:val="DefaultParagraphFont"/>
    <w:uiPriority w:val="99"/>
    <w:semiHidden/>
    <w:unhideWhenUsed/>
    <w:rsid w:val="008403D9"/>
    <w:rPr>
      <w:sz w:val="16"/>
      <w:szCs w:val="16"/>
    </w:rPr>
  </w:style>
  <w:style w:type="paragraph" w:styleId="CommentText">
    <w:name w:val="annotation text"/>
    <w:basedOn w:val="Normal"/>
    <w:link w:val="CommentTextChar"/>
    <w:uiPriority w:val="99"/>
    <w:semiHidden/>
    <w:unhideWhenUsed/>
    <w:rsid w:val="008403D9"/>
    <w:pPr>
      <w:spacing w:line="240" w:lineRule="auto"/>
    </w:pPr>
    <w:rPr>
      <w:sz w:val="20"/>
      <w:szCs w:val="20"/>
    </w:rPr>
  </w:style>
  <w:style w:type="character" w:customStyle="1" w:styleId="CommentTextChar">
    <w:name w:val="Comment Text Char"/>
    <w:basedOn w:val="DefaultParagraphFont"/>
    <w:link w:val="CommentText"/>
    <w:uiPriority w:val="99"/>
    <w:semiHidden/>
    <w:rsid w:val="008403D9"/>
    <w:rPr>
      <w:sz w:val="20"/>
      <w:szCs w:val="20"/>
    </w:rPr>
  </w:style>
  <w:style w:type="paragraph" w:styleId="CommentSubject">
    <w:name w:val="annotation subject"/>
    <w:basedOn w:val="CommentText"/>
    <w:next w:val="CommentText"/>
    <w:link w:val="CommentSubjectChar"/>
    <w:uiPriority w:val="99"/>
    <w:semiHidden/>
    <w:unhideWhenUsed/>
    <w:rsid w:val="008403D9"/>
    <w:rPr>
      <w:b/>
      <w:bCs/>
    </w:rPr>
  </w:style>
  <w:style w:type="character" w:customStyle="1" w:styleId="CommentSubjectChar">
    <w:name w:val="Comment Subject Char"/>
    <w:basedOn w:val="CommentTextChar"/>
    <w:link w:val="CommentSubject"/>
    <w:uiPriority w:val="99"/>
    <w:semiHidden/>
    <w:rsid w:val="008403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262933">
      <w:bodyDiv w:val="1"/>
      <w:marLeft w:val="0"/>
      <w:marRight w:val="0"/>
      <w:marTop w:val="0"/>
      <w:marBottom w:val="0"/>
      <w:divBdr>
        <w:top w:val="none" w:sz="0" w:space="0" w:color="auto"/>
        <w:left w:val="none" w:sz="0" w:space="0" w:color="auto"/>
        <w:bottom w:val="none" w:sz="0" w:space="0" w:color="auto"/>
        <w:right w:val="none" w:sz="0" w:space="0" w:color="auto"/>
      </w:divBdr>
    </w:div>
    <w:div w:id="975914561">
      <w:bodyDiv w:val="1"/>
      <w:marLeft w:val="0"/>
      <w:marRight w:val="0"/>
      <w:marTop w:val="0"/>
      <w:marBottom w:val="0"/>
      <w:divBdr>
        <w:top w:val="none" w:sz="0" w:space="0" w:color="auto"/>
        <w:left w:val="none" w:sz="0" w:space="0" w:color="auto"/>
        <w:bottom w:val="none" w:sz="0" w:space="0" w:color="auto"/>
        <w:right w:val="none" w:sz="0" w:space="0" w:color="auto"/>
      </w:divBdr>
    </w:div>
    <w:div w:id="1085297358">
      <w:bodyDiv w:val="1"/>
      <w:marLeft w:val="0"/>
      <w:marRight w:val="0"/>
      <w:marTop w:val="0"/>
      <w:marBottom w:val="0"/>
      <w:divBdr>
        <w:top w:val="none" w:sz="0" w:space="0" w:color="auto"/>
        <w:left w:val="none" w:sz="0" w:space="0" w:color="auto"/>
        <w:bottom w:val="none" w:sz="0" w:space="0" w:color="auto"/>
        <w:right w:val="none" w:sz="0" w:space="0" w:color="auto"/>
      </w:divBdr>
    </w:div>
    <w:div w:id="1186089909">
      <w:bodyDiv w:val="1"/>
      <w:marLeft w:val="0"/>
      <w:marRight w:val="0"/>
      <w:marTop w:val="0"/>
      <w:marBottom w:val="0"/>
      <w:divBdr>
        <w:top w:val="none" w:sz="0" w:space="0" w:color="auto"/>
        <w:left w:val="none" w:sz="0" w:space="0" w:color="auto"/>
        <w:bottom w:val="none" w:sz="0" w:space="0" w:color="auto"/>
        <w:right w:val="none" w:sz="0" w:space="0" w:color="auto"/>
      </w:divBdr>
    </w:div>
    <w:div w:id="1263416355">
      <w:bodyDiv w:val="1"/>
      <w:marLeft w:val="0"/>
      <w:marRight w:val="0"/>
      <w:marTop w:val="0"/>
      <w:marBottom w:val="0"/>
      <w:divBdr>
        <w:top w:val="none" w:sz="0" w:space="0" w:color="auto"/>
        <w:left w:val="none" w:sz="0" w:space="0" w:color="auto"/>
        <w:bottom w:val="none" w:sz="0" w:space="0" w:color="auto"/>
        <w:right w:val="none" w:sz="0" w:space="0" w:color="auto"/>
      </w:divBdr>
    </w:div>
    <w:div w:id="1444962670">
      <w:bodyDiv w:val="1"/>
      <w:marLeft w:val="0"/>
      <w:marRight w:val="0"/>
      <w:marTop w:val="0"/>
      <w:marBottom w:val="0"/>
      <w:divBdr>
        <w:top w:val="none" w:sz="0" w:space="0" w:color="auto"/>
        <w:left w:val="none" w:sz="0" w:space="0" w:color="auto"/>
        <w:bottom w:val="none" w:sz="0" w:space="0" w:color="auto"/>
        <w:right w:val="none" w:sz="0" w:space="0" w:color="auto"/>
      </w:divBdr>
    </w:div>
    <w:div w:id="181517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5D2A7-9E29-4CD8-99F6-87CCCB3C6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5881</Words>
  <Characters>33524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Aklima</dc:creator>
  <cp:lastModifiedBy>GOWHAR IQBAL</cp:lastModifiedBy>
  <cp:revision>7</cp:revision>
  <dcterms:created xsi:type="dcterms:W3CDTF">2024-03-15T17:25:00Z</dcterms:created>
  <dcterms:modified xsi:type="dcterms:W3CDTF">2024-03-16T15:53:00Z</dcterms:modified>
</cp:coreProperties>
</file>