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14EEB3" w14:textId="4E601C56" w:rsidR="00462B59" w:rsidRDefault="00BE754B" w:rsidP="00055D83">
      <w:pPr>
        <w:spacing w:before="0" w:line="240" w:lineRule="auto"/>
        <w:jc w:val="center"/>
        <w:rPr>
          <w:rFonts w:cs="Times New Roman"/>
          <w:b/>
          <w:bCs/>
          <w:color w:val="000000" w:themeColor="text1"/>
          <w:sz w:val="36"/>
          <w:szCs w:val="36"/>
        </w:rPr>
      </w:pPr>
      <w:r w:rsidRPr="00BE754B">
        <w:rPr>
          <w:rFonts w:cs="Times New Roman"/>
          <w:b/>
          <w:bCs/>
          <w:color w:val="000000" w:themeColor="text1"/>
          <w:sz w:val="36"/>
          <w:szCs w:val="36"/>
        </w:rPr>
        <w:t>TAX POLICIES AND FINANCIAL PERFORMANCE OF SELECTED REGISTERED MANUFACTURING FIRMS IN KENYA</w:t>
      </w:r>
    </w:p>
    <w:p w14:paraId="41DC4703" w14:textId="77777777" w:rsidR="00462B59" w:rsidRPr="007A56B8" w:rsidRDefault="00462B59" w:rsidP="00055D83">
      <w:pPr>
        <w:spacing w:before="0" w:line="240" w:lineRule="auto"/>
        <w:jc w:val="center"/>
        <w:rPr>
          <w:rFonts w:cs="Times New Roman"/>
          <w:b/>
          <w:bCs/>
          <w:color w:val="000000" w:themeColor="text1"/>
          <w:sz w:val="36"/>
          <w:szCs w:val="36"/>
        </w:rPr>
      </w:pPr>
    </w:p>
    <w:p w14:paraId="3F108D69" w14:textId="77777777" w:rsidR="003607E2" w:rsidRPr="007A56B8" w:rsidRDefault="003607E2" w:rsidP="00055D83">
      <w:pPr>
        <w:spacing w:before="0" w:line="240" w:lineRule="auto"/>
        <w:jc w:val="center"/>
        <w:rPr>
          <w:rFonts w:cs="Times New Roman"/>
          <w:b/>
          <w:color w:val="000000" w:themeColor="text1"/>
          <w:szCs w:val="24"/>
        </w:rPr>
      </w:pPr>
    </w:p>
    <w:p w14:paraId="43D2AA90" w14:textId="77777777" w:rsidR="007C3182" w:rsidRDefault="007C3182" w:rsidP="00055D83">
      <w:pPr>
        <w:spacing w:before="0" w:line="240" w:lineRule="auto"/>
        <w:jc w:val="center"/>
        <w:rPr>
          <w:rFonts w:cs="Times New Roman"/>
          <w:color w:val="000000" w:themeColor="text1"/>
          <w:szCs w:val="24"/>
        </w:rPr>
      </w:pPr>
    </w:p>
    <w:p w14:paraId="43CC6E1F" w14:textId="77777777" w:rsidR="00E50F0F" w:rsidRDefault="00E50F0F" w:rsidP="00055D83">
      <w:pPr>
        <w:spacing w:before="0" w:line="240" w:lineRule="auto"/>
        <w:jc w:val="center"/>
        <w:rPr>
          <w:rFonts w:cs="Times New Roman"/>
          <w:color w:val="000000" w:themeColor="text1"/>
          <w:szCs w:val="24"/>
        </w:rPr>
      </w:pPr>
    </w:p>
    <w:p w14:paraId="1A1DCA2E" w14:textId="77777777" w:rsidR="00E50F0F" w:rsidRPr="007A56B8" w:rsidRDefault="00E50F0F" w:rsidP="00055D83">
      <w:pPr>
        <w:spacing w:before="0" w:line="240" w:lineRule="auto"/>
        <w:jc w:val="center"/>
        <w:rPr>
          <w:rFonts w:cs="Times New Roman"/>
          <w:color w:val="000000" w:themeColor="text1"/>
          <w:szCs w:val="24"/>
        </w:rPr>
      </w:pPr>
    </w:p>
    <w:p w14:paraId="42946DD8" w14:textId="77777777" w:rsidR="00055D83" w:rsidRPr="007A56B8" w:rsidRDefault="00055D83" w:rsidP="004737A8">
      <w:pPr>
        <w:spacing w:before="0" w:line="240" w:lineRule="auto"/>
        <w:jc w:val="center"/>
        <w:rPr>
          <w:b/>
          <w:sz w:val="28"/>
        </w:rPr>
      </w:pPr>
      <w:bookmarkStart w:id="0" w:name="_Toc488404692"/>
      <w:bookmarkStart w:id="1" w:name="_Toc102409737"/>
      <w:r w:rsidRPr="007A56B8">
        <w:rPr>
          <w:b/>
          <w:sz w:val="28"/>
        </w:rPr>
        <w:t>ABSTRACT</w:t>
      </w:r>
      <w:bookmarkEnd w:id="0"/>
      <w:bookmarkEnd w:id="1"/>
    </w:p>
    <w:p w14:paraId="2D4F7016" w14:textId="77777777" w:rsidR="000C57D5" w:rsidRPr="000C57D5" w:rsidRDefault="000C57D5" w:rsidP="000C57D5">
      <w:pPr>
        <w:spacing w:line="240" w:lineRule="auto"/>
        <w:rPr>
          <w:rFonts w:cs="Times New Roman"/>
          <w:color w:val="000000" w:themeColor="text1"/>
          <w:szCs w:val="24"/>
        </w:rPr>
      </w:pPr>
      <w:r w:rsidRPr="000C57D5">
        <w:rPr>
          <w:rFonts w:cs="Times New Roman"/>
          <w:color w:val="000000" w:themeColor="text1"/>
          <w:szCs w:val="24"/>
        </w:rPr>
        <w:t xml:space="preserve">The financial performance of manufacturing firms in Kenya has been constrained by a complex tax policy environment characterized by high corporate tax rates, cumbersome VAT compliance, inconsistent tax incentives, and heavy customs duties. This study examined the effects of tax policies on the financial performance of registered manufacturing firms, focusing on corporate income tax rates, VAT policies, tax incentives, and customs and excise duties. Anchored on the Modigliani and Miller Theory of Corporate Taxation, the Laffer Curve Theory, and Harberger’s Excess Burden of Taxation Theory, the study adopted a descriptive research design targeting 100 firms across Nairobi, Mombasa, Kisumu, and Nakuru. </w:t>
      </w:r>
      <w:commentRangeStart w:id="2"/>
      <w:r w:rsidRPr="000C57D5">
        <w:rPr>
          <w:rFonts w:cs="Times New Roman"/>
          <w:color w:val="000000" w:themeColor="text1"/>
          <w:szCs w:val="24"/>
        </w:rPr>
        <w:t xml:space="preserve">Stratified random sampling </w:t>
      </w:r>
      <w:commentRangeEnd w:id="2"/>
      <w:r w:rsidR="00087B6D">
        <w:rPr>
          <w:rStyle w:val="CommentReference"/>
        </w:rPr>
        <w:commentReference w:id="2"/>
      </w:r>
      <w:r w:rsidRPr="000C57D5">
        <w:rPr>
          <w:rFonts w:cs="Times New Roman"/>
          <w:color w:val="000000" w:themeColor="text1"/>
          <w:szCs w:val="24"/>
        </w:rPr>
        <w:t>and Yamane’s (1967) formula ensured representative and statistically sound data collection. Secondary data were obtained from audited financial statements, KRA, and KAM reports covering the period 2020–2024. Data were analyzed using descriptive and inferential statistics, including multiple regression analysis, with diagnostic tests ensuring model robustness. Findings revealed that VAT, tax incentives, and customs and excise duties positively and significantly influenced financial performance, while corporate income tax rates had a positive but insignificant effect. The study concluded that firms should strategically manage tax burdens, strengthen VAT compliance to improve liquidity, and maximize tax incentives for growth. Policymakers are urged to maintain predictable tax regimes, streamline VAT systems, enhance transparency in incentives, and formulate excise duty policies that promote industrial competitiveness.</w:t>
      </w:r>
    </w:p>
    <w:p w14:paraId="5B8BB5C3" w14:textId="77777777" w:rsidR="000C57D5" w:rsidRPr="000C57D5" w:rsidRDefault="000C57D5" w:rsidP="000C57D5">
      <w:pPr>
        <w:spacing w:line="240" w:lineRule="auto"/>
        <w:rPr>
          <w:rFonts w:cs="Times New Roman"/>
          <w:color w:val="000000" w:themeColor="text1"/>
          <w:szCs w:val="24"/>
        </w:rPr>
      </w:pPr>
    </w:p>
    <w:p w14:paraId="4ADC39E1" w14:textId="6EE363AA" w:rsidR="00462B59" w:rsidRPr="00462B59" w:rsidRDefault="000C57D5" w:rsidP="000C57D5">
      <w:pPr>
        <w:spacing w:line="240" w:lineRule="auto"/>
        <w:rPr>
          <w:rFonts w:cs="Times New Roman"/>
          <w:color w:val="000000" w:themeColor="text1"/>
          <w:szCs w:val="24"/>
        </w:rPr>
      </w:pPr>
      <w:commentRangeStart w:id="3"/>
      <w:r w:rsidRPr="000C57D5">
        <w:rPr>
          <w:rFonts w:cs="Times New Roman"/>
          <w:b/>
          <w:bCs/>
          <w:color w:val="000000" w:themeColor="text1"/>
          <w:szCs w:val="24"/>
        </w:rPr>
        <w:t>Keywords:</w:t>
      </w:r>
      <w:r w:rsidRPr="000C57D5">
        <w:rPr>
          <w:rFonts w:cs="Times New Roman"/>
          <w:color w:val="000000" w:themeColor="text1"/>
          <w:szCs w:val="24"/>
        </w:rPr>
        <w:t xml:space="preserve"> Tax policies, financial performance, manufacturing firms, corporate income tax, VAT, tax incentives, customs duties, </w:t>
      </w:r>
      <w:commentRangeEnd w:id="3"/>
      <w:r w:rsidR="00087B6D">
        <w:rPr>
          <w:rStyle w:val="CommentReference"/>
        </w:rPr>
        <w:commentReference w:id="3"/>
      </w:r>
    </w:p>
    <w:p w14:paraId="7DA53B1C" w14:textId="77777777" w:rsidR="00462B59" w:rsidRPr="00462B59" w:rsidRDefault="00462B59" w:rsidP="00462B59">
      <w:pPr>
        <w:spacing w:line="240" w:lineRule="auto"/>
        <w:rPr>
          <w:rFonts w:cs="Times New Roman"/>
          <w:color w:val="000000" w:themeColor="text1"/>
          <w:szCs w:val="24"/>
        </w:rPr>
      </w:pPr>
    </w:p>
    <w:p w14:paraId="3C2E1B6D" w14:textId="77777777" w:rsidR="00500683" w:rsidRDefault="00500683" w:rsidP="00500683">
      <w:pPr>
        <w:spacing w:line="240" w:lineRule="auto"/>
        <w:rPr>
          <w:rFonts w:cs="Times New Roman"/>
          <w:color w:val="000000" w:themeColor="text1"/>
          <w:szCs w:val="24"/>
        </w:rPr>
      </w:pPr>
    </w:p>
    <w:p w14:paraId="7A45F02F" w14:textId="77777777" w:rsidR="000C57D5" w:rsidRDefault="000C57D5" w:rsidP="00500683">
      <w:pPr>
        <w:spacing w:line="240" w:lineRule="auto"/>
        <w:rPr>
          <w:rFonts w:cs="Times New Roman"/>
          <w:color w:val="000000" w:themeColor="text1"/>
          <w:szCs w:val="24"/>
        </w:rPr>
      </w:pPr>
    </w:p>
    <w:p w14:paraId="2C8356C6" w14:textId="77777777" w:rsidR="00087B6D" w:rsidRDefault="00087B6D" w:rsidP="00500683">
      <w:pPr>
        <w:spacing w:line="240" w:lineRule="auto"/>
        <w:rPr>
          <w:rFonts w:cs="Times New Roman"/>
          <w:color w:val="000000" w:themeColor="text1"/>
          <w:szCs w:val="24"/>
        </w:rPr>
      </w:pPr>
    </w:p>
    <w:p w14:paraId="45A4C2F2" w14:textId="77777777" w:rsidR="00087B6D" w:rsidRDefault="00087B6D" w:rsidP="00500683">
      <w:pPr>
        <w:spacing w:line="240" w:lineRule="auto"/>
        <w:rPr>
          <w:rFonts w:cs="Times New Roman"/>
          <w:color w:val="000000" w:themeColor="text1"/>
          <w:szCs w:val="24"/>
        </w:rPr>
      </w:pPr>
    </w:p>
    <w:p w14:paraId="5CD78FA9" w14:textId="77777777" w:rsidR="00087B6D" w:rsidRDefault="00087B6D" w:rsidP="00500683">
      <w:pPr>
        <w:spacing w:line="240" w:lineRule="auto"/>
        <w:rPr>
          <w:rFonts w:cs="Times New Roman"/>
          <w:color w:val="000000" w:themeColor="text1"/>
          <w:szCs w:val="24"/>
        </w:rPr>
      </w:pPr>
    </w:p>
    <w:p w14:paraId="54AF26C0" w14:textId="77777777" w:rsidR="00087B6D" w:rsidRDefault="00087B6D" w:rsidP="00500683">
      <w:pPr>
        <w:spacing w:line="240" w:lineRule="auto"/>
        <w:rPr>
          <w:rFonts w:cs="Times New Roman"/>
          <w:color w:val="000000" w:themeColor="text1"/>
          <w:szCs w:val="24"/>
        </w:rPr>
      </w:pPr>
    </w:p>
    <w:p w14:paraId="5E6E8437" w14:textId="77777777" w:rsidR="00087B6D" w:rsidRDefault="00087B6D" w:rsidP="00500683">
      <w:pPr>
        <w:spacing w:line="240" w:lineRule="auto"/>
        <w:rPr>
          <w:rFonts w:cs="Times New Roman"/>
          <w:color w:val="000000" w:themeColor="text1"/>
          <w:szCs w:val="24"/>
        </w:rPr>
      </w:pPr>
    </w:p>
    <w:p w14:paraId="1A5DAFAF" w14:textId="77777777" w:rsidR="000C57D5" w:rsidRPr="007A56B8" w:rsidRDefault="000C57D5" w:rsidP="00500683">
      <w:pPr>
        <w:spacing w:line="240" w:lineRule="auto"/>
        <w:rPr>
          <w:rFonts w:cs="Times New Roman"/>
          <w:color w:val="000000" w:themeColor="text1"/>
          <w:szCs w:val="24"/>
        </w:rPr>
      </w:pPr>
    </w:p>
    <w:p w14:paraId="2B23006F" w14:textId="77777777" w:rsidR="00185BCB" w:rsidRPr="007A56B8" w:rsidRDefault="00185BCB" w:rsidP="00185BCB">
      <w:pPr>
        <w:spacing w:line="240" w:lineRule="auto"/>
        <w:rPr>
          <w:rFonts w:cs="Times New Roman"/>
          <w:color w:val="000000" w:themeColor="text1"/>
          <w:szCs w:val="24"/>
        </w:rPr>
      </w:pPr>
    </w:p>
    <w:p w14:paraId="60C890DF" w14:textId="77777777" w:rsidR="00055D83" w:rsidRPr="007A56B8" w:rsidRDefault="00055D83" w:rsidP="00055D83">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lastRenderedPageBreak/>
        <w:t>1.0 INTRODUCTION</w:t>
      </w:r>
    </w:p>
    <w:p w14:paraId="323E97AD" w14:textId="7C560ED7"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 xml:space="preserve">Operational performance within manufacturing firms is a central determinant of industrial competitiveness, investment attraction, and economic sustainability. The manufacturing sector remains a critical pillar of global economic growth, contributing approximately 16% of the world’s GDP in 2022 (UNCTAD, 2022). Its financial sustainability is influenced by several factors, with taxation playing a particularly significant role in determining profitability, investment potential, and long-term viability. According to </w:t>
      </w:r>
      <w:commentRangeStart w:id="4"/>
      <w:r w:rsidRPr="000C57D5">
        <w:rPr>
          <w:rFonts w:cs="Times New Roman"/>
          <w:color w:val="000000" w:themeColor="text1"/>
          <w:szCs w:val="24"/>
        </w:rPr>
        <w:t xml:space="preserve">Cin et al. (2017), </w:t>
      </w:r>
      <w:commentRangeEnd w:id="4"/>
      <w:r w:rsidR="00087B6D">
        <w:rPr>
          <w:rStyle w:val="CommentReference"/>
        </w:rPr>
        <w:commentReference w:id="4"/>
      </w:r>
      <w:r w:rsidRPr="000C57D5">
        <w:rPr>
          <w:rFonts w:cs="Times New Roman"/>
          <w:color w:val="000000" w:themeColor="text1"/>
          <w:szCs w:val="24"/>
        </w:rPr>
        <w:t>firms with higher profitability can reinvest in advanced production technologies, enhance efficiency, and improve product quality</w:t>
      </w:r>
      <w:r w:rsidR="00E207BA">
        <w:rPr>
          <w:rFonts w:cs="Times New Roman"/>
          <w:color w:val="000000" w:themeColor="text1"/>
          <w:szCs w:val="24"/>
        </w:rPr>
        <w:t xml:space="preserve"> </w:t>
      </w:r>
      <w:r w:rsidRPr="000C57D5">
        <w:rPr>
          <w:rFonts w:cs="Times New Roman"/>
          <w:color w:val="000000" w:themeColor="text1"/>
          <w:szCs w:val="24"/>
        </w:rPr>
        <w:t>key drivers of competitiveness and resilience.</w:t>
      </w:r>
    </w:p>
    <w:p w14:paraId="08834E2B" w14:textId="77777777"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Globally, tax regulations continue to shape the fiscal and operational outcomes of manufacturing enterprises. In the United States, corporate tax reforms implemented in 2017 reduced rates from 35% to 21%, contributing to a 12% rise in manufacturing firms’ net earnings within two years (Amiti et al., 2019). Conversely, in France, a persistently high tax rate of 28% led to an average 15% decline in manufacturing profit margins over a decade, largely due to heavy compliance costs (Bilicka et al., 2023). Similar dynamics are evident in India, where the pre-2019 corporate tax rate of 30% suppressed industrial growth. Tax reforms later reduced the rate to 25% for large firms and 22% for new manufacturers, boosting the sector’s contribution to national GDP (Arora &amp; Rakhyani, 2020).</w:t>
      </w:r>
    </w:p>
    <w:p w14:paraId="1B567291" w14:textId="781AFEA5"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Across Africa, manufacturing contributes approximately 11% to total GDP</w:t>
      </w:r>
      <w:r w:rsidR="00E207BA">
        <w:rPr>
          <w:rFonts w:cs="Times New Roman"/>
          <w:color w:val="000000" w:themeColor="text1"/>
          <w:szCs w:val="24"/>
        </w:rPr>
        <w:t xml:space="preserve"> </w:t>
      </w:r>
      <w:r w:rsidRPr="000C57D5">
        <w:rPr>
          <w:rFonts w:cs="Times New Roman"/>
          <w:color w:val="000000" w:themeColor="text1"/>
          <w:szCs w:val="24"/>
        </w:rPr>
        <w:t>far below the global average</w:t>
      </w:r>
      <w:r w:rsidR="00E207BA">
        <w:rPr>
          <w:rFonts w:cs="Times New Roman"/>
          <w:color w:val="000000" w:themeColor="text1"/>
          <w:szCs w:val="24"/>
        </w:rPr>
        <w:t xml:space="preserve"> </w:t>
      </w:r>
      <w:r w:rsidRPr="000C57D5">
        <w:rPr>
          <w:rFonts w:cs="Times New Roman"/>
          <w:color w:val="000000" w:themeColor="text1"/>
          <w:szCs w:val="24"/>
        </w:rPr>
        <w:t>indicating substantial untapped potential (AfDB, 2023). Taxation remains both an enabler and a constraint on this sector’s performance. In Nigeria, inconsistent VAT regimes and compliance burdens reduced manufacturing profit margins by 12% between 2017 and 2021 (Oyerogba et al., 2024). Conversely, Rwanda’s tax-friendly policies, including exemptions on imported machinery and raw materials, spurred an average 8% annual revenue growth from 2018 to 2022 (World Bank, 2022). In contrast, South Africa’s imposition of excise duties on imported inputs raised production costs by 10%, diminishing competitiveness (Matlala, 2024).</w:t>
      </w:r>
    </w:p>
    <w:p w14:paraId="6A201FC5" w14:textId="4CAD4D8A"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In Kenya, manufacturing accounts for about 8% of GDP</w:t>
      </w:r>
      <w:r w:rsidR="00E207BA">
        <w:rPr>
          <w:rFonts w:cs="Times New Roman"/>
          <w:color w:val="000000" w:themeColor="text1"/>
          <w:szCs w:val="24"/>
        </w:rPr>
        <w:t xml:space="preserve"> </w:t>
      </w:r>
      <w:r w:rsidRPr="000C57D5">
        <w:rPr>
          <w:rFonts w:cs="Times New Roman"/>
          <w:color w:val="000000" w:themeColor="text1"/>
          <w:szCs w:val="24"/>
        </w:rPr>
        <w:t>well below the Vision 2030 target of 15% (KNBS, 2023). Fiscal and taxation policies have significantly shaped the performance and growth trajectory of this sector. Kenya’s corporate income tax rate stands at 30%, among the highest in East Africa (KRA, 2022). The Finance Act 2022 introduced new VAT regulations that increased compliance costs, resulting in a 10% rise in operational expenses (KAM, 2023). Additionally, high levies on imported raw materials have raised production costs, thereby reducing the competitiveness of exports and constraining small and medium-sized enterprises (Mwangi &amp; Gitau, 2022). Nonetheless, targeted tax incentives such as capital allowances on machinery purchases have spurred a 4% increase in manufacturing investments over the past two years (Córdova-León et al., 2022).</w:t>
      </w:r>
    </w:p>
    <w:p w14:paraId="7042EF9A" w14:textId="526A1224"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Kenyan manufacturing firms play an essential role in industrialization, employment generation, and export growth. Yet, high corporate taxes, delayed VAT refunds, and heavy customs duties continue to undermine operational efficiency. Delays in VAT refunds</w:t>
      </w:r>
      <w:r w:rsidR="00E207BA">
        <w:rPr>
          <w:rFonts w:cs="Times New Roman"/>
          <w:color w:val="000000" w:themeColor="text1"/>
          <w:szCs w:val="24"/>
        </w:rPr>
        <w:t xml:space="preserve"> </w:t>
      </w:r>
      <w:r w:rsidRPr="000C57D5">
        <w:rPr>
          <w:rFonts w:cs="Times New Roman"/>
          <w:color w:val="000000" w:themeColor="text1"/>
          <w:szCs w:val="24"/>
        </w:rPr>
        <w:t>averaging six months</w:t>
      </w:r>
      <w:r w:rsidR="00E207BA">
        <w:rPr>
          <w:rFonts w:cs="Times New Roman"/>
          <w:color w:val="000000" w:themeColor="text1"/>
          <w:szCs w:val="24"/>
        </w:rPr>
        <w:t xml:space="preserve"> </w:t>
      </w:r>
      <w:r w:rsidRPr="000C57D5">
        <w:rPr>
          <w:rFonts w:cs="Times New Roman"/>
          <w:color w:val="000000" w:themeColor="text1"/>
          <w:szCs w:val="24"/>
        </w:rPr>
        <w:t>have caused liquidity constraints, limiting firms’ cash flow and reinvestment capacity (Gachigo, 2024). Although tax incentives such as the Manufacturing Under Bond program have benefitted sectors like agro-processing and textiles, smaller firms face barriers in accessing these incentives due to bureaucratic procedures and lack of transparency (Chebii, 2020). Consequently, the current fiscal regime requires comprehensive reassessment to foster a more enabling business environment for industrial growth and sustainability.</w:t>
      </w:r>
    </w:p>
    <w:p w14:paraId="69102A43" w14:textId="1688EE5E"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Financial performance denotes an organization’s effectiveness in achieving profitability, maintaining liquidity, and ensuring long-term solvency (Kamau et al., 2021). It represents a firm’s ability to deploy resources efficiently to generate sustainable income while navigating dynamic market conditions (Kimani, 2023). For manufacturing enterprises</w:t>
      </w:r>
      <w:r w:rsidR="00E207BA">
        <w:rPr>
          <w:rFonts w:cs="Times New Roman"/>
          <w:color w:val="000000" w:themeColor="text1"/>
          <w:szCs w:val="24"/>
        </w:rPr>
        <w:t xml:space="preserve"> </w:t>
      </w:r>
      <w:r w:rsidRPr="000C57D5">
        <w:rPr>
          <w:rFonts w:cs="Times New Roman"/>
          <w:color w:val="000000" w:themeColor="text1"/>
          <w:szCs w:val="24"/>
        </w:rPr>
        <w:t>often capital-intensive and sensitive to fiscal policy</w:t>
      </w:r>
      <w:r w:rsidR="00E207BA">
        <w:rPr>
          <w:rFonts w:cs="Times New Roman"/>
          <w:color w:val="000000" w:themeColor="text1"/>
          <w:szCs w:val="24"/>
        </w:rPr>
        <w:t xml:space="preserve"> </w:t>
      </w:r>
      <w:r w:rsidRPr="000C57D5">
        <w:rPr>
          <w:rFonts w:cs="Times New Roman"/>
          <w:color w:val="000000" w:themeColor="text1"/>
          <w:szCs w:val="24"/>
        </w:rPr>
        <w:t>financial performance is a critical determinant of growth and competitiveness (Mukui, 2022). Strong financial outcomes enhance organizational resilience, allowing firms to adapt to macroeconomic fluctuations and seize investment opportunities (Nguyen et al., 2023).</w:t>
      </w:r>
    </w:p>
    <w:p w14:paraId="204AA6B2" w14:textId="3EB21960" w:rsid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Data from the Kenya National Bureau of Statistics (KNBS, 2023) indicates steady growth in the sector’s financial indicators between 2018 and 2022. The value-added rose from KES 785.4 billion in 2018 to KES 1,046.3 billion in 2022</w:t>
      </w:r>
      <w:r w:rsidR="00E207BA">
        <w:rPr>
          <w:rFonts w:cs="Times New Roman"/>
          <w:color w:val="000000" w:themeColor="text1"/>
          <w:szCs w:val="24"/>
        </w:rPr>
        <w:t xml:space="preserve"> </w:t>
      </w:r>
      <w:r w:rsidRPr="000C57D5">
        <w:rPr>
          <w:rFonts w:cs="Times New Roman"/>
          <w:color w:val="000000" w:themeColor="text1"/>
          <w:szCs w:val="24"/>
        </w:rPr>
        <w:t>a 33.2% increase</w:t>
      </w:r>
      <w:r w:rsidR="00E207BA">
        <w:rPr>
          <w:rFonts w:cs="Times New Roman"/>
          <w:color w:val="000000" w:themeColor="text1"/>
          <w:szCs w:val="24"/>
        </w:rPr>
        <w:t xml:space="preserve"> </w:t>
      </w:r>
      <w:r w:rsidRPr="000C57D5">
        <w:rPr>
          <w:rFonts w:cs="Times New Roman"/>
          <w:color w:val="000000" w:themeColor="text1"/>
          <w:szCs w:val="24"/>
        </w:rPr>
        <w:t>while output value expanded by 43.2%. Despite rising intermediate consumption costs, the sector demonstrated improved productivity and profitability, alongside a 21.1% increase in employee compensation. These gains underscore the sector’s contribution to economic stability and employment creation.</w:t>
      </w:r>
    </w:p>
    <w:p w14:paraId="24317D0C" w14:textId="77777777" w:rsidR="000C57D5" w:rsidRPr="000C57D5" w:rsidRDefault="000C57D5" w:rsidP="000C57D5">
      <w:pPr>
        <w:spacing w:before="0" w:line="240" w:lineRule="auto"/>
        <w:rPr>
          <w:b/>
          <w:bCs/>
          <w:i/>
          <w:iCs/>
        </w:rPr>
      </w:pPr>
      <w:bookmarkStart w:id="5" w:name="_Toc193784747"/>
      <w:r w:rsidRPr="000C57D5">
        <w:rPr>
          <w:b/>
          <w:bCs/>
          <w:i/>
          <w:iCs/>
        </w:rPr>
        <w:t>Table 1 Manufacturing Sector Financial Indicators in Kenya (KES Billion)</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728"/>
        <w:gridCol w:w="1728"/>
        <w:gridCol w:w="1728"/>
      </w:tblGrid>
      <w:tr w:rsidR="000C57D5" w14:paraId="1A1BB6C0" w14:textId="77777777" w:rsidTr="0062367B">
        <w:tc>
          <w:tcPr>
            <w:tcW w:w="1728" w:type="dxa"/>
          </w:tcPr>
          <w:p w14:paraId="1996E923" w14:textId="77777777" w:rsidR="000C57D5" w:rsidRPr="000D1508" w:rsidRDefault="000C57D5" w:rsidP="000C57D5">
            <w:pPr>
              <w:spacing w:before="0" w:line="240" w:lineRule="auto"/>
              <w:rPr>
                <w:b/>
                <w:bCs/>
              </w:rPr>
            </w:pPr>
            <w:r w:rsidRPr="000D1508">
              <w:rPr>
                <w:b/>
                <w:bCs/>
              </w:rPr>
              <w:t>Year</w:t>
            </w:r>
          </w:p>
        </w:tc>
        <w:tc>
          <w:tcPr>
            <w:tcW w:w="1728" w:type="dxa"/>
          </w:tcPr>
          <w:p w14:paraId="4D7AAAE5" w14:textId="77777777" w:rsidR="000C57D5" w:rsidRPr="000D1508" w:rsidRDefault="000C57D5" w:rsidP="000C57D5">
            <w:pPr>
              <w:spacing w:before="0" w:line="240" w:lineRule="auto"/>
              <w:rPr>
                <w:b/>
                <w:bCs/>
              </w:rPr>
            </w:pPr>
            <w:r w:rsidRPr="000D1508">
              <w:rPr>
                <w:b/>
                <w:bCs/>
              </w:rPr>
              <w:t>Value of Output</w:t>
            </w:r>
          </w:p>
        </w:tc>
        <w:tc>
          <w:tcPr>
            <w:tcW w:w="1728" w:type="dxa"/>
          </w:tcPr>
          <w:p w14:paraId="75FB0275" w14:textId="77777777" w:rsidR="000C57D5" w:rsidRPr="000D1508" w:rsidRDefault="000C57D5" w:rsidP="000C57D5">
            <w:pPr>
              <w:spacing w:before="0" w:line="240" w:lineRule="auto"/>
              <w:rPr>
                <w:b/>
                <w:bCs/>
              </w:rPr>
            </w:pPr>
            <w:r w:rsidRPr="000D1508">
              <w:rPr>
                <w:b/>
                <w:bCs/>
              </w:rPr>
              <w:t>Intermediate Consumption</w:t>
            </w:r>
          </w:p>
        </w:tc>
        <w:tc>
          <w:tcPr>
            <w:tcW w:w="1728" w:type="dxa"/>
          </w:tcPr>
          <w:p w14:paraId="399A3897" w14:textId="77777777" w:rsidR="000C57D5" w:rsidRPr="000D1508" w:rsidRDefault="000C57D5" w:rsidP="000C57D5">
            <w:pPr>
              <w:spacing w:before="0" w:line="240" w:lineRule="auto"/>
              <w:rPr>
                <w:b/>
                <w:bCs/>
              </w:rPr>
            </w:pPr>
            <w:r w:rsidRPr="000D1508">
              <w:rPr>
                <w:b/>
                <w:bCs/>
              </w:rPr>
              <w:t>Value Added</w:t>
            </w:r>
          </w:p>
        </w:tc>
        <w:tc>
          <w:tcPr>
            <w:tcW w:w="1728" w:type="dxa"/>
          </w:tcPr>
          <w:p w14:paraId="6C79DCE2" w14:textId="77777777" w:rsidR="000C57D5" w:rsidRPr="000D1508" w:rsidRDefault="000C57D5" w:rsidP="000C57D5">
            <w:pPr>
              <w:spacing w:before="0" w:line="240" w:lineRule="auto"/>
              <w:rPr>
                <w:b/>
                <w:bCs/>
              </w:rPr>
            </w:pPr>
            <w:r w:rsidRPr="000D1508">
              <w:rPr>
                <w:b/>
                <w:bCs/>
              </w:rPr>
              <w:t>Compensation of Employees</w:t>
            </w:r>
          </w:p>
        </w:tc>
      </w:tr>
      <w:tr w:rsidR="000C57D5" w14:paraId="2413C75D" w14:textId="77777777" w:rsidTr="0062367B">
        <w:tc>
          <w:tcPr>
            <w:tcW w:w="1728" w:type="dxa"/>
          </w:tcPr>
          <w:p w14:paraId="343EA5EA" w14:textId="77777777" w:rsidR="000C57D5" w:rsidRDefault="000C57D5" w:rsidP="000C57D5">
            <w:pPr>
              <w:spacing w:before="0" w:line="240" w:lineRule="auto"/>
            </w:pPr>
            <w:r>
              <w:t>2018</w:t>
            </w:r>
          </w:p>
        </w:tc>
        <w:tc>
          <w:tcPr>
            <w:tcW w:w="1728" w:type="dxa"/>
          </w:tcPr>
          <w:p w14:paraId="626FC464" w14:textId="77777777" w:rsidR="000C57D5" w:rsidRDefault="000C57D5" w:rsidP="000C57D5">
            <w:pPr>
              <w:spacing w:before="0" w:line="240" w:lineRule="auto"/>
            </w:pPr>
            <w:r>
              <w:t>2,216.5</w:t>
            </w:r>
          </w:p>
        </w:tc>
        <w:tc>
          <w:tcPr>
            <w:tcW w:w="1728" w:type="dxa"/>
          </w:tcPr>
          <w:p w14:paraId="74CE2DFB" w14:textId="77777777" w:rsidR="000C57D5" w:rsidRDefault="000C57D5" w:rsidP="000C57D5">
            <w:pPr>
              <w:spacing w:before="0" w:line="240" w:lineRule="auto"/>
            </w:pPr>
            <w:r>
              <w:t>1,431.2</w:t>
            </w:r>
          </w:p>
        </w:tc>
        <w:tc>
          <w:tcPr>
            <w:tcW w:w="1728" w:type="dxa"/>
          </w:tcPr>
          <w:p w14:paraId="24C6E77A" w14:textId="77777777" w:rsidR="000C57D5" w:rsidRDefault="000C57D5" w:rsidP="000C57D5">
            <w:pPr>
              <w:spacing w:before="0" w:line="240" w:lineRule="auto"/>
            </w:pPr>
            <w:r>
              <w:t>785.4</w:t>
            </w:r>
          </w:p>
        </w:tc>
        <w:tc>
          <w:tcPr>
            <w:tcW w:w="1728" w:type="dxa"/>
          </w:tcPr>
          <w:p w14:paraId="7DAAFF5E" w14:textId="77777777" w:rsidR="000C57D5" w:rsidRDefault="000C57D5" w:rsidP="000C57D5">
            <w:pPr>
              <w:spacing w:before="0" w:line="240" w:lineRule="auto"/>
            </w:pPr>
            <w:r>
              <w:t>206.4</w:t>
            </w:r>
          </w:p>
        </w:tc>
      </w:tr>
      <w:tr w:rsidR="000C57D5" w14:paraId="351024BB" w14:textId="77777777" w:rsidTr="0062367B">
        <w:tc>
          <w:tcPr>
            <w:tcW w:w="1728" w:type="dxa"/>
          </w:tcPr>
          <w:p w14:paraId="25D40B56" w14:textId="77777777" w:rsidR="000C57D5" w:rsidRDefault="000C57D5" w:rsidP="000C57D5">
            <w:pPr>
              <w:spacing w:before="0" w:line="240" w:lineRule="auto"/>
            </w:pPr>
            <w:r>
              <w:t>2019</w:t>
            </w:r>
          </w:p>
        </w:tc>
        <w:tc>
          <w:tcPr>
            <w:tcW w:w="1728" w:type="dxa"/>
          </w:tcPr>
          <w:p w14:paraId="52C39FD5" w14:textId="77777777" w:rsidR="000C57D5" w:rsidRDefault="000C57D5" w:rsidP="000C57D5">
            <w:pPr>
              <w:spacing w:before="0" w:line="240" w:lineRule="auto"/>
            </w:pPr>
            <w:r>
              <w:t>2,311.6</w:t>
            </w:r>
          </w:p>
        </w:tc>
        <w:tc>
          <w:tcPr>
            <w:tcW w:w="1728" w:type="dxa"/>
          </w:tcPr>
          <w:p w14:paraId="35D7940F" w14:textId="77777777" w:rsidR="000C57D5" w:rsidRDefault="000C57D5" w:rsidP="000C57D5">
            <w:pPr>
              <w:spacing w:before="0" w:line="240" w:lineRule="auto"/>
            </w:pPr>
            <w:r>
              <w:t>1,502.3</w:t>
            </w:r>
          </w:p>
        </w:tc>
        <w:tc>
          <w:tcPr>
            <w:tcW w:w="1728" w:type="dxa"/>
          </w:tcPr>
          <w:p w14:paraId="2A57C995" w14:textId="77777777" w:rsidR="000C57D5" w:rsidRDefault="000C57D5" w:rsidP="000C57D5">
            <w:pPr>
              <w:spacing w:before="0" w:line="240" w:lineRule="auto"/>
            </w:pPr>
            <w:r>
              <w:t>809.3</w:t>
            </w:r>
          </w:p>
        </w:tc>
        <w:tc>
          <w:tcPr>
            <w:tcW w:w="1728" w:type="dxa"/>
          </w:tcPr>
          <w:p w14:paraId="04DD3392" w14:textId="77777777" w:rsidR="000C57D5" w:rsidRDefault="000C57D5" w:rsidP="000C57D5">
            <w:pPr>
              <w:spacing w:before="0" w:line="240" w:lineRule="auto"/>
            </w:pPr>
            <w:r>
              <w:t>218.3</w:t>
            </w:r>
          </w:p>
        </w:tc>
      </w:tr>
      <w:tr w:rsidR="000C57D5" w14:paraId="7D93B506" w14:textId="77777777" w:rsidTr="0062367B">
        <w:tc>
          <w:tcPr>
            <w:tcW w:w="1728" w:type="dxa"/>
          </w:tcPr>
          <w:p w14:paraId="475DF8B8" w14:textId="77777777" w:rsidR="000C57D5" w:rsidRDefault="000C57D5" w:rsidP="000C57D5">
            <w:pPr>
              <w:spacing w:before="0" w:line="240" w:lineRule="auto"/>
            </w:pPr>
            <w:r>
              <w:t>2020</w:t>
            </w:r>
          </w:p>
        </w:tc>
        <w:tc>
          <w:tcPr>
            <w:tcW w:w="1728" w:type="dxa"/>
          </w:tcPr>
          <w:p w14:paraId="7B1B7C10" w14:textId="77777777" w:rsidR="000C57D5" w:rsidRDefault="000C57D5" w:rsidP="000C57D5">
            <w:pPr>
              <w:spacing w:before="0" w:line="240" w:lineRule="auto"/>
            </w:pPr>
            <w:r>
              <w:t>2,376.4</w:t>
            </w:r>
          </w:p>
        </w:tc>
        <w:tc>
          <w:tcPr>
            <w:tcW w:w="1728" w:type="dxa"/>
          </w:tcPr>
          <w:p w14:paraId="68736E1E" w14:textId="77777777" w:rsidR="000C57D5" w:rsidRDefault="000C57D5" w:rsidP="000C57D5">
            <w:pPr>
              <w:spacing w:before="0" w:line="240" w:lineRule="auto"/>
            </w:pPr>
            <w:r>
              <w:t>1,562.1</w:t>
            </w:r>
          </w:p>
        </w:tc>
        <w:tc>
          <w:tcPr>
            <w:tcW w:w="1728" w:type="dxa"/>
          </w:tcPr>
          <w:p w14:paraId="2F545BED" w14:textId="77777777" w:rsidR="000C57D5" w:rsidRDefault="000C57D5" w:rsidP="000C57D5">
            <w:pPr>
              <w:spacing w:before="0" w:line="240" w:lineRule="auto"/>
            </w:pPr>
            <w:r>
              <w:t>814.3</w:t>
            </w:r>
          </w:p>
        </w:tc>
        <w:tc>
          <w:tcPr>
            <w:tcW w:w="1728" w:type="dxa"/>
          </w:tcPr>
          <w:p w14:paraId="52576392" w14:textId="77777777" w:rsidR="000C57D5" w:rsidRDefault="000C57D5" w:rsidP="000C57D5">
            <w:pPr>
              <w:spacing w:before="0" w:line="240" w:lineRule="auto"/>
            </w:pPr>
            <w:r>
              <w:t>215.5</w:t>
            </w:r>
          </w:p>
        </w:tc>
      </w:tr>
      <w:tr w:rsidR="000C57D5" w14:paraId="5712BDB4" w14:textId="77777777" w:rsidTr="0062367B">
        <w:tc>
          <w:tcPr>
            <w:tcW w:w="1728" w:type="dxa"/>
          </w:tcPr>
          <w:p w14:paraId="269490FB" w14:textId="77777777" w:rsidR="000C57D5" w:rsidRDefault="000C57D5" w:rsidP="000C57D5">
            <w:pPr>
              <w:spacing w:before="0" w:line="240" w:lineRule="auto"/>
            </w:pPr>
            <w:r>
              <w:t>2021</w:t>
            </w:r>
          </w:p>
        </w:tc>
        <w:tc>
          <w:tcPr>
            <w:tcW w:w="1728" w:type="dxa"/>
          </w:tcPr>
          <w:p w14:paraId="2C8AB2F1" w14:textId="77777777" w:rsidR="000C57D5" w:rsidRDefault="000C57D5" w:rsidP="000C57D5">
            <w:pPr>
              <w:spacing w:before="0" w:line="240" w:lineRule="auto"/>
            </w:pPr>
            <w:r>
              <w:t>2,700.2</w:t>
            </w:r>
          </w:p>
        </w:tc>
        <w:tc>
          <w:tcPr>
            <w:tcW w:w="1728" w:type="dxa"/>
          </w:tcPr>
          <w:p w14:paraId="5FFFA582" w14:textId="77777777" w:rsidR="000C57D5" w:rsidRDefault="000C57D5" w:rsidP="000C57D5">
            <w:pPr>
              <w:spacing w:before="0" w:line="240" w:lineRule="auto"/>
            </w:pPr>
            <w:r>
              <w:t>1,814.5</w:t>
            </w:r>
          </w:p>
        </w:tc>
        <w:tc>
          <w:tcPr>
            <w:tcW w:w="1728" w:type="dxa"/>
          </w:tcPr>
          <w:p w14:paraId="6D7D63E2" w14:textId="77777777" w:rsidR="000C57D5" w:rsidRDefault="000C57D5" w:rsidP="000C57D5">
            <w:pPr>
              <w:spacing w:before="0" w:line="240" w:lineRule="auto"/>
            </w:pPr>
            <w:r>
              <w:t>885.6</w:t>
            </w:r>
          </w:p>
        </w:tc>
        <w:tc>
          <w:tcPr>
            <w:tcW w:w="1728" w:type="dxa"/>
          </w:tcPr>
          <w:p w14:paraId="7E6DD85F" w14:textId="77777777" w:rsidR="000C57D5" w:rsidRDefault="000C57D5" w:rsidP="000C57D5">
            <w:pPr>
              <w:spacing w:before="0" w:line="240" w:lineRule="auto"/>
            </w:pPr>
            <w:r>
              <w:t>231.4</w:t>
            </w:r>
          </w:p>
        </w:tc>
      </w:tr>
      <w:tr w:rsidR="000C57D5" w14:paraId="10AEB3A3" w14:textId="77777777" w:rsidTr="0062367B">
        <w:tc>
          <w:tcPr>
            <w:tcW w:w="1728" w:type="dxa"/>
          </w:tcPr>
          <w:p w14:paraId="050492B6" w14:textId="77777777" w:rsidR="000C57D5" w:rsidRDefault="000C57D5" w:rsidP="000C57D5">
            <w:pPr>
              <w:spacing w:before="0" w:line="240" w:lineRule="auto"/>
            </w:pPr>
            <w:r>
              <w:t>2022*</w:t>
            </w:r>
          </w:p>
        </w:tc>
        <w:tc>
          <w:tcPr>
            <w:tcW w:w="1728" w:type="dxa"/>
          </w:tcPr>
          <w:p w14:paraId="1B7D0E4F" w14:textId="77777777" w:rsidR="000C57D5" w:rsidRDefault="000C57D5" w:rsidP="000C57D5">
            <w:pPr>
              <w:spacing w:before="0" w:line="240" w:lineRule="auto"/>
            </w:pPr>
            <w:r>
              <w:t>3,175.3</w:t>
            </w:r>
          </w:p>
        </w:tc>
        <w:tc>
          <w:tcPr>
            <w:tcW w:w="1728" w:type="dxa"/>
          </w:tcPr>
          <w:p w14:paraId="279ABD66" w14:textId="77777777" w:rsidR="000C57D5" w:rsidRDefault="000C57D5" w:rsidP="000C57D5">
            <w:pPr>
              <w:spacing w:before="0" w:line="240" w:lineRule="auto"/>
            </w:pPr>
            <w:r>
              <w:t>2,129.1</w:t>
            </w:r>
          </w:p>
        </w:tc>
        <w:tc>
          <w:tcPr>
            <w:tcW w:w="1728" w:type="dxa"/>
          </w:tcPr>
          <w:p w14:paraId="7660BD94" w14:textId="77777777" w:rsidR="000C57D5" w:rsidRDefault="000C57D5" w:rsidP="000C57D5">
            <w:pPr>
              <w:spacing w:before="0" w:line="240" w:lineRule="auto"/>
            </w:pPr>
            <w:r>
              <w:t>1,046.3</w:t>
            </w:r>
          </w:p>
        </w:tc>
        <w:tc>
          <w:tcPr>
            <w:tcW w:w="1728" w:type="dxa"/>
          </w:tcPr>
          <w:p w14:paraId="7855DA90" w14:textId="77777777" w:rsidR="000C57D5" w:rsidRDefault="000C57D5" w:rsidP="000C57D5">
            <w:pPr>
              <w:spacing w:before="0" w:line="240" w:lineRule="auto"/>
            </w:pPr>
            <w:r>
              <w:t>250.0 (est.)</w:t>
            </w:r>
          </w:p>
        </w:tc>
      </w:tr>
    </w:tbl>
    <w:p w14:paraId="192E284B" w14:textId="77777777" w:rsidR="000C57D5" w:rsidRDefault="000C57D5" w:rsidP="000C57D5">
      <w:pPr>
        <w:spacing w:before="0" w:line="240" w:lineRule="auto"/>
        <w:rPr>
          <w:i/>
          <w:iCs/>
        </w:rPr>
      </w:pPr>
      <w:r w:rsidRPr="00993978">
        <w:rPr>
          <w:i/>
          <w:iCs/>
        </w:rPr>
        <w:t xml:space="preserve">Source: Kenya National Bureau of Statistics (KNBS, 2023). </w:t>
      </w:r>
    </w:p>
    <w:p w14:paraId="26175B38" w14:textId="21AC8276"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Measurement of financial performance typically relies on profitability, liquidity, and efficiency ratios. Profitability indicators such as Return on Assets (ROA), Return on Equity (ROE), and net profit margin evaluate the ability to generate income from existing resources (Kamau et al., 2021). Liquidity measures, including current and quick ratios, assess the capacity to meet short-term obligations, while asset turnover ratios evaluate operational efficiency (Itumo, 2023). For taxation studies, additional indicators</w:t>
      </w:r>
      <w:r w:rsidR="00E207BA">
        <w:rPr>
          <w:rFonts w:cs="Times New Roman"/>
          <w:color w:val="000000" w:themeColor="text1"/>
          <w:szCs w:val="24"/>
        </w:rPr>
        <w:t xml:space="preserve"> </w:t>
      </w:r>
      <w:r w:rsidRPr="000C57D5">
        <w:rPr>
          <w:rFonts w:cs="Times New Roman"/>
          <w:color w:val="000000" w:themeColor="text1"/>
          <w:szCs w:val="24"/>
        </w:rPr>
        <w:t>such as effective tax rate and tax-adjusted earnings</w:t>
      </w:r>
      <w:r w:rsidR="00E207BA">
        <w:rPr>
          <w:rFonts w:cs="Times New Roman"/>
          <w:color w:val="000000" w:themeColor="text1"/>
          <w:szCs w:val="24"/>
        </w:rPr>
        <w:t xml:space="preserve"> </w:t>
      </w:r>
      <w:r w:rsidRPr="000C57D5">
        <w:rPr>
          <w:rFonts w:cs="Times New Roman"/>
          <w:color w:val="000000" w:themeColor="text1"/>
          <w:szCs w:val="24"/>
        </w:rPr>
        <w:t>illustrate firms’ adaptability to fiscal changes (Bilicka et al., 2023).</w:t>
      </w:r>
    </w:p>
    <w:p w14:paraId="23A49FD6" w14:textId="77777777" w:rsid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This study employs ROA as the primary indicator of financial performance, as it effectively captures how total assets are utilized to generate profit. Given that tax policies directly influence net income, ROA provides a standardized metric for assessing firm-level profitability and efficiency (Mukui, 2022). Accordingly, it serves as the dependent variable in analyzing the relationship between financial outcomes and tax policy dimensions such as corporate income tax, VAT, and tax incentives.</w:t>
      </w:r>
    </w:p>
    <w:p w14:paraId="26B84A8F" w14:textId="77777777"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Tax policy refers to the framework of laws and administrative measures through which governments collect revenue to fund public services and regulate economic activity (OECD, 2022). In Kenya, such policies include corporate income tax, value-added tax (VAT), customs and excise duties, and fiscal incentives designed to encourage investment. When well-structured, these policies can enhance competitiveness and stimulate industrial growth; however, poorly designed regimes increase compliance costs and erode profitability (Karugu, 2021).</w:t>
      </w:r>
    </w:p>
    <w:p w14:paraId="33A8F3AA" w14:textId="23BA5AFB"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Corporate income tax, levied at 30% for resident companies and 37.5% for non-residents (KRA, 2022), directly affects profitability and reinvestment capacity. Kariuki (2023) observed that high corporate tax rates discourage investment and reduce investor confidence, while frequent fiscal policy changes undermine long-term planning. Similarly, VAT, charged at 16%, imposes additional administrative and cash flow burdens. Delays in refund processing</w:t>
      </w:r>
      <w:r w:rsidR="00E207BA">
        <w:rPr>
          <w:rFonts w:cs="Times New Roman"/>
          <w:color w:val="000000" w:themeColor="text1"/>
          <w:szCs w:val="24"/>
        </w:rPr>
        <w:t xml:space="preserve"> </w:t>
      </w:r>
      <w:r w:rsidRPr="000C57D5">
        <w:rPr>
          <w:rFonts w:cs="Times New Roman"/>
          <w:color w:val="000000" w:themeColor="text1"/>
          <w:szCs w:val="24"/>
        </w:rPr>
        <w:t>valued at over KES 27 billion by the end of 2020</w:t>
      </w:r>
      <w:r w:rsidR="00E207BA">
        <w:rPr>
          <w:rFonts w:cs="Times New Roman"/>
          <w:color w:val="000000" w:themeColor="text1"/>
          <w:szCs w:val="24"/>
        </w:rPr>
        <w:t xml:space="preserve"> </w:t>
      </w:r>
      <w:r w:rsidRPr="000C57D5">
        <w:rPr>
          <w:rFonts w:cs="Times New Roman"/>
          <w:color w:val="000000" w:themeColor="text1"/>
          <w:szCs w:val="24"/>
        </w:rPr>
        <w:t>have strained liquidity and hindered production cycles (KAM, 2021; Gachigo, 2024).</w:t>
      </w:r>
    </w:p>
    <w:p w14:paraId="4178255B" w14:textId="77777777"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Customs and excise duties further complicate the operational environment. Manufacturing firms often face high import tariffs on machinery and raw materials, which inflate production costs and reduce competitiveness (Karugu, 2021). Omar (2020) noted that small and medium enterprises in coastal regions experienced significant financial strain from customs compliance costs. Likewise, inconsistent tariff policies limit firms’ ability to forecast production expenses, affecting long-term strategic planning (KAM, 2021).</w:t>
      </w:r>
    </w:p>
    <w:p w14:paraId="187D5AFD" w14:textId="2A7E935F"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Tax incentives</w:t>
      </w:r>
      <w:r w:rsidR="00E207BA">
        <w:rPr>
          <w:rFonts w:cs="Times New Roman"/>
          <w:color w:val="000000" w:themeColor="text1"/>
          <w:szCs w:val="24"/>
        </w:rPr>
        <w:t xml:space="preserve"> </w:t>
      </w:r>
      <w:r w:rsidRPr="000C57D5">
        <w:rPr>
          <w:rFonts w:cs="Times New Roman"/>
          <w:color w:val="000000" w:themeColor="text1"/>
          <w:szCs w:val="24"/>
        </w:rPr>
        <w:t>comprising exemptions, deductions, and credits</w:t>
      </w:r>
      <w:r w:rsidR="00E207BA">
        <w:rPr>
          <w:rFonts w:cs="Times New Roman"/>
          <w:color w:val="000000" w:themeColor="text1"/>
          <w:szCs w:val="24"/>
        </w:rPr>
        <w:t xml:space="preserve"> </w:t>
      </w:r>
      <w:r w:rsidRPr="000C57D5">
        <w:rPr>
          <w:rFonts w:cs="Times New Roman"/>
          <w:color w:val="000000" w:themeColor="text1"/>
          <w:szCs w:val="24"/>
        </w:rPr>
        <w:t>are designed to stimulate investment and industrial expansion. In Kenya, incentives under special economic zones and priority sectors have encouraged capital investment and improved profitability (Karimi &amp; Wanjohi, 2024). However, unequal access and bureaucratic complexity have limited their reach, particularly for SMEs (Karugu, 2021). Thus, while incentives are a vital fiscal tool, their effectiveness depends on transparent administration and alignment with national development objectives.</w:t>
      </w:r>
    </w:p>
    <w:p w14:paraId="4518BDC5" w14:textId="77777777"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Manufacturing firms, defined as enterprises that transform raw materials into finished goods for domestic consumption or export, are pivotal to Kenya’s economic development. The sector encompasses sub-industries such as agro-processing, textiles, pharmaceuticals, and construction materials (Were, 2016), collectively contributing about 7.2% to GDP and employing over 300,000 people as of 2023 (KNBS, 2023). Despite its potential, the sector operates under a challenging fiscal regime characterized by high corporate tax rates, delayed VAT refunds, and elevated import duties on raw materials and machinery (KRA, 2022).</w:t>
      </w:r>
    </w:p>
    <w:p w14:paraId="4B25C8BA" w14:textId="16715DC8"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These fiscal challenges have inflated production costs and constrained profitability (Mutua &amp; Atheru, 2020). SMEs, in particular, suffer the most due to limited access to incentives and delayed refunds that disrupt cash flow cycles (Apollo, 2022). To mitigate these constraints, firms</w:t>
      </w:r>
      <w:r w:rsidR="00E207BA">
        <w:rPr>
          <w:rFonts w:cs="Times New Roman"/>
          <w:color w:val="000000" w:themeColor="text1"/>
          <w:szCs w:val="24"/>
        </w:rPr>
        <w:t xml:space="preserve"> </w:t>
      </w:r>
      <w:r w:rsidRPr="000C57D5">
        <w:rPr>
          <w:rFonts w:cs="Times New Roman"/>
          <w:color w:val="000000" w:themeColor="text1"/>
          <w:szCs w:val="24"/>
        </w:rPr>
        <w:t>often through the Kenya Association of Manufacturers (KAM)</w:t>
      </w:r>
      <w:r w:rsidR="00E207BA">
        <w:rPr>
          <w:rFonts w:cs="Times New Roman"/>
          <w:color w:val="000000" w:themeColor="text1"/>
          <w:szCs w:val="24"/>
        </w:rPr>
        <w:t xml:space="preserve"> </w:t>
      </w:r>
      <w:r w:rsidRPr="000C57D5">
        <w:rPr>
          <w:rFonts w:cs="Times New Roman"/>
          <w:color w:val="000000" w:themeColor="text1"/>
          <w:szCs w:val="24"/>
        </w:rPr>
        <w:t>advocate for tax reforms and greater administrative transparency (KAM, 2023). Nevertheless, disparities persist in incentive distribution and policy consistency, limiting sector-wide efficiency (Ndungi Njoroge, 2021).</w:t>
      </w:r>
    </w:p>
    <w:p w14:paraId="23FFF02D" w14:textId="77777777"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Empirical studies provide valuable insights into the intersection between taxation and manufacturing performance. In the U.S., high corporate taxes constrained firms’ innovation capacities (Jacob, 2022), while in India, inconsistent VAT regimes delayed business expansion (Arora &amp; Rakhyani, 2020). In Sub-Saharan Africa, tax incentives enhanced multinational firms’ profitability but had minimal benefits for local manufacturers (Brown, 2021). Kenyan studies similarly highlight fiscal inefficiencies: VAT refund delays disrupted liquidity for 80% of manufacturers (Apollo, 2022), and customs duties inflated production costs by up to 25% (Omosa, 2021).</w:t>
      </w:r>
    </w:p>
    <w:p w14:paraId="408A58F9" w14:textId="2116B46C" w:rsidR="00416E73" w:rsidRPr="007A56B8"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Despite these findings, existing research has largely examined individual tax elements in isolation, overlooking their combined effects. This study therefore seeks to fill that gap by analyzing how corporate income tax, VAT policies, customs duties, and tax incentives jointly influence the financial performance of registered manufacturing firms in Kenya. The results will provide evidence-based insights to inform equitable and growth-oriented tax reforms aligned with Kenya’s Vision 2030 agenda for industrialization and sustainable economic transformation</w:t>
      </w:r>
      <w:r w:rsidR="00185BCB" w:rsidRPr="007A56B8">
        <w:rPr>
          <w:rFonts w:cs="Times New Roman"/>
          <w:color w:val="000000" w:themeColor="text1"/>
          <w:szCs w:val="24"/>
        </w:rPr>
        <w:t>.</w:t>
      </w:r>
    </w:p>
    <w:p w14:paraId="48C38FDC" w14:textId="6CD37EFA" w:rsidR="00055D83" w:rsidRPr="00D352C1" w:rsidRDefault="00055D83" w:rsidP="00CE4C91">
      <w:pPr>
        <w:shd w:val="clear" w:color="auto" w:fill="FFFFFF"/>
        <w:spacing w:line="240" w:lineRule="auto"/>
        <w:rPr>
          <w:rFonts w:eastAsia="Times New Roman" w:cs="Times New Roman"/>
          <w:b/>
          <w:bCs/>
          <w:i/>
          <w:iCs/>
          <w:color w:val="000000" w:themeColor="text1"/>
          <w:sz w:val="28"/>
          <w:szCs w:val="28"/>
        </w:rPr>
      </w:pPr>
      <w:r w:rsidRPr="00D352C1">
        <w:rPr>
          <w:rFonts w:eastAsia="Times New Roman" w:cs="Times New Roman"/>
          <w:b/>
          <w:bCs/>
          <w:i/>
          <w:iCs/>
          <w:color w:val="000000" w:themeColor="text1"/>
          <w:sz w:val="28"/>
          <w:szCs w:val="28"/>
        </w:rPr>
        <w:t>Research Problem</w:t>
      </w:r>
    </w:p>
    <w:p w14:paraId="1B8515A5" w14:textId="6BFD1F12" w:rsidR="005C09D0" w:rsidRPr="005C09D0" w:rsidRDefault="005C09D0" w:rsidP="005C09D0">
      <w:pPr>
        <w:spacing w:after="240" w:line="240" w:lineRule="auto"/>
        <w:rPr>
          <w:rFonts w:cs="Times New Roman"/>
          <w:color w:val="000000" w:themeColor="text1"/>
          <w:szCs w:val="24"/>
        </w:rPr>
      </w:pPr>
      <w:r w:rsidRPr="005C09D0">
        <w:rPr>
          <w:rFonts w:cs="Times New Roman"/>
          <w:color w:val="000000" w:themeColor="text1"/>
          <w:szCs w:val="24"/>
        </w:rPr>
        <w:t>Kenya’s manufacturing sector, a critical driver of economic growth, has experienced persistent financial underperformance over the past decade. Profitability has declined sharply, with the return on assets dropping from 6.3% in 2015 to 4.9% in 2020, largely due to high operational costs, stiff competition, and burdensome taxation (KNBS, 2021). Tax-related expenses, including a 30% corporate income tax rate</w:t>
      </w:r>
      <w:r w:rsidR="00E207BA">
        <w:rPr>
          <w:rFonts w:cs="Times New Roman"/>
          <w:color w:val="000000" w:themeColor="text1"/>
          <w:szCs w:val="24"/>
        </w:rPr>
        <w:t xml:space="preserve"> </w:t>
      </w:r>
      <w:r w:rsidRPr="005C09D0">
        <w:rPr>
          <w:rFonts w:cs="Times New Roman"/>
          <w:color w:val="000000" w:themeColor="text1"/>
          <w:szCs w:val="24"/>
        </w:rPr>
        <w:t>the highest in East Africa</w:t>
      </w:r>
      <w:r w:rsidR="00E207BA">
        <w:rPr>
          <w:rFonts w:cs="Times New Roman"/>
          <w:color w:val="000000" w:themeColor="text1"/>
          <w:szCs w:val="24"/>
        </w:rPr>
        <w:t xml:space="preserve"> </w:t>
      </w:r>
      <w:r w:rsidRPr="005C09D0">
        <w:rPr>
          <w:rFonts w:cs="Times New Roman"/>
          <w:color w:val="000000" w:themeColor="text1"/>
          <w:szCs w:val="24"/>
        </w:rPr>
        <w:t>and complex value-added tax (VAT) compliance procedures, have increased production costs and reduced competitiveness both locally and globally (Karimi &amp; Wanjohi, 2024). Escalating customs duties on imported raw materials have further constrained profitability, hindering the sector’s ability to achieve the Vision 2030 target of contributing 15% to GDP (UNCTAD, 2022).</w:t>
      </w:r>
    </w:p>
    <w:p w14:paraId="6CA09799" w14:textId="77777777" w:rsidR="005C09D0" w:rsidRDefault="005C09D0" w:rsidP="005C09D0">
      <w:pPr>
        <w:spacing w:after="240" w:line="240" w:lineRule="auto"/>
        <w:rPr>
          <w:rFonts w:cs="Times New Roman"/>
          <w:color w:val="000000" w:themeColor="text1"/>
          <w:szCs w:val="24"/>
        </w:rPr>
      </w:pPr>
      <w:r w:rsidRPr="005C09D0">
        <w:rPr>
          <w:rFonts w:cs="Times New Roman"/>
          <w:color w:val="000000" w:themeColor="text1"/>
          <w:szCs w:val="24"/>
        </w:rPr>
        <w:t>Globally, studies reveal that tax reforms significantly affect firm performance (Bührle et al., 2023; Cin et al., 2017). Locally, research has examined specific tax components but rarely their combined influence. Limited empirical evidence exists on how corporate taxes, VAT, and customs duties jointly impact profitability, investment decisions, and production efficiency. This study, therefore, seeks to address this gap by examining the holistic effect of tax policies on the financial performance of manufacturing firms in Kenya, providing insights for policy reform and sustainable growth.</w:t>
      </w:r>
    </w:p>
    <w:p w14:paraId="4D6DCA8F" w14:textId="77777777" w:rsidR="005C09D0" w:rsidRDefault="005C09D0" w:rsidP="005C09D0">
      <w:pPr>
        <w:spacing w:after="240" w:line="240" w:lineRule="auto"/>
        <w:rPr>
          <w:rFonts w:cs="Times New Roman"/>
          <w:color w:val="000000" w:themeColor="text1"/>
          <w:szCs w:val="24"/>
        </w:rPr>
      </w:pPr>
    </w:p>
    <w:p w14:paraId="27FDC211" w14:textId="67E4BE84" w:rsidR="00BD15A0" w:rsidRPr="007A56B8" w:rsidRDefault="00BD15A0" w:rsidP="005C09D0">
      <w:pPr>
        <w:spacing w:after="240" w:line="240" w:lineRule="auto"/>
        <w:rPr>
          <w:rFonts w:cs="Times New Roman"/>
          <w:b/>
          <w:szCs w:val="24"/>
        </w:rPr>
      </w:pPr>
      <w:r w:rsidRPr="007A56B8">
        <w:rPr>
          <w:rFonts w:cs="Times New Roman"/>
          <w:b/>
          <w:szCs w:val="24"/>
        </w:rPr>
        <w:t xml:space="preserve"> </w:t>
      </w:r>
    </w:p>
    <w:p w14:paraId="7860FC20" w14:textId="14987297" w:rsidR="00055D83" w:rsidRPr="00D352C1" w:rsidRDefault="00055D83" w:rsidP="00E5141C">
      <w:pPr>
        <w:spacing w:line="240" w:lineRule="auto"/>
        <w:rPr>
          <w:rFonts w:cs="Times New Roman"/>
          <w:b/>
          <w:bCs/>
          <w:i/>
          <w:iCs/>
          <w:color w:val="000000" w:themeColor="text1"/>
          <w:sz w:val="28"/>
          <w:szCs w:val="28"/>
        </w:rPr>
      </w:pPr>
      <w:r w:rsidRPr="00D352C1">
        <w:rPr>
          <w:rFonts w:cs="Times New Roman"/>
          <w:b/>
          <w:bCs/>
          <w:i/>
          <w:iCs/>
          <w:color w:val="000000" w:themeColor="text1"/>
          <w:sz w:val="28"/>
          <w:szCs w:val="28"/>
        </w:rPr>
        <w:t>Research Objective</w:t>
      </w:r>
    </w:p>
    <w:p w14:paraId="3A006523" w14:textId="48151752" w:rsidR="0054398C" w:rsidRPr="007A56B8" w:rsidRDefault="00055D83" w:rsidP="0054398C">
      <w:pPr>
        <w:spacing w:line="240" w:lineRule="auto"/>
        <w:rPr>
          <w:rFonts w:cs="Times New Roman"/>
          <w:color w:val="000000" w:themeColor="text1"/>
          <w:szCs w:val="24"/>
        </w:rPr>
      </w:pPr>
      <w:r w:rsidRPr="007A56B8">
        <w:rPr>
          <w:rFonts w:cs="Times New Roman"/>
          <w:color w:val="000000" w:themeColor="text1"/>
          <w:szCs w:val="24"/>
        </w:rPr>
        <w:t>This study was guided by the following general objective to:</w:t>
      </w:r>
      <w:r w:rsidR="00784B96" w:rsidRPr="007A56B8">
        <w:rPr>
          <w:rFonts w:cs="Times New Roman"/>
          <w:color w:val="000000" w:themeColor="text1"/>
          <w:szCs w:val="24"/>
        </w:rPr>
        <w:t xml:space="preserve"> </w:t>
      </w:r>
      <w:r w:rsidR="005C09D0" w:rsidRPr="005C09D0">
        <w:rPr>
          <w:rFonts w:cs="Times New Roman"/>
          <w:color w:val="000000" w:themeColor="text1"/>
          <w:szCs w:val="24"/>
        </w:rPr>
        <w:t>determine the effects of tax policies on the financial performance of registered manufacturing firms in Kenya</w:t>
      </w:r>
      <w:r w:rsidR="00D54CAA" w:rsidRPr="007A56B8">
        <w:rPr>
          <w:rFonts w:cs="Times New Roman"/>
          <w:color w:val="000000" w:themeColor="text1"/>
          <w:szCs w:val="24"/>
        </w:rPr>
        <w:t>.</w:t>
      </w:r>
    </w:p>
    <w:p w14:paraId="6B071E8F" w14:textId="77777777" w:rsidR="00E448DE" w:rsidRPr="007A56B8" w:rsidRDefault="0054398C" w:rsidP="00F42A52">
      <w:pPr>
        <w:spacing w:line="240" w:lineRule="auto"/>
        <w:rPr>
          <w:rFonts w:cs="Times New Roman"/>
          <w:color w:val="000000" w:themeColor="text1"/>
          <w:szCs w:val="24"/>
        </w:rPr>
      </w:pPr>
      <w:r w:rsidRPr="007A56B8">
        <w:rPr>
          <w:rFonts w:cs="Times New Roman"/>
          <w:color w:val="000000" w:themeColor="text1"/>
          <w:szCs w:val="24"/>
        </w:rPr>
        <w:t>Specific Objectives were to;</w:t>
      </w:r>
      <w:r w:rsidR="00784B96" w:rsidRPr="007A56B8">
        <w:rPr>
          <w:rFonts w:cs="Times New Roman"/>
          <w:color w:val="000000" w:themeColor="text1"/>
          <w:szCs w:val="24"/>
        </w:rPr>
        <w:t xml:space="preserve"> </w:t>
      </w:r>
    </w:p>
    <w:p w14:paraId="25BF9AEE" w14:textId="77777777" w:rsidR="005C09D0" w:rsidRPr="005C09D0" w:rsidRDefault="005C09D0" w:rsidP="005C09D0">
      <w:pPr>
        <w:pStyle w:val="ListParagraph"/>
        <w:numPr>
          <w:ilvl w:val="0"/>
          <w:numId w:val="23"/>
        </w:numPr>
        <w:shd w:val="clear" w:color="auto" w:fill="FFFFFF"/>
        <w:spacing w:line="240" w:lineRule="auto"/>
        <w:rPr>
          <w:rFonts w:ascii="Times New Roman" w:hAnsi="Times New Roman"/>
          <w:sz w:val="24"/>
          <w:szCs w:val="28"/>
        </w:rPr>
      </w:pPr>
      <w:r w:rsidRPr="005C09D0">
        <w:rPr>
          <w:rFonts w:ascii="Times New Roman" w:hAnsi="Times New Roman"/>
          <w:sz w:val="24"/>
          <w:szCs w:val="28"/>
        </w:rPr>
        <w:t>To determine the effect of corporate income tax rates on the financial performance of registered manufacturing firms in Kenya.</w:t>
      </w:r>
    </w:p>
    <w:p w14:paraId="42A76897" w14:textId="77777777" w:rsidR="005C09D0" w:rsidRPr="005C09D0" w:rsidRDefault="005C09D0" w:rsidP="005C09D0">
      <w:pPr>
        <w:pStyle w:val="ListParagraph"/>
        <w:numPr>
          <w:ilvl w:val="0"/>
          <w:numId w:val="23"/>
        </w:numPr>
        <w:shd w:val="clear" w:color="auto" w:fill="FFFFFF"/>
        <w:spacing w:line="240" w:lineRule="auto"/>
        <w:rPr>
          <w:rFonts w:ascii="Times New Roman" w:hAnsi="Times New Roman"/>
          <w:sz w:val="24"/>
          <w:szCs w:val="28"/>
        </w:rPr>
      </w:pPr>
      <w:r w:rsidRPr="005C09D0">
        <w:rPr>
          <w:rFonts w:ascii="Times New Roman" w:hAnsi="Times New Roman"/>
          <w:sz w:val="24"/>
          <w:szCs w:val="28"/>
        </w:rPr>
        <w:t>To evaluate the effect of value-added tax (VAT) policies on the financial performance of registered manufacturing firms in Kenya.</w:t>
      </w:r>
    </w:p>
    <w:p w14:paraId="2B643150" w14:textId="77777777" w:rsidR="005C09D0" w:rsidRPr="005C09D0" w:rsidRDefault="005C09D0" w:rsidP="005C09D0">
      <w:pPr>
        <w:pStyle w:val="ListParagraph"/>
        <w:numPr>
          <w:ilvl w:val="0"/>
          <w:numId w:val="23"/>
        </w:numPr>
        <w:shd w:val="clear" w:color="auto" w:fill="FFFFFF"/>
        <w:spacing w:line="240" w:lineRule="auto"/>
        <w:rPr>
          <w:rFonts w:ascii="Times New Roman" w:hAnsi="Times New Roman"/>
          <w:sz w:val="24"/>
          <w:szCs w:val="28"/>
        </w:rPr>
      </w:pPr>
      <w:r w:rsidRPr="005C09D0">
        <w:rPr>
          <w:rFonts w:ascii="Times New Roman" w:hAnsi="Times New Roman"/>
          <w:sz w:val="24"/>
          <w:szCs w:val="28"/>
        </w:rPr>
        <w:t>To examine the effect of tax incentives on the financial performance of registered manufacturing firms in Kenya.</w:t>
      </w:r>
    </w:p>
    <w:p w14:paraId="3DC49657" w14:textId="77777777" w:rsidR="005C09D0" w:rsidRPr="005C09D0" w:rsidRDefault="005C09D0" w:rsidP="005C09D0">
      <w:pPr>
        <w:pStyle w:val="ListParagraph"/>
        <w:numPr>
          <w:ilvl w:val="0"/>
          <w:numId w:val="23"/>
        </w:numPr>
        <w:shd w:val="clear" w:color="auto" w:fill="FFFFFF"/>
        <w:spacing w:line="240" w:lineRule="auto"/>
        <w:rPr>
          <w:rFonts w:ascii="Times New Roman" w:hAnsi="Times New Roman"/>
          <w:sz w:val="24"/>
          <w:szCs w:val="28"/>
        </w:rPr>
      </w:pPr>
      <w:r w:rsidRPr="005C09D0">
        <w:rPr>
          <w:rFonts w:ascii="Times New Roman" w:hAnsi="Times New Roman"/>
          <w:sz w:val="24"/>
          <w:szCs w:val="28"/>
        </w:rPr>
        <w:t>To investigate the effect of changes in customs and excise duties policies on the financial performance of registered manufacturing firms in Kenya.</w:t>
      </w:r>
    </w:p>
    <w:p w14:paraId="0B5F07F3" w14:textId="77777777" w:rsidR="0052143B" w:rsidRPr="00AD51A6" w:rsidRDefault="0052143B" w:rsidP="000F4C94">
      <w:pPr>
        <w:spacing w:before="0" w:line="240" w:lineRule="auto"/>
        <w:rPr>
          <w:b/>
          <w:bCs/>
          <w:i/>
          <w:iCs/>
          <w:sz w:val="28"/>
          <w:szCs w:val="24"/>
        </w:rPr>
      </w:pPr>
      <w:r w:rsidRPr="00AD51A6">
        <w:rPr>
          <w:b/>
          <w:bCs/>
          <w:i/>
          <w:iCs/>
          <w:sz w:val="28"/>
          <w:szCs w:val="24"/>
        </w:rPr>
        <w:t>Significance of the Study</w:t>
      </w:r>
    </w:p>
    <w:p w14:paraId="56D2C776" w14:textId="0094F3D5" w:rsidR="0052143B" w:rsidRPr="0052143B" w:rsidRDefault="000F4C94" w:rsidP="000F4C94">
      <w:pPr>
        <w:spacing w:before="0" w:line="240" w:lineRule="auto"/>
      </w:pPr>
      <w:r w:rsidRPr="000F4C94">
        <w:t>The study is significant as it bridges practical and theoretical gaps on the influence of tax policies on the profitability of registered manufacturing firms in Kenya. It provides policymakers with evidence-based insights for developing equitable tax frameworks that foster industrial growth and sustainability in line with Vision 2030. For industry stakeholders, it highlights how corporate tax rates, VAT policies, tax incentives, and customs duties affect operational costs and profitability. Additionally, it offers valuable reference material for future scholarly research on fiscal policy and economic outcomes</w:t>
      </w:r>
      <w:r w:rsidR="00AD51A6">
        <w:t>.</w:t>
      </w:r>
    </w:p>
    <w:p w14:paraId="371713CA" w14:textId="77777777" w:rsidR="0052143B" w:rsidRPr="007A56B8" w:rsidRDefault="0052143B" w:rsidP="00D352C1">
      <w:pPr>
        <w:autoSpaceDE w:val="0"/>
        <w:autoSpaceDN w:val="0"/>
        <w:adjustRightInd w:val="0"/>
        <w:spacing w:before="0" w:after="240" w:line="240" w:lineRule="auto"/>
        <w:rPr>
          <w:color w:val="000000" w:themeColor="text1"/>
          <w:szCs w:val="24"/>
        </w:rPr>
      </w:pPr>
    </w:p>
    <w:p w14:paraId="01448711" w14:textId="62325650" w:rsidR="001E21F0" w:rsidRPr="007A56B8" w:rsidRDefault="001E21F0" w:rsidP="00AE4AA5">
      <w:pPr>
        <w:spacing w:before="0" w:line="240" w:lineRule="auto"/>
        <w:rPr>
          <w:rFonts w:cs="Times New Roman"/>
          <w:color w:val="000000" w:themeColor="text1"/>
        </w:rPr>
      </w:pPr>
      <w:r w:rsidRPr="007A56B8">
        <w:rPr>
          <w:rFonts w:cs="Times New Roman"/>
          <w:color w:val="000000" w:themeColor="text1"/>
        </w:rPr>
        <w:br w:type="page"/>
      </w:r>
    </w:p>
    <w:p w14:paraId="60555E06" w14:textId="2D326474" w:rsidR="00055D83" w:rsidRPr="007A56B8" w:rsidRDefault="00055D83" w:rsidP="00055D83">
      <w:pPr>
        <w:pStyle w:val="ListParagraph"/>
        <w:autoSpaceDE w:val="0"/>
        <w:autoSpaceDN w:val="0"/>
        <w:adjustRightInd w:val="0"/>
        <w:spacing w:before="480" w:after="240" w:line="240" w:lineRule="auto"/>
        <w:ind w:left="0"/>
        <w:rPr>
          <w:rFonts w:ascii="Times New Roman" w:hAnsi="Times New Roman"/>
          <w:b/>
          <w:color w:val="000000" w:themeColor="text1"/>
          <w:sz w:val="28"/>
          <w:szCs w:val="28"/>
          <w:lang w:val="en-GB"/>
        </w:rPr>
      </w:pPr>
      <w:r w:rsidRPr="007A56B8">
        <w:rPr>
          <w:rFonts w:ascii="Times New Roman" w:hAnsi="Times New Roman"/>
          <w:b/>
          <w:color w:val="000000" w:themeColor="text1"/>
          <w:sz w:val="28"/>
          <w:szCs w:val="28"/>
          <w:lang w:val="en-GB"/>
        </w:rPr>
        <w:t xml:space="preserve">2.0 LITERATURE REVIEW  </w:t>
      </w:r>
    </w:p>
    <w:p w14:paraId="4D81049F" w14:textId="77777777" w:rsidR="00001A44" w:rsidRPr="00001A44" w:rsidRDefault="00001A44" w:rsidP="00001A44">
      <w:pPr>
        <w:spacing w:before="0" w:after="160" w:line="259" w:lineRule="auto"/>
        <w:rPr>
          <w:rFonts w:cs="Times New Roman"/>
          <w:b/>
          <w:i/>
          <w:iCs/>
          <w:color w:val="000000" w:themeColor="text1"/>
          <w:kern w:val="2"/>
          <w:szCs w:val="24"/>
          <w:lang w:val="en-GB"/>
        </w:rPr>
      </w:pPr>
      <w:r w:rsidRPr="00001A44">
        <w:rPr>
          <w:rFonts w:cs="Times New Roman"/>
          <w:b/>
          <w:i/>
          <w:iCs/>
          <w:color w:val="000000" w:themeColor="text1"/>
          <w:kern w:val="2"/>
          <w:szCs w:val="24"/>
          <w:lang w:val="en-GB"/>
        </w:rPr>
        <w:t>Theoretical Review</w:t>
      </w:r>
    </w:p>
    <w:p w14:paraId="02787F30" w14:textId="03E29119" w:rsidR="00001A44" w:rsidRPr="00001A44" w:rsidRDefault="00001A44" w:rsidP="00001A44">
      <w:pPr>
        <w:spacing w:before="0" w:after="160" w:line="259" w:lineRule="auto"/>
        <w:rPr>
          <w:rFonts w:cs="Times New Roman"/>
          <w:bCs/>
          <w:color w:val="000000" w:themeColor="text1"/>
          <w:kern w:val="2"/>
          <w:szCs w:val="24"/>
          <w:lang w:val="en-GB"/>
        </w:rPr>
      </w:pPr>
      <w:r w:rsidRPr="00001A44">
        <w:rPr>
          <w:rFonts w:cs="Times New Roman"/>
          <w:bCs/>
          <w:color w:val="000000" w:themeColor="text1"/>
          <w:kern w:val="2"/>
          <w:szCs w:val="24"/>
          <w:lang w:val="en-GB"/>
        </w:rPr>
        <w:t>This study draws upon three key theoretical foundations</w:t>
      </w:r>
      <w:r w:rsidR="00E207BA">
        <w:rPr>
          <w:rFonts w:cs="Times New Roman"/>
          <w:bCs/>
          <w:color w:val="000000" w:themeColor="text1"/>
          <w:kern w:val="2"/>
          <w:szCs w:val="24"/>
          <w:lang w:val="en-GB"/>
        </w:rPr>
        <w:t xml:space="preserve"> </w:t>
      </w:r>
      <w:r w:rsidRPr="00001A44">
        <w:rPr>
          <w:rFonts w:cs="Times New Roman"/>
          <w:bCs/>
          <w:color w:val="000000" w:themeColor="text1"/>
          <w:kern w:val="2"/>
          <w:szCs w:val="24"/>
          <w:lang w:val="en-GB"/>
        </w:rPr>
        <w:t>Modigliani and Miller (M&amp;M) Theory of Corporate Taxation (1963), the Laffer Curve Theory (2004), and Harberger’s Excess Burden of Taxation Theory (1964)</w:t>
      </w:r>
      <w:r w:rsidR="00E207BA">
        <w:rPr>
          <w:rFonts w:cs="Times New Roman"/>
          <w:bCs/>
          <w:color w:val="000000" w:themeColor="text1"/>
          <w:kern w:val="2"/>
          <w:szCs w:val="24"/>
          <w:lang w:val="en-GB"/>
        </w:rPr>
        <w:t xml:space="preserve"> </w:t>
      </w:r>
      <w:r w:rsidRPr="00001A44">
        <w:rPr>
          <w:rFonts w:cs="Times New Roman"/>
          <w:bCs/>
          <w:color w:val="000000" w:themeColor="text1"/>
          <w:kern w:val="2"/>
          <w:szCs w:val="24"/>
          <w:lang w:val="en-GB"/>
        </w:rPr>
        <w:t>to explain how tax structures influence the financial performance of manufacturing firms in Kenya. These theories collectively provide insights into the relationship between corporate taxation, fiscal incentives, and firm profitability.</w:t>
      </w:r>
    </w:p>
    <w:p w14:paraId="00393D3E" w14:textId="77777777" w:rsidR="00001A44" w:rsidRPr="00001A44" w:rsidRDefault="00001A44" w:rsidP="00001A44">
      <w:pPr>
        <w:spacing w:before="0" w:after="160" w:line="259" w:lineRule="auto"/>
        <w:rPr>
          <w:rFonts w:cs="Times New Roman"/>
          <w:bCs/>
          <w:color w:val="000000" w:themeColor="text1"/>
          <w:kern w:val="2"/>
          <w:szCs w:val="24"/>
          <w:lang w:val="en-GB"/>
        </w:rPr>
      </w:pPr>
      <w:r w:rsidRPr="00001A44">
        <w:rPr>
          <w:rFonts w:cs="Times New Roman"/>
          <w:bCs/>
          <w:color w:val="000000" w:themeColor="text1"/>
          <w:kern w:val="2"/>
          <w:szCs w:val="24"/>
          <w:lang w:val="en-GB"/>
        </w:rPr>
        <w:t>Modigliani and Miller extended their capital structure theory in 1963 to include the effect of corporate taxation, proposing that debt financing creates a tax shield since interest payments are deductible from taxable income. This implies that firms operating under higher corporate tax rates are likely to increase debt levels to minimize taxable income and enhance profitability (Modigliani &amp; Miller, 1963). The theory assumes perfect capital markets, where financing decisions are primarily driven by tax advantages.</w:t>
      </w:r>
    </w:p>
    <w:p w14:paraId="2553B839" w14:textId="2D5186E8" w:rsidR="00001A44" w:rsidRPr="00001A44" w:rsidRDefault="00001A44" w:rsidP="00001A44">
      <w:pPr>
        <w:spacing w:before="0" w:after="160" w:line="259" w:lineRule="auto"/>
        <w:rPr>
          <w:rFonts w:cs="Times New Roman"/>
          <w:bCs/>
          <w:color w:val="000000" w:themeColor="text1"/>
          <w:kern w:val="2"/>
          <w:szCs w:val="24"/>
          <w:lang w:val="en-GB"/>
        </w:rPr>
      </w:pPr>
      <w:r w:rsidRPr="00001A44">
        <w:rPr>
          <w:rFonts w:cs="Times New Roman"/>
          <w:bCs/>
          <w:color w:val="000000" w:themeColor="text1"/>
          <w:kern w:val="2"/>
          <w:szCs w:val="24"/>
          <w:lang w:val="en-GB"/>
        </w:rPr>
        <w:t>In the context of this study, the M&amp;M theory offers a framework for analyzing how various tax components</w:t>
      </w:r>
      <w:r w:rsidR="00E207BA">
        <w:rPr>
          <w:rFonts w:cs="Times New Roman"/>
          <w:bCs/>
          <w:color w:val="000000" w:themeColor="text1"/>
          <w:kern w:val="2"/>
          <w:szCs w:val="24"/>
          <w:lang w:val="en-GB"/>
        </w:rPr>
        <w:t xml:space="preserve"> </w:t>
      </w:r>
      <w:r w:rsidRPr="00001A44">
        <w:rPr>
          <w:rFonts w:cs="Times New Roman"/>
          <w:bCs/>
          <w:color w:val="000000" w:themeColor="text1"/>
          <w:kern w:val="2"/>
          <w:szCs w:val="24"/>
          <w:lang w:val="en-GB"/>
        </w:rPr>
        <w:t>corporate income tax, VAT, customs duties, and fiscal incentives</w:t>
      </w:r>
      <w:r w:rsidR="00E207BA">
        <w:rPr>
          <w:rFonts w:cs="Times New Roman"/>
          <w:bCs/>
          <w:color w:val="000000" w:themeColor="text1"/>
          <w:kern w:val="2"/>
          <w:szCs w:val="24"/>
          <w:lang w:val="en-GB"/>
        </w:rPr>
        <w:t xml:space="preserve"> </w:t>
      </w:r>
      <w:r w:rsidRPr="00001A44">
        <w:rPr>
          <w:rFonts w:cs="Times New Roman"/>
          <w:bCs/>
          <w:color w:val="000000" w:themeColor="text1"/>
          <w:kern w:val="2"/>
          <w:szCs w:val="24"/>
          <w:lang w:val="en-GB"/>
        </w:rPr>
        <w:t>affect financial indicators such as return on assets (ROA) and net profit margin (NPM). High corporate taxes reduce net earnings, potentially pushing firms to restructure financing through debt, while tax incentives can improve reinvestment capacity and profitability. The theory therefore helps explain how tax policies shape firms’ financing and investment behavior.</w:t>
      </w:r>
    </w:p>
    <w:p w14:paraId="7FFA2A94" w14:textId="77777777" w:rsidR="00001A44" w:rsidRPr="00001A44" w:rsidRDefault="00001A44" w:rsidP="00001A44">
      <w:pPr>
        <w:spacing w:before="0" w:after="160" w:line="259" w:lineRule="auto"/>
        <w:rPr>
          <w:rFonts w:cs="Times New Roman"/>
          <w:bCs/>
          <w:color w:val="000000" w:themeColor="text1"/>
          <w:kern w:val="2"/>
          <w:szCs w:val="24"/>
          <w:lang w:val="en-GB"/>
        </w:rPr>
      </w:pPr>
      <w:r w:rsidRPr="00001A44">
        <w:rPr>
          <w:rFonts w:cs="Times New Roman"/>
          <w:bCs/>
          <w:color w:val="000000" w:themeColor="text1"/>
          <w:kern w:val="2"/>
          <w:szCs w:val="24"/>
          <w:lang w:val="en-GB"/>
        </w:rPr>
        <w:t>However, the M&amp;M theory has been critiqued for its unrealistic assumptions of perfect markets and unlimited borrowing capacity. Fama and French (2002) argued that firms consider multiple factors beyond tax benefits when determining capital structure, often avoiding excessive leverage to prevent financial distress. Similarly, Graham (2000) contended that firms prioritize financial stability over maximizing tax shields. Despite these criticisms, the theory remains relevant as it emphasizes how corporate tax policies influence firm-level financial decisions and profitability within Kenya’s manufacturing sector.</w:t>
      </w:r>
    </w:p>
    <w:p w14:paraId="35CB819B" w14:textId="77777777" w:rsidR="00001A44" w:rsidRPr="00001A44" w:rsidRDefault="00001A44" w:rsidP="00001A44">
      <w:pPr>
        <w:spacing w:before="0" w:after="160" w:line="259" w:lineRule="auto"/>
        <w:rPr>
          <w:rFonts w:cs="Times New Roman"/>
          <w:bCs/>
          <w:color w:val="000000" w:themeColor="text1"/>
          <w:kern w:val="2"/>
          <w:szCs w:val="24"/>
          <w:lang w:val="en-GB"/>
        </w:rPr>
      </w:pPr>
      <w:r w:rsidRPr="00001A44">
        <w:rPr>
          <w:rFonts w:cs="Times New Roman"/>
          <w:bCs/>
          <w:color w:val="000000" w:themeColor="text1"/>
          <w:kern w:val="2"/>
          <w:szCs w:val="24"/>
          <w:lang w:val="en-GB"/>
        </w:rPr>
        <w:t>Proposed by Arthur Laffer, the Laffer Curve Theory posits that tax rates and government revenue share an inverted-U relationship. While moderate tax increases may enhance revenue, excessively high rates discourage economic participation, reduce compliance, and ultimately lower total revenue (Laffer, 1974). For firms, higher tax rates can suppress investment and profitability, whereas moderate rates and incentives may stimulate growth and compliance.</w:t>
      </w:r>
    </w:p>
    <w:p w14:paraId="082E9E64" w14:textId="77777777" w:rsidR="00001A44" w:rsidRPr="00001A44" w:rsidRDefault="00001A44" w:rsidP="00001A44">
      <w:pPr>
        <w:spacing w:before="0" w:after="160" w:line="259" w:lineRule="auto"/>
        <w:rPr>
          <w:rFonts w:cs="Times New Roman"/>
          <w:bCs/>
          <w:color w:val="000000" w:themeColor="text1"/>
          <w:kern w:val="2"/>
          <w:szCs w:val="24"/>
          <w:lang w:val="en-GB"/>
        </w:rPr>
      </w:pPr>
      <w:r w:rsidRPr="00001A44">
        <w:rPr>
          <w:rFonts w:cs="Times New Roman"/>
          <w:bCs/>
          <w:color w:val="000000" w:themeColor="text1"/>
          <w:kern w:val="2"/>
          <w:szCs w:val="24"/>
          <w:lang w:val="en-GB"/>
        </w:rPr>
        <w:t>Within this study, the Laffer Curve framework helps analyze how Kenya’s corporate income tax, VAT systems, customs duties, and fiscal incentives affect firm profitability. Excessive taxation could deter investment and operational expansion, while optimal tax structures might foster growth. The theory is therefore instrumental in assessing whether Kenya’s tax regime operates within a revenue-maximizing range that also supports industrial productivity.</w:t>
      </w:r>
    </w:p>
    <w:p w14:paraId="4A29695C" w14:textId="77777777" w:rsidR="00001A44" w:rsidRPr="00001A44" w:rsidRDefault="00001A44" w:rsidP="00001A44">
      <w:pPr>
        <w:spacing w:before="0" w:after="160" w:line="259" w:lineRule="auto"/>
        <w:rPr>
          <w:rFonts w:cs="Times New Roman"/>
          <w:bCs/>
          <w:color w:val="000000" w:themeColor="text1"/>
          <w:kern w:val="2"/>
          <w:szCs w:val="24"/>
          <w:lang w:val="en-GB"/>
        </w:rPr>
      </w:pPr>
      <w:r w:rsidRPr="00001A44">
        <w:rPr>
          <w:rFonts w:cs="Times New Roman"/>
          <w:bCs/>
          <w:color w:val="000000" w:themeColor="text1"/>
          <w:kern w:val="2"/>
          <w:szCs w:val="24"/>
          <w:lang w:val="en-GB"/>
        </w:rPr>
        <w:t>Nevertheless, critics highlight the theory’s simplicity and its lack of empirical precision in determining optimal tax rates. Piketty, Saez, and Stantcheva (2014) argued that economic activity depends on multiple factors, including public spending and enforcement mechanisms, not merely tax rates. Romer and Romer (2010) further observed that tax cuts do not always yield higher revenues, as implied by the theory, but can instead create budget deficits. Despite these limitations, the Laffer Curve Theory remains relevant for this research as it illuminates the balance governments must strike between taxation and firm performance.</w:t>
      </w:r>
    </w:p>
    <w:p w14:paraId="2E813407" w14:textId="77777777" w:rsidR="00001A44" w:rsidRPr="00001A44" w:rsidRDefault="00001A44" w:rsidP="00001A44">
      <w:pPr>
        <w:spacing w:before="0" w:after="160" w:line="259" w:lineRule="auto"/>
        <w:rPr>
          <w:rFonts w:cs="Times New Roman"/>
          <w:bCs/>
          <w:color w:val="000000" w:themeColor="text1"/>
          <w:kern w:val="2"/>
          <w:szCs w:val="24"/>
          <w:lang w:val="en-GB"/>
        </w:rPr>
      </w:pPr>
      <w:r w:rsidRPr="00001A44">
        <w:rPr>
          <w:rFonts w:cs="Times New Roman"/>
          <w:bCs/>
          <w:color w:val="000000" w:themeColor="text1"/>
          <w:kern w:val="2"/>
          <w:szCs w:val="24"/>
          <w:lang w:val="en-GB"/>
        </w:rPr>
        <w:t>Arnold Harberger’s Excess Burden of Taxation Theory (1964) explains that taxation creates deadweight loss by distorting market decisions and reducing economic efficiency. High taxes discourage investment and productivity as firms adjust behavior to minimize tax exposure. For manufacturing firms, this can manifest through reduced output, slower expansion, or resource reallocation to less productive sectors.</w:t>
      </w:r>
    </w:p>
    <w:p w14:paraId="2D595A5E" w14:textId="77777777" w:rsidR="00001A44" w:rsidRPr="00001A44" w:rsidRDefault="00001A44" w:rsidP="00001A44">
      <w:pPr>
        <w:spacing w:before="0" w:after="160" w:line="259" w:lineRule="auto"/>
        <w:rPr>
          <w:rFonts w:cs="Times New Roman"/>
          <w:bCs/>
          <w:color w:val="000000" w:themeColor="text1"/>
          <w:kern w:val="2"/>
          <w:szCs w:val="24"/>
          <w:lang w:val="en-GB"/>
        </w:rPr>
      </w:pPr>
      <w:r w:rsidRPr="00001A44">
        <w:rPr>
          <w:rFonts w:cs="Times New Roman"/>
          <w:bCs/>
          <w:color w:val="000000" w:themeColor="text1"/>
          <w:kern w:val="2"/>
          <w:szCs w:val="24"/>
          <w:lang w:val="en-GB"/>
        </w:rPr>
        <w:t>Applied to this study, Harberger’s theory provides a foundation for examining how corporate income taxes, VAT, customs duties, and fiscal incentives influence firm performance. Excessive taxation may constrain reinvestment and profitability, while tax incentives can mitigate inefficiencies and enhance financial sustainability. The theory thus sheds light on the economic costs of inefficient tax structures and their implications for Kenya’s manufacturing competitiveness.</w:t>
      </w:r>
    </w:p>
    <w:p w14:paraId="6C213BBC" w14:textId="280C366B" w:rsidR="00B449E1" w:rsidRPr="007A56B8" w:rsidRDefault="00001A44" w:rsidP="00001A44">
      <w:pPr>
        <w:spacing w:before="0" w:after="160" w:line="259" w:lineRule="auto"/>
        <w:rPr>
          <w:rFonts w:cs="Times New Roman"/>
          <w:bCs/>
          <w:color w:val="000000" w:themeColor="text1"/>
          <w:szCs w:val="24"/>
        </w:rPr>
      </w:pPr>
      <w:r w:rsidRPr="00001A44">
        <w:rPr>
          <w:rFonts w:cs="Times New Roman"/>
          <w:bCs/>
          <w:color w:val="000000" w:themeColor="text1"/>
          <w:kern w:val="2"/>
          <w:szCs w:val="24"/>
          <w:lang w:val="en-GB"/>
        </w:rPr>
        <w:t>However, scholars such as Diamond and Mirrlees (1971) criticized the theory for generalizing that all taxes create inefficiencies, overlooking instances where well-structured taxation supports growth through productive public investment. Similarly, Saez (2001) argued that firms often adapt to taxation through innovation rather than reducing productivity. Nonetheless, Harberger’s framework remains relevant as it underscores how poorly designed tax regimes can impose financial constraints on firms, while efficient tax policies enhance productivity and profitability.</w:t>
      </w:r>
      <w:r>
        <w:rPr>
          <w:rFonts w:cs="Times New Roman"/>
          <w:bCs/>
          <w:color w:val="000000" w:themeColor="text1"/>
          <w:kern w:val="2"/>
          <w:szCs w:val="24"/>
          <w:lang w:val="en-GB"/>
        </w:rPr>
        <w:t xml:space="preserve"> </w:t>
      </w:r>
      <w:r w:rsidRPr="00001A44">
        <w:rPr>
          <w:rFonts w:cs="Times New Roman"/>
          <w:bCs/>
          <w:color w:val="000000" w:themeColor="text1"/>
          <w:kern w:val="2"/>
          <w:szCs w:val="24"/>
          <w:lang w:val="en-GB"/>
        </w:rPr>
        <w:t>Together, these theories provide a robust conceptual foundation for this study. The M&amp;M Theory emphasizes the role of tax policies in shaping financing and investment decisions; the Laffer Curve illustrates the trade-off between tax rates and economic activity; and Harberger’s framework highlights the efficiency costs of taxation. Collectively, they offer a multidimensional lens for understanding how Kenya’s corporate income tax, VAT, customs duties, and fiscal incentives influence the financial performance and sustainability of manufacturing firms</w:t>
      </w:r>
      <w:r w:rsidR="00147E4C" w:rsidRPr="007A56B8">
        <w:rPr>
          <w:rFonts w:cs="Times New Roman"/>
          <w:bCs/>
          <w:color w:val="000000" w:themeColor="text1"/>
          <w:kern w:val="2"/>
          <w:szCs w:val="24"/>
          <w:lang w:val="en-GB"/>
        </w:rPr>
        <w:t>.</w:t>
      </w:r>
    </w:p>
    <w:p w14:paraId="278E39F4" w14:textId="77777777" w:rsidR="00001A44" w:rsidRDefault="00001A44" w:rsidP="00151266">
      <w:pPr>
        <w:spacing w:before="0" w:after="160" w:line="259" w:lineRule="auto"/>
        <w:rPr>
          <w:rFonts w:cs="Times New Roman"/>
          <w:b/>
          <w:bCs/>
          <w:i/>
          <w:iCs/>
          <w:color w:val="000000" w:themeColor="text1"/>
          <w:sz w:val="28"/>
          <w:szCs w:val="28"/>
        </w:rPr>
      </w:pPr>
      <w:r w:rsidRPr="00001A44">
        <w:rPr>
          <w:rFonts w:cs="Times New Roman"/>
          <w:b/>
          <w:bCs/>
          <w:i/>
          <w:iCs/>
          <w:color w:val="000000" w:themeColor="text1"/>
          <w:sz w:val="28"/>
          <w:szCs w:val="28"/>
        </w:rPr>
        <w:t xml:space="preserve">Empirical Review </w:t>
      </w:r>
    </w:p>
    <w:p w14:paraId="180876D8" w14:textId="77777777" w:rsidR="00EF2DD5" w:rsidRPr="00EF2DD5" w:rsidRDefault="00EF2DD5" w:rsidP="00EF2DD5">
      <w:pPr>
        <w:spacing w:before="0" w:after="160" w:line="259" w:lineRule="auto"/>
        <w:rPr>
          <w:rFonts w:cs="Times New Roman"/>
          <w:color w:val="000000" w:themeColor="text1"/>
          <w:szCs w:val="24"/>
        </w:rPr>
      </w:pPr>
      <w:r w:rsidRPr="00EF2DD5">
        <w:rPr>
          <w:rFonts w:cs="Times New Roman"/>
          <w:color w:val="000000" w:themeColor="text1"/>
          <w:szCs w:val="24"/>
        </w:rPr>
        <w:t>The empirical review synthesizes prior research on tax policies and firm performance, critically evaluating studies by purpose, scope, methodology, findings, and limitations. This analysis identifies gaps in existing literature and informs the development of a robust framework for examining the Kenyan manufacturing sector.</w:t>
      </w:r>
    </w:p>
    <w:p w14:paraId="5352D350" w14:textId="13788639" w:rsidR="00EF2DD5" w:rsidRPr="00EF2DD5" w:rsidRDefault="00EF2DD5" w:rsidP="00EF2DD5">
      <w:pPr>
        <w:spacing w:before="0" w:after="160" w:line="259" w:lineRule="auto"/>
        <w:rPr>
          <w:rFonts w:cs="Times New Roman"/>
          <w:color w:val="000000" w:themeColor="text1"/>
          <w:szCs w:val="24"/>
        </w:rPr>
      </w:pPr>
      <w:r w:rsidRPr="00EF2DD5">
        <w:rPr>
          <w:rFonts w:cs="Times New Roman"/>
          <w:color w:val="000000" w:themeColor="text1"/>
          <w:szCs w:val="24"/>
        </w:rPr>
        <w:t>Djankov et al. (2010) assessed corporate tax burdens across 85 countries using PricewaterhouseCoopers survey data. A 10% rise in effective tax rates reduced the investment-to-GDP ratio by 2%, alongside declines in FDI and entrepreneurship. However, the cross-sectional design limited temporal insights. The current study addresses this by employing panel data to capture evolving effects on Kenyan firms.</w:t>
      </w:r>
      <w:r>
        <w:rPr>
          <w:rFonts w:cs="Times New Roman"/>
          <w:color w:val="000000" w:themeColor="text1"/>
          <w:szCs w:val="24"/>
        </w:rPr>
        <w:t xml:space="preserve"> </w:t>
      </w:r>
      <w:r w:rsidRPr="00EF2DD5">
        <w:rPr>
          <w:rFonts w:cs="Times New Roman"/>
          <w:color w:val="000000" w:themeColor="text1"/>
          <w:szCs w:val="24"/>
        </w:rPr>
        <w:t>Lee and Gordon (2005) analyzed 70 countries (1970–1997) and found that a 10-point reduction in statutory corporate tax rates increased GDP growth by 1–2%. While highlighting macroeconomic benefits, the study overlooked firm-level outcomes. The present research narrows this gap by focusing on financial indicators within Kenyan manufacturing.</w:t>
      </w:r>
    </w:p>
    <w:p w14:paraId="24113F54" w14:textId="3614BA6A" w:rsidR="00EF2DD5" w:rsidRPr="00EF2DD5" w:rsidRDefault="00EF2DD5" w:rsidP="00EF2DD5">
      <w:pPr>
        <w:spacing w:before="0" w:after="160" w:line="259" w:lineRule="auto"/>
        <w:rPr>
          <w:rFonts w:cs="Times New Roman"/>
          <w:color w:val="000000" w:themeColor="text1"/>
          <w:szCs w:val="24"/>
        </w:rPr>
      </w:pPr>
      <w:r w:rsidRPr="00EF2DD5">
        <w:rPr>
          <w:rFonts w:cs="Times New Roman"/>
          <w:color w:val="000000" w:themeColor="text1"/>
          <w:szCs w:val="24"/>
        </w:rPr>
        <w:t>Dartey (2023) examined firms in Ghana, Nigeria, and South Africa (2010–2020) using GMM estimation. Results showed that a 5% tax increase reduced firm growth by 1.5%, as higher taxes constrained reinvestment and debt servicing. While regionally broad, the study lacked Kenya-specific insights, which this research provides.</w:t>
      </w:r>
      <w:r>
        <w:rPr>
          <w:rFonts w:cs="Times New Roman"/>
          <w:color w:val="000000" w:themeColor="text1"/>
          <w:szCs w:val="24"/>
        </w:rPr>
        <w:t xml:space="preserve"> </w:t>
      </w:r>
      <w:r w:rsidRPr="00EF2DD5">
        <w:rPr>
          <w:rFonts w:cs="Times New Roman"/>
          <w:color w:val="000000" w:themeColor="text1"/>
          <w:szCs w:val="24"/>
        </w:rPr>
        <w:t>Mushunje (2023) applied a predator-prey model in South Africa, finding that tax rates above 30% reduced firm viability and tax revenue. Although conceptually valuable, the reliance on simulations lacked empirical grounding. The current study uses audited Kenyan data to validate such dynamics.</w:t>
      </w:r>
      <w:r>
        <w:rPr>
          <w:rFonts w:cs="Times New Roman"/>
          <w:color w:val="000000" w:themeColor="text1"/>
          <w:szCs w:val="24"/>
        </w:rPr>
        <w:t xml:space="preserve"> </w:t>
      </w:r>
      <w:r w:rsidRPr="00EF2DD5">
        <w:rPr>
          <w:rFonts w:cs="Times New Roman"/>
          <w:color w:val="000000" w:themeColor="text1"/>
          <w:szCs w:val="24"/>
        </w:rPr>
        <w:t>Otwani et al. (2017) analyzed 20 Kenyan manufacturing firms (2006–2015) and found that a 3% tax increase reduced ROA by 1%. However, the focus on listed firms limited generalizability. This study expands coverage to both listed and unlisted firms.</w:t>
      </w:r>
      <w:r>
        <w:rPr>
          <w:rFonts w:cs="Times New Roman"/>
          <w:color w:val="000000" w:themeColor="text1"/>
          <w:szCs w:val="24"/>
        </w:rPr>
        <w:t xml:space="preserve"> </w:t>
      </w:r>
      <w:r w:rsidRPr="00EF2DD5">
        <w:rPr>
          <w:rFonts w:cs="Times New Roman"/>
          <w:color w:val="000000" w:themeColor="text1"/>
          <w:szCs w:val="24"/>
        </w:rPr>
        <w:t>Kariuki (2017) surveyed 50 listed Kenyan firms (2012–2016), showing that strategic tax planning raised net profit margins by 2%. Yet, reliance on self-reported data risked bias. The present study mitigates this by using audited financial statements.</w:t>
      </w:r>
    </w:p>
    <w:p w14:paraId="589FBFFC" w14:textId="33577575" w:rsidR="00EF2DD5" w:rsidRPr="00EF2DD5" w:rsidRDefault="00EF2DD5" w:rsidP="00EF2DD5">
      <w:pPr>
        <w:spacing w:before="0" w:after="160" w:line="259" w:lineRule="auto"/>
        <w:rPr>
          <w:rFonts w:cs="Times New Roman"/>
          <w:color w:val="000000" w:themeColor="text1"/>
          <w:szCs w:val="24"/>
        </w:rPr>
      </w:pPr>
      <w:r w:rsidRPr="00EF2DD5">
        <w:rPr>
          <w:rFonts w:cs="Times New Roman"/>
          <w:color w:val="000000" w:themeColor="text1"/>
          <w:szCs w:val="24"/>
        </w:rPr>
        <w:t>Liu et al. (2023) studied China’s VAT reform (2012–2020) using DID estimation on 500,000 firms. A VAT cut from 16% to 13% increased profitability by 4.2% and employment by 8.5%. However, the focus was on employment rather than direct financial metrics. The current study addresses this by examining ROA and revenue growth in Kenya.</w:t>
      </w:r>
      <w:r>
        <w:rPr>
          <w:rFonts w:cs="Times New Roman"/>
          <w:color w:val="000000" w:themeColor="text1"/>
          <w:szCs w:val="24"/>
        </w:rPr>
        <w:t xml:space="preserve"> </w:t>
      </w:r>
      <w:r w:rsidRPr="00EF2DD5">
        <w:rPr>
          <w:rFonts w:cs="Times New Roman"/>
          <w:color w:val="000000" w:themeColor="text1"/>
          <w:szCs w:val="24"/>
        </w:rPr>
        <w:t>Ogbonnaya and Okereke (2022) analyzed 150 Nigerian firms (2010–2020). VAT exemptions on raw materials raised GPM by 12.4%, while exemptions on capital goods improved ROE by 9.8%. Yet, inflation and exchange rates were ignored. This study incorporates such macroeconomic controls.</w:t>
      </w:r>
    </w:p>
    <w:p w14:paraId="3026D3EE" w14:textId="604F566F" w:rsidR="00EF2DD5" w:rsidRPr="00EF2DD5" w:rsidRDefault="00EF2DD5" w:rsidP="00EF2DD5">
      <w:pPr>
        <w:spacing w:before="0" w:after="160" w:line="259" w:lineRule="auto"/>
        <w:rPr>
          <w:rFonts w:cs="Times New Roman"/>
          <w:color w:val="000000" w:themeColor="text1"/>
          <w:szCs w:val="24"/>
        </w:rPr>
      </w:pPr>
      <w:r w:rsidRPr="00EF2DD5">
        <w:rPr>
          <w:rFonts w:cs="Times New Roman"/>
          <w:color w:val="000000" w:themeColor="text1"/>
          <w:szCs w:val="24"/>
        </w:rPr>
        <w:t>Omodero and Eriabie (2022) linked VAT revenue growth in Nigeria (2010–2021) to a 15% rise in industrial production. However, reliance on national aggregates limited firm-level insights. The present study uses audited Kenyan firm data for specificity.</w:t>
      </w:r>
      <w:r>
        <w:rPr>
          <w:rFonts w:cs="Times New Roman"/>
          <w:color w:val="000000" w:themeColor="text1"/>
          <w:szCs w:val="24"/>
        </w:rPr>
        <w:t xml:space="preserve"> </w:t>
      </w:r>
      <w:r w:rsidRPr="00EF2DD5">
        <w:rPr>
          <w:rFonts w:cs="Times New Roman"/>
          <w:color w:val="000000" w:themeColor="text1"/>
          <w:szCs w:val="24"/>
        </w:rPr>
        <w:t>Mwangi et al. (2021) examined 447 Nairobi firms (2009–2018). Zero-rated VAT improved NPM by 12%, while exemptions on capital goods raised ROA by 9%. Yet, macroeconomic influences were overlooked. This study integrates such variables for robustness.</w:t>
      </w:r>
    </w:p>
    <w:p w14:paraId="016D0846" w14:textId="3026FC27" w:rsidR="00EF2DD5" w:rsidRPr="00EF2DD5" w:rsidRDefault="00EF2DD5" w:rsidP="00EF2DD5">
      <w:pPr>
        <w:spacing w:before="0" w:after="160" w:line="259" w:lineRule="auto"/>
        <w:rPr>
          <w:rFonts w:cs="Times New Roman"/>
          <w:color w:val="000000" w:themeColor="text1"/>
          <w:szCs w:val="24"/>
        </w:rPr>
      </w:pPr>
      <w:r w:rsidRPr="00EF2DD5">
        <w:rPr>
          <w:rFonts w:cs="Times New Roman"/>
          <w:color w:val="000000" w:themeColor="text1"/>
          <w:szCs w:val="24"/>
        </w:rPr>
        <w:t>Gachigo (2024) studied Kenyan telecom firms (2016–2022), finding that a VAT rise from 14% to 16% reduced NPM by 3.5% and raised costs by 7%. However, telecoms differ structurally from manufacturers. The current study fills this contextual gap.</w:t>
      </w:r>
      <w:r>
        <w:rPr>
          <w:rFonts w:cs="Times New Roman"/>
          <w:color w:val="000000" w:themeColor="text1"/>
          <w:szCs w:val="24"/>
        </w:rPr>
        <w:t xml:space="preserve"> </w:t>
      </w:r>
      <w:r w:rsidRPr="00EF2DD5">
        <w:rPr>
          <w:rFonts w:cs="Times New Roman"/>
          <w:color w:val="000000" w:themeColor="text1"/>
          <w:szCs w:val="24"/>
        </w:rPr>
        <w:t>Mwangi et al. (2021) also found that VAT-compliant pricing strategies increased revenue by 8%, while late remittances reduced earnings by 5%. Yet, the lack of industry-specific breakdowns limited insights. This study categorizes firms by size and sector for nuanced analysis.</w:t>
      </w:r>
    </w:p>
    <w:p w14:paraId="4811DCBC" w14:textId="7BC01CE0" w:rsidR="00EF2DD5" w:rsidRPr="00EF2DD5" w:rsidRDefault="00EF2DD5" w:rsidP="00EF2DD5">
      <w:pPr>
        <w:spacing w:before="0" w:after="160" w:line="259" w:lineRule="auto"/>
        <w:rPr>
          <w:rFonts w:cs="Times New Roman"/>
          <w:color w:val="000000" w:themeColor="text1"/>
          <w:szCs w:val="24"/>
        </w:rPr>
      </w:pPr>
      <w:r w:rsidRPr="00EF2DD5">
        <w:rPr>
          <w:rFonts w:cs="Times New Roman"/>
          <w:color w:val="000000" w:themeColor="text1"/>
          <w:szCs w:val="24"/>
        </w:rPr>
        <w:t>Córdova-León et al. (2022) studied 120 Ecuadorian firms, finding that tax incentives raised ROA by 14%. However, the focus on Ecuador limited African applicability. This study contextualizes findings within Kenya’s fiscal environment.</w:t>
      </w:r>
      <w:r>
        <w:rPr>
          <w:rFonts w:cs="Times New Roman"/>
          <w:color w:val="000000" w:themeColor="text1"/>
          <w:szCs w:val="24"/>
        </w:rPr>
        <w:t xml:space="preserve"> </w:t>
      </w:r>
      <w:r w:rsidRPr="00EF2DD5">
        <w:rPr>
          <w:rFonts w:cs="Times New Roman"/>
          <w:color w:val="000000" w:themeColor="text1"/>
          <w:szCs w:val="24"/>
        </w:rPr>
        <w:t>Zeng et al. (2025) analyzed 300 Chinese NEV firms (2010–2024) using DID models. Tax incentives boosted sales by 20% and NPM by 9%. Yet, sector-specificity limited generalization. The current study broadens scope to diverse Kenyan manufacturers.</w:t>
      </w:r>
    </w:p>
    <w:p w14:paraId="34DA9EA4" w14:textId="3516E1D6" w:rsidR="00EF2DD5" w:rsidRPr="00EF2DD5" w:rsidRDefault="00EF2DD5" w:rsidP="00EF2DD5">
      <w:pPr>
        <w:spacing w:before="0" w:after="160" w:line="259" w:lineRule="auto"/>
        <w:rPr>
          <w:rFonts w:cs="Times New Roman"/>
          <w:color w:val="000000" w:themeColor="text1"/>
          <w:szCs w:val="24"/>
        </w:rPr>
      </w:pPr>
      <w:r w:rsidRPr="00EF2DD5">
        <w:rPr>
          <w:rFonts w:cs="Times New Roman"/>
          <w:color w:val="000000" w:themeColor="text1"/>
          <w:szCs w:val="24"/>
        </w:rPr>
        <w:t>Mayende (2013) examined Ugandan firms (2006–2011), finding that tax incentives raised ROI by 10% and retained earnings by 12%. However, external economic factors were not controlled. This study incorporates inflation and GDP growth as controls.</w:t>
      </w:r>
      <w:r>
        <w:rPr>
          <w:rFonts w:cs="Times New Roman"/>
          <w:color w:val="000000" w:themeColor="text1"/>
          <w:szCs w:val="24"/>
        </w:rPr>
        <w:t xml:space="preserve"> </w:t>
      </w:r>
      <w:r w:rsidRPr="00EF2DD5">
        <w:rPr>
          <w:rFonts w:cs="Times New Roman"/>
          <w:color w:val="000000" w:themeColor="text1"/>
          <w:szCs w:val="24"/>
        </w:rPr>
        <w:t>Oyerogba et al. (2024) analyzed 50 Nigerian listed firms (2012–2022). Tax incentives improved ROE by 17% and cash flow by 13%. Yet, small firms were excluded. This study includes both listed and unlisted Kenyan firms.</w:t>
      </w:r>
      <w:r>
        <w:rPr>
          <w:rFonts w:cs="Times New Roman"/>
          <w:color w:val="000000" w:themeColor="text1"/>
          <w:szCs w:val="24"/>
        </w:rPr>
        <w:t xml:space="preserve"> </w:t>
      </w:r>
      <w:r w:rsidRPr="00EF2DD5">
        <w:rPr>
          <w:rFonts w:cs="Times New Roman"/>
          <w:color w:val="000000" w:themeColor="text1"/>
          <w:szCs w:val="24"/>
        </w:rPr>
        <w:t>Karimi and Wanjohi (2024) studied 100 Nairobi firms, finding that incentives improved NPM by 10% and ROA by 15%. However, the county-specific scope limited generalization. This study expands to multiple counties.</w:t>
      </w:r>
      <w:r>
        <w:rPr>
          <w:rFonts w:cs="Times New Roman"/>
          <w:color w:val="000000" w:themeColor="text1"/>
          <w:szCs w:val="24"/>
        </w:rPr>
        <w:t xml:space="preserve"> </w:t>
      </w:r>
      <w:r w:rsidRPr="00EF2DD5">
        <w:rPr>
          <w:rFonts w:cs="Times New Roman"/>
          <w:color w:val="000000" w:themeColor="text1"/>
          <w:szCs w:val="24"/>
        </w:rPr>
        <w:t>Ochieng (2020) examined 30 EPZ firms in Mombasa (2015–2019). Tax exemptions raised ROCE by 18% and operating margins by 12%. Yet, EPZ-specific regimes limited applicability. This study includes both EPZ and non-EPZ firms.</w:t>
      </w:r>
    </w:p>
    <w:p w14:paraId="1AB287E2" w14:textId="2C6446D0" w:rsidR="00EF2DD5" w:rsidRPr="00EF2DD5" w:rsidRDefault="00EF2DD5" w:rsidP="00EF2DD5">
      <w:pPr>
        <w:spacing w:before="0" w:after="160" w:line="259" w:lineRule="auto"/>
        <w:rPr>
          <w:rFonts w:cs="Times New Roman"/>
          <w:color w:val="000000" w:themeColor="text1"/>
          <w:szCs w:val="24"/>
        </w:rPr>
      </w:pPr>
      <w:r w:rsidRPr="00EF2DD5">
        <w:rPr>
          <w:rFonts w:cs="Times New Roman"/>
          <w:color w:val="000000" w:themeColor="text1"/>
          <w:szCs w:val="24"/>
        </w:rPr>
        <w:t>Amiti et al. (2019) analyzed U.S. tariffs (2018), finding that a 10% tariff increase raised producer costs by 0.3% and consumer prices by 0.4%. While highlighting cost burdens, the study overlooked firm-level financial indicators. The current study addresses this gap in Kenya.</w:t>
      </w:r>
      <w:r>
        <w:rPr>
          <w:rFonts w:cs="Times New Roman"/>
          <w:color w:val="000000" w:themeColor="text1"/>
          <w:szCs w:val="24"/>
        </w:rPr>
        <w:t xml:space="preserve"> </w:t>
      </w:r>
      <w:r w:rsidRPr="00EF2DD5">
        <w:rPr>
          <w:rFonts w:cs="Times New Roman"/>
          <w:color w:val="000000" w:themeColor="text1"/>
          <w:szCs w:val="24"/>
        </w:rPr>
        <w:t>Fajgelbaum and Khandelwal (2022) examined the U.S.–China trade war, finding that reliance on Chinese imports raised costs by 6.2% and reduced margins by 4.5%. Yet, firm adaptation strategies were not explored. This study investigates how Kenyan firms navigate such pressures.</w:t>
      </w:r>
    </w:p>
    <w:p w14:paraId="5833FC5F" w14:textId="65EBAA75" w:rsidR="00EF2DD5" w:rsidRPr="00EF2DD5" w:rsidRDefault="00EF2DD5" w:rsidP="00EF2DD5">
      <w:pPr>
        <w:spacing w:before="0" w:after="160" w:line="259" w:lineRule="auto"/>
        <w:rPr>
          <w:rFonts w:cs="Times New Roman"/>
          <w:color w:val="000000" w:themeColor="text1"/>
          <w:szCs w:val="24"/>
        </w:rPr>
      </w:pPr>
      <w:r w:rsidRPr="00EF2DD5">
        <w:rPr>
          <w:rFonts w:cs="Times New Roman"/>
          <w:color w:val="000000" w:themeColor="text1"/>
          <w:szCs w:val="24"/>
        </w:rPr>
        <w:t>Okereke et al. (2023) studied 150 Nigerian textile firms, finding that tariffs reduced imports by 12% but raised raw material costs by 2.5%. While insightful, the sector-specific scope limited generalization. This study extends analysis to multiple Kenyan industries.</w:t>
      </w:r>
      <w:r>
        <w:rPr>
          <w:rFonts w:cs="Times New Roman"/>
          <w:color w:val="000000" w:themeColor="text1"/>
          <w:szCs w:val="24"/>
        </w:rPr>
        <w:t xml:space="preserve"> </w:t>
      </w:r>
      <w:r w:rsidRPr="00EF2DD5">
        <w:rPr>
          <w:rFonts w:cs="Times New Roman"/>
          <w:color w:val="000000" w:themeColor="text1"/>
          <w:szCs w:val="24"/>
        </w:rPr>
        <w:t>Matlala (2024) examined South African tobacco firms (2010–2023), finding that a 15% excise duty increase raised illicit trade by 10.5%, reducing legal firms’ revenue. Yet, the focus on tobacco limited applicability. This study explores broader sectoral impacts.</w:t>
      </w:r>
    </w:p>
    <w:p w14:paraId="6DEDDCA1" w14:textId="219BD288" w:rsidR="00EF2DD5" w:rsidRPr="00EF2DD5" w:rsidRDefault="00EF2DD5" w:rsidP="00EF2DD5">
      <w:pPr>
        <w:spacing w:before="0" w:after="160" w:line="259" w:lineRule="auto"/>
        <w:rPr>
          <w:rFonts w:cs="Times New Roman"/>
          <w:color w:val="000000" w:themeColor="text1"/>
          <w:szCs w:val="24"/>
        </w:rPr>
      </w:pPr>
      <w:r w:rsidRPr="00EF2DD5">
        <w:rPr>
          <w:rFonts w:cs="Times New Roman"/>
          <w:color w:val="000000" w:themeColor="text1"/>
          <w:szCs w:val="24"/>
        </w:rPr>
        <w:t>Mwangi and Gitau (2022) analyzed Kenyan firms (2015–2021), finding that customs duty incentives raised ROA by 8.5% and NPM by 5.2%. However, risks of overreliance on incentives were not addressed. This study evaluates both benefits and risks.</w:t>
      </w:r>
      <w:r>
        <w:rPr>
          <w:rFonts w:cs="Times New Roman"/>
          <w:color w:val="000000" w:themeColor="text1"/>
          <w:szCs w:val="24"/>
        </w:rPr>
        <w:t xml:space="preserve"> </w:t>
      </w:r>
      <w:r w:rsidRPr="00EF2DD5">
        <w:rPr>
          <w:rFonts w:cs="Times New Roman"/>
          <w:color w:val="000000" w:themeColor="text1"/>
          <w:szCs w:val="24"/>
        </w:rPr>
        <w:t>Otieno (2011) studied Kenyan sugar firms (2005–2010), finding that higher taxes reduced NPM by 7.3%. However, the outdated scope limited relevance. This study updates the analysis with recent data (2018–2025) across multiple sectors.</w:t>
      </w:r>
    </w:p>
    <w:p w14:paraId="1211445F" w14:textId="6F8966EB" w:rsidR="00CB6E82" w:rsidRPr="007A56B8" w:rsidRDefault="00EF2DD5" w:rsidP="00EF2DD5">
      <w:pPr>
        <w:spacing w:before="0" w:after="160" w:line="259" w:lineRule="auto"/>
        <w:rPr>
          <w:rFonts w:cs="Times New Roman"/>
          <w:color w:val="000000" w:themeColor="text1"/>
          <w:szCs w:val="24"/>
        </w:rPr>
      </w:pPr>
      <w:r w:rsidRPr="00EF2DD5">
        <w:rPr>
          <w:rFonts w:cs="Times New Roman"/>
          <w:color w:val="000000" w:themeColor="text1"/>
          <w:szCs w:val="24"/>
        </w:rPr>
        <w:t>The reviewed literature demonstrates that tax policies significantly influence firm performance across contexts. Corporate tax rates affect investment, leverage, and profitability; VAT policies shape margins and compliance costs; tax incentives enhance competitiveness and growth; and customs/excise duties alter cost structures and sustainability. However, gaps persist in temporal scope, methodological rigor, and contextual relevance. By focusing on Kenyan manufacturing firms, this study addresses these limitations, offering a comprehensive and empirically grounded evaluation of tax policies’ financial implications</w:t>
      </w:r>
      <w:r w:rsidR="00151266" w:rsidRPr="00151266">
        <w:rPr>
          <w:rFonts w:cs="Times New Roman"/>
          <w:color w:val="000000" w:themeColor="text1"/>
          <w:szCs w:val="24"/>
        </w:rPr>
        <w:t>.</w:t>
      </w:r>
    </w:p>
    <w:p w14:paraId="35BCEF5F" w14:textId="1EFB8069" w:rsidR="00055D83" w:rsidRPr="007A56B8" w:rsidRDefault="00055D83" w:rsidP="002C6F25">
      <w:pPr>
        <w:spacing w:line="240" w:lineRule="auto"/>
        <w:rPr>
          <w:rFonts w:cs="Times New Roman"/>
          <w:b/>
          <w:bCs/>
          <w:color w:val="000000" w:themeColor="text1"/>
          <w:sz w:val="28"/>
          <w:szCs w:val="28"/>
        </w:rPr>
      </w:pPr>
      <w:r w:rsidRPr="007A56B8">
        <w:rPr>
          <w:rFonts w:cs="Times New Roman"/>
          <w:b/>
          <w:bCs/>
          <w:color w:val="000000" w:themeColor="text1"/>
          <w:sz w:val="28"/>
          <w:szCs w:val="28"/>
        </w:rPr>
        <w:t>3.0 RESEARCH METHODOLOGY</w:t>
      </w:r>
    </w:p>
    <w:p w14:paraId="3EAF2507" w14:textId="77777777"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This study adopted a descriptive research design to examine the relationship between tax policies and the financial performance of manufacturing firms in Kenya. The design was appropriate for observing and describing real-world relationships without manipulating variables, thus enabling a deeper understanding of how corporate income tax rates, value-added tax (VAT) policies, tax incentives, and customs duties influence firms’ profitability. Descriptive research is also effective in handling cross-sectional data, allowing comparison across firms and sub-sectors (Bryman, 2021). This approach provided reliable and policy-relevant insights into the impacts of taxation on manufacturing performance.</w:t>
      </w:r>
    </w:p>
    <w:p w14:paraId="1DE7F5E2" w14:textId="77777777"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The target population comprised 243 registered manufacturing firms in Kenya, as listed in the Kenya Association of Manufacturers (KAM) 2023 Industrial Survey. These firms operate across diverse sub-sectors such as food processing, textiles, chemicals, construction materials, and metal products, which together contribute significantly to Kenya’s GDP. The sector was selected because it generates substantial tax revenue and is highly responsive to fiscal policy changes. The KAM registry provided a dependable sampling frame for this study.</w:t>
      </w:r>
    </w:p>
    <w:p w14:paraId="6C0F785D" w14:textId="174CDBEA"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A stratified random sampling design was employed to ensure fair representation across all manufacturing sub-sectors. This approach categorized the firms into homogeneous groups</w:t>
      </w:r>
      <w:r w:rsidR="00E207BA">
        <w:rPr>
          <w:rFonts w:cs="Times New Roman"/>
          <w:color w:val="000000" w:themeColor="text1"/>
          <w:szCs w:val="24"/>
        </w:rPr>
        <w:t xml:space="preserve"> </w:t>
      </w:r>
      <w:r w:rsidRPr="00442282">
        <w:rPr>
          <w:rFonts w:cs="Times New Roman"/>
          <w:color w:val="000000" w:themeColor="text1"/>
          <w:szCs w:val="24"/>
        </w:rPr>
        <w:t>food processing, textiles, chemicals, construction materials, metal products, and other manufacturing</w:t>
      </w:r>
      <w:r w:rsidR="00E207BA">
        <w:rPr>
          <w:rFonts w:cs="Times New Roman"/>
          <w:color w:val="000000" w:themeColor="text1"/>
          <w:szCs w:val="24"/>
        </w:rPr>
        <w:t xml:space="preserve"> </w:t>
      </w:r>
      <w:r w:rsidRPr="00442282">
        <w:rPr>
          <w:rFonts w:cs="Times New Roman"/>
          <w:color w:val="000000" w:themeColor="text1"/>
          <w:szCs w:val="24"/>
        </w:rPr>
        <w:t>to capture sectoral variations in tax effects. Using Yamane’s (1973) formula with a 5% margin of error, a representative sample size of 100 firms was derived. The sample was proportionately allocated across sub-sectors to maintain representativeness; for instance, 28 firms were drawn from food processing, 19 from chemicals, and 14 from textiles.</w:t>
      </w:r>
    </w:p>
    <w:p w14:paraId="3E191355" w14:textId="00F76975"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Secondary data were collected using a standardized data collection sheet developed to extract financial and tax-related information from verified sources such as audited company reports, Kenya Revenue Authority (KRA) databases, and KAM publications for the 2020–2024 period. The sheet focused on key indicators</w:t>
      </w:r>
      <w:r w:rsidR="00E207BA">
        <w:rPr>
          <w:rFonts w:cs="Times New Roman"/>
          <w:color w:val="000000" w:themeColor="text1"/>
          <w:szCs w:val="24"/>
        </w:rPr>
        <w:t xml:space="preserve"> </w:t>
      </w:r>
      <w:r w:rsidRPr="00442282">
        <w:rPr>
          <w:rFonts w:cs="Times New Roman"/>
          <w:color w:val="000000" w:themeColor="text1"/>
          <w:szCs w:val="24"/>
        </w:rPr>
        <w:t>corporate income tax rate, VAT, tax incentives, customs duties, and financial performance measured by Return on Assets (ROA). Expert reviews and pre-testing enhanced the instrument’s clarity, while data reliability was ensured by using consistent, audited, and verifiable secondary sources (Dalati &amp; Gómez, 2018).</w:t>
      </w:r>
    </w:p>
    <w:p w14:paraId="2FB14190" w14:textId="77777777"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Validity was established through expert evaluation and pilot testing on a small subset of non-sampled firms, confirming the tool’s accuracy and alignment with the study objectives (Mugenda &amp; Mugenda, 2003). Reliability was strengthened by relying on standardized data sources and uniform data extraction procedures, minimizing bias and ensuring replicable results (Gliem &amp; Gliem, 2003).</w:t>
      </w:r>
    </w:p>
    <w:p w14:paraId="5EFDE0C3" w14:textId="77777777"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The data collection procedure involved systematic extraction of information from audited reports and official records, following the acquisition of research permits from relevant authorities such as NACOSTI and Kenyatta University’s Graduate School. The process was conducted solely by the researcher over a four-week period to ensure precision and compliance with ethical standards.</w:t>
      </w:r>
    </w:p>
    <w:p w14:paraId="60C3F5D9" w14:textId="77777777"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 xml:space="preserve">Data analysis combined descriptive and inferential statistics. Descriptive analysis involved computing means, standard deviations, and frequencies to identify trends in taxation and profitability variables. Inferential analysis employed panel data regression, either </w:t>
      </w:r>
      <w:commentRangeStart w:id="6"/>
      <w:r w:rsidRPr="00442282">
        <w:rPr>
          <w:rFonts w:cs="Times New Roman"/>
          <w:color w:val="000000" w:themeColor="text1"/>
          <w:szCs w:val="24"/>
        </w:rPr>
        <w:t xml:space="preserve">using Fixed or Random Effects models, </w:t>
      </w:r>
      <w:commentRangeEnd w:id="6"/>
      <w:r w:rsidR="00D24F2A">
        <w:rPr>
          <w:rStyle w:val="CommentReference"/>
        </w:rPr>
        <w:commentReference w:id="6"/>
      </w:r>
      <w:r w:rsidRPr="00442282">
        <w:rPr>
          <w:rFonts w:cs="Times New Roman"/>
          <w:color w:val="000000" w:themeColor="text1"/>
          <w:szCs w:val="24"/>
        </w:rPr>
        <w:t>to examine the relationship between tax measures and financial performance. The regression model was specified as:</w:t>
      </w:r>
    </w:p>
    <w:p w14:paraId="2ADB926C" w14:textId="77777777"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FP_it = β₀ + β₁CITR_it + β₂VAT_it + β₃TI_it + β₄CED_it + μ_i + ε_it,</w:t>
      </w:r>
    </w:p>
    <w:p w14:paraId="6E3F29D4" w14:textId="77777777"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where financial performance (FP) was measured by ROA, and CITR, VAT, TI, and CED represented the tax policy variables. Correlation analysis complemented regression results by assessing the strength and direction of variable relationships.</w:t>
      </w:r>
    </w:p>
    <w:p w14:paraId="65D22AEA" w14:textId="77777777"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Diagnostic tests were performed to ensure model robustness. Multicollinearity was checked using the Variance Inflation Factor (VIF), with acceptable values below 5. Heteroscedasticity was tested through the Breusch-Pagan test, while autocorrelation was assessed using the Durbin-Watson statistic, where values near 2 indicated no autocorrelation. The Shapiro-Wilk test, alongside Q-Q plots, was applied to verify normality of residuals. Where violations occurred, corrective measures such as transformation or robust estimation techniques were applied.</w:t>
      </w:r>
    </w:p>
    <w:p w14:paraId="0EABB514" w14:textId="77777777"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Operationalization of variables defined financial performance (dependent variable) as Return on Assets (ROA). Independent variables included corporate income tax rate, VAT, tax incentives, and customs and excise duties, each measured as continuous percentages or ratios reflecting their fiscal impact on firms. Positive or negative hypothesized effects were assigned based on theoretical expectations.</w:t>
      </w:r>
    </w:p>
    <w:p w14:paraId="68ECED9B" w14:textId="2C68D735" w:rsidR="009B3203" w:rsidRPr="007A56B8"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Ethical considerations were strictly observed. The study safeguarded confidentiality, avoided data manipulation, and ensured accurate referencing of all secondary sources. Research authorization was obtained from NACOSTI and relevant institutional review boards, underscoring adherence to legal and ethical standards. These methodological procedures collectively ensured that the study’s findings were valid, reliable, and credible for informing fiscal policy and industrial performance in Kenya’s manufacturing sector.</w:t>
      </w:r>
    </w:p>
    <w:p w14:paraId="7C961926" w14:textId="77777777" w:rsidR="00B55CEF" w:rsidRPr="007A56B8" w:rsidRDefault="00B55CEF">
      <w:pPr>
        <w:spacing w:before="0" w:after="160" w:line="259" w:lineRule="auto"/>
        <w:jc w:val="left"/>
        <w:rPr>
          <w:b/>
          <w:bCs/>
          <w:color w:val="000000" w:themeColor="text1"/>
          <w:sz w:val="28"/>
          <w:szCs w:val="24"/>
        </w:rPr>
      </w:pPr>
      <w:r w:rsidRPr="007A56B8">
        <w:rPr>
          <w:b/>
          <w:bCs/>
          <w:color w:val="000000" w:themeColor="text1"/>
          <w:sz w:val="28"/>
          <w:szCs w:val="24"/>
        </w:rPr>
        <w:br w:type="page"/>
      </w:r>
    </w:p>
    <w:p w14:paraId="14C2E9C9" w14:textId="44E6A0E7" w:rsidR="00055D83" w:rsidRDefault="002B2D3C" w:rsidP="00711AB4">
      <w:pPr>
        <w:spacing w:before="0"/>
        <w:rPr>
          <w:b/>
          <w:bCs/>
          <w:color w:val="000000" w:themeColor="text1"/>
          <w:sz w:val="28"/>
          <w:szCs w:val="24"/>
        </w:rPr>
      </w:pPr>
      <w:r w:rsidRPr="007A56B8">
        <w:rPr>
          <w:b/>
          <w:bCs/>
          <w:color w:val="000000" w:themeColor="text1"/>
          <w:sz w:val="28"/>
          <w:szCs w:val="24"/>
        </w:rPr>
        <w:t xml:space="preserve">4.0 </w:t>
      </w:r>
      <w:commentRangeStart w:id="7"/>
      <w:r w:rsidR="00055D83" w:rsidRPr="007A56B8">
        <w:rPr>
          <w:b/>
          <w:bCs/>
          <w:color w:val="000000" w:themeColor="text1"/>
          <w:sz w:val="28"/>
          <w:szCs w:val="24"/>
        </w:rPr>
        <w:t xml:space="preserve">RESULTS </w:t>
      </w:r>
      <w:commentRangeEnd w:id="7"/>
      <w:r w:rsidR="00D24F2A">
        <w:rPr>
          <w:rStyle w:val="CommentReference"/>
        </w:rPr>
        <w:commentReference w:id="7"/>
      </w:r>
    </w:p>
    <w:p w14:paraId="0FC25F82" w14:textId="4E9A3A4F" w:rsidR="007B652A" w:rsidRDefault="007B652A" w:rsidP="00711AB4">
      <w:pPr>
        <w:spacing w:before="0" w:line="240" w:lineRule="auto"/>
        <w:rPr>
          <w:b/>
          <w:bCs/>
          <w:i/>
          <w:iCs/>
          <w:color w:val="000000" w:themeColor="text1"/>
          <w:sz w:val="28"/>
          <w:szCs w:val="24"/>
        </w:rPr>
      </w:pPr>
      <w:r w:rsidRPr="007B652A">
        <w:rPr>
          <w:b/>
          <w:bCs/>
          <w:i/>
          <w:iCs/>
          <w:color w:val="000000" w:themeColor="text1"/>
          <w:sz w:val="28"/>
          <w:szCs w:val="24"/>
        </w:rPr>
        <w:t>Descriptive Analysis</w:t>
      </w:r>
    </w:p>
    <w:p w14:paraId="4C545711" w14:textId="674A7766" w:rsidR="00711AB4" w:rsidRDefault="007B652A" w:rsidP="00711AB4">
      <w:pPr>
        <w:spacing w:before="0" w:line="240" w:lineRule="auto"/>
      </w:pPr>
      <w:r w:rsidRPr="007B652A">
        <w:t>The descriptive analysis revealed key insights into firms’ financial and tax-related performance. Return on Assets (ROA) ranged from -0.0087 to 0.2271, with a mean of 0.0973 and a low standard deviation of 0.025, indicating an average profitability of 9.7% and consistent performance across firms. The Corporate Income Tax Rate (CITR) averaged 2.7%, significantly below the statutory 30%, suggesting the impact of tax incentives, deductions, or compliance challenges. Value Added Tax (VAT) averaged 15.14 with limited variability, implying a relatively uniform and high VAT burden across firms. Tax Incentives (TI) reduced firms’ tax burdens by about 1.1%, showing modest yet evenly distributed government support. Customs and Excise Duties (CED) displayed high variability, with a mean of 0.0696, reflecting uneven application of excise taxes—particularly heavier in sectors like alcohol, tobacco, and fuel. Overall, the results depict profitability stability and tax disparities across industries.</w:t>
      </w:r>
    </w:p>
    <w:p w14:paraId="3D485ED2" w14:textId="77777777" w:rsidR="00711AB4" w:rsidRDefault="00711AB4" w:rsidP="00711AB4">
      <w:pPr>
        <w:spacing w:before="0" w:line="240" w:lineRule="auto"/>
      </w:pPr>
    </w:p>
    <w:p w14:paraId="3AFCC242" w14:textId="0E06FAE9" w:rsidR="00711AB4" w:rsidRDefault="00711AB4" w:rsidP="00711AB4">
      <w:pPr>
        <w:spacing w:before="0" w:line="240" w:lineRule="auto"/>
        <w:rPr>
          <w:b/>
          <w:bCs/>
          <w:i/>
          <w:iCs/>
        </w:rPr>
      </w:pPr>
      <w:r w:rsidRPr="00711AB4">
        <w:rPr>
          <w:b/>
          <w:bCs/>
          <w:i/>
          <w:iCs/>
        </w:rPr>
        <w:t xml:space="preserve">Table </w:t>
      </w:r>
      <w:r w:rsidR="007B652A">
        <w:rPr>
          <w:b/>
          <w:bCs/>
          <w:i/>
          <w:iCs/>
        </w:rPr>
        <w:t>2</w:t>
      </w:r>
      <w:r w:rsidRPr="00711AB4">
        <w:rPr>
          <w:b/>
          <w:bCs/>
          <w:i/>
          <w:iCs/>
        </w:rPr>
        <w:t xml:space="preserve">: </w:t>
      </w:r>
      <w:r w:rsidR="007B652A" w:rsidRPr="007B652A">
        <w:rPr>
          <w:b/>
          <w:bCs/>
          <w:i/>
          <w:iCs/>
        </w:rPr>
        <w:t>Descriptive Analysis</w:t>
      </w:r>
    </w:p>
    <w:p w14:paraId="1ED5291E" w14:textId="77777777" w:rsidR="007B652A" w:rsidRDefault="007B652A" w:rsidP="00711AB4">
      <w:pPr>
        <w:spacing w:before="0" w:line="240" w:lineRule="auto"/>
        <w:rPr>
          <w:b/>
          <w:bCs/>
          <w:i/>
          <w:iCs/>
        </w:rPr>
      </w:pPr>
    </w:p>
    <w:p w14:paraId="666F34B2" w14:textId="77777777" w:rsidR="007B652A" w:rsidRDefault="007B652A" w:rsidP="00711AB4">
      <w:pPr>
        <w:spacing w:before="0" w:line="240" w:lineRule="auto"/>
        <w:rPr>
          <w:b/>
          <w:bCs/>
          <w:i/>
          <w:iCs/>
        </w:rPr>
      </w:pPr>
    </w:p>
    <w:tbl>
      <w:tblPr>
        <w:tblpPr w:leftFromText="180" w:rightFromText="180" w:vertAnchor="text" w:horzAnchor="margin" w:tblpY="-51"/>
        <w:tblW w:w="8137" w:type="dxa"/>
        <w:tblBorders>
          <w:bottom w:val="single" w:sz="4" w:space="0" w:color="auto"/>
        </w:tblBorders>
        <w:tblLayout w:type="fixed"/>
        <w:tblCellMar>
          <w:left w:w="0" w:type="dxa"/>
          <w:right w:w="0" w:type="dxa"/>
        </w:tblCellMar>
        <w:tblLook w:val="0000" w:firstRow="0" w:lastRow="0" w:firstColumn="0" w:lastColumn="0" w:noHBand="0" w:noVBand="0"/>
      </w:tblPr>
      <w:tblGrid>
        <w:gridCol w:w="2123"/>
        <w:gridCol w:w="1340"/>
        <w:gridCol w:w="1379"/>
        <w:gridCol w:w="1494"/>
        <w:gridCol w:w="1801"/>
      </w:tblGrid>
      <w:tr w:rsidR="007B652A" w:rsidRPr="003C569E" w14:paraId="04906D96" w14:textId="77777777" w:rsidTr="007B652A">
        <w:trPr>
          <w:cantSplit/>
          <w:trHeight w:val="343"/>
        </w:trPr>
        <w:tc>
          <w:tcPr>
            <w:tcW w:w="2123" w:type="dxa"/>
            <w:tcBorders>
              <w:top w:val="single" w:sz="4" w:space="0" w:color="auto"/>
              <w:left w:val="single" w:sz="4" w:space="0" w:color="auto"/>
              <w:bottom w:val="single" w:sz="4" w:space="0" w:color="auto"/>
              <w:right w:val="single" w:sz="4" w:space="0" w:color="auto"/>
            </w:tcBorders>
            <w:shd w:val="clear" w:color="auto" w:fill="FFFFFF"/>
            <w:vAlign w:val="bottom"/>
          </w:tcPr>
          <w:p w14:paraId="17FA0CA0" w14:textId="77777777" w:rsidR="007B652A" w:rsidRPr="003C569E" w:rsidRDefault="007B652A" w:rsidP="007B652A">
            <w:pPr>
              <w:autoSpaceDE w:val="0"/>
              <w:autoSpaceDN w:val="0"/>
              <w:adjustRightInd w:val="0"/>
              <w:spacing w:line="240" w:lineRule="auto"/>
              <w:jc w:val="left"/>
              <w:rPr>
                <w:rFonts w:eastAsiaTheme="minorHAnsi"/>
                <w:color w:val="auto"/>
                <w:sz w:val="22"/>
              </w:rPr>
            </w:pPr>
            <w:bookmarkStart w:id="8" w:name="_Hlk209792795"/>
          </w:p>
        </w:tc>
        <w:tc>
          <w:tcPr>
            <w:tcW w:w="1340" w:type="dxa"/>
            <w:tcBorders>
              <w:top w:val="single" w:sz="4" w:space="0" w:color="auto"/>
              <w:bottom w:val="single" w:sz="4" w:space="0" w:color="auto"/>
            </w:tcBorders>
            <w:shd w:val="clear" w:color="auto" w:fill="FFFFFF"/>
            <w:vAlign w:val="bottom"/>
          </w:tcPr>
          <w:p w14:paraId="6EC31164"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Minimum</w:t>
            </w:r>
          </w:p>
        </w:tc>
        <w:tc>
          <w:tcPr>
            <w:tcW w:w="1379" w:type="dxa"/>
            <w:tcBorders>
              <w:top w:val="single" w:sz="4" w:space="0" w:color="auto"/>
              <w:bottom w:val="single" w:sz="4" w:space="0" w:color="auto"/>
            </w:tcBorders>
            <w:shd w:val="clear" w:color="auto" w:fill="FFFFFF"/>
            <w:vAlign w:val="bottom"/>
          </w:tcPr>
          <w:p w14:paraId="4C7F1D2B"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Maximum</w:t>
            </w:r>
          </w:p>
        </w:tc>
        <w:tc>
          <w:tcPr>
            <w:tcW w:w="1494" w:type="dxa"/>
            <w:tcBorders>
              <w:top w:val="single" w:sz="4" w:space="0" w:color="auto"/>
              <w:bottom w:val="single" w:sz="4" w:space="0" w:color="auto"/>
            </w:tcBorders>
            <w:shd w:val="clear" w:color="auto" w:fill="FFFFFF"/>
            <w:vAlign w:val="bottom"/>
          </w:tcPr>
          <w:p w14:paraId="438ECD91"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Mean</w:t>
            </w:r>
          </w:p>
        </w:tc>
        <w:tc>
          <w:tcPr>
            <w:tcW w:w="1801" w:type="dxa"/>
            <w:tcBorders>
              <w:top w:val="single" w:sz="4" w:space="0" w:color="auto"/>
              <w:bottom w:val="single" w:sz="4" w:space="0" w:color="auto"/>
              <w:right w:val="single" w:sz="4" w:space="0" w:color="auto"/>
            </w:tcBorders>
            <w:shd w:val="clear" w:color="auto" w:fill="FFFFFF"/>
            <w:vAlign w:val="bottom"/>
          </w:tcPr>
          <w:p w14:paraId="58711070"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Std. Deviation</w:t>
            </w:r>
          </w:p>
        </w:tc>
      </w:tr>
      <w:tr w:rsidR="007B652A" w:rsidRPr="003C569E" w14:paraId="53C55D3C" w14:textId="77777777" w:rsidTr="007B652A">
        <w:trPr>
          <w:cantSplit/>
          <w:trHeight w:val="360"/>
        </w:trPr>
        <w:tc>
          <w:tcPr>
            <w:tcW w:w="2123" w:type="dxa"/>
            <w:tcBorders>
              <w:top w:val="single" w:sz="4" w:space="0" w:color="auto"/>
              <w:left w:val="single" w:sz="4" w:space="0" w:color="auto"/>
              <w:bottom w:val="nil"/>
              <w:right w:val="single" w:sz="4" w:space="0" w:color="auto"/>
            </w:tcBorders>
          </w:tcPr>
          <w:p w14:paraId="33C8BF40" w14:textId="77777777" w:rsidR="007B652A" w:rsidRPr="006B5766" w:rsidRDefault="007B652A" w:rsidP="007B652A">
            <w:pPr>
              <w:autoSpaceDE w:val="0"/>
              <w:autoSpaceDN w:val="0"/>
              <w:adjustRightInd w:val="0"/>
              <w:spacing w:line="320" w:lineRule="atLeast"/>
              <w:ind w:right="60"/>
              <w:jc w:val="left"/>
              <w:rPr>
                <w:rFonts w:eastAsiaTheme="minorHAnsi"/>
                <w:b/>
                <w:bCs/>
                <w:color w:val="auto"/>
                <w:sz w:val="22"/>
              </w:rPr>
            </w:pPr>
            <w:r w:rsidRPr="006B5766">
              <w:rPr>
                <w:rFonts w:eastAsiaTheme="minorHAnsi"/>
                <w:b/>
                <w:bCs/>
                <w:color w:val="auto"/>
                <w:sz w:val="22"/>
              </w:rPr>
              <w:t>ROA</w:t>
            </w:r>
          </w:p>
        </w:tc>
        <w:tc>
          <w:tcPr>
            <w:tcW w:w="1340" w:type="dxa"/>
            <w:tcBorders>
              <w:top w:val="single" w:sz="4" w:space="0" w:color="auto"/>
              <w:bottom w:val="nil"/>
            </w:tcBorders>
            <w:shd w:val="clear" w:color="auto" w:fill="FFFFFF"/>
          </w:tcPr>
          <w:p w14:paraId="375DD716"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-.0087</w:t>
            </w:r>
          </w:p>
        </w:tc>
        <w:tc>
          <w:tcPr>
            <w:tcW w:w="1379" w:type="dxa"/>
            <w:tcBorders>
              <w:top w:val="single" w:sz="4" w:space="0" w:color="auto"/>
              <w:bottom w:val="nil"/>
            </w:tcBorders>
            <w:shd w:val="clear" w:color="auto" w:fill="FFFFFF"/>
          </w:tcPr>
          <w:p w14:paraId="261142DB"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.2271</w:t>
            </w:r>
          </w:p>
        </w:tc>
        <w:tc>
          <w:tcPr>
            <w:tcW w:w="1494" w:type="dxa"/>
            <w:tcBorders>
              <w:top w:val="single" w:sz="4" w:space="0" w:color="auto"/>
              <w:bottom w:val="nil"/>
            </w:tcBorders>
            <w:shd w:val="clear" w:color="auto" w:fill="FFFFFF"/>
          </w:tcPr>
          <w:p w14:paraId="7F3E998E"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.097267</w:t>
            </w:r>
          </w:p>
        </w:tc>
        <w:tc>
          <w:tcPr>
            <w:tcW w:w="1801" w:type="dxa"/>
            <w:tcBorders>
              <w:top w:val="single" w:sz="4" w:space="0" w:color="auto"/>
              <w:bottom w:val="nil"/>
              <w:right w:val="single" w:sz="4" w:space="0" w:color="auto"/>
            </w:tcBorders>
            <w:shd w:val="clear" w:color="auto" w:fill="FFFFFF"/>
          </w:tcPr>
          <w:p w14:paraId="1F95E02A"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.0249732</w:t>
            </w:r>
          </w:p>
        </w:tc>
      </w:tr>
      <w:tr w:rsidR="007B652A" w:rsidRPr="003C569E" w14:paraId="211F0585" w14:textId="77777777" w:rsidTr="007B652A">
        <w:trPr>
          <w:cantSplit/>
          <w:trHeight w:val="343"/>
        </w:trPr>
        <w:tc>
          <w:tcPr>
            <w:tcW w:w="2123" w:type="dxa"/>
            <w:tcBorders>
              <w:left w:val="single" w:sz="4" w:space="0" w:color="auto"/>
              <w:bottom w:val="nil"/>
              <w:right w:val="single" w:sz="4" w:space="0" w:color="auto"/>
            </w:tcBorders>
          </w:tcPr>
          <w:p w14:paraId="5596A68E" w14:textId="77777777" w:rsidR="007B652A" w:rsidRPr="006B5766" w:rsidRDefault="007B652A" w:rsidP="007B652A">
            <w:pPr>
              <w:autoSpaceDE w:val="0"/>
              <w:autoSpaceDN w:val="0"/>
              <w:adjustRightInd w:val="0"/>
              <w:spacing w:line="320" w:lineRule="atLeast"/>
              <w:ind w:right="60"/>
              <w:jc w:val="left"/>
              <w:rPr>
                <w:rFonts w:eastAsiaTheme="minorHAnsi"/>
                <w:b/>
                <w:bCs/>
                <w:color w:val="auto"/>
                <w:sz w:val="22"/>
              </w:rPr>
            </w:pPr>
            <w:r w:rsidRPr="006B5766">
              <w:rPr>
                <w:rFonts w:eastAsiaTheme="minorHAnsi"/>
                <w:b/>
                <w:bCs/>
                <w:color w:val="auto"/>
                <w:sz w:val="22"/>
              </w:rPr>
              <w:t>CITR</w:t>
            </w:r>
          </w:p>
        </w:tc>
        <w:tc>
          <w:tcPr>
            <w:tcW w:w="1340" w:type="dxa"/>
            <w:tcBorders>
              <w:bottom w:val="nil"/>
            </w:tcBorders>
            <w:shd w:val="clear" w:color="auto" w:fill="FFFFFF"/>
          </w:tcPr>
          <w:p w14:paraId="0F8074AC"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.0090</w:t>
            </w:r>
          </w:p>
        </w:tc>
        <w:tc>
          <w:tcPr>
            <w:tcW w:w="1379" w:type="dxa"/>
            <w:tcBorders>
              <w:bottom w:val="nil"/>
            </w:tcBorders>
            <w:shd w:val="clear" w:color="auto" w:fill="FFFFFF"/>
          </w:tcPr>
          <w:p w14:paraId="4E08B137"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.2009</w:t>
            </w:r>
          </w:p>
        </w:tc>
        <w:tc>
          <w:tcPr>
            <w:tcW w:w="1494" w:type="dxa"/>
            <w:tcBorders>
              <w:bottom w:val="nil"/>
            </w:tcBorders>
            <w:shd w:val="clear" w:color="auto" w:fill="FFFFFF"/>
          </w:tcPr>
          <w:p w14:paraId="3E8376CD"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.026812</w:t>
            </w:r>
          </w:p>
        </w:tc>
        <w:tc>
          <w:tcPr>
            <w:tcW w:w="1801" w:type="dxa"/>
            <w:tcBorders>
              <w:bottom w:val="nil"/>
              <w:right w:val="single" w:sz="4" w:space="0" w:color="auto"/>
            </w:tcBorders>
            <w:shd w:val="clear" w:color="auto" w:fill="FFFFFF"/>
          </w:tcPr>
          <w:p w14:paraId="54717EEC"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.0192916</w:t>
            </w:r>
          </w:p>
        </w:tc>
      </w:tr>
      <w:tr w:rsidR="007B652A" w:rsidRPr="003C569E" w14:paraId="4A677FA0" w14:textId="77777777" w:rsidTr="007B652A">
        <w:trPr>
          <w:cantSplit/>
          <w:trHeight w:val="343"/>
        </w:trPr>
        <w:tc>
          <w:tcPr>
            <w:tcW w:w="2123" w:type="dxa"/>
            <w:tcBorders>
              <w:left w:val="single" w:sz="4" w:space="0" w:color="auto"/>
              <w:bottom w:val="nil"/>
              <w:right w:val="single" w:sz="4" w:space="0" w:color="auto"/>
            </w:tcBorders>
          </w:tcPr>
          <w:p w14:paraId="3E23745E" w14:textId="77777777" w:rsidR="007B652A" w:rsidRPr="006B5766" w:rsidRDefault="007B652A" w:rsidP="007B652A">
            <w:pPr>
              <w:autoSpaceDE w:val="0"/>
              <w:autoSpaceDN w:val="0"/>
              <w:adjustRightInd w:val="0"/>
              <w:spacing w:line="320" w:lineRule="atLeast"/>
              <w:ind w:right="60"/>
              <w:jc w:val="left"/>
              <w:rPr>
                <w:rFonts w:eastAsiaTheme="minorHAnsi"/>
                <w:b/>
                <w:bCs/>
                <w:color w:val="auto"/>
                <w:sz w:val="22"/>
              </w:rPr>
            </w:pPr>
            <w:r w:rsidRPr="006B5766">
              <w:rPr>
                <w:rFonts w:eastAsiaTheme="minorHAnsi"/>
                <w:b/>
                <w:bCs/>
                <w:color w:val="auto"/>
                <w:sz w:val="22"/>
              </w:rPr>
              <w:t>VAT</w:t>
            </w:r>
          </w:p>
        </w:tc>
        <w:tc>
          <w:tcPr>
            <w:tcW w:w="1340" w:type="dxa"/>
            <w:tcBorders>
              <w:bottom w:val="nil"/>
            </w:tcBorders>
            <w:shd w:val="clear" w:color="auto" w:fill="FFFFFF"/>
          </w:tcPr>
          <w:p w14:paraId="713404B3"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8.9752</w:t>
            </w:r>
          </w:p>
        </w:tc>
        <w:tc>
          <w:tcPr>
            <w:tcW w:w="1379" w:type="dxa"/>
            <w:tcBorders>
              <w:bottom w:val="nil"/>
            </w:tcBorders>
            <w:shd w:val="clear" w:color="auto" w:fill="FFFFFF"/>
          </w:tcPr>
          <w:p w14:paraId="73A53CF6"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16.8043</w:t>
            </w:r>
          </w:p>
        </w:tc>
        <w:tc>
          <w:tcPr>
            <w:tcW w:w="1494" w:type="dxa"/>
            <w:tcBorders>
              <w:bottom w:val="nil"/>
            </w:tcBorders>
            <w:shd w:val="clear" w:color="auto" w:fill="FFFFFF"/>
          </w:tcPr>
          <w:p w14:paraId="2520A5FA"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15.144573</w:t>
            </w:r>
          </w:p>
        </w:tc>
        <w:tc>
          <w:tcPr>
            <w:tcW w:w="1801" w:type="dxa"/>
            <w:tcBorders>
              <w:bottom w:val="nil"/>
              <w:right w:val="single" w:sz="4" w:space="0" w:color="auto"/>
            </w:tcBorders>
            <w:shd w:val="clear" w:color="auto" w:fill="FFFFFF"/>
          </w:tcPr>
          <w:p w14:paraId="708C1DFE"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1.5239508</w:t>
            </w:r>
          </w:p>
        </w:tc>
      </w:tr>
      <w:tr w:rsidR="007B652A" w:rsidRPr="003C569E" w14:paraId="49745618" w14:textId="77777777" w:rsidTr="007B652A">
        <w:trPr>
          <w:cantSplit/>
          <w:trHeight w:val="360"/>
        </w:trPr>
        <w:tc>
          <w:tcPr>
            <w:tcW w:w="2123" w:type="dxa"/>
            <w:tcBorders>
              <w:left w:val="single" w:sz="4" w:space="0" w:color="auto"/>
              <w:bottom w:val="nil"/>
              <w:right w:val="single" w:sz="4" w:space="0" w:color="auto"/>
            </w:tcBorders>
          </w:tcPr>
          <w:p w14:paraId="7F97FBC2" w14:textId="77777777" w:rsidR="007B652A" w:rsidRPr="006B5766" w:rsidRDefault="007B652A" w:rsidP="007B652A">
            <w:pPr>
              <w:autoSpaceDE w:val="0"/>
              <w:autoSpaceDN w:val="0"/>
              <w:adjustRightInd w:val="0"/>
              <w:spacing w:line="320" w:lineRule="atLeast"/>
              <w:ind w:right="60"/>
              <w:jc w:val="left"/>
              <w:rPr>
                <w:rFonts w:eastAsiaTheme="minorHAnsi"/>
                <w:b/>
                <w:bCs/>
                <w:color w:val="auto"/>
                <w:sz w:val="22"/>
              </w:rPr>
            </w:pPr>
            <w:r w:rsidRPr="006B5766">
              <w:rPr>
                <w:rFonts w:eastAsiaTheme="minorHAnsi"/>
                <w:b/>
                <w:bCs/>
                <w:color w:val="auto"/>
                <w:sz w:val="22"/>
              </w:rPr>
              <w:t>TI</w:t>
            </w:r>
          </w:p>
        </w:tc>
        <w:tc>
          <w:tcPr>
            <w:tcW w:w="1340" w:type="dxa"/>
            <w:tcBorders>
              <w:bottom w:val="nil"/>
            </w:tcBorders>
            <w:shd w:val="clear" w:color="auto" w:fill="FFFFFF"/>
          </w:tcPr>
          <w:p w14:paraId="04A22B21"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.0018</w:t>
            </w:r>
          </w:p>
        </w:tc>
        <w:tc>
          <w:tcPr>
            <w:tcW w:w="1379" w:type="dxa"/>
            <w:tcBorders>
              <w:bottom w:val="nil"/>
            </w:tcBorders>
            <w:shd w:val="clear" w:color="auto" w:fill="FFFFFF"/>
          </w:tcPr>
          <w:p w14:paraId="5C5D48F5"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.0224</w:t>
            </w:r>
          </w:p>
        </w:tc>
        <w:tc>
          <w:tcPr>
            <w:tcW w:w="1494" w:type="dxa"/>
            <w:tcBorders>
              <w:bottom w:val="nil"/>
            </w:tcBorders>
            <w:shd w:val="clear" w:color="auto" w:fill="FFFFFF"/>
          </w:tcPr>
          <w:p w14:paraId="01C4D326"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.010756</w:t>
            </w:r>
          </w:p>
        </w:tc>
        <w:tc>
          <w:tcPr>
            <w:tcW w:w="1801" w:type="dxa"/>
            <w:tcBorders>
              <w:bottom w:val="nil"/>
              <w:right w:val="single" w:sz="4" w:space="0" w:color="auto"/>
            </w:tcBorders>
            <w:shd w:val="clear" w:color="auto" w:fill="FFFFFF"/>
          </w:tcPr>
          <w:p w14:paraId="76E4FABF"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.0043886</w:t>
            </w:r>
          </w:p>
        </w:tc>
      </w:tr>
      <w:tr w:rsidR="007B652A" w:rsidRPr="003C569E" w14:paraId="7438D67D" w14:textId="77777777" w:rsidTr="007B652A">
        <w:trPr>
          <w:cantSplit/>
          <w:trHeight w:val="343"/>
        </w:trPr>
        <w:tc>
          <w:tcPr>
            <w:tcW w:w="2123" w:type="dxa"/>
            <w:tcBorders>
              <w:left w:val="single" w:sz="4" w:space="0" w:color="auto"/>
              <w:bottom w:val="single" w:sz="4" w:space="0" w:color="auto"/>
              <w:right w:val="single" w:sz="4" w:space="0" w:color="auto"/>
            </w:tcBorders>
          </w:tcPr>
          <w:p w14:paraId="0F17A612" w14:textId="77777777" w:rsidR="007B652A" w:rsidRPr="006B5766" w:rsidRDefault="007B652A" w:rsidP="007B652A">
            <w:pPr>
              <w:autoSpaceDE w:val="0"/>
              <w:autoSpaceDN w:val="0"/>
              <w:adjustRightInd w:val="0"/>
              <w:spacing w:line="320" w:lineRule="atLeast"/>
              <w:ind w:right="60"/>
              <w:jc w:val="left"/>
              <w:rPr>
                <w:rFonts w:eastAsiaTheme="minorHAnsi"/>
                <w:b/>
                <w:bCs/>
                <w:color w:val="auto"/>
                <w:sz w:val="22"/>
              </w:rPr>
            </w:pPr>
            <w:r w:rsidRPr="006B5766">
              <w:rPr>
                <w:rFonts w:eastAsiaTheme="minorHAnsi"/>
                <w:b/>
                <w:bCs/>
                <w:color w:val="auto"/>
                <w:sz w:val="22"/>
              </w:rPr>
              <w:t>CED</w:t>
            </w:r>
          </w:p>
        </w:tc>
        <w:tc>
          <w:tcPr>
            <w:tcW w:w="1340" w:type="dxa"/>
            <w:tcBorders>
              <w:bottom w:val="single" w:sz="4" w:space="0" w:color="auto"/>
            </w:tcBorders>
            <w:shd w:val="clear" w:color="auto" w:fill="FFFFFF"/>
          </w:tcPr>
          <w:p w14:paraId="194AC1BB"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.0005</w:t>
            </w:r>
          </w:p>
        </w:tc>
        <w:tc>
          <w:tcPr>
            <w:tcW w:w="1379" w:type="dxa"/>
            <w:tcBorders>
              <w:bottom w:val="single" w:sz="4" w:space="0" w:color="auto"/>
            </w:tcBorders>
            <w:shd w:val="clear" w:color="auto" w:fill="FFFFFF"/>
          </w:tcPr>
          <w:p w14:paraId="63F6D775"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.7004</w:t>
            </w:r>
          </w:p>
        </w:tc>
        <w:tc>
          <w:tcPr>
            <w:tcW w:w="1494" w:type="dxa"/>
            <w:tcBorders>
              <w:bottom w:val="single" w:sz="4" w:space="0" w:color="auto"/>
            </w:tcBorders>
            <w:shd w:val="clear" w:color="auto" w:fill="FFFFFF"/>
          </w:tcPr>
          <w:p w14:paraId="0FB48A02"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.069570</w:t>
            </w:r>
          </w:p>
        </w:tc>
        <w:tc>
          <w:tcPr>
            <w:tcW w:w="1801" w:type="dxa"/>
            <w:tcBorders>
              <w:bottom w:val="single" w:sz="4" w:space="0" w:color="auto"/>
              <w:right w:val="single" w:sz="4" w:space="0" w:color="auto"/>
            </w:tcBorders>
            <w:shd w:val="clear" w:color="auto" w:fill="FFFFFF"/>
          </w:tcPr>
          <w:p w14:paraId="1C1F34C9"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.1893375</w:t>
            </w:r>
          </w:p>
        </w:tc>
      </w:tr>
      <w:bookmarkEnd w:id="8"/>
    </w:tbl>
    <w:p w14:paraId="2ED64631" w14:textId="77777777" w:rsidR="007B652A" w:rsidRDefault="007B652A" w:rsidP="00711AB4">
      <w:pPr>
        <w:spacing w:before="0" w:line="240" w:lineRule="auto"/>
        <w:rPr>
          <w:b/>
          <w:bCs/>
          <w:i/>
          <w:iCs/>
        </w:rPr>
      </w:pPr>
    </w:p>
    <w:p w14:paraId="21FCD024" w14:textId="77777777" w:rsidR="007B652A" w:rsidRDefault="007B652A" w:rsidP="00711AB4">
      <w:pPr>
        <w:spacing w:before="0" w:line="240" w:lineRule="auto"/>
        <w:rPr>
          <w:b/>
          <w:bCs/>
          <w:i/>
          <w:iCs/>
        </w:rPr>
      </w:pPr>
    </w:p>
    <w:p w14:paraId="28733D4F" w14:textId="77777777" w:rsidR="007B652A" w:rsidRDefault="007B652A" w:rsidP="00711AB4">
      <w:pPr>
        <w:spacing w:before="0" w:line="240" w:lineRule="auto"/>
        <w:rPr>
          <w:b/>
          <w:bCs/>
          <w:i/>
          <w:iCs/>
        </w:rPr>
      </w:pPr>
    </w:p>
    <w:p w14:paraId="71B58EBD" w14:textId="77777777" w:rsidR="007B652A" w:rsidRDefault="007B652A" w:rsidP="00711AB4">
      <w:pPr>
        <w:spacing w:before="0" w:line="240" w:lineRule="auto"/>
        <w:rPr>
          <w:b/>
          <w:bCs/>
          <w:i/>
          <w:iCs/>
        </w:rPr>
      </w:pPr>
    </w:p>
    <w:p w14:paraId="5F65F088" w14:textId="77777777" w:rsidR="007B652A" w:rsidRDefault="007B652A" w:rsidP="00711AB4">
      <w:pPr>
        <w:spacing w:before="0" w:line="240" w:lineRule="auto"/>
        <w:rPr>
          <w:b/>
          <w:bCs/>
          <w:i/>
          <w:iCs/>
        </w:rPr>
      </w:pPr>
    </w:p>
    <w:p w14:paraId="1DCB0592" w14:textId="77777777" w:rsidR="007B652A" w:rsidRDefault="007B652A" w:rsidP="00711AB4">
      <w:pPr>
        <w:spacing w:before="0" w:line="240" w:lineRule="auto"/>
        <w:rPr>
          <w:b/>
          <w:bCs/>
          <w:i/>
          <w:iCs/>
        </w:rPr>
      </w:pPr>
    </w:p>
    <w:p w14:paraId="1C94D58C" w14:textId="77777777" w:rsidR="007B652A" w:rsidRDefault="007B652A" w:rsidP="00711AB4">
      <w:pPr>
        <w:spacing w:before="0" w:line="240" w:lineRule="auto"/>
        <w:rPr>
          <w:b/>
          <w:bCs/>
          <w:i/>
          <w:iCs/>
        </w:rPr>
      </w:pPr>
    </w:p>
    <w:p w14:paraId="3606683B" w14:textId="77777777" w:rsidR="007B652A" w:rsidRDefault="007B652A" w:rsidP="00711AB4">
      <w:pPr>
        <w:spacing w:before="0" w:line="240" w:lineRule="auto"/>
        <w:rPr>
          <w:b/>
          <w:bCs/>
          <w:i/>
          <w:iCs/>
        </w:rPr>
      </w:pPr>
    </w:p>
    <w:p w14:paraId="662879F5" w14:textId="77777777" w:rsidR="007B652A" w:rsidRDefault="007B652A" w:rsidP="00711AB4">
      <w:pPr>
        <w:spacing w:before="0" w:line="240" w:lineRule="auto"/>
        <w:rPr>
          <w:b/>
          <w:bCs/>
          <w:i/>
          <w:iCs/>
        </w:rPr>
      </w:pPr>
    </w:p>
    <w:p w14:paraId="367C57B3" w14:textId="77777777" w:rsidR="007B652A" w:rsidRDefault="007B652A" w:rsidP="00711AB4">
      <w:pPr>
        <w:spacing w:before="0" w:line="240" w:lineRule="auto"/>
        <w:rPr>
          <w:b/>
          <w:bCs/>
          <w:i/>
          <w:iCs/>
        </w:rPr>
      </w:pPr>
    </w:p>
    <w:p w14:paraId="59D2779F" w14:textId="77777777" w:rsidR="007B652A" w:rsidRPr="00711AB4" w:rsidRDefault="007B652A" w:rsidP="00711AB4">
      <w:pPr>
        <w:spacing w:before="0" w:line="240" w:lineRule="auto"/>
        <w:rPr>
          <w:b/>
          <w:bCs/>
          <w:i/>
          <w:iCs/>
        </w:rPr>
      </w:pPr>
    </w:p>
    <w:p w14:paraId="295320A3" w14:textId="77777777" w:rsidR="00711AB4" w:rsidRDefault="00711AB4" w:rsidP="00711AB4">
      <w:pPr>
        <w:spacing w:before="0" w:line="240" w:lineRule="auto"/>
      </w:pPr>
    </w:p>
    <w:p w14:paraId="27E56162" w14:textId="77777777" w:rsidR="007B652A" w:rsidRDefault="007B652A" w:rsidP="00711AB4">
      <w:pPr>
        <w:spacing w:before="0" w:line="240" w:lineRule="auto"/>
        <w:rPr>
          <w:b/>
          <w:bCs/>
          <w:i/>
          <w:iCs/>
          <w:sz w:val="28"/>
          <w:szCs w:val="24"/>
        </w:rPr>
      </w:pPr>
    </w:p>
    <w:p w14:paraId="56A09BC4" w14:textId="77777777" w:rsidR="007B652A" w:rsidRDefault="007B652A" w:rsidP="00711AB4">
      <w:pPr>
        <w:spacing w:before="0" w:line="240" w:lineRule="auto"/>
        <w:rPr>
          <w:b/>
          <w:bCs/>
          <w:i/>
          <w:iCs/>
          <w:sz w:val="28"/>
          <w:szCs w:val="24"/>
        </w:rPr>
      </w:pPr>
    </w:p>
    <w:p w14:paraId="6B17670F" w14:textId="7A93CE2A" w:rsidR="007B652A" w:rsidRDefault="007B652A" w:rsidP="00711AB4">
      <w:pPr>
        <w:spacing w:before="0" w:line="240" w:lineRule="auto"/>
        <w:rPr>
          <w:b/>
          <w:bCs/>
          <w:i/>
          <w:iCs/>
          <w:sz w:val="28"/>
          <w:szCs w:val="24"/>
        </w:rPr>
      </w:pPr>
      <w:r w:rsidRPr="007B652A">
        <w:rPr>
          <w:b/>
          <w:bCs/>
          <w:i/>
          <w:iCs/>
          <w:sz w:val="28"/>
          <w:szCs w:val="24"/>
        </w:rPr>
        <w:t>Diagnostic Tests</w:t>
      </w:r>
    </w:p>
    <w:p w14:paraId="7CC7AD78" w14:textId="77777777" w:rsidR="007B652A" w:rsidRDefault="007B652A" w:rsidP="00711AB4">
      <w:pPr>
        <w:spacing w:before="0" w:line="240" w:lineRule="auto"/>
        <w:rPr>
          <w:b/>
          <w:bCs/>
          <w:i/>
          <w:iCs/>
          <w:sz w:val="28"/>
          <w:szCs w:val="24"/>
        </w:rPr>
      </w:pPr>
    </w:p>
    <w:p w14:paraId="3086BCE8" w14:textId="77777777" w:rsidR="007B652A" w:rsidRPr="007B652A" w:rsidRDefault="007B652A" w:rsidP="007B652A">
      <w:pPr>
        <w:spacing w:before="0" w:line="240" w:lineRule="auto"/>
        <w:rPr>
          <w:color w:val="000000" w:themeColor="text1"/>
        </w:rPr>
      </w:pPr>
      <w:r w:rsidRPr="007B652A">
        <w:rPr>
          <w:color w:val="000000" w:themeColor="text1"/>
        </w:rPr>
        <w:t>The study conducted several diagnostic tests to validate the assumptions underlying regression analysis.</w:t>
      </w:r>
    </w:p>
    <w:p w14:paraId="3C09D178" w14:textId="77777777" w:rsidR="007B652A" w:rsidRPr="007B652A" w:rsidRDefault="007B652A" w:rsidP="007B652A">
      <w:pPr>
        <w:spacing w:before="0" w:line="240" w:lineRule="auto"/>
        <w:rPr>
          <w:color w:val="000000" w:themeColor="text1"/>
        </w:rPr>
      </w:pPr>
    </w:p>
    <w:p w14:paraId="5FB5C37B" w14:textId="3E2E77CE" w:rsidR="007B652A" w:rsidRPr="007B652A" w:rsidRDefault="007B652A" w:rsidP="007B652A">
      <w:pPr>
        <w:spacing w:before="0" w:line="240" w:lineRule="auto"/>
        <w:rPr>
          <w:b/>
          <w:bCs/>
          <w:color w:val="000000" w:themeColor="text1"/>
        </w:rPr>
      </w:pPr>
      <w:r w:rsidRPr="007B652A">
        <w:rPr>
          <w:b/>
          <w:bCs/>
          <w:color w:val="000000" w:themeColor="text1"/>
        </w:rPr>
        <w:t>Normality Test:</w:t>
      </w:r>
    </w:p>
    <w:p w14:paraId="3AA0F8F4" w14:textId="4C7B7657" w:rsidR="007B652A" w:rsidRDefault="007B652A" w:rsidP="007B652A">
      <w:pPr>
        <w:spacing w:before="0" w:line="240" w:lineRule="auto"/>
        <w:rPr>
          <w:color w:val="000000" w:themeColor="text1"/>
        </w:rPr>
      </w:pPr>
      <w:r w:rsidRPr="007B652A">
        <w:rPr>
          <w:color w:val="000000" w:themeColor="text1"/>
        </w:rPr>
        <w:t xml:space="preserve">The Kolmogorov-Smirnov and Shapiro-Wilk tests were employed to determine whether the dataset followed a normal distribution. As shown in Table </w:t>
      </w:r>
      <w:r>
        <w:rPr>
          <w:color w:val="000000" w:themeColor="text1"/>
        </w:rPr>
        <w:t>3</w:t>
      </w:r>
      <w:r w:rsidRPr="007B652A">
        <w:rPr>
          <w:color w:val="000000" w:themeColor="text1"/>
        </w:rPr>
        <w:t>, all variables had significance levels (p &lt; 0.05), indicating deviation from normality. Consequently, data standardization was applied to enhance comparability and ensure accurate statistical inferences during regression analysis.</w:t>
      </w:r>
    </w:p>
    <w:p w14:paraId="2ADEA35C" w14:textId="77777777" w:rsidR="00D24F2A" w:rsidRDefault="00D24F2A" w:rsidP="007B652A">
      <w:pPr>
        <w:spacing w:before="0" w:line="240" w:lineRule="auto"/>
        <w:rPr>
          <w:color w:val="000000" w:themeColor="text1"/>
        </w:rPr>
      </w:pPr>
    </w:p>
    <w:p w14:paraId="3A2DD3AB" w14:textId="77777777" w:rsidR="00D24F2A" w:rsidRDefault="00D24F2A" w:rsidP="007B652A">
      <w:pPr>
        <w:spacing w:before="0" w:line="240" w:lineRule="auto"/>
        <w:rPr>
          <w:color w:val="000000" w:themeColor="text1"/>
        </w:rPr>
      </w:pPr>
    </w:p>
    <w:p w14:paraId="0B1E1965" w14:textId="77777777" w:rsidR="00D24F2A" w:rsidRDefault="00D24F2A" w:rsidP="007B652A">
      <w:pPr>
        <w:spacing w:before="0" w:line="240" w:lineRule="auto"/>
        <w:rPr>
          <w:color w:val="000000" w:themeColor="text1"/>
        </w:rPr>
      </w:pPr>
    </w:p>
    <w:p w14:paraId="1CC0FC1A" w14:textId="77777777" w:rsidR="00D24F2A" w:rsidRDefault="00D24F2A" w:rsidP="007B652A">
      <w:pPr>
        <w:spacing w:before="0" w:line="240" w:lineRule="auto"/>
        <w:rPr>
          <w:color w:val="000000" w:themeColor="text1"/>
        </w:rPr>
      </w:pPr>
    </w:p>
    <w:p w14:paraId="32944511" w14:textId="77777777" w:rsidR="00D24F2A" w:rsidRDefault="00D24F2A" w:rsidP="007B652A">
      <w:pPr>
        <w:spacing w:before="0" w:line="240" w:lineRule="auto"/>
        <w:rPr>
          <w:color w:val="000000" w:themeColor="text1"/>
        </w:rPr>
      </w:pPr>
    </w:p>
    <w:p w14:paraId="7D2A6BEC" w14:textId="77777777" w:rsidR="00D24F2A" w:rsidRDefault="00D24F2A" w:rsidP="007B652A">
      <w:pPr>
        <w:spacing w:before="0" w:line="240" w:lineRule="auto"/>
        <w:rPr>
          <w:color w:val="000000" w:themeColor="text1"/>
        </w:rPr>
      </w:pPr>
    </w:p>
    <w:p w14:paraId="5F7B3943" w14:textId="77777777" w:rsidR="00D24F2A" w:rsidRDefault="00D24F2A" w:rsidP="007B652A">
      <w:pPr>
        <w:spacing w:before="0" w:line="240" w:lineRule="auto"/>
        <w:rPr>
          <w:color w:val="000000" w:themeColor="text1"/>
        </w:rPr>
      </w:pPr>
    </w:p>
    <w:p w14:paraId="1550BB59" w14:textId="77777777" w:rsidR="00D24F2A" w:rsidRDefault="00D24F2A" w:rsidP="007B652A">
      <w:pPr>
        <w:spacing w:before="0" w:line="240" w:lineRule="auto"/>
        <w:rPr>
          <w:color w:val="000000" w:themeColor="text1"/>
        </w:rPr>
      </w:pPr>
    </w:p>
    <w:p w14:paraId="2FF26622" w14:textId="77777777" w:rsidR="00D24F2A" w:rsidRDefault="00D24F2A" w:rsidP="007B652A">
      <w:pPr>
        <w:spacing w:before="0" w:line="240" w:lineRule="auto"/>
        <w:rPr>
          <w:color w:val="000000" w:themeColor="text1"/>
        </w:rPr>
      </w:pPr>
    </w:p>
    <w:p w14:paraId="2441A83C" w14:textId="12736CC6" w:rsidR="00DF2A42" w:rsidRDefault="00DF2A42" w:rsidP="00DF2A42">
      <w:pPr>
        <w:spacing w:before="0" w:line="240" w:lineRule="auto"/>
        <w:rPr>
          <w:b/>
          <w:bCs/>
          <w:i/>
          <w:iCs/>
        </w:rPr>
      </w:pPr>
      <w:r w:rsidRPr="00711AB4">
        <w:rPr>
          <w:b/>
          <w:bCs/>
          <w:i/>
          <w:iCs/>
        </w:rPr>
        <w:t xml:space="preserve">Table </w:t>
      </w:r>
      <w:r>
        <w:rPr>
          <w:b/>
          <w:bCs/>
          <w:i/>
          <w:iCs/>
        </w:rPr>
        <w:t>3</w:t>
      </w:r>
      <w:r w:rsidRPr="00711AB4">
        <w:rPr>
          <w:b/>
          <w:bCs/>
          <w:i/>
          <w:iCs/>
        </w:rPr>
        <w:t xml:space="preserve">: </w:t>
      </w:r>
      <w:r w:rsidRPr="00DF2A42">
        <w:rPr>
          <w:b/>
          <w:bCs/>
          <w:i/>
          <w:iCs/>
        </w:rPr>
        <w:t>Tests of Normality</w:t>
      </w:r>
    </w:p>
    <w:p w14:paraId="0A58CC2A" w14:textId="77777777" w:rsidR="007B652A" w:rsidRDefault="007B652A" w:rsidP="007B652A">
      <w:pPr>
        <w:spacing w:before="0" w:line="240" w:lineRule="auto"/>
        <w:rPr>
          <w:color w:val="000000" w:themeColor="text1"/>
        </w:rPr>
      </w:pPr>
    </w:p>
    <w:tbl>
      <w:tblPr>
        <w:tblW w:w="86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8"/>
        <w:gridCol w:w="1281"/>
        <w:gridCol w:w="1282"/>
        <w:gridCol w:w="1282"/>
        <w:gridCol w:w="1282"/>
        <w:gridCol w:w="1282"/>
        <w:gridCol w:w="1284"/>
      </w:tblGrid>
      <w:tr w:rsidR="007B652A" w:rsidRPr="001858FB" w14:paraId="4901DEFC" w14:textId="77777777" w:rsidTr="0062367B">
        <w:trPr>
          <w:cantSplit/>
          <w:trHeight w:val="344"/>
        </w:trPr>
        <w:tc>
          <w:tcPr>
            <w:tcW w:w="8611" w:type="dxa"/>
            <w:gridSpan w:val="7"/>
            <w:tcBorders>
              <w:top w:val="nil"/>
              <w:left w:val="nil"/>
              <w:bottom w:val="single" w:sz="4" w:space="0" w:color="auto"/>
              <w:right w:val="nil"/>
            </w:tcBorders>
            <w:shd w:val="clear" w:color="auto" w:fill="FFFFFF"/>
            <w:vAlign w:val="center"/>
          </w:tcPr>
          <w:p w14:paraId="327837CF" w14:textId="5F5F2BF1" w:rsidR="007B652A" w:rsidRPr="001858FB" w:rsidRDefault="00D5251B" w:rsidP="007B652A">
            <w:pPr>
              <w:autoSpaceDE w:val="0"/>
              <w:autoSpaceDN w:val="0"/>
              <w:adjustRightInd w:val="0"/>
              <w:spacing w:before="0" w:line="240" w:lineRule="auto"/>
              <w:ind w:left="60" w:right="60"/>
              <w:jc w:val="center"/>
              <w:rPr>
                <w:rFonts w:eastAsiaTheme="minorHAnsi"/>
                <w:color w:val="auto"/>
                <w:sz w:val="22"/>
              </w:rPr>
            </w:pPr>
            <w:r>
              <w:rPr>
                <w:rFonts w:eastAsiaTheme="minorHAnsi"/>
                <w:b/>
                <w:bCs/>
                <w:color w:val="auto"/>
                <w:sz w:val="22"/>
              </w:rPr>
              <w:t>List 1-</w:t>
            </w:r>
            <w:r w:rsidR="007B652A" w:rsidRPr="001858FB">
              <w:rPr>
                <w:rFonts w:eastAsiaTheme="minorHAnsi"/>
                <w:b/>
                <w:bCs/>
                <w:color w:val="auto"/>
                <w:sz w:val="22"/>
              </w:rPr>
              <w:t>Tests of Normality</w:t>
            </w:r>
          </w:p>
        </w:tc>
      </w:tr>
      <w:tr w:rsidR="007B652A" w:rsidRPr="001858FB" w14:paraId="6548DD37" w14:textId="77777777" w:rsidTr="0062367B">
        <w:trPr>
          <w:cantSplit/>
          <w:trHeight w:val="360"/>
        </w:trPr>
        <w:tc>
          <w:tcPr>
            <w:tcW w:w="918" w:type="dxa"/>
            <w:vMerge w:val="restart"/>
            <w:tcBorders>
              <w:top w:val="single" w:sz="4" w:space="0" w:color="auto"/>
              <w:left w:val="single" w:sz="4" w:space="0" w:color="auto"/>
              <w:bottom w:val="nil"/>
              <w:right w:val="nil"/>
            </w:tcBorders>
            <w:shd w:val="clear" w:color="auto" w:fill="FFFFFF"/>
            <w:vAlign w:val="bottom"/>
          </w:tcPr>
          <w:p w14:paraId="67D43AC4" w14:textId="77777777" w:rsidR="007B652A" w:rsidRPr="001858FB" w:rsidRDefault="007B652A" w:rsidP="007B652A">
            <w:pPr>
              <w:autoSpaceDE w:val="0"/>
              <w:autoSpaceDN w:val="0"/>
              <w:adjustRightInd w:val="0"/>
              <w:spacing w:before="0" w:line="240" w:lineRule="auto"/>
              <w:jc w:val="left"/>
              <w:rPr>
                <w:rFonts w:eastAsiaTheme="minorHAnsi"/>
                <w:color w:val="auto"/>
                <w:sz w:val="22"/>
              </w:rPr>
            </w:pPr>
          </w:p>
        </w:tc>
        <w:tc>
          <w:tcPr>
            <w:tcW w:w="3845" w:type="dxa"/>
            <w:gridSpan w:val="3"/>
            <w:tcBorders>
              <w:top w:val="single" w:sz="4" w:space="0" w:color="auto"/>
              <w:left w:val="nil"/>
              <w:bottom w:val="nil"/>
              <w:right w:val="single" w:sz="4" w:space="0" w:color="auto"/>
            </w:tcBorders>
            <w:shd w:val="clear" w:color="auto" w:fill="FFFFFF"/>
            <w:vAlign w:val="bottom"/>
          </w:tcPr>
          <w:p w14:paraId="53DF6D82"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Kolmogorov-Smirnov</w:t>
            </w:r>
            <w:r w:rsidRPr="001858FB">
              <w:rPr>
                <w:rFonts w:eastAsiaTheme="minorHAnsi"/>
                <w:color w:val="auto"/>
                <w:sz w:val="22"/>
                <w:vertAlign w:val="superscript"/>
              </w:rPr>
              <w:t>a</w:t>
            </w:r>
          </w:p>
        </w:tc>
        <w:tc>
          <w:tcPr>
            <w:tcW w:w="3846" w:type="dxa"/>
            <w:gridSpan w:val="3"/>
            <w:tcBorders>
              <w:top w:val="single" w:sz="4" w:space="0" w:color="auto"/>
              <w:left w:val="single" w:sz="4" w:space="0" w:color="auto"/>
              <w:bottom w:val="nil"/>
              <w:right w:val="single" w:sz="4" w:space="0" w:color="auto"/>
            </w:tcBorders>
            <w:shd w:val="clear" w:color="auto" w:fill="FFFFFF"/>
            <w:vAlign w:val="bottom"/>
          </w:tcPr>
          <w:p w14:paraId="3D78FB2E"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Shapiro-Wilk</w:t>
            </w:r>
          </w:p>
        </w:tc>
      </w:tr>
      <w:tr w:rsidR="007B652A" w:rsidRPr="001858FB" w14:paraId="1340722D" w14:textId="77777777" w:rsidTr="0062367B">
        <w:trPr>
          <w:cantSplit/>
          <w:trHeight w:val="344"/>
        </w:trPr>
        <w:tc>
          <w:tcPr>
            <w:tcW w:w="918" w:type="dxa"/>
            <w:vMerge/>
            <w:tcBorders>
              <w:top w:val="nil"/>
              <w:left w:val="single" w:sz="4" w:space="0" w:color="auto"/>
              <w:bottom w:val="single" w:sz="4" w:space="0" w:color="auto"/>
              <w:right w:val="nil"/>
            </w:tcBorders>
            <w:shd w:val="clear" w:color="auto" w:fill="FFFFFF"/>
            <w:vAlign w:val="bottom"/>
          </w:tcPr>
          <w:p w14:paraId="375B6817" w14:textId="77777777" w:rsidR="007B652A" w:rsidRPr="001858FB" w:rsidRDefault="007B652A" w:rsidP="007B652A">
            <w:pPr>
              <w:autoSpaceDE w:val="0"/>
              <w:autoSpaceDN w:val="0"/>
              <w:adjustRightInd w:val="0"/>
              <w:spacing w:before="0" w:line="240" w:lineRule="auto"/>
              <w:jc w:val="left"/>
              <w:rPr>
                <w:rFonts w:eastAsiaTheme="minorHAnsi"/>
                <w:color w:val="auto"/>
                <w:sz w:val="22"/>
              </w:rPr>
            </w:pPr>
          </w:p>
        </w:tc>
        <w:tc>
          <w:tcPr>
            <w:tcW w:w="1281" w:type="dxa"/>
            <w:tcBorders>
              <w:top w:val="nil"/>
              <w:left w:val="nil"/>
              <w:bottom w:val="single" w:sz="4" w:space="0" w:color="auto"/>
              <w:right w:val="single" w:sz="4" w:space="0" w:color="auto"/>
            </w:tcBorders>
            <w:shd w:val="clear" w:color="auto" w:fill="FFFFFF"/>
            <w:vAlign w:val="bottom"/>
          </w:tcPr>
          <w:p w14:paraId="48B4FD6B"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Statistic</w:t>
            </w:r>
          </w:p>
        </w:tc>
        <w:tc>
          <w:tcPr>
            <w:tcW w:w="1282" w:type="dxa"/>
            <w:tcBorders>
              <w:top w:val="nil"/>
              <w:left w:val="single" w:sz="4" w:space="0" w:color="auto"/>
              <w:bottom w:val="single" w:sz="4" w:space="0" w:color="auto"/>
              <w:right w:val="single" w:sz="4" w:space="0" w:color="auto"/>
            </w:tcBorders>
            <w:shd w:val="clear" w:color="auto" w:fill="FFFFFF"/>
            <w:vAlign w:val="bottom"/>
          </w:tcPr>
          <w:p w14:paraId="626ABB26"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df</w:t>
            </w:r>
          </w:p>
        </w:tc>
        <w:tc>
          <w:tcPr>
            <w:tcW w:w="1282" w:type="dxa"/>
            <w:tcBorders>
              <w:top w:val="nil"/>
              <w:left w:val="single" w:sz="4" w:space="0" w:color="auto"/>
              <w:bottom w:val="single" w:sz="4" w:space="0" w:color="auto"/>
              <w:right w:val="single" w:sz="4" w:space="0" w:color="auto"/>
            </w:tcBorders>
            <w:shd w:val="clear" w:color="auto" w:fill="FFFFFF"/>
            <w:vAlign w:val="bottom"/>
          </w:tcPr>
          <w:p w14:paraId="339A935F"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Sig.</w:t>
            </w:r>
          </w:p>
        </w:tc>
        <w:tc>
          <w:tcPr>
            <w:tcW w:w="1282" w:type="dxa"/>
            <w:tcBorders>
              <w:top w:val="nil"/>
              <w:left w:val="single" w:sz="4" w:space="0" w:color="auto"/>
              <w:bottom w:val="single" w:sz="4" w:space="0" w:color="auto"/>
              <w:right w:val="single" w:sz="4" w:space="0" w:color="auto"/>
            </w:tcBorders>
            <w:shd w:val="clear" w:color="auto" w:fill="FFFFFF"/>
            <w:vAlign w:val="bottom"/>
          </w:tcPr>
          <w:p w14:paraId="4C1472EF"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Statistic</w:t>
            </w:r>
          </w:p>
        </w:tc>
        <w:tc>
          <w:tcPr>
            <w:tcW w:w="1282" w:type="dxa"/>
            <w:tcBorders>
              <w:top w:val="nil"/>
              <w:left w:val="single" w:sz="4" w:space="0" w:color="auto"/>
              <w:bottom w:val="single" w:sz="4" w:space="0" w:color="auto"/>
              <w:right w:val="single" w:sz="4" w:space="0" w:color="auto"/>
            </w:tcBorders>
            <w:shd w:val="clear" w:color="auto" w:fill="FFFFFF"/>
            <w:vAlign w:val="bottom"/>
          </w:tcPr>
          <w:p w14:paraId="478A2958"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df</w:t>
            </w:r>
          </w:p>
        </w:tc>
        <w:tc>
          <w:tcPr>
            <w:tcW w:w="1282" w:type="dxa"/>
            <w:tcBorders>
              <w:top w:val="nil"/>
              <w:left w:val="single" w:sz="4" w:space="0" w:color="auto"/>
              <w:bottom w:val="single" w:sz="4" w:space="0" w:color="auto"/>
              <w:right w:val="single" w:sz="4" w:space="0" w:color="auto"/>
            </w:tcBorders>
            <w:shd w:val="clear" w:color="auto" w:fill="FFFFFF"/>
            <w:vAlign w:val="bottom"/>
          </w:tcPr>
          <w:p w14:paraId="1A60EBBD"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Sig.</w:t>
            </w:r>
          </w:p>
        </w:tc>
      </w:tr>
      <w:tr w:rsidR="007B652A" w:rsidRPr="001858FB" w14:paraId="542F1868" w14:textId="77777777" w:rsidTr="0062367B">
        <w:trPr>
          <w:cantSplit/>
          <w:trHeight w:val="344"/>
        </w:trPr>
        <w:tc>
          <w:tcPr>
            <w:tcW w:w="918" w:type="dxa"/>
            <w:tcBorders>
              <w:top w:val="single" w:sz="4" w:space="0" w:color="auto"/>
              <w:left w:val="single" w:sz="4" w:space="0" w:color="auto"/>
              <w:bottom w:val="nil"/>
              <w:right w:val="nil"/>
            </w:tcBorders>
          </w:tcPr>
          <w:p w14:paraId="2A68EAE3" w14:textId="77777777" w:rsidR="007B652A" w:rsidRPr="001858FB" w:rsidRDefault="007B652A" w:rsidP="007B652A">
            <w:pPr>
              <w:autoSpaceDE w:val="0"/>
              <w:autoSpaceDN w:val="0"/>
              <w:adjustRightInd w:val="0"/>
              <w:spacing w:before="0" w:line="240" w:lineRule="auto"/>
              <w:ind w:left="60" w:right="60"/>
              <w:jc w:val="left"/>
              <w:rPr>
                <w:rFonts w:eastAsiaTheme="minorHAnsi"/>
                <w:color w:val="auto"/>
                <w:sz w:val="22"/>
              </w:rPr>
            </w:pPr>
            <w:r w:rsidRPr="001858FB">
              <w:rPr>
                <w:rFonts w:eastAsiaTheme="minorHAnsi"/>
                <w:color w:val="auto"/>
                <w:sz w:val="22"/>
              </w:rPr>
              <w:t>ROA</w:t>
            </w:r>
          </w:p>
        </w:tc>
        <w:tc>
          <w:tcPr>
            <w:tcW w:w="1281" w:type="dxa"/>
            <w:tcBorders>
              <w:top w:val="single" w:sz="4" w:space="0" w:color="auto"/>
              <w:left w:val="nil"/>
              <w:bottom w:val="nil"/>
              <w:right w:val="nil"/>
            </w:tcBorders>
            <w:shd w:val="clear" w:color="auto" w:fill="FFFFFF"/>
          </w:tcPr>
          <w:p w14:paraId="1607C555"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.337</w:t>
            </w:r>
          </w:p>
        </w:tc>
        <w:tc>
          <w:tcPr>
            <w:tcW w:w="1282" w:type="dxa"/>
            <w:tcBorders>
              <w:top w:val="single" w:sz="4" w:space="0" w:color="auto"/>
              <w:left w:val="nil"/>
              <w:bottom w:val="nil"/>
              <w:right w:val="nil"/>
            </w:tcBorders>
            <w:shd w:val="clear" w:color="auto" w:fill="FFFFFF"/>
          </w:tcPr>
          <w:p w14:paraId="432A1091"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single" w:sz="4" w:space="0" w:color="auto"/>
              <w:left w:val="nil"/>
              <w:bottom w:val="nil"/>
              <w:right w:val="nil"/>
            </w:tcBorders>
            <w:shd w:val="clear" w:color="auto" w:fill="FFFFFF"/>
          </w:tcPr>
          <w:p w14:paraId="3FCA577A"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c>
          <w:tcPr>
            <w:tcW w:w="1282" w:type="dxa"/>
            <w:tcBorders>
              <w:top w:val="single" w:sz="4" w:space="0" w:color="auto"/>
              <w:left w:val="nil"/>
              <w:bottom w:val="nil"/>
              <w:right w:val="nil"/>
            </w:tcBorders>
            <w:shd w:val="clear" w:color="auto" w:fill="FFFFFF"/>
          </w:tcPr>
          <w:p w14:paraId="508AC421"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.584</w:t>
            </w:r>
          </w:p>
        </w:tc>
        <w:tc>
          <w:tcPr>
            <w:tcW w:w="1282" w:type="dxa"/>
            <w:tcBorders>
              <w:top w:val="single" w:sz="4" w:space="0" w:color="auto"/>
              <w:left w:val="nil"/>
              <w:bottom w:val="nil"/>
              <w:right w:val="nil"/>
            </w:tcBorders>
            <w:shd w:val="clear" w:color="auto" w:fill="FFFFFF"/>
          </w:tcPr>
          <w:p w14:paraId="7692F389"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single" w:sz="4" w:space="0" w:color="auto"/>
              <w:left w:val="nil"/>
              <w:bottom w:val="nil"/>
              <w:right w:val="single" w:sz="4" w:space="0" w:color="auto"/>
            </w:tcBorders>
            <w:shd w:val="clear" w:color="auto" w:fill="FFFFFF"/>
          </w:tcPr>
          <w:p w14:paraId="7E95CEE5"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r>
      <w:tr w:rsidR="007B652A" w:rsidRPr="001858FB" w14:paraId="5F29BFAB" w14:textId="77777777" w:rsidTr="0062367B">
        <w:trPr>
          <w:cantSplit/>
          <w:trHeight w:val="344"/>
        </w:trPr>
        <w:tc>
          <w:tcPr>
            <w:tcW w:w="918" w:type="dxa"/>
            <w:tcBorders>
              <w:top w:val="nil"/>
              <w:left w:val="single" w:sz="4" w:space="0" w:color="auto"/>
              <w:bottom w:val="nil"/>
              <w:right w:val="nil"/>
            </w:tcBorders>
          </w:tcPr>
          <w:p w14:paraId="2DC8394E" w14:textId="77777777" w:rsidR="007B652A" w:rsidRPr="001858FB" w:rsidRDefault="007B652A" w:rsidP="007B652A">
            <w:pPr>
              <w:autoSpaceDE w:val="0"/>
              <w:autoSpaceDN w:val="0"/>
              <w:adjustRightInd w:val="0"/>
              <w:spacing w:before="0" w:line="240" w:lineRule="auto"/>
              <w:ind w:left="60" w:right="60"/>
              <w:jc w:val="left"/>
              <w:rPr>
                <w:rFonts w:eastAsiaTheme="minorHAnsi"/>
                <w:color w:val="auto"/>
                <w:sz w:val="22"/>
              </w:rPr>
            </w:pPr>
            <w:r w:rsidRPr="001858FB">
              <w:rPr>
                <w:rFonts w:eastAsiaTheme="minorHAnsi"/>
                <w:color w:val="auto"/>
                <w:sz w:val="22"/>
              </w:rPr>
              <w:t>CITR</w:t>
            </w:r>
          </w:p>
        </w:tc>
        <w:tc>
          <w:tcPr>
            <w:tcW w:w="1281" w:type="dxa"/>
            <w:tcBorders>
              <w:top w:val="nil"/>
              <w:left w:val="nil"/>
              <w:bottom w:val="nil"/>
              <w:right w:val="nil"/>
            </w:tcBorders>
            <w:shd w:val="clear" w:color="auto" w:fill="FFFFFF"/>
          </w:tcPr>
          <w:p w14:paraId="754B31E9"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.450</w:t>
            </w:r>
          </w:p>
        </w:tc>
        <w:tc>
          <w:tcPr>
            <w:tcW w:w="1282" w:type="dxa"/>
            <w:tcBorders>
              <w:top w:val="nil"/>
              <w:left w:val="nil"/>
              <w:bottom w:val="nil"/>
              <w:right w:val="nil"/>
            </w:tcBorders>
            <w:shd w:val="clear" w:color="auto" w:fill="FFFFFF"/>
          </w:tcPr>
          <w:p w14:paraId="60C6A9E9"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nil"/>
              <w:left w:val="nil"/>
              <w:bottom w:val="nil"/>
              <w:right w:val="nil"/>
            </w:tcBorders>
            <w:shd w:val="clear" w:color="auto" w:fill="FFFFFF"/>
          </w:tcPr>
          <w:p w14:paraId="407129A2"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c>
          <w:tcPr>
            <w:tcW w:w="1282" w:type="dxa"/>
            <w:tcBorders>
              <w:top w:val="nil"/>
              <w:left w:val="nil"/>
              <w:bottom w:val="nil"/>
              <w:right w:val="nil"/>
            </w:tcBorders>
            <w:shd w:val="clear" w:color="auto" w:fill="FFFFFF"/>
          </w:tcPr>
          <w:p w14:paraId="50570B76"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.261</w:t>
            </w:r>
          </w:p>
        </w:tc>
        <w:tc>
          <w:tcPr>
            <w:tcW w:w="1282" w:type="dxa"/>
            <w:tcBorders>
              <w:top w:val="nil"/>
              <w:left w:val="nil"/>
              <w:bottom w:val="nil"/>
              <w:right w:val="nil"/>
            </w:tcBorders>
            <w:shd w:val="clear" w:color="auto" w:fill="FFFFFF"/>
          </w:tcPr>
          <w:p w14:paraId="365F7F04"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nil"/>
              <w:left w:val="nil"/>
              <w:bottom w:val="nil"/>
              <w:right w:val="single" w:sz="4" w:space="0" w:color="auto"/>
            </w:tcBorders>
            <w:shd w:val="clear" w:color="auto" w:fill="FFFFFF"/>
          </w:tcPr>
          <w:p w14:paraId="08988B6E"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r>
      <w:tr w:rsidR="007B652A" w:rsidRPr="001858FB" w14:paraId="0AD66E5E" w14:textId="77777777" w:rsidTr="0062367B">
        <w:trPr>
          <w:cantSplit/>
          <w:trHeight w:val="360"/>
        </w:trPr>
        <w:tc>
          <w:tcPr>
            <w:tcW w:w="918" w:type="dxa"/>
            <w:tcBorders>
              <w:top w:val="nil"/>
              <w:left w:val="single" w:sz="4" w:space="0" w:color="auto"/>
              <w:bottom w:val="nil"/>
              <w:right w:val="nil"/>
            </w:tcBorders>
          </w:tcPr>
          <w:p w14:paraId="5FAAF29D" w14:textId="77777777" w:rsidR="007B652A" w:rsidRPr="001858FB" w:rsidRDefault="007B652A" w:rsidP="007B652A">
            <w:pPr>
              <w:autoSpaceDE w:val="0"/>
              <w:autoSpaceDN w:val="0"/>
              <w:adjustRightInd w:val="0"/>
              <w:spacing w:before="0" w:line="240" w:lineRule="auto"/>
              <w:ind w:left="60" w:right="60"/>
              <w:jc w:val="left"/>
              <w:rPr>
                <w:rFonts w:eastAsiaTheme="minorHAnsi"/>
                <w:color w:val="auto"/>
                <w:sz w:val="22"/>
              </w:rPr>
            </w:pPr>
            <w:r w:rsidRPr="001858FB">
              <w:rPr>
                <w:rFonts w:eastAsiaTheme="minorHAnsi"/>
                <w:color w:val="auto"/>
                <w:sz w:val="22"/>
              </w:rPr>
              <w:t>VAT</w:t>
            </w:r>
          </w:p>
        </w:tc>
        <w:tc>
          <w:tcPr>
            <w:tcW w:w="1281" w:type="dxa"/>
            <w:tcBorders>
              <w:top w:val="nil"/>
              <w:left w:val="nil"/>
              <w:bottom w:val="nil"/>
              <w:right w:val="nil"/>
            </w:tcBorders>
            <w:shd w:val="clear" w:color="auto" w:fill="FFFFFF"/>
          </w:tcPr>
          <w:p w14:paraId="3C2A55AA"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.236</w:t>
            </w:r>
          </w:p>
        </w:tc>
        <w:tc>
          <w:tcPr>
            <w:tcW w:w="1282" w:type="dxa"/>
            <w:tcBorders>
              <w:top w:val="nil"/>
              <w:left w:val="nil"/>
              <w:bottom w:val="nil"/>
              <w:right w:val="nil"/>
            </w:tcBorders>
            <w:shd w:val="clear" w:color="auto" w:fill="FFFFFF"/>
          </w:tcPr>
          <w:p w14:paraId="3F25326D"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nil"/>
              <w:left w:val="nil"/>
              <w:bottom w:val="nil"/>
              <w:right w:val="nil"/>
            </w:tcBorders>
            <w:shd w:val="clear" w:color="auto" w:fill="FFFFFF"/>
          </w:tcPr>
          <w:p w14:paraId="110C4702"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c>
          <w:tcPr>
            <w:tcW w:w="1282" w:type="dxa"/>
            <w:tcBorders>
              <w:top w:val="nil"/>
              <w:left w:val="nil"/>
              <w:bottom w:val="nil"/>
              <w:right w:val="nil"/>
            </w:tcBorders>
            <w:shd w:val="clear" w:color="auto" w:fill="FFFFFF"/>
          </w:tcPr>
          <w:p w14:paraId="1F0CCF2D"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.615</w:t>
            </w:r>
          </w:p>
        </w:tc>
        <w:tc>
          <w:tcPr>
            <w:tcW w:w="1282" w:type="dxa"/>
            <w:tcBorders>
              <w:top w:val="nil"/>
              <w:left w:val="nil"/>
              <w:bottom w:val="nil"/>
              <w:right w:val="nil"/>
            </w:tcBorders>
            <w:shd w:val="clear" w:color="auto" w:fill="FFFFFF"/>
          </w:tcPr>
          <w:p w14:paraId="4974B4B5"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nil"/>
              <w:left w:val="nil"/>
              <w:bottom w:val="nil"/>
              <w:right w:val="single" w:sz="4" w:space="0" w:color="auto"/>
            </w:tcBorders>
            <w:shd w:val="clear" w:color="auto" w:fill="FFFFFF"/>
          </w:tcPr>
          <w:p w14:paraId="1D4568E9"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r>
      <w:tr w:rsidR="007B652A" w:rsidRPr="001858FB" w14:paraId="5EBCE3AE" w14:textId="77777777" w:rsidTr="0062367B">
        <w:trPr>
          <w:cantSplit/>
          <w:trHeight w:val="344"/>
        </w:trPr>
        <w:tc>
          <w:tcPr>
            <w:tcW w:w="918" w:type="dxa"/>
            <w:tcBorders>
              <w:top w:val="nil"/>
              <w:left w:val="single" w:sz="4" w:space="0" w:color="auto"/>
              <w:bottom w:val="nil"/>
              <w:right w:val="nil"/>
            </w:tcBorders>
          </w:tcPr>
          <w:p w14:paraId="5F54B6B5" w14:textId="77777777" w:rsidR="007B652A" w:rsidRPr="001858FB" w:rsidRDefault="007B652A" w:rsidP="007B652A">
            <w:pPr>
              <w:autoSpaceDE w:val="0"/>
              <w:autoSpaceDN w:val="0"/>
              <w:adjustRightInd w:val="0"/>
              <w:spacing w:before="0" w:line="240" w:lineRule="auto"/>
              <w:ind w:left="60" w:right="60"/>
              <w:jc w:val="left"/>
              <w:rPr>
                <w:rFonts w:eastAsiaTheme="minorHAnsi"/>
                <w:color w:val="auto"/>
                <w:sz w:val="22"/>
              </w:rPr>
            </w:pPr>
            <w:r w:rsidRPr="001858FB">
              <w:rPr>
                <w:rFonts w:eastAsiaTheme="minorHAnsi"/>
                <w:color w:val="auto"/>
                <w:sz w:val="22"/>
              </w:rPr>
              <w:t>TI</w:t>
            </w:r>
          </w:p>
        </w:tc>
        <w:tc>
          <w:tcPr>
            <w:tcW w:w="1281" w:type="dxa"/>
            <w:tcBorders>
              <w:top w:val="nil"/>
              <w:left w:val="nil"/>
              <w:bottom w:val="nil"/>
              <w:right w:val="nil"/>
            </w:tcBorders>
            <w:shd w:val="clear" w:color="auto" w:fill="FFFFFF"/>
          </w:tcPr>
          <w:p w14:paraId="4FF21E30"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.132</w:t>
            </w:r>
          </w:p>
        </w:tc>
        <w:tc>
          <w:tcPr>
            <w:tcW w:w="1282" w:type="dxa"/>
            <w:tcBorders>
              <w:top w:val="nil"/>
              <w:left w:val="nil"/>
              <w:bottom w:val="nil"/>
              <w:right w:val="nil"/>
            </w:tcBorders>
            <w:shd w:val="clear" w:color="auto" w:fill="FFFFFF"/>
          </w:tcPr>
          <w:p w14:paraId="167CE883"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nil"/>
              <w:left w:val="nil"/>
              <w:bottom w:val="nil"/>
              <w:right w:val="nil"/>
            </w:tcBorders>
            <w:shd w:val="clear" w:color="auto" w:fill="FFFFFF"/>
          </w:tcPr>
          <w:p w14:paraId="50F0B198"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c>
          <w:tcPr>
            <w:tcW w:w="1282" w:type="dxa"/>
            <w:tcBorders>
              <w:top w:val="nil"/>
              <w:left w:val="nil"/>
              <w:bottom w:val="nil"/>
              <w:right w:val="nil"/>
            </w:tcBorders>
            <w:shd w:val="clear" w:color="auto" w:fill="FFFFFF"/>
          </w:tcPr>
          <w:p w14:paraId="3CDA036A"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.937</w:t>
            </w:r>
          </w:p>
        </w:tc>
        <w:tc>
          <w:tcPr>
            <w:tcW w:w="1282" w:type="dxa"/>
            <w:tcBorders>
              <w:top w:val="nil"/>
              <w:left w:val="nil"/>
              <w:bottom w:val="nil"/>
              <w:right w:val="nil"/>
            </w:tcBorders>
            <w:shd w:val="clear" w:color="auto" w:fill="FFFFFF"/>
          </w:tcPr>
          <w:p w14:paraId="12C1C244"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nil"/>
              <w:left w:val="nil"/>
              <w:bottom w:val="nil"/>
              <w:right w:val="single" w:sz="4" w:space="0" w:color="auto"/>
            </w:tcBorders>
            <w:shd w:val="clear" w:color="auto" w:fill="FFFFFF"/>
          </w:tcPr>
          <w:p w14:paraId="2E466C7E"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r>
      <w:tr w:rsidR="007B652A" w:rsidRPr="001858FB" w14:paraId="491EDEAE" w14:textId="77777777" w:rsidTr="0062367B">
        <w:trPr>
          <w:cantSplit/>
          <w:trHeight w:val="344"/>
        </w:trPr>
        <w:tc>
          <w:tcPr>
            <w:tcW w:w="918" w:type="dxa"/>
            <w:tcBorders>
              <w:top w:val="nil"/>
              <w:left w:val="single" w:sz="4" w:space="0" w:color="auto"/>
              <w:bottom w:val="single" w:sz="4" w:space="0" w:color="auto"/>
              <w:right w:val="nil"/>
            </w:tcBorders>
          </w:tcPr>
          <w:p w14:paraId="0F77761C" w14:textId="77777777" w:rsidR="007B652A" w:rsidRPr="001858FB" w:rsidRDefault="007B652A" w:rsidP="007B652A">
            <w:pPr>
              <w:autoSpaceDE w:val="0"/>
              <w:autoSpaceDN w:val="0"/>
              <w:adjustRightInd w:val="0"/>
              <w:spacing w:before="0" w:line="240" w:lineRule="auto"/>
              <w:ind w:left="60" w:right="60"/>
              <w:jc w:val="left"/>
              <w:rPr>
                <w:rFonts w:eastAsiaTheme="minorHAnsi"/>
                <w:color w:val="auto"/>
                <w:sz w:val="22"/>
              </w:rPr>
            </w:pPr>
            <w:r w:rsidRPr="001858FB">
              <w:rPr>
                <w:rFonts w:eastAsiaTheme="minorHAnsi"/>
                <w:color w:val="auto"/>
                <w:sz w:val="22"/>
              </w:rPr>
              <w:t>CED</w:t>
            </w:r>
          </w:p>
        </w:tc>
        <w:tc>
          <w:tcPr>
            <w:tcW w:w="1281" w:type="dxa"/>
            <w:tcBorders>
              <w:top w:val="nil"/>
              <w:left w:val="nil"/>
              <w:bottom w:val="single" w:sz="4" w:space="0" w:color="auto"/>
              <w:right w:val="nil"/>
            </w:tcBorders>
            <w:shd w:val="clear" w:color="auto" w:fill="FFFFFF"/>
          </w:tcPr>
          <w:p w14:paraId="74FAD939"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.489</w:t>
            </w:r>
          </w:p>
        </w:tc>
        <w:tc>
          <w:tcPr>
            <w:tcW w:w="1282" w:type="dxa"/>
            <w:tcBorders>
              <w:top w:val="nil"/>
              <w:left w:val="nil"/>
              <w:bottom w:val="single" w:sz="4" w:space="0" w:color="auto"/>
              <w:right w:val="nil"/>
            </w:tcBorders>
            <w:shd w:val="clear" w:color="auto" w:fill="FFFFFF"/>
          </w:tcPr>
          <w:p w14:paraId="566C63BB"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nil"/>
              <w:left w:val="nil"/>
              <w:bottom w:val="single" w:sz="4" w:space="0" w:color="auto"/>
              <w:right w:val="nil"/>
            </w:tcBorders>
            <w:shd w:val="clear" w:color="auto" w:fill="FFFFFF"/>
          </w:tcPr>
          <w:p w14:paraId="173AD8E0"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c>
          <w:tcPr>
            <w:tcW w:w="1282" w:type="dxa"/>
            <w:tcBorders>
              <w:top w:val="nil"/>
              <w:left w:val="nil"/>
              <w:bottom w:val="single" w:sz="4" w:space="0" w:color="auto"/>
              <w:right w:val="nil"/>
            </w:tcBorders>
            <w:shd w:val="clear" w:color="auto" w:fill="FFFFFF"/>
          </w:tcPr>
          <w:p w14:paraId="479EB7FB"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.384</w:t>
            </w:r>
          </w:p>
        </w:tc>
        <w:tc>
          <w:tcPr>
            <w:tcW w:w="1282" w:type="dxa"/>
            <w:tcBorders>
              <w:top w:val="nil"/>
              <w:left w:val="nil"/>
              <w:bottom w:val="single" w:sz="4" w:space="0" w:color="auto"/>
              <w:right w:val="nil"/>
            </w:tcBorders>
            <w:shd w:val="clear" w:color="auto" w:fill="FFFFFF"/>
          </w:tcPr>
          <w:p w14:paraId="2F04F146"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nil"/>
              <w:left w:val="nil"/>
              <w:bottom w:val="single" w:sz="4" w:space="0" w:color="auto"/>
              <w:right w:val="single" w:sz="4" w:space="0" w:color="auto"/>
            </w:tcBorders>
            <w:shd w:val="clear" w:color="auto" w:fill="FFFFFF"/>
          </w:tcPr>
          <w:p w14:paraId="6BA8E324"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r>
      <w:tr w:rsidR="007B652A" w:rsidRPr="001858FB" w14:paraId="1238C5C8" w14:textId="77777777" w:rsidTr="0062367B">
        <w:trPr>
          <w:cantSplit/>
          <w:trHeight w:val="344"/>
        </w:trPr>
        <w:tc>
          <w:tcPr>
            <w:tcW w:w="8611" w:type="dxa"/>
            <w:gridSpan w:val="7"/>
            <w:tcBorders>
              <w:top w:val="single" w:sz="4" w:space="0" w:color="auto"/>
              <w:left w:val="nil"/>
              <w:bottom w:val="nil"/>
              <w:right w:val="nil"/>
            </w:tcBorders>
            <w:shd w:val="clear" w:color="auto" w:fill="FFFFFF"/>
          </w:tcPr>
          <w:p w14:paraId="405183C4" w14:textId="77777777" w:rsidR="007B652A" w:rsidRPr="001858FB" w:rsidRDefault="007B652A" w:rsidP="007B652A">
            <w:pPr>
              <w:autoSpaceDE w:val="0"/>
              <w:autoSpaceDN w:val="0"/>
              <w:adjustRightInd w:val="0"/>
              <w:spacing w:before="0" w:line="240" w:lineRule="auto"/>
              <w:ind w:left="60" w:right="60"/>
              <w:jc w:val="left"/>
              <w:rPr>
                <w:rFonts w:eastAsiaTheme="minorHAnsi"/>
                <w:color w:val="auto"/>
                <w:sz w:val="22"/>
              </w:rPr>
            </w:pPr>
          </w:p>
        </w:tc>
      </w:tr>
    </w:tbl>
    <w:p w14:paraId="584A229B" w14:textId="684B4F39" w:rsidR="007B652A" w:rsidRPr="007B652A" w:rsidRDefault="007B652A" w:rsidP="007B652A">
      <w:pPr>
        <w:spacing w:before="0" w:line="240" w:lineRule="auto"/>
        <w:rPr>
          <w:b/>
          <w:bCs/>
          <w:color w:val="000000" w:themeColor="text1"/>
        </w:rPr>
      </w:pPr>
      <w:r w:rsidRPr="007B652A">
        <w:rPr>
          <w:b/>
          <w:bCs/>
          <w:color w:val="000000" w:themeColor="text1"/>
        </w:rPr>
        <w:t>Multicollinearity Test:</w:t>
      </w:r>
    </w:p>
    <w:p w14:paraId="2F1E7BA3" w14:textId="77777777" w:rsidR="007B652A" w:rsidRDefault="007B652A" w:rsidP="007B652A">
      <w:pPr>
        <w:spacing w:before="0" w:line="240" w:lineRule="auto"/>
        <w:rPr>
          <w:color w:val="000000" w:themeColor="text1"/>
        </w:rPr>
      </w:pPr>
      <w:r w:rsidRPr="007B652A">
        <w:rPr>
          <w:color w:val="000000" w:themeColor="text1"/>
        </w:rPr>
        <w:t>To assess the interdependence among independent variables, tolerance and Variance Inflation Factor (VIF) values were examined. The tolerance values ranged between 0.595 and 0.881, while VIF values were between 1.135 and 1.682, both within acceptable limits (VIF &lt; 10). This confirmed that multicollinearity was not a problem, allowing all variables to be included in the regression model.</w:t>
      </w:r>
    </w:p>
    <w:p w14:paraId="709E28E4" w14:textId="00DEF8F0" w:rsidR="00DF2A42" w:rsidRDefault="00DF2A42" w:rsidP="00DF2A42">
      <w:pPr>
        <w:spacing w:before="0" w:line="240" w:lineRule="auto"/>
        <w:rPr>
          <w:b/>
          <w:bCs/>
          <w:i/>
          <w:iCs/>
        </w:rPr>
      </w:pPr>
      <w:r w:rsidRPr="00711AB4">
        <w:rPr>
          <w:b/>
          <w:bCs/>
          <w:i/>
          <w:iCs/>
        </w:rPr>
        <w:t xml:space="preserve">Table </w:t>
      </w:r>
      <w:r>
        <w:rPr>
          <w:b/>
          <w:bCs/>
          <w:i/>
          <w:iCs/>
        </w:rPr>
        <w:t>4</w:t>
      </w:r>
      <w:r w:rsidRPr="00711AB4">
        <w:rPr>
          <w:b/>
          <w:bCs/>
          <w:i/>
          <w:iCs/>
        </w:rPr>
        <w:t xml:space="preserve">: </w:t>
      </w:r>
      <w:r w:rsidRPr="00DF2A42">
        <w:rPr>
          <w:b/>
          <w:bCs/>
          <w:i/>
          <w:iCs/>
        </w:rPr>
        <w:t>Multicollinearity</w:t>
      </w:r>
    </w:p>
    <w:p w14:paraId="0CF69EBE" w14:textId="77777777" w:rsidR="007B652A" w:rsidRDefault="007B652A" w:rsidP="007B652A">
      <w:pPr>
        <w:spacing w:before="0" w:line="240" w:lineRule="auto"/>
        <w:rPr>
          <w:color w:val="000000" w:themeColor="text1"/>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8"/>
        <w:gridCol w:w="1623"/>
        <w:gridCol w:w="1834"/>
        <w:gridCol w:w="1835"/>
        <w:gridCol w:w="1557"/>
        <w:gridCol w:w="1413"/>
      </w:tblGrid>
      <w:tr w:rsidR="007B652A" w:rsidRPr="003319CF" w14:paraId="37613C9F" w14:textId="77777777" w:rsidTr="0062367B">
        <w:trPr>
          <w:cantSplit/>
          <w:trHeight w:val="577"/>
        </w:trPr>
        <w:tc>
          <w:tcPr>
            <w:tcW w:w="2631" w:type="dxa"/>
            <w:gridSpan w:val="2"/>
            <w:vMerge w:val="restart"/>
            <w:shd w:val="clear" w:color="auto" w:fill="FFFFFF"/>
            <w:vAlign w:val="bottom"/>
          </w:tcPr>
          <w:p w14:paraId="675E8FC7" w14:textId="77777777" w:rsidR="007B652A" w:rsidRPr="003319CF" w:rsidRDefault="007B652A" w:rsidP="007B652A">
            <w:pPr>
              <w:autoSpaceDE w:val="0"/>
              <w:autoSpaceDN w:val="0"/>
              <w:adjustRightInd w:val="0"/>
              <w:spacing w:before="0" w:line="240" w:lineRule="auto"/>
              <w:ind w:left="60" w:right="60"/>
              <w:jc w:val="left"/>
              <w:rPr>
                <w:rFonts w:eastAsiaTheme="minorHAnsi"/>
                <w:color w:val="auto"/>
                <w:sz w:val="22"/>
              </w:rPr>
            </w:pPr>
          </w:p>
        </w:tc>
        <w:tc>
          <w:tcPr>
            <w:tcW w:w="3669" w:type="dxa"/>
            <w:gridSpan w:val="2"/>
            <w:shd w:val="clear" w:color="auto" w:fill="FFFFFF"/>
            <w:vAlign w:val="bottom"/>
          </w:tcPr>
          <w:p w14:paraId="31BEA5F4"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Unstandardized Coefficients</w:t>
            </w:r>
          </w:p>
        </w:tc>
        <w:tc>
          <w:tcPr>
            <w:tcW w:w="2970" w:type="dxa"/>
            <w:gridSpan w:val="2"/>
            <w:shd w:val="clear" w:color="auto" w:fill="FFFFFF"/>
            <w:vAlign w:val="bottom"/>
          </w:tcPr>
          <w:p w14:paraId="79F14140"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Collinearity Statistics</w:t>
            </w:r>
          </w:p>
        </w:tc>
      </w:tr>
      <w:tr w:rsidR="007B652A" w:rsidRPr="003319CF" w14:paraId="15528240" w14:textId="77777777" w:rsidTr="0062367B">
        <w:trPr>
          <w:cantSplit/>
          <w:trHeight w:val="295"/>
        </w:trPr>
        <w:tc>
          <w:tcPr>
            <w:tcW w:w="2631" w:type="dxa"/>
            <w:gridSpan w:val="2"/>
            <w:vMerge/>
            <w:shd w:val="clear" w:color="auto" w:fill="FFFFFF"/>
            <w:vAlign w:val="bottom"/>
          </w:tcPr>
          <w:p w14:paraId="285F69B8" w14:textId="77777777" w:rsidR="007B652A" w:rsidRPr="003319CF" w:rsidRDefault="007B652A" w:rsidP="007B652A">
            <w:pPr>
              <w:autoSpaceDE w:val="0"/>
              <w:autoSpaceDN w:val="0"/>
              <w:adjustRightInd w:val="0"/>
              <w:spacing w:before="0" w:line="240" w:lineRule="auto"/>
              <w:jc w:val="left"/>
              <w:rPr>
                <w:rFonts w:eastAsiaTheme="minorHAnsi"/>
                <w:color w:val="auto"/>
                <w:sz w:val="22"/>
              </w:rPr>
            </w:pPr>
          </w:p>
        </w:tc>
        <w:tc>
          <w:tcPr>
            <w:tcW w:w="1834" w:type="dxa"/>
            <w:shd w:val="clear" w:color="auto" w:fill="FFFFFF"/>
            <w:vAlign w:val="bottom"/>
          </w:tcPr>
          <w:p w14:paraId="6F677608"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B</w:t>
            </w:r>
          </w:p>
        </w:tc>
        <w:tc>
          <w:tcPr>
            <w:tcW w:w="1834" w:type="dxa"/>
            <w:shd w:val="clear" w:color="auto" w:fill="FFFFFF"/>
            <w:vAlign w:val="bottom"/>
          </w:tcPr>
          <w:p w14:paraId="6F2807F7"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Std. Error</w:t>
            </w:r>
          </w:p>
        </w:tc>
        <w:tc>
          <w:tcPr>
            <w:tcW w:w="1557" w:type="dxa"/>
            <w:shd w:val="clear" w:color="auto" w:fill="FFFFFF"/>
            <w:vAlign w:val="bottom"/>
          </w:tcPr>
          <w:p w14:paraId="6DC680B2"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Tolerance</w:t>
            </w:r>
          </w:p>
        </w:tc>
        <w:tc>
          <w:tcPr>
            <w:tcW w:w="1412" w:type="dxa"/>
            <w:shd w:val="clear" w:color="auto" w:fill="FFFFFF"/>
            <w:vAlign w:val="bottom"/>
          </w:tcPr>
          <w:p w14:paraId="73441124"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VIF</w:t>
            </w:r>
          </w:p>
        </w:tc>
      </w:tr>
      <w:tr w:rsidR="007B652A" w:rsidRPr="003319CF" w14:paraId="7CD497EB" w14:textId="77777777" w:rsidTr="0062367B">
        <w:trPr>
          <w:cantSplit/>
          <w:trHeight w:val="295"/>
        </w:trPr>
        <w:tc>
          <w:tcPr>
            <w:tcW w:w="1008" w:type="dxa"/>
            <w:vMerge w:val="restart"/>
            <w:tcBorders>
              <w:right w:val="single" w:sz="4" w:space="0" w:color="auto"/>
            </w:tcBorders>
          </w:tcPr>
          <w:p w14:paraId="195B8195" w14:textId="77777777" w:rsidR="007B652A" w:rsidRPr="003319CF" w:rsidRDefault="007B652A" w:rsidP="007B652A">
            <w:pPr>
              <w:autoSpaceDE w:val="0"/>
              <w:autoSpaceDN w:val="0"/>
              <w:adjustRightInd w:val="0"/>
              <w:spacing w:before="0" w:line="240" w:lineRule="auto"/>
              <w:ind w:left="60" w:right="60"/>
              <w:jc w:val="left"/>
              <w:rPr>
                <w:rFonts w:eastAsiaTheme="minorHAnsi"/>
                <w:color w:val="auto"/>
                <w:sz w:val="22"/>
              </w:rPr>
            </w:pPr>
          </w:p>
        </w:tc>
        <w:tc>
          <w:tcPr>
            <w:tcW w:w="1622" w:type="dxa"/>
            <w:tcBorders>
              <w:top w:val="nil"/>
              <w:left w:val="single" w:sz="4" w:space="0" w:color="auto"/>
              <w:bottom w:val="nil"/>
              <w:right w:val="single" w:sz="4" w:space="0" w:color="auto"/>
            </w:tcBorders>
          </w:tcPr>
          <w:p w14:paraId="6686EAAC" w14:textId="77777777" w:rsidR="007B652A" w:rsidRPr="003319CF" w:rsidRDefault="007B652A" w:rsidP="007B652A">
            <w:pPr>
              <w:autoSpaceDE w:val="0"/>
              <w:autoSpaceDN w:val="0"/>
              <w:adjustRightInd w:val="0"/>
              <w:spacing w:before="0" w:line="240" w:lineRule="auto"/>
              <w:ind w:left="60" w:right="60"/>
              <w:jc w:val="left"/>
              <w:rPr>
                <w:rFonts w:eastAsiaTheme="minorHAnsi"/>
                <w:color w:val="auto"/>
                <w:sz w:val="22"/>
              </w:rPr>
            </w:pPr>
            <w:r w:rsidRPr="003319CF">
              <w:rPr>
                <w:rFonts w:eastAsiaTheme="minorHAnsi"/>
                <w:color w:val="auto"/>
                <w:sz w:val="22"/>
              </w:rPr>
              <w:t>(Constant)</w:t>
            </w:r>
          </w:p>
        </w:tc>
        <w:tc>
          <w:tcPr>
            <w:tcW w:w="1834" w:type="dxa"/>
            <w:tcBorders>
              <w:top w:val="nil"/>
              <w:left w:val="single" w:sz="4" w:space="0" w:color="auto"/>
              <w:bottom w:val="nil"/>
              <w:right w:val="nil"/>
            </w:tcBorders>
            <w:shd w:val="clear" w:color="auto" w:fill="FFFFFF"/>
          </w:tcPr>
          <w:p w14:paraId="60E5B581"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-.116</w:t>
            </w:r>
          </w:p>
        </w:tc>
        <w:tc>
          <w:tcPr>
            <w:tcW w:w="1834" w:type="dxa"/>
            <w:tcBorders>
              <w:top w:val="nil"/>
              <w:left w:val="nil"/>
              <w:bottom w:val="nil"/>
              <w:right w:val="nil"/>
            </w:tcBorders>
            <w:shd w:val="clear" w:color="auto" w:fill="FFFFFF"/>
          </w:tcPr>
          <w:p w14:paraId="6770FAB7"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.016</w:t>
            </w:r>
          </w:p>
        </w:tc>
        <w:tc>
          <w:tcPr>
            <w:tcW w:w="1557" w:type="dxa"/>
            <w:tcBorders>
              <w:top w:val="nil"/>
              <w:left w:val="nil"/>
              <w:bottom w:val="nil"/>
              <w:right w:val="nil"/>
            </w:tcBorders>
            <w:shd w:val="clear" w:color="auto" w:fill="FFFFFF"/>
            <w:vAlign w:val="center"/>
          </w:tcPr>
          <w:p w14:paraId="744F2B0C" w14:textId="77777777" w:rsidR="007B652A" w:rsidRPr="003319CF" w:rsidRDefault="007B652A" w:rsidP="007B652A">
            <w:pPr>
              <w:autoSpaceDE w:val="0"/>
              <w:autoSpaceDN w:val="0"/>
              <w:adjustRightInd w:val="0"/>
              <w:spacing w:before="0" w:line="240" w:lineRule="auto"/>
              <w:jc w:val="center"/>
              <w:rPr>
                <w:rFonts w:eastAsiaTheme="minorHAnsi"/>
                <w:color w:val="auto"/>
                <w:sz w:val="22"/>
              </w:rPr>
            </w:pPr>
          </w:p>
        </w:tc>
        <w:tc>
          <w:tcPr>
            <w:tcW w:w="1412" w:type="dxa"/>
            <w:tcBorders>
              <w:top w:val="nil"/>
              <w:left w:val="nil"/>
              <w:bottom w:val="nil"/>
              <w:right w:val="single" w:sz="4" w:space="0" w:color="auto"/>
            </w:tcBorders>
            <w:shd w:val="clear" w:color="auto" w:fill="FFFFFF"/>
            <w:vAlign w:val="center"/>
          </w:tcPr>
          <w:p w14:paraId="1C337322" w14:textId="77777777" w:rsidR="007B652A" w:rsidRPr="003319CF" w:rsidRDefault="007B652A" w:rsidP="007B652A">
            <w:pPr>
              <w:autoSpaceDE w:val="0"/>
              <w:autoSpaceDN w:val="0"/>
              <w:adjustRightInd w:val="0"/>
              <w:spacing w:before="0" w:line="240" w:lineRule="auto"/>
              <w:jc w:val="center"/>
              <w:rPr>
                <w:rFonts w:eastAsiaTheme="minorHAnsi"/>
                <w:color w:val="auto"/>
                <w:sz w:val="22"/>
              </w:rPr>
            </w:pPr>
          </w:p>
        </w:tc>
      </w:tr>
      <w:tr w:rsidR="007B652A" w:rsidRPr="003319CF" w14:paraId="042A47C9" w14:textId="77777777" w:rsidTr="0062367B">
        <w:trPr>
          <w:cantSplit/>
          <w:trHeight w:val="295"/>
        </w:trPr>
        <w:tc>
          <w:tcPr>
            <w:tcW w:w="1008" w:type="dxa"/>
            <w:vMerge/>
            <w:tcBorders>
              <w:right w:val="single" w:sz="4" w:space="0" w:color="auto"/>
            </w:tcBorders>
          </w:tcPr>
          <w:p w14:paraId="02D517E6" w14:textId="77777777" w:rsidR="007B652A" w:rsidRPr="003319CF" w:rsidRDefault="007B652A" w:rsidP="007B652A">
            <w:pPr>
              <w:autoSpaceDE w:val="0"/>
              <w:autoSpaceDN w:val="0"/>
              <w:adjustRightInd w:val="0"/>
              <w:spacing w:before="0" w:line="240" w:lineRule="auto"/>
              <w:jc w:val="left"/>
              <w:rPr>
                <w:rFonts w:eastAsiaTheme="minorHAnsi"/>
                <w:color w:val="auto"/>
                <w:sz w:val="22"/>
              </w:rPr>
            </w:pPr>
          </w:p>
        </w:tc>
        <w:tc>
          <w:tcPr>
            <w:tcW w:w="1622" w:type="dxa"/>
            <w:tcBorders>
              <w:top w:val="nil"/>
              <w:left w:val="single" w:sz="4" w:space="0" w:color="auto"/>
              <w:bottom w:val="nil"/>
              <w:right w:val="single" w:sz="4" w:space="0" w:color="auto"/>
            </w:tcBorders>
          </w:tcPr>
          <w:p w14:paraId="44027A0B" w14:textId="77777777" w:rsidR="007B652A" w:rsidRPr="003319CF" w:rsidRDefault="007B652A" w:rsidP="007B652A">
            <w:pPr>
              <w:autoSpaceDE w:val="0"/>
              <w:autoSpaceDN w:val="0"/>
              <w:adjustRightInd w:val="0"/>
              <w:spacing w:before="0" w:line="240" w:lineRule="auto"/>
              <w:ind w:left="60" w:right="60"/>
              <w:jc w:val="left"/>
              <w:rPr>
                <w:rFonts w:eastAsiaTheme="minorHAnsi"/>
                <w:color w:val="auto"/>
                <w:sz w:val="22"/>
              </w:rPr>
            </w:pPr>
            <w:r w:rsidRPr="003319CF">
              <w:rPr>
                <w:rFonts w:eastAsiaTheme="minorHAnsi"/>
                <w:color w:val="auto"/>
                <w:sz w:val="22"/>
              </w:rPr>
              <w:t>CITR</w:t>
            </w:r>
          </w:p>
        </w:tc>
        <w:tc>
          <w:tcPr>
            <w:tcW w:w="1834" w:type="dxa"/>
            <w:tcBorders>
              <w:top w:val="nil"/>
              <w:left w:val="single" w:sz="4" w:space="0" w:color="auto"/>
              <w:bottom w:val="nil"/>
              <w:right w:val="nil"/>
            </w:tcBorders>
            <w:shd w:val="clear" w:color="auto" w:fill="FFFFFF"/>
          </w:tcPr>
          <w:p w14:paraId="2E10C746"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.043</w:t>
            </w:r>
          </w:p>
        </w:tc>
        <w:tc>
          <w:tcPr>
            <w:tcW w:w="1834" w:type="dxa"/>
            <w:tcBorders>
              <w:top w:val="nil"/>
              <w:left w:val="nil"/>
              <w:bottom w:val="nil"/>
              <w:right w:val="nil"/>
            </w:tcBorders>
            <w:shd w:val="clear" w:color="auto" w:fill="FFFFFF"/>
          </w:tcPr>
          <w:p w14:paraId="54B999A7"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.077</w:t>
            </w:r>
          </w:p>
        </w:tc>
        <w:tc>
          <w:tcPr>
            <w:tcW w:w="1557" w:type="dxa"/>
            <w:tcBorders>
              <w:top w:val="nil"/>
              <w:left w:val="nil"/>
              <w:bottom w:val="nil"/>
              <w:right w:val="nil"/>
            </w:tcBorders>
            <w:shd w:val="clear" w:color="auto" w:fill="FFFFFF"/>
          </w:tcPr>
          <w:p w14:paraId="6F48719C"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.881</w:t>
            </w:r>
          </w:p>
        </w:tc>
        <w:tc>
          <w:tcPr>
            <w:tcW w:w="1412" w:type="dxa"/>
            <w:tcBorders>
              <w:top w:val="nil"/>
              <w:left w:val="nil"/>
              <w:bottom w:val="nil"/>
              <w:right w:val="single" w:sz="4" w:space="0" w:color="auto"/>
            </w:tcBorders>
            <w:shd w:val="clear" w:color="auto" w:fill="FFFFFF"/>
          </w:tcPr>
          <w:p w14:paraId="493B54A0"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1.135</w:t>
            </w:r>
          </w:p>
        </w:tc>
      </w:tr>
      <w:tr w:rsidR="007B652A" w:rsidRPr="003319CF" w14:paraId="77D4B646" w14:textId="77777777" w:rsidTr="0062367B">
        <w:trPr>
          <w:cantSplit/>
          <w:trHeight w:val="309"/>
        </w:trPr>
        <w:tc>
          <w:tcPr>
            <w:tcW w:w="1008" w:type="dxa"/>
            <w:vMerge/>
            <w:tcBorders>
              <w:right w:val="single" w:sz="4" w:space="0" w:color="auto"/>
            </w:tcBorders>
          </w:tcPr>
          <w:p w14:paraId="65108C56" w14:textId="77777777" w:rsidR="007B652A" w:rsidRPr="003319CF" w:rsidRDefault="007B652A" w:rsidP="007B652A">
            <w:pPr>
              <w:autoSpaceDE w:val="0"/>
              <w:autoSpaceDN w:val="0"/>
              <w:adjustRightInd w:val="0"/>
              <w:spacing w:before="0" w:line="240" w:lineRule="auto"/>
              <w:jc w:val="left"/>
              <w:rPr>
                <w:rFonts w:eastAsiaTheme="minorHAnsi"/>
                <w:color w:val="auto"/>
                <w:sz w:val="22"/>
              </w:rPr>
            </w:pPr>
          </w:p>
        </w:tc>
        <w:tc>
          <w:tcPr>
            <w:tcW w:w="1622" w:type="dxa"/>
            <w:tcBorders>
              <w:top w:val="nil"/>
              <w:left w:val="single" w:sz="4" w:space="0" w:color="auto"/>
              <w:bottom w:val="nil"/>
              <w:right w:val="single" w:sz="4" w:space="0" w:color="auto"/>
            </w:tcBorders>
          </w:tcPr>
          <w:p w14:paraId="46E4A06D" w14:textId="77777777" w:rsidR="007B652A" w:rsidRPr="003319CF" w:rsidRDefault="007B652A" w:rsidP="007B652A">
            <w:pPr>
              <w:autoSpaceDE w:val="0"/>
              <w:autoSpaceDN w:val="0"/>
              <w:adjustRightInd w:val="0"/>
              <w:spacing w:before="0" w:line="240" w:lineRule="auto"/>
              <w:ind w:left="60" w:right="60"/>
              <w:jc w:val="left"/>
              <w:rPr>
                <w:rFonts w:eastAsiaTheme="minorHAnsi"/>
                <w:color w:val="auto"/>
                <w:sz w:val="22"/>
              </w:rPr>
            </w:pPr>
            <w:r w:rsidRPr="003319CF">
              <w:rPr>
                <w:rFonts w:eastAsiaTheme="minorHAnsi"/>
                <w:color w:val="auto"/>
                <w:sz w:val="22"/>
              </w:rPr>
              <w:t>VAT</w:t>
            </w:r>
          </w:p>
        </w:tc>
        <w:tc>
          <w:tcPr>
            <w:tcW w:w="1834" w:type="dxa"/>
            <w:tcBorders>
              <w:top w:val="nil"/>
              <w:left w:val="single" w:sz="4" w:space="0" w:color="auto"/>
              <w:bottom w:val="nil"/>
              <w:right w:val="nil"/>
            </w:tcBorders>
            <w:shd w:val="clear" w:color="auto" w:fill="FFFFFF"/>
          </w:tcPr>
          <w:p w14:paraId="4BEB3FA0"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.013</w:t>
            </w:r>
          </w:p>
        </w:tc>
        <w:tc>
          <w:tcPr>
            <w:tcW w:w="1834" w:type="dxa"/>
            <w:tcBorders>
              <w:top w:val="nil"/>
              <w:left w:val="nil"/>
              <w:bottom w:val="nil"/>
              <w:right w:val="nil"/>
            </w:tcBorders>
            <w:shd w:val="clear" w:color="auto" w:fill="FFFFFF"/>
          </w:tcPr>
          <w:p w14:paraId="1AF4C8A6"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.001</w:t>
            </w:r>
          </w:p>
        </w:tc>
        <w:tc>
          <w:tcPr>
            <w:tcW w:w="1557" w:type="dxa"/>
            <w:tcBorders>
              <w:top w:val="nil"/>
              <w:left w:val="nil"/>
              <w:bottom w:val="nil"/>
              <w:right w:val="nil"/>
            </w:tcBorders>
            <w:shd w:val="clear" w:color="auto" w:fill="FFFFFF"/>
          </w:tcPr>
          <w:p w14:paraId="3BC254E2"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.877</w:t>
            </w:r>
          </w:p>
        </w:tc>
        <w:tc>
          <w:tcPr>
            <w:tcW w:w="1412" w:type="dxa"/>
            <w:tcBorders>
              <w:top w:val="nil"/>
              <w:left w:val="nil"/>
              <w:bottom w:val="nil"/>
              <w:right w:val="single" w:sz="4" w:space="0" w:color="auto"/>
            </w:tcBorders>
            <w:shd w:val="clear" w:color="auto" w:fill="FFFFFF"/>
          </w:tcPr>
          <w:p w14:paraId="293F2E01"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1.140</w:t>
            </w:r>
          </w:p>
        </w:tc>
      </w:tr>
      <w:tr w:rsidR="007B652A" w:rsidRPr="003319CF" w14:paraId="42598564" w14:textId="77777777" w:rsidTr="0062367B">
        <w:trPr>
          <w:cantSplit/>
          <w:trHeight w:val="309"/>
        </w:trPr>
        <w:tc>
          <w:tcPr>
            <w:tcW w:w="1008" w:type="dxa"/>
            <w:vMerge/>
            <w:tcBorders>
              <w:right w:val="single" w:sz="4" w:space="0" w:color="auto"/>
            </w:tcBorders>
          </w:tcPr>
          <w:p w14:paraId="36619A6F" w14:textId="77777777" w:rsidR="007B652A" w:rsidRPr="003319CF" w:rsidRDefault="007B652A" w:rsidP="007B652A">
            <w:pPr>
              <w:autoSpaceDE w:val="0"/>
              <w:autoSpaceDN w:val="0"/>
              <w:adjustRightInd w:val="0"/>
              <w:spacing w:before="0" w:line="240" w:lineRule="auto"/>
              <w:jc w:val="left"/>
              <w:rPr>
                <w:rFonts w:eastAsiaTheme="minorHAnsi"/>
                <w:color w:val="auto"/>
                <w:sz w:val="22"/>
              </w:rPr>
            </w:pPr>
          </w:p>
        </w:tc>
        <w:tc>
          <w:tcPr>
            <w:tcW w:w="1622" w:type="dxa"/>
            <w:tcBorders>
              <w:top w:val="nil"/>
              <w:left w:val="single" w:sz="4" w:space="0" w:color="auto"/>
              <w:bottom w:val="nil"/>
              <w:right w:val="single" w:sz="4" w:space="0" w:color="auto"/>
            </w:tcBorders>
          </w:tcPr>
          <w:p w14:paraId="596E69AB" w14:textId="77777777" w:rsidR="007B652A" w:rsidRPr="003319CF" w:rsidRDefault="007B652A" w:rsidP="007B652A">
            <w:pPr>
              <w:autoSpaceDE w:val="0"/>
              <w:autoSpaceDN w:val="0"/>
              <w:adjustRightInd w:val="0"/>
              <w:spacing w:before="0" w:line="240" w:lineRule="auto"/>
              <w:ind w:left="60" w:right="60"/>
              <w:jc w:val="left"/>
              <w:rPr>
                <w:rFonts w:eastAsiaTheme="minorHAnsi"/>
                <w:color w:val="auto"/>
                <w:sz w:val="22"/>
              </w:rPr>
            </w:pPr>
            <w:r w:rsidRPr="003319CF">
              <w:rPr>
                <w:rFonts w:eastAsiaTheme="minorHAnsi"/>
                <w:color w:val="auto"/>
                <w:sz w:val="22"/>
              </w:rPr>
              <w:t>TI</w:t>
            </w:r>
          </w:p>
        </w:tc>
        <w:tc>
          <w:tcPr>
            <w:tcW w:w="1834" w:type="dxa"/>
            <w:tcBorders>
              <w:top w:val="nil"/>
              <w:left w:val="single" w:sz="4" w:space="0" w:color="auto"/>
              <w:bottom w:val="nil"/>
              <w:right w:val="nil"/>
            </w:tcBorders>
            <w:shd w:val="clear" w:color="auto" w:fill="FFFFFF"/>
          </w:tcPr>
          <w:p w14:paraId="7BD89AB0"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1.154</w:t>
            </w:r>
          </w:p>
        </w:tc>
        <w:tc>
          <w:tcPr>
            <w:tcW w:w="1834" w:type="dxa"/>
            <w:tcBorders>
              <w:top w:val="nil"/>
              <w:left w:val="nil"/>
              <w:bottom w:val="nil"/>
              <w:right w:val="nil"/>
            </w:tcBorders>
            <w:shd w:val="clear" w:color="auto" w:fill="FFFFFF"/>
          </w:tcPr>
          <w:p w14:paraId="3FB33C69"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.401</w:t>
            </w:r>
          </w:p>
        </w:tc>
        <w:tc>
          <w:tcPr>
            <w:tcW w:w="1557" w:type="dxa"/>
            <w:tcBorders>
              <w:top w:val="nil"/>
              <w:left w:val="nil"/>
              <w:bottom w:val="nil"/>
              <w:right w:val="nil"/>
            </w:tcBorders>
            <w:shd w:val="clear" w:color="auto" w:fill="FFFFFF"/>
          </w:tcPr>
          <w:p w14:paraId="5A216654"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.627</w:t>
            </w:r>
          </w:p>
        </w:tc>
        <w:tc>
          <w:tcPr>
            <w:tcW w:w="1412" w:type="dxa"/>
            <w:tcBorders>
              <w:top w:val="nil"/>
              <w:left w:val="nil"/>
              <w:bottom w:val="nil"/>
              <w:right w:val="single" w:sz="4" w:space="0" w:color="auto"/>
            </w:tcBorders>
            <w:shd w:val="clear" w:color="auto" w:fill="FFFFFF"/>
          </w:tcPr>
          <w:p w14:paraId="4E5F8AB8"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1.594</w:t>
            </w:r>
          </w:p>
        </w:tc>
      </w:tr>
      <w:tr w:rsidR="007B652A" w:rsidRPr="003319CF" w14:paraId="364AF41A" w14:textId="77777777" w:rsidTr="0062367B">
        <w:trPr>
          <w:cantSplit/>
          <w:trHeight w:val="295"/>
        </w:trPr>
        <w:tc>
          <w:tcPr>
            <w:tcW w:w="1008" w:type="dxa"/>
            <w:vMerge/>
            <w:tcBorders>
              <w:right w:val="single" w:sz="4" w:space="0" w:color="auto"/>
            </w:tcBorders>
          </w:tcPr>
          <w:p w14:paraId="7F5F3147" w14:textId="77777777" w:rsidR="007B652A" w:rsidRPr="003319CF" w:rsidRDefault="007B652A" w:rsidP="007B652A">
            <w:pPr>
              <w:autoSpaceDE w:val="0"/>
              <w:autoSpaceDN w:val="0"/>
              <w:adjustRightInd w:val="0"/>
              <w:spacing w:before="0" w:line="240" w:lineRule="auto"/>
              <w:jc w:val="left"/>
              <w:rPr>
                <w:rFonts w:eastAsiaTheme="minorHAnsi"/>
                <w:color w:val="auto"/>
                <w:sz w:val="22"/>
              </w:rPr>
            </w:pPr>
          </w:p>
        </w:tc>
        <w:tc>
          <w:tcPr>
            <w:tcW w:w="1622" w:type="dxa"/>
            <w:tcBorders>
              <w:top w:val="nil"/>
              <w:left w:val="single" w:sz="4" w:space="0" w:color="auto"/>
              <w:bottom w:val="single" w:sz="4" w:space="0" w:color="auto"/>
              <w:right w:val="single" w:sz="4" w:space="0" w:color="auto"/>
            </w:tcBorders>
          </w:tcPr>
          <w:p w14:paraId="01F27CD7" w14:textId="77777777" w:rsidR="007B652A" w:rsidRPr="003319CF" w:rsidRDefault="007B652A" w:rsidP="007B652A">
            <w:pPr>
              <w:autoSpaceDE w:val="0"/>
              <w:autoSpaceDN w:val="0"/>
              <w:adjustRightInd w:val="0"/>
              <w:spacing w:before="0" w:line="240" w:lineRule="auto"/>
              <w:ind w:left="60" w:right="60"/>
              <w:jc w:val="left"/>
              <w:rPr>
                <w:rFonts w:eastAsiaTheme="minorHAnsi"/>
                <w:color w:val="auto"/>
                <w:sz w:val="22"/>
              </w:rPr>
            </w:pPr>
            <w:r w:rsidRPr="003319CF">
              <w:rPr>
                <w:rFonts w:eastAsiaTheme="minorHAnsi"/>
                <w:color w:val="auto"/>
                <w:sz w:val="22"/>
              </w:rPr>
              <w:t>CED</w:t>
            </w:r>
          </w:p>
        </w:tc>
        <w:tc>
          <w:tcPr>
            <w:tcW w:w="1834" w:type="dxa"/>
            <w:tcBorders>
              <w:top w:val="nil"/>
              <w:left w:val="single" w:sz="4" w:space="0" w:color="auto"/>
              <w:bottom w:val="single" w:sz="4" w:space="0" w:color="auto"/>
              <w:right w:val="nil"/>
            </w:tcBorders>
            <w:shd w:val="clear" w:color="auto" w:fill="FFFFFF"/>
          </w:tcPr>
          <w:p w14:paraId="4EABE3F3"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.035</w:t>
            </w:r>
          </w:p>
        </w:tc>
        <w:tc>
          <w:tcPr>
            <w:tcW w:w="1834" w:type="dxa"/>
            <w:tcBorders>
              <w:top w:val="nil"/>
              <w:left w:val="nil"/>
              <w:bottom w:val="single" w:sz="4" w:space="0" w:color="auto"/>
              <w:right w:val="nil"/>
            </w:tcBorders>
            <w:shd w:val="clear" w:color="auto" w:fill="FFFFFF"/>
          </w:tcPr>
          <w:p w14:paraId="3354C2B0"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.010</w:t>
            </w:r>
          </w:p>
        </w:tc>
        <w:tc>
          <w:tcPr>
            <w:tcW w:w="1557" w:type="dxa"/>
            <w:tcBorders>
              <w:top w:val="nil"/>
              <w:left w:val="nil"/>
              <w:bottom w:val="single" w:sz="4" w:space="0" w:color="auto"/>
              <w:right w:val="nil"/>
            </w:tcBorders>
            <w:shd w:val="clear" w:color="auto" w:fill="FFFFFF"/>
          </w:tcPr>
          <w:p w14:paraId="55BDA983"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.595</w:t>
            </w:r>
          </w:p>
        </w:tc>
        <w:tc>
          <w:tcPr>
            <w:tcW w:w="1412" w:type="dxa"/>
            <w:tcBorders>
              <w:top w:val="nil"/>
              <w:left w:val="nil"/>
              <w:bottom w:val="single" w:sz="4" w:space="0" w:color="auto"/>
              <w:right w:val="single" w:sz="4" w:space="0" w:color="auto"/>
            </w:tcBorders>
            <w:shd w:val="clear" w:color="auto" w:fill="FFFFFF"/>
          </w:tcPr>
          <w:p w14:paraId="681CDCAE"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1.682</w:t>
            </w:r>
          </w:p>
        </w:tc>
      </w:tr>
    </w:tbl>
    <w:p w14:paraId="36135F20" w14:textId="77777777" w:rsidR="007B652A" w:rsidRPr="007B652A" w:rsidRDefault="007B652A" w:rsidP="007B652A">
      <w:pPr>
        <w:spacing w:before="0" w:line="240" w:lineRule="auto"/>
        <w:rPr>
          <w:color w:val="000000" w:themeColor="text1"/>
        </w:rPr>
      </w:pPr>
    </w:p>
    <w:p w14:paraId="3F79E233" w14:textId="77777777" w:rsidR="007B652A" w:rsidRPr="007B652A" w:rsidRDefault="007B652A" w:rsidP="007B652A">
      <w:pPr>
        <w:spacing w:before="0" w:line="240" w:lineRule="auto"/>
        <w:rPr>
          <w:color w:val="000000" w:themeColor="text1"/>
        </w:rPr>
      </w:pPr>
    </w:p>
    <w:p w14:paraId="41E78B08" w14:textId="6351774B" w:rsidR="007B652A" w:rsidRPr="007B652A" w:rsidRDefault="007B652A" w:rsidP="007B652A">
      <w:pPr>
        <w:spacing w:before="0" w:line="240" w:lineRule="auto"/>
        <w:rPr>
          <w:b/>
          <w:bCs/>
          <w:color w:val="000000" w:themeColor="text1"/>
        </w:rPr>
      </w:pPr>
      <w:r w:rsidRPr="007B652A">
        <w:rPr>
          <w:b/>
          <w:bCs/>
          <w:color w:val="000000" w:themeColor="text1"/>
        </w:rPr>
        <w:t>Heteroscedasticity Test:</w:t>
      </w:r>
    </w:p>
    <w:p w14:paraId="6ACD76D7" w14:textId="77777777" w:rsidR="007B652A" w:rsidRDefault="007B652A" w:rsidP="007B652A">
      <w:pPr>
        <w:spacing w:before="0" w:line="240" w:lineRule="auto"/>
        <w:rPr>
          <w:color w:val="000000" w:themeColor="text1"/>
        </w:rPr>
      </w:pPr>
      <w:r w:rsidRPr="007B652A">
        <w:rPr>
          <w:color w:val="000000" w:themeColor="text1"/>
        </w:rPr>
        <w:t>The Breusch-Pagan test was used to examine the constancy of error variances across independent variables. The test yielded a significance value of p = 0.000 (p &lt; 0.05), revealing the presence of heteroscedasticity. To address this issue, corrective adjustments using robust standard errors were applied to improve the validity of the regression estimates.</w:t>
      </w:r>
    </w:p>
    <w:p w14:paraId="03E33023" w14:textId="77A009AD" w:rsidR="00DF2A42" w:rsidRDefault="00DF2A42" w:rsidP="00DF2A42">
      <w:pPr>
        <w:spacing w:before="0" w:line="240" w:lineRule="auto"/>
        <w:rPr>
          <w:b/>
          <w:bCs/>
          <w:i/>
          <w:iCs/>
        </w:rPr>
      </w:pPr>
      <w:r w:rsidRPr="00711AB4">
        <w:rPr>
          <w:b/>
          <w:bCs/>
          <w:i/>
          <w:iCs/>
        </w:rPr>
        <w:t xml:space="preserve">Table </w:t>
      </w:r>
      <w:r>
        <w:rPr>
          <w:b/>
          <w:bCs/>
          <w:i/>
          <w:iCs/>
        </w:rPr>
        <w:t>5</w:t>
      </w:r>
      <w:r w:rsidRPr="00711AB4">
        <w:rPr>
          <w:b/>
          <w:bCs/>
          <w:i/>
          <w:iCs/>
        </w:rPr>
        <w:t xml:space="preserve">: </w:t>
      </w:r>
      <w:r w:rsidRPr="00DF2A42">
        <w:rPr>
          <w:b/>
          <w:bCs/>
          <w:i/>
          <w:iCs/>
        </w:rPr>
        <w:t>Heteroscedasticity</w:t>
      </w:r>
    </w:p>
    <w:p w14:paraId="43379BFB" w14:textId="77777777" w:rsidR="0040626D" w:rsidRDefault="0040626D" w:rsidP="007B652A">
      <w:pPr>
        <w:spacing w:before="0" w:line="240" w:lineRule="auto"/>
        <w:rPr>
          <w:color w:val="000000" w:themeColor="text1"/>
        </w:rPr>
      </w:pPr>
    </w:p>
    <w:tbl>
      <w:tblPr>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30"/>
        <w:gridCol w:w="2930"/>
        <w:gridCol w:w="2930"/>
      </w:tblGrid>
      <w:tr w:rsidR="0040626D" w:rsidRPr="003E30B6" w14:paraId="712B3DFA" w14:textId="77777777" w:rsidTr="0062367B">
        <w:trPr>
          <w:cantSplit/>
          <w:trHeight w:val="1017"/>
        </w:trPr>
        <w:tc>
          <w:tcPr>
            <w:tcW w:w="8790" w:type="dxa"/>
            <w:gridSpan w:val="3"/>
            <w:shd w:val="clear" w:color="auto" w:fill="FFFFFF"/>
            <w:vAlign w:val="center"/>
          </w:tcPr>
          <w:p w14:paraId="2BC9A0D1" w14:textId="77777777" w:rsidR="0040626D" w:rsidRPr="003E30B6" w:rsidRDefault="0040626D" w:rsidP="0040626D">
            <w:pPr>
              <w:autoSpaceDE w:val="0"/>
              <w:autoSpaceDN w:val="0"/>
              <w:adjustRightInd w:val="0"/>
              <w:spacing w:before="0" w:line="240" w:lineRule="auto"/>
              <w:ind w:left="60" w:right="60"/>
              <w:jc w:val="center"/>
              <w:rPr>
                <w:rFonts w:ascii="Arial" w:eastAsiaTheme="minorHAnsi" w:hAnsi="Arial" w:cs="Arial"/>
                <w:color w:val="auto"/>
                <w:sz w:val="22"/>
              </w:rPr>
            </w:pPr>
            <w:bookmarkStart w:id="9" w:name="_Hlk209797976"/>
            <w:r w:rsidRPr="003E30B6">
              <w:rPr>
                <w:rFonts w:ascii="Arial" w:eastAsiaTheme="minorHAnsi" w:hAnsi="Arial" w:cs="Arial"/>
                <w:b/>
                <w:bCs/>
                <w:color w:val="auto"/>
                <w:sz w:val="22"/>
              </w:rPr>
              <w:t>Breusch-Pagan Test for Heteros</w:t>
            </w:r>
            <w:r>
              <w:rPr>
                <w:rFonts w:ascii="Arial" w:eastAsiaTheme="minorHAnsi" w:hAnsi="Arial" w:cs="Arial"/>
                <w:b/>
                <w:bCs/>
                <w:color w:val="auto"/>
                <w:sz w:val="22"/>
              </w:rPr>
              <w:t>c</w:t>
            </w:r>
            <w:r w:rsidRPr="003E30B6">
              <w:rPr>
                <w:rFonts w:ascii="Arial" w:eastAsiaTheme="minorHAnsi" w:hAnsi="Arial" w:cs="Arial"/>
                <w:b/>
                <w:bCs/>
                <w:color w:val="auto"/>
                <w:sz w:val="22"/>
              </w:rPr>
              <w:t>edasticity</w:t>
            </w:r>
            <w:r w:rsidRPr="003E30B6">
              <w:rPr>
                <w:rFonts w:ascii="Arial" w:eastAsiaTheme="minorHAnsi" w:hAnsi="Arial" w:cs="Arial"/>
                <w:b/>
                <w:bCs/>
                <w:color w:val="auto"/>
                <w:sz w:val="22"/>
                <w:vertAlign w:val="superscript"/>
              </w:rPr>
              <w:t>a,b,c</w:t>
            </w:r>
          </w:p>
        </w:tc>
      </w:tr>
      <w:tr w:rsidR="0040626D" w:rsidRPr="003E30B6" w14:paraId="439B0D9A" w14:textId="77777777" w:rsidTr="0062367B">
        <w:trPr>
          <w:cantSplit/>
          <w:trHeight w:val="508"/>
        </w:trPr>
        <w:tc>
          <w:tcPr>
            <w:tcW w:w="2930" w:type="dxa"/>
            <w:shd w:val="clear" w:color="auto" w:fill="FFFFFF"/>
            <w:vAlign w:val="bottom"/>
          </w:tcPr>
          <w:p w14:paraId="22F587AC" w14:textId="77777777" w:rsidR="0040626D" w:rsidRPr="003E30B6"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r w:rsidRPr="003E30B6">
              <w:rPr>
                <w:rFonts w:ascii="Arial" w:eastAsiaTheme="minorHAnsi" w:hAnsi="Arial" w:cs="Arial"/>
                <w:color w:val="auto"/>
                <w:sz w:val="18"/>
                <w:szCs w:val="18"/>
              </w:rPr>
              <w:t>Chi-Square</w:t>
            </w:r>
          </w:p>
        </w:tc>
        <w:tc>
          <w:tcPr>
            <w:tcW w:w="2930" w:type="dxa"/>
            <w:shd w:val="clear" w:color="auto" w:fill="FFFFFF"/>
            <w:vAlign w:val="bottom"/>
          </w:tcPr>
          <w:p w14:paraId="4062A208" w14:textId="77777777" w:rsidR="0040626D" w:rsidRPr="003E30B6"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r w:rsidRPr="003E30B6">
              <w:rPr>
                <w:rFonts w:ascii="Arial" w:eastAsiaTheme="minorHAnsi" w:hAnsi="Arial" w:cs="Arial"/>
                <w:color w:val="auto"/>
                <w:sz w:val="18"/>
                <w:szCs w:val="18"/>
              </w:rPr>
              <w:t>df</w:t>
            </w:r>
          </w:p>
        </w:tc>
        <w:tc>
          <w:tcPr>
            <w:tcW w:w="2930" w:type="dxa"/>
            <w:shd w:val="clear" w:color="auto" w:fill="FFFFFF"/>
            <w:vAlign w:val="bottom"/>
          </w:tcPr>
          <w:p w14:paraId="22EEF0DD" w14:textId="77777777" w:rsidR="0040626D" w:rsidRPr="003E30B6"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r w:rsidRPr="003E30B6">
              <w:rPr>
                <w:rFonts w:ascii="Arial" w:eastAsiaTheme="minorHAnsi" w:hAnsi="Arial" w:cs="Arial"/>
                <w:color w:val="auto"/>
                <w:sz w:val="18"/>
                <w:szCs w:val="18"/>
              </w:rPr>
              <w:t>Sig.</w:t>
            </w:r>
          </w:p>
        </w:tc>
      </w:tr>
      <w:tr w:rsidR="0040626D" w:rsidRPr="003E30B6" w14:paraId="28BB2033" w14:textId="77777777" w:rsidTr="0062367B">
        <w:trPr>
          <w:cantSplit/>
          <w:trHeight w:val="508"/>
        </w:trPr>
        <w:tc>
          <w:tcPr>
            <w:tcW w:w="2930" w:type="dxa"/>
            <w:shd w:val="clear" w:color="auto" w:fill="FFFFFF"/>
          </w:tcPr>
          <w:p w14:paraId="2E659314" w14:textId="77777777" w:rsidR="0040626D" w:rsidRPr="003E30B6"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3E30B6">
              <w:rPr>
                <w:rFonts w:ascii="Arial" w:eastAsiaTheme="minorHAnsi" w:hAnsi="Arial" w:cs="Arial"/>
                <w:color w:val="auto"/>
                <w:sz w:val="18"/>
                <w:szCs w:val="18"/>
              </w:rPr>
              <w:t>28.784</w:t>
            </w:r>
          </w:p>
        </w:tc>
        <w:tc>
          <w:tcPr>
            <w:tcW w:w="2930" w:type="dxa"/>
            <w:shd w:val="clear" w:color="auto" w:fill="FFFFFF"/>
          </w:tcPr>
          <w:p w14:paraId="09C840B5" w14:textId="77777777" w:rsidR="0040626D" w:rsidRPr="003E30B6"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3E30B6">
              <w:rPr>
                <w:rFonts w:ascii="Arial" w:eastAsiaTheme="minorHAnsi" w:hAnsi="Arial" w:cs="Arial"/>
                <w:color w:val="auto"/>
                <w:sz w:val="18"/>
                <w:szCs w:val="18"/>
              </w:rPr>
              <w:t>1</w:t>
            </w:r>
          </w:p>
        </w:tc>
        <w:tc>
          <w:tcPr>
            <w:tcW w:w="2930" w:type="dxa"/>
            <w:shd w:val="clear" w:color="auto" w:fill="FFFFFF"/>
          </w:tcPr>
          <w:p w14:paraId="62671C72" w14:textId="77777777" w:rsidR="0040626D" w:rsidRPr="003E30B6"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3E30B6">
              <w:rPr>
                <w:rFonts w:ascii="Arial" w:eastAsiaTheme="minorHAnsi" w:hAnsi="Arial" w:cs="Arial"/>
                <w:color w:val="auto"/>
                <w:sz w:val="18"/>
                <w:szCs w:val="18"/>
              </w:rPr>
              <w:t>.000</w:t>
            </w:r>
          </w:p>
        </w:tc>
      </w:tr>
      <w:bookmarkEnd w:id="9"/>
    </w:tbl>
    <w:p w14:paraId="73AE9FA4" w14:textId="77777777" w:rsidR="0040626D" w:rsidRPr="007B652A" w:rsidRDefault="0040626D" w:rsidP="007B652A">
      <w:pPr>
        <w:spacing w:before="0" w:line="240" w:lineRule="auto"/>
        <w:rPr>
          <w:color w:val="000000" w:themeColor="text1"/>
        </w:rPr>
      </w:pPr>
    </w:p>
    <w:p w14:paraId="4126E16B" w14:textId="724C103C" w:rsidR="007B652A" w:rsidRPr="0040626D" w:rsidRDefault="007B652A" w:rsidP="007B652A">
      <w:pPr>
        <w:spacing w:before="0" w:line="240" w:lineRule="auto"/>
        <w:rPr>
          <w:b/>
          <w:bCs/>
          <w:color w:val="000000" w:themeColor="text1"/>
        </w:rPr>
      </w:pPr>
      <w:r w:rsidRPr="0040626D">
        <w:rPr>
          <w:b/>
          <w:bCs/>
          <w:color w:val="000000" w:themeColor="text1"/>
        </w:rPr>
        <w:t>Autocorrelation Test:</w:t>
      </w:r>
    </w:p>
    <w:p w14:paraId="0BA2A5A2" w14:textId="77777777" w:rsidR="007B652A" w:rsidRDefault="007B652A" w:rsidP="007B652A">
      <w:pPr>
        <w:spacing w:before="0" w:line="240" w:lineRule="auto"/>
        <w:rPr>
          <w:color w:val="000000" w:themeColor="text1"/>
        </w:rPr>
      </w:pPr>
      <w:r w:rsidRPr="007B652A">
        <w:rPr>
          <w:color w:val="000000" w:themeColor="text1"/>
        </w:rPr>
        <w:t>Autocorrelation was tested using the Durbin-Watson statistic, which yielded a value of 1.684. Since this value is close to the benchmark of 2, it indicates the absence of serial correlation among residuals.</w:t>
      </w:r>
    </w:p>
    <w:p w14:paraId="6D0434E3" w14:textId="3A7EBECA" w:rsidR="00DF2A42" w:rsidRDefault="00DF2A42" w:rsidP="00DF2A42">
      <w:pPr>
        <w:spacing w:before="0" w:line="240" w:lineRule="auto"/>
        <w:rPr>
          <w:b/>
          <w:bCs/>
          <w:i/>
          <w:iCs/>
        </w:rPr>
      </w:pPr>
      <w:r w:rsidRPr="00711AB4">
        <w:rPr>
          <w:b/>
          <w:bCs/>
          <w:i/>
          <w:iCs/>
        </w:rPr>
        <w:t xml:space="preserve">Table </w:t>
      </w:r>
      <w:r>
        <w:rPr>
          <w:b/>
          <w:bCs/>
          <w:i/>
          <w:iCs/>
        </w:rPr>
        <w:t>6</w:t>
      </w:r>
      <w:r w:rsidRPr="00711AB4">
        <w:rPr>
          <w:b/>
          <w:bCs/>
          <w:i/>
          <w:iCs/>
        </w:rPr>
        <w:t xml:space="preserve">: </w:t>
      </w:r>
      <w:r w:rsidRPr="00DF2A42">
        <w:rPr>
          <w:b/>
          <w:bCs/>
          <w:i/>
          <w:iCs/>
        </w:rPr>
        <w:t>Autocorrelation Test</w:t>
      </w:r>
    </w:p>
    <w:p w14:paraId="694672AF" w14:textId="77777777" w:rsidR="0040626D" w:rsidRDefault="0040626D" w:rsidP="007B652A">
      <w:pPr>
        <w:spacing w:before="0" w:line="240" w:lineRule="auto"/>
        <w:rPr>
          <w:color w:val="000000" w:themeColor="text1"/>
        </w:rPr>
      </w:pPr>
    </w:p>
    <w:tbl>
      <w:tblPr>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19"/>
        <w:gridCol w:w="1313"/>
        <w:gridCol w:w="1393"/>
        <w:gridCol w:w="1884"/>
        <w:gridCol w:w="1884"/>
        <w:gridCol w:w="1886"/>
      </w:tblGrid>
      <w:tr w:rsidR="0040626D" w:rsidRPr="00C734D3" w14:paraId="35C818CA" w14:textId="77777777" w:rsidTr="0062367B">
        <w:trPr>
          <w:cantSplit/>
          <w:trHeight w:val="307"/>
        </w:trPr>
        <w:tc>
          <w:tcPr>
            <w:tcW w:w="9379" w:type="dxa"/>
            <w:gridSpan w:val="6"/>
            <w:shd w:val="clear" w:color="auto" w:fill="FFFFFF"/>
            <w:vAlign w:val="center"/>
          </w:tcPr>
          <w:p w14:paraId="13DD8F1D" w14:textId="77777777" w:rsidR="0040626D" w:rsidRPr="00C734D3" w:rsidRDefault="0040626D" w:rsidP="0040626D">
            <w:pPr>
              <w:autoSpaceDE w:val="0"/>
              <w:autoSpaceDN w:val="0"/>
              <w:adjustRightInd w:val="0"/>
              <w:spacing w:before="0" w:line="240" w:lineRule="auto"/>
              <w:ind w:left="60" w:right="60"/>
              <w:jc w:val="center"/>
              <w:rPr>
                <w:rFonts w:eastAsiaTheme="minorHAnsi"/>
                <w:color w:val="auto"/>
                <w:sz w:val="22"/>
              </w:rPr>
            </w:pPr>
            <w:r w:rsidRPr="00C734D3">
              <w:rPr>
                <w:rFonts w:eastAsiaTheme="minorHAnsi"/>
                <w:b/>
                <w:bCs/>
                <w:color w:val="auto"/>
                <w:sz w:val="22"/>
              </w:rPr>
              <w:t>Autocorrelation</w:t>
            </w:r>
          </w:p>
        </w:tc>
      </w:tr>
      <w:tr w:rsidR="0040626D" w:rsidRPr="00C734D3" w14:paraId="549A6333" w14:textId="77777777" w:rsidTr="0062367B">
        <w:trPr>
          <w:cantSplit/>
          <w:trHeight w:val="615"/>
        </w:trPr>
        <w:tc>
          <w:tcPr>
            <w:tcW w:w="1019" w:type="dxa"/>
            <w:shd w:val="clear" w:color="auto" w:fill="FFFFFF"/>
            <w:vAlign w:val="bottom"/>
          </w:tcPr>
          <w:p w14:paraId="586BBB46" w14:textId="77777777" w:rsidR="0040626D" w:rsidRPr="00C734D3" w:rsidRDefault="0040626D" w:rsidP="0040626D">
            <w:pPr>
              <w:autoSpaceDE w:val="0"/>
              <w:autoSpaceDN w:val="0"/>
              <w:adjustRightInd w:val="0"/>
              <w:spacing w:before="0" w:line="240" w:lineRule="auto"/>
              <w:ind w:left="60" w:right="60"/>
              <w:jc w:val="left"/>
              <w:rPr>
                <w:rFonts w:eastAsiaTheme="minorHAnsi"/>
                <w:color w:val="auto"/>
                <w:sz w:val="22"/>
              </w:rPr>
            </w:pPr>
            <w:r w:rsidRPr="00C734D3">
              <w:rPr>
                <w:rFonts w:eastAsiaTheme="minorHAnsi"/>
                <w:color w:val="auto"/>
                <w:sz w:val="22"/>
              </w:rPr>
              <w:t>Model</w:t>
            </w:r>
          </w:p>
        </w:tc>
        <w:tc>
          <w:tcPr>
            <w:tcW w:w="1313" w:type="dxa"/>
            <w:shd w:val="clear" w:color="auto" w:fill="FFFFFF"/>
            <w:vAlign w:val="bottom"/>
          </w:tcPr>
          <w:p w14:paraId="37FC479E" w14:textId="77777777" w:rsidR="0040626D" w:rsidRPr="00C734D3" w:rsidRDefault="0040626D" w:rsidP="0040626D">
            <w:pPr>
              <w:autoSpaceDE w:val="0"/>
              <w:autoSpaceDN w:val="0"/>
              <w:adjustRightInd w:val="0"/>
              <w:spacing w:before="0" w:line="240" w:lineRule="auto"/>
              <w:ind w:left="60" w:right="60"/>
              <w:jc w:val="center"/>
              <w:rPr>
                <w:rFonts w:eastAsiaTheme="minorHAnsi"/>
                <w:color w:val="auto"/>
                <w:sz w:val="22"/>
              </w:rPr>
            </w:pPr>
            <w:r w:rsidRPr="00C734D3">
              <w:rPr>
                <w:rFonts w:eastAsiaTheme="minorHAnsi"/>
                <w:color w:val="auto"/>
                <w:sz w:val="22"/>
              </w:rPr>
              <w:t>R</w:t>
            </w:r>
          </w:p>
        </w:tc>
        <w:tc>
          <w:tcPr>
            <w:tcW w:w="1393" w:type="dxa"/>
            <w:shd w:val="clear" w:color="auto" w:fill="FFFFFF"/>
            <w:vAlign w:val="bottom"/>
          </w:tcPr>
          <w:p w14:paraId="64545469" w14:textId="77777777" w:rsidR="0040626D" w:rsidRPr="00C734D3" w:rsidRDefault="0040626D" w:rsidP="0040626D">
            <w:pPr>
              <w:autoSpaceDE w:val="0"/>
              <w:autoSpaceDN w:val="0"/>
              <w:adjustRightInd w:val="0"/>
              <w:spacing w:before="0" w:line="240" w:lineRule="auto"/>
              <w:ind w:left="60" w:right="60"/>
              <w:jc w:val="center"/>
              <w:rPr>
                <w:rFonts w:eastAsiaTheme="minorHAnsi"/>
                <w:color w:val="auto"/>
                <w:sz w:val="22"/>
              </w:rPr>
            </w:pPr>
            <w:r w:rsidRPr="00C734D3">
              <w:rPr>
                <w:rFonts w:eastAsiaTheme="minorHAnsi"/>
                <w:color w:val="auto"/>
                <w:sz w:val="22"/>
              </w:rPr>
              <w:t>R Square</w:t>
            </w:r>
          </w:p>
        </w:tc>
        <w:tc>
          <w:tcPr>
            <w:tcW w:w="1884" w:type="dxa"/>
            <w:shd w:val="clear" w:color="auto" w:fill="FFFFFF"/>
            <w:vAlign w:val="bottom"/>
          </w:tcPr>
          <w:p w14:paraId="12371C16" w14:textId="77777777" w:rsidR="0040626D" w:rsidRPr="00C734D3" w:rsidRDefault="0040626D" w:rsidP="0040626D">
            <w:pPr>
              <w:autoSpaceDE w:val="0"/>
              <w:autoSpaceDN w:val="0"/>
              <w:adjustRightInd w:val="0"/>
              <w:spacing w:before="0" w:line="240" w:lineRule="auto"/>
              <w:ind w:left="60" w:right="60"/>
              <w:jc w:val="center"/>
              <w:rPr>
                <w:rFonts w:eastAsiaTheme="minorHAnsi"/>
                <w:color w:val="auto"/>
                <w:sz w:val="22"/>
              </w:rPr>
            </w:pPr>
            <w:r w:rsidRPr="00C734D3">
              <w:rPr>
                <w:rFonts w:eastAsiaTheme="minorHAnsi"/>
                <w:color w:val="auto"/>
                <w:sz w:val="22"/>
              </w:rPr>
              <w:t>Adjusted R Square</w:t>
            </w:r>
          </w:p>
        </w:tc>
        <w:tc>
          <w:tcPr>
            <w:tcW w:w="1884" w:type="dxa"/>
            <w:shd w:val="clear" w:color="auto" w:fill="FFFFFF"/>
            <w:vAlign w:val="bottom"/>
          </w:tcPr>
          <w:p w14:paraId="673D2698" w14:textId="77777777" w:rsidR="0040626D" w:rsidRPr="00C734D3" w:rsidRDefault="0040626D" w:rsidP="0040626D">
            <w:pPr>
              <w:autoSpaceDE w:val="0"/>
              <w:autoSpaceDN w:val="0"/>
              <w:adjustRightInd w:val="0"/>
              <w:spacing w:before="0" w:line="240" w:lineRule="auto"/>
              <w:ind w:left="60" w:right="60"/>
              <w:jc w:val="center"/>
              <w:rPr>
                <w:rFonts w:eastAsiaTheme="minorHAnsi"/>
                <w:color w:val="auto"/>
                <w:sz w:val="22"/>
              </w:rPr>
            </w:pPr>
            <w:r w:rsidRPr="00C734D3">
              <w:rPr>
                <w:rFonts w:eastAsiaTheme="minorHAnsi"/>
                <w:color w:val="auto"/>
                <w:sz w:val="22"/>
              </w:rPr>
              <w:t>Std. Error of the Estimate</w:t>
            </w:r>
          </w:p>
        </w:tc>
        <w:tc>
          <w:tcPr>
            <w:tcW w:w="1886" w:type="dxa"/>
            <w:shd w:val="clear" w:color="auto" w:fill="FFFFFF"/>
            <w:vAlign w:val="bottom"/>
          </w:tcPr>
          <w:p w14:paraId="2FFE94AC" w14:textId="77777777" w:rsidR="0040626D" w:rsidRPr="00C734D3" w:rsidRDefault="0040626D" w:rsidP="0040626D">
            <w:pPr>
              <w:autoSpaceDE w:val="0"/>
              <w:autoSpaceDN w:val="0"/>
              <w:adjustRightInd w:val="0"/>
              <w:spacing w:before="0" w:line="240" w:lineRule="auto"/>
              <w:ind w:left="60" w:right="60"/>
              <w:jc w:val="center"/>
              <w:rPr>
                <w:rFonts w:eastAsiaTheme="minorHAnsi"/>
                <w:color w:val="auto"/>
                <w:sz w:val="22"/>
              </w:rPr>
            </w:pPr>
            <w:r w:rsidRPr="00C734D3">
              <w:rPr>
                <w:rFonts w:eastAsiaTheme="minorHAnsi"/>
                <w:color w:val="auto"/>
                <w:sz w:val="22"/>
              </w:rPr>
              <w:t>Durbin-Watson</w:t>
            </w:r>
          </w:p>
        </w:tc>
      </w:tr>
      <w:tr w:rsidR="0040626D" w:rsidRPr="00C734D3" w14:paraId="7E24E35D" w14:textId="77777777" w:rsidTr="0062367B">
        <w:trPr>
          <w:cantSplit/>
          <w:trHeight w:val="307"/>
        </w:trPr>
        <w:tc>
          <w:tcPr>
            <w:tcW w:w="1019" w:type="dxa"/>
          </w:tcPr>
          <w:p w14:paraId="41DC77C4" w14:textId="77777777" w:rsidR="0040626D" w:rsidRPr="00C734D3" w:rsidRDefault="0040626D" w:rsidP="0040626D">
            <w:pPr>
              <w:autoSpaceDE w:val="0"/>
              <w:autoSpaceDN w:val="0"/>
              <w:adjustRightInd w:val="0"/>
              <w:spacing w:before="0" w:line="240" w:lineRule="auto"/>
              <w:ind w:left="60" w:right="60"/>
              <w:jc w:val="left"/>
              <w:rPr>
                <w:rFonts w:eastAsiaTheme="minorHAnsi"/>
                <w:color w:val="auto"/>
                <w:sz w:val="22"/>
              </w:rPr>
            </w:pPr>
            <w:r w:rsidRPr="00C734D3">
              <w:rPr>
                <w:rFonts w:eastAsiaTheme="minorHAnsi"/>
                <w:color w:val="auto"/>
                <w:sz w:val="22"/>
              </w:rPr>
              <w:t>1</w:t>
            </w:r>
          </w:p>
        </w:tc>
        <w:tc>
          <w:tcPr>
            <w:tcW w:w="1313" w:type="dxa"/>
          </w:tcPr>
          <w:p w14:paraId="41EB64AF" w14:textId="77777777" w:rsidR="0040626D" w:rsidRPr="00C734D3" w:rsidRDefault="0040626D" w:rsidP="0040626D">
            <w:pPr>
              <w:autoSpaceDE w:val="0"/>
              <w:autoSpaceDN w:val="0"/>
              <w:adjustRightInd w:val="0"/>
              <w:spacing w:before="0" w:line="240" w:lineRule="auto"/>
              <w:ind w:left="60" w:right="60"/>
              <w:jc w:val="right"/>
              <w:rPr>
                <w:rFonts w:eastAsiaTheme="minorHAnsi"/>
                <w:color w:val="auto"/>
                <w:sz w:val="22"/>
              </w:rPr>
            </w:pPr>
            <w:r w:rsidRPr="00C734D3">
              <w:rPr>
                <w:rFonts w:eastAsiaTheme="minorHAnsi"/>
                <w:color w:val="auto"/>
                <w:sz w:val="22"/>
              </w:rPr>
              <w:t>.839</w:t>
            </w:r>
            <w:r w:rsidRPr="00C734D3">
              <w:rPr>
                <w:rFonts w:eastAsiaTheme="minorHAnsi"/>
                <w:color w:val="auto"/>
                <w:sz w:val="22"/>
                <w:vertAlign w:val="superscript"/>
              </w:rPr>
              <w:t>a</w:t>
            </w:r>
          </w:p>
        </w:tc>
        <w:tc>
          <w:tcPr>
            <w:tcW w:w="1393" w:type="dxa"/>
            <w:shd w:val="clear" w:color="auto" w:fill="FFFFFF"/>
          </w:tcPr>
          <w:p w14:paraId="7E82562D" w14:textId="77777777" w:rsidR="0040626D" w:rsidRPr="00C734D3" w:rsidRDefault="0040626D" w:rsidP="0040626D">
            <w:pPr>
              <w:autoSpaceDE w:val="0"/>
              <w:autoSpaceDN w:val="0"/>
              <w:adjustRightInd w:val="0"/>
              <w:spacing w:before="0" w:line="240" w:lineRule="auto"/>
              <w:ind w:left="60" w:right="60"/>
              <w:jc w:val="right"/>
              <w:rPr>
                <w:rFonts w:eastAsiaTheme="minorHAnsi"/>
                <w:color w:val="auto"/>
                <w:sz w:val="22"/>
              </w:rPr>
            </w:pPr>
            <w:r w:rsidRPr="00C734D3">
              <w:rPr>
                <w:rFonts w:eastAsiaTheme="minorHAnsi"/>
                <w:color w:val="auto"/>
                <w:sz w:val="22"/>
              </w:rPr>
              <w:t>.704</w:t>
            </w:r>
          </w:p>
        </w:tc>
        <w:tc>
          <w:tcPr>
            <w:tcW w:w="1884" w:type="dxa"/>
            <w:shd w:val="clear" w:color="auto" w:fill="FFFFFF"/>
          </w:tcPr>
          <w:p w14:paraId="6930FCEC" w14:textId="77777777" w:rsidR="0040626D" w:rsidRPr="00C734D3" w:rsidRDefault="0040626D" w:rsidP="0040626D">
            <w:pPr>
              <w:autoSpaceDE w:val="0"/>
              <w:autoSpaceDN w:val="0"/>
              <w:adjustRightInd w:val="0"/>
              <w:spacing w:before="0" w:line="240" w:lineRule="auto"/>
              <w:ind w:left="60" w:right="60"/>
              <w:jc w:val="right"/>
              <w:rPr>
                <w:rFonts w:eastAsiaTheme="minorHAnsi"/>
                <w:color w:val="auto"/>
                <w:sz w:val="22"/>
              </w:rPr>
            </w:pPr>
            <w:r w:rsidRPr="00C734D3">
              <w:rPr>
                <w:rFonts w:eastAsiaTheme="minorHAnsi"/>
                <w:color w:val="auto"/>
                <w:sz w:val="22"/>
              </w:rPr>
              <w:t>.691</w:t>
            </w:r>
          </w:p>
        </w:tc>
        <w:tc>
          <w:tcPr>
            <w:tcW w:w="1884" w:type="dxa"/>
            <w:shd w:val="clear" w:color="auto" w:fill="FFFFFF"/>
          </w:tcPr>
          <w:p w14:paraId="1763DE40" w14:textId="77777777" w:rsidR="0040626D" w:rsidRPr="00C734D3" w:rsidRDefault="0040626D" w:rsidP="0040626D">
            <w:pPr>
              <w:autoSpaceDE w:val="0"/>
              <w:autoSpaceDN w:val="0"/>
              <w:adjustRightInd w:val="0"/>
              <w:spacing w:before="0" w:line="240" w:lineRule="auto"/>
              <w:ind w:left="60" w:right="60"/>
              <w:jc w:val="right"/>
              <w:rPr>
                <w:rFonts w:eastAsiaTheme="minorHAnsi"/>
                <w:color w:val="auto"/>
                <w:sz w:val="22"/>
              </w:rPr>
            </w:pPr>
            <w:r w:rsidRPr="00C734D3">
              <w:rPr>
                <w:rFonts w:eastAsiaTheme="minorHAnsi"/>
                <w:color w:val="auto"/>
                <w:sz w:val="22"/>
              </w:rPr>
              <w:t>.0138712</w:t>
            </w:r>
          </w:p>
        </w:tc>
        <w:tc>
          <w:tcPr>
            <w:tcW w:w="1886" w:type="dxa"/>
            <w:shd w:val="clear" w:color="auto" w:fill="FFFFFF"/>
          </w:tcPr>
          <w:p w14:paraId="6D520208" w14:textId="77777777" w:rsidR="0040626D" w:rsidRPr="00C734D3" w:rsidRDefault="0040626D" w:rsidP="0040626D">
            <w:pPr>
              <w:autoSpaceDE w:val="0"/>
              <w:autoSpaceDN w:val="0"/>
              <w:adjustRightInd w:val="0"/>
              <w:spacing w:before="0" w:line="240" w:lineRule="auto"/>
              <w:ind w:left="60" w:right="60"/>
              <w:jc w:val="right"/>
              <w:rPr>
                <w:rFonts w:eastAsiaTheme="minorHAnsi"/>
                <w:color w:val="auto"/>
                <w:sz w:val="22"/>
              </w:rPr>
            </w:pPr>
            <w:r w:rsidRPr="00C734D3">
              <w:rPr>
                <w:rFonts w:eastAsiaTheme="minorHAnsi"/>
                <w:color w:val="auto"/>
                <w:sz w:val="22"/>
              </w:rPr>
              <w:t>1.684</w:t>
            </w:r>
          </w:p>
        </w:tc>
      </w:tr>
    </w:tbl>
    <w:p w14:paraId="00269FD4" w14:textId="77777777" w:rsidR="0040626D" w:rsidRPr="007B652A" w:rsidRDefault="0040626D" w:rsidP="007B652A">
      <w:pPr>
        <w:spacing w:before="0" w:line="240" w:lineRule="auto"/>
        <w:rPr>
          <w:color w:val="000000" w:themeColor="text1"/>
        </w:rPr>
      </w:pPr>
    </w:p>
    <w:p w14:paraId="6B5AF384" w14:textId="2068BC80" w:rsidR="00711AB4" w:rsidRDefault="0040626D" w:rsidP="007B652A">
      <w:pPr>
        <w:spacing w:before="0" w:line="240" w:lineRule="auto"/>
        <w:rPr>
          <w:color w:val="000000" w:themeColor="text1"/>
        </w:rPr>
      </w:pPr>
      <w:r w:rsidRPr="007B652A">
        <w:rPr>
          <w:color w:val="000000" w:themeColor="text1"/>
        </w:rPr>
        <w:t xml:space="preserve">While the data violated normality and heteroscedasticity assumptions, standardization and robust estimation methods were applied to ensure </w:t>
      </w:r>
      <w:r w:rsidR="007B652A" w:rsidRPr="007B652A">
        <w:rPr>
          <w:color w:val="000000" w:themeColor="text1"/>
        </w:rPr>
        <w:t>the reliability and validity of the regression results.</w:t>
      </w:r>
    </w:p>
    <w:p w14:paraId="1D79B701" w14:textId="6DC4B8C8" w:rsidR="00BE5008" w:rsidRDefault="0040626D" w:rsidP="007B3AE1">
      <w:pPr>
        <w:spacing w:before="0" w:line="240" w:lineRule="auto"/>
        <w:rPr>
          <w:b/>
          <w:bCs/>
          <w:color w:val="000000" w:themeColor="text1"/>
          <w:sz w:val="28"/>
          <w:szCs w:val="24"/>
        </w:rPr>
      </w:pPr>
      <w:r w:rsidRPr="0040626D">
        <w:rPr>
          <w:b/>
          <w:bCs/>
          <w:color w:val="000000" w:themeColor="text1"/>
          <w:sz w:val="28"/>
          <w:szCs w:val="24"/>
        </w:rPr>
        <w:t>Correlation Analysis</w:t>
      </w:r>
    </w:p>
    <w:p w14:paraId="09740CE3" w14:textId="0628C3F4" w:rsidR="0040626D" w:rsidRDefault="0040626D" w:rsidP="0040626D">
      <w:pPr>
        <w:spacing w:before="0" w:line="240" w:lineRule="auto"/>
      </w:pPr>
      <w:r w:rsidRPr="0040626D">
        <w:t>Correlation analysis examined the strength and direction of relationships among study variables. Results showed that the corporate income tax rate (CITR) had a strong positive correlation with return on assets (ROA) (ρ = 0.928, p &lt; 0.01), indicating that higher tax rates were associated with better financial performance. Value-added tax (VAT) demonstrated a moderate positive relationship with ROA (ρ = 0.340, p &lt; 0.01), while tax incentives (TI) had a weak negative correlation (ρ = -0.116, p &lt; 0.05), implying reduced profitability with increased incentives. Customs and excise duties (CED) showed a weak positive association with ROA (ρ = 0.047, p &lt; 0.05), indicating minimal influence.</w:t>
      </w:r>
    </w:p>
    <w:p w14:paraId="6435D9D2" w14:textId="29A7ED0E" w:rsidR="00DF2A42" w:rsidRDefault="00DF2A42" w:rsidP="00DF2A42">
      <w:pPr>
        <w:spacing w:before="0" w:line="240" w:lineRule="auto"/>
        <w:rPr>
          <w:b/>
          <w:bCs/>
          <w:i/>
          <w:iCs/>
        </w:rPr>
      </w:pPr>
      <w:r w:rsidRPr="00711AB4">
        <w:rPr>
          <w:b/>
          <w:bCs/>
          <w:i/>
          <w:iCs/>
        </w:rPr>
        <w:t xml:space="preserve">Table </w:t>
      </w:r>
      <w:r>
        <w:rPr>
          <w:b/>
          <w:bCs/>
          <w:i/>
          <w:iCs/>
        </w:rPr>
        <w:t>7</w:t>
      </w:r>
      <w:r w:rsidRPr="00711AB4">
        <w:rPr>
          <w:b/>
          <w:bCs/>
          <w:i/>
          <w:iCs/>
        </w:rPr>
        <w:t xml:space="preserve">: </w:t>
      </w:r>
      <w:r w:rsidRPr="00DF2A42">
        <w:rPr>
          <w:b/>
          <w:bCs/>
          <w:i/>
          <w:iCs/>
        </w:rPr>
        <w:t>Correlation</w:t>
      </w:r>
    </w:p>
    <w:p w14:paraId="27E7EFC0" w14:textId="77777777" w:rsidR="0040626D" w:rsidRDefault="0040626D" w:rsidP="007B3AE1">
      <w:pPr>
        <w:spacing w:before="0" w:line="240" w:lineRule="auto"/>
        <w:rPr>
          <w:b/>
          <w:bCs/>
          <w:color w:val="000000" w:themeColor="text1"/>
          <w:sz w:val="28"/>
          <w:szCs w:val="24"/>
        </w:rPr>
      </w:pPr>
    </w:p>
    <w:tbl>
      <w:tblPr>
        <w:tblW w:w="10520" w:type="dxa"/>
        <w:tblBorders>
          <w:bottom w:val="single" w:sz="4" w:space="0" w:color="auto"/>
        </w:tblBorders>
        <w:tblLayout w:type="fixed"/>
        <w:tblCellMar>
          <w:left w:w="0" w:type="dxa"/>
          <w:right w:w="0" w:type="dxa"/>
        </w:tblCellMar>
        <w:tblLook w:val="0000" w:firstRow="0" w:lastRow="0" w:firstColumn="0" w:lastColumn="0" w:noHBand="0" w:noVBand="0"/>
      </w:tblPr>
      <w:tblGrid>
        <w:gridCol w:w="1449"/>
        <w:gridCol w:w="1453"/>
        <w:gridCol w:w="1720"/>
        <w:gridCol w:w="1220"/>
        <w:gridCol w:w="1260"/>
        <w:gridCol w:w="1165"/>
        <w:gridCol w:w="1016"/>
        <w:gridCol w:w="1237"/>
      </w:tblGrid>
      <w:tr w:rsidR="0040626D" w:rsidRPr="003A4E8D" w14:paraId="7FC0A461" w14:textId="77777777" w:rsidTr="0062367B">
        <w:trPr>
          <w:cantSplit/>
          <w:trHeight w:val="284"/>
        </w:trPr>
        <w:tc>
          <w:tcPr>
            <w:tcW w:w="1052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07BD2EFF" w14:textId="77777777" w:rsidR="0040626D" w:rsidRPr="00091CA7" w:rsidRDefault="0040626D" w:rsidP="0040626D">
            <w:pPr>
              <w:autoSpaceDE w:val="0"/>
              <w:autoSpaceDN w:val="0"/>
              <w:adjustRightInd w:val="0"/>
              <w:spacing w:before="0" w:line="240" w:lineRule="auto"/>
              <w:ind w:left="60" w:right="60"/>
              <w:jc w:val="center"/>
              <w:rPr>
                <w:rFonts w:ascii="Arial" w:eastAsiaTheme="minorHAnsi" w:hAnsi="Arial" w:cs="Arial"/>
                <w:color w:val="auto"/>
                <w:sz w:val="22"/>
              </w:rPr>
            </w:pPr>
            <w:r w:rsidRPr="00091CA7">
              <w:rPr>
                <w:rFonts w:ascii="Arial" w:eastAsiaTheme="minorHAnsi" w:hAnsi="Arial" w:cs="Arial"/>
                <w:b/>
                <w:bCs/>
                <w:color w:val="auto"/>
                <w:sz w:val="22"/>
              </w:rPr>
              <w:t>Correlation</w:t>
            </w:r>
          </w:p>
        </w:tc>
      </w:tr>
      <w:tr w:rsidR="0040626D" w:rsidRPr="003A4E8D" w14:paraId="7F22A6C9" w14:textId="77777777" w:rsidTr="0062367B">
        <w:trPr>
          <w:cantSplit/>
          <w:trHeight w:val="297"/>
        </w:trPr>
        <w:tc>
          <w:tcPr>
            <w:tcW w:w="462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1C6F22D7" w14:textId="77777777" w:rsidR="0040626D" w:rsidRPr="00091CA7" w:rsidRDefault="0040626D" w:rsidP="0040626D">
            <w:pPr>
              <w:autoSpaceDE w:val="0"/>
              <w:autoSpaceDN w:val="0"/>
              <w:adjustRightInd w:val="0"/>
              <w:spacing w:before="0" w:line="240" w:lineRule="auto"/>
              <w:jc w:val="left"/>
              <w:rPr>
                <w:rFonts w:eastAsiaTheme="minorHAnsi"/>
                <w:color w:val="auto"/>
                <w:szCs w:val="24"/>
              </w:rPr>
            </w:pPr>
          </w:p>
        </w:tc>
        <w:tc>
          <w:tcPr>
            <w:tcW w:w="1220" w:type="dxa"/>
            <w:tcBorders>
              <w:top w:val="single" w:sz="4" w:space="0" w:color="auto"/>
              <w:left w:val="single" w:sz="4" w:space="0" w:color="auto"/>
              <w:bottom w:val="nil"/>
            </w:tcBorders>
            <w:shd w:val="clear" w:color="auto" w:fill="FFFFFF"/>
            <w:vAlign w:val="bottom"/>
          </w:tcPr>
          <w:p w14:paraId="6E98407C" w14:textId="77777777" w:rsidR="0040626D" w:rsidRPr="00091CA7"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r>
              <w:rPr>
                <w:rFonts w:ascii="Arial" w:eastAsiaTheme="minorHAnsi" w:hAnsi="Arial" w:cs="Arial"/>
                <w:color w:val="auto"/>
                <w:sz w:val="18"/>
                <w:szCs w:val="18"/>
              </w:rPr>
              <w:t>ROA</w:t>
            </w:r>
          </w:p>
        </w:tc>
        <w:tc>
          <w:tcPr>
            <w:tcW w:w="1260" w:type="dxa"/>
            <w:tcBorders>
              <w:top w:val="single" w:sz="4" w:space="0" w:color="auto"/>
              <w:bottom w:val="nil"/>
            </w:tcBorders>
            <w:shd w:val="clear" w:color="auto" w:fill="FFFFFF"/>
            <w:vAlign w:val="bottom"/>
          </w:tcPr>
          <w:p w14:paraId="61EEBF98" w14:textId="77777777" w:rsidR="0040626D" w:rsidRPr="00091CA7"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r>
              <w:rPr>
                <w:rFonts w:ascii="Arial" w:eastAsiaTheme="minorHAnsi" w:hAnsi="Arial" w:cs="Arial"/>
                <w:color w:val="auto"/>
                <w:sz w:val="18"/>
                <w:szCs w:val="18"/>
              </w:rPr>
              <w:t>CITR</w:t>
            </w:r>
          </w:p>
        </w:tc>
        <w:tc>
          <w:tcPr>
            <w:tcW w:w="1165" w:type="dxa"/>
            <w:tcBorders>
              <w:top w:val="single" w:sz="4" w:space="0" w:color="auto"/>
              <w:bottom w:val="nil"/>
            </w:tcBorders>
            <w:shd w:val="clear" w:color="auto" w:fill="FFFFFF"/>
            <w:vAlign w:val="bottom"/>
          </w:tcPr>
          <w:p w14:paraId="1F390F73" w14:textId="77777777" w:rsidR="0040626D" w:rsidRPr="00091CA7"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r>
              <w:rPr>
                <w:rFonts w:ascii="Arial" w:eastAsiaTheme="minorHAnsi" w:hAnsi="Arial" w:cs="Arial"/>
                <w:color w:val="auto"/>
                <w:sz w:val="18"/>
                <w:szCs w:val="18"/>
              </w:rPr>
              <w:t>VAT</w:t>
            </w:r>
          </w:p>
        </w:tc>
        <w:tc>
          <w:tcPr>
            <w:tcW w:w="1016" w:type="dxa"/>
            <w:tcBorders>
              <w:top w:val="single" w:sz="4" w:space="0" w:color="auto"/>
              <w:bottom w:val="nil"/>
            </w:tcBorders>
            <w:shd w:val="clear" w:color="auto" w:fill="FFFFFF"/>
            <w:vAlign w:val="bottom"/>
          </w:tcPr>
          <w:p w14:paraId="6B127176" w14:textId="77777777" w:rsidR="0040626D" w:rsidRPr="00091CA7"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r>
              <w:rPr>
                <w:rFonts w:ascii="Arial" w:eastAsiaTheme="minorHAnsi" w:hAnsi="Arial" w:cs="Arial"/>
                <w:color w:val="auto"/>
                <w:sz w:val="18"/>
                <w:szCs w:val="18"/>
              </w:rPr>
              <w:t>TI</w:t>
            </w:r>
          </w:p>
        </w:tc>
        <w:tc>
          <w:tcPr>
            <w:tcW w:w="1236" w:type="dxa"/>
            <w:tcBorders>
              <w:top w:val="single" w:sz="4" w:space="0" w:color="auto"/>
              <w:bottom w:val="nil"/>
              <w:right w:val="single" w:sz="4" w:space="0" w:color="auto"/>
            </w:tcBorders>
            <w:shd w:val="clear" w:color="auto" w:fill="FFFFFF"/>
            <w:vAlign w:val="bottom"/>
          </w:tcPr>
          <w:p w14:paraId="3D97AF08" w14:textId="77777777" w:rsidR="0040626D" w:rsidRPr="00091CA7"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r>
              <w:rPr>
                <w:rFonts w:ascii="Arial" w:eastAsiaTheme="minorHAnsi" w:hAnsi="Arial" w:cs="Arial"/>
                <w:color w:val="auto"/>
                <w:sz w:val="18"/>
                <w:szCs w:val="18"/>
              </w:rPr>
              <w:t>CED</w:t>
            </w:r>
          </w:p>
        </w:tc>
      </w:tr>
      <w:tr w:rsidR="0040626D" w:rsidRPr="003A4E8D" w14:paraId="2A1E91C8" w14:textId="77777777" w:rsidTr="0062367B">
        <w:trPr>
          <w:cantSplit/>
          <w:trHeight w:val="284"/>
        </w:trPr>
        <w:tc>
          <w:tcPr>
            <w:tcW w:w="1449" w:type="dxa"/>
            <w:vMerge w:val="restart"/>
            <w:tcBorders>
              <w:top w:val="single" w:sz="4" w:space="0" w:color="auto"/>
              <w:left w:val="single" w:sz="4" w:space="0" w:color="auto"/>
              <w:bottom w:val="single" w:sz="4" w:space="0" w:color="auto"/>
              <w:right w:val="single" w:sz="4" w:space="0" w:color="auto"/>
            </w:tcBorders>
          </w:tcPr>
          <w:p w14:paraId="6F6567E6"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r w:rsidRPr="00091CA7">
              <w:rPr>
                <w:rFonts w:ascii="Arial" w:eastAsiaTheme="minorHAnsi" w:hAnsi="Arial" w:cs="Arial"/>
                <w:color w:val="auto"/>
                <w:sz w:val="18"/>
                <w:szCs w:val="18"/>
              </w:rPr>
              <w:t>Spearman's rho</w:t>
            </w:r>
          </w:p>
        </w:tc>
        <w:tc>
          <w:tcPr>
            <w:tcW w:w="1453" w:type="dxa"/>
            <w:vMerge w:val="restart"/>
            <w:tcBorders>
              <w:top w:val="nil"/>
              <w:left w:val="single" w:sz="4" w:space="0" w:color="auto"/>
              <w:bottom w:val="nil"/>
              <w:right w:val="nil"/>
            </w:tcBorders>
          </w:tcPr>
          <w:p w14:paraId="204FDE90"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r>
              <w:rPr>
                <w:rFonts w:ascii="Arial" w:eastAsiaTheme="minorHAnsi" w:hAnsi="Arial" w:cs="Arial"/>
                <w:color w:val="auto"/>
                <w:sz w:val="18"/>
                <w:szCs w:val="18"/>
              </w:rPr>
              <w:t>ROA</w:t>
            </w:r>
          </w:p>
        </w:tc>
        <w:tc>
          <w:tcPr>
            <w:tcW w:w="1719" w:type="dxa"/>
            <w:tcBorders>
              <w:top w:val="nil"/>
              <w:left w:val="nil"/>
              <w:bottom w:val="nil"/>
              <w:right w:val="single" w:sz="4" w:space="0" w:color="auto"/>
            </w:tcBorders>
          </w:tcPr>
          <w:p w14:paraId="331A0577"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left w:val="single" w:sz="4" w:space="0" w:color="auto"/>
              <w:bottom w:val="nil"/>
            </w:tcBorders>
            <w:shd w:val="clear" w:color="auto" w:fill="FFFFFF"/>
          </w:tcPr>
          <w:p w14:paraId="08508731"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1.000</w:t>
            </w:r>
          </w:p>
        </w:tc>
        <w:tc>
          <w:tcPr>
            <w:tcW w:w="1260" w:type="dxa"/>
            <w:tcBorders>
              <w:bottom w:val="nil"/>
            </w:tcBorders>
            <w:shd w:val="clear" w:color="auto" w:fill="FFFFFF"/>
          </w:tcPr>
          <w:p w14:paraId="145F17EE"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165" w:type="dxa"/>
            <w:tcBorders>
              <w:bottom w:val="nil"/>
            </w:tcBorders>
            <w:shd w:val="clear" w:color="auto" w:fill="FFFFFF"/>
          </w:tcPr>
          <w:p w14:paraId="1F25B09F"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016" w:type="dxa"/>
            <w:tcBorders>
              <w:bottom w:val="nil"/>
            </w:tcBorders>
            <w:shd w:val="clear" w:color="auto" w:fill="FFFFFF"/>
          </w:tcPr>
          <w:p w14:paraId="03F58F38"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236" w:type="dxa"/>
            <w:tcBorders>
              <w:bottom w:val="nil"/>
              <w:right w:val="single" w:sz="4" w:space="0" w:color="auto"/>
            </w:tcBorders>
            <w:shd w:val="clear" w:color="auto" w:fill="FFFFFF"/>
          </w:tcPr>
          <w:p w14:paraId="7E840772"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r>
      <w:tr w:rsidR="0040626D" w:rsidRPr="003A4E8D" w14:paraId="5963A1B1" w14:textId="77777777" w:rsidTr="0062367B">
        <w:trPr>
          <w:cantSplit/>
          <w:trHeight w:val="310"/>
        </w:trPr>
        <w:tc>
          <w:tcPr>
            <w:tcW w:w="1449" w:type="dxa"/>
            <w:vMerge/>
            <w:tcBorders>
              <w:top w:val="single" w:sz="4" w:space="0" w:color="auto"/>
              <w:left w:val="single" w:sz="4" w:space="0" w:color="auto"/>
              <w:bottom w:val="single" w:sz="4" w:space="0" w:color="auto"/>
              <w:right w:val="single" w:sz="4" w:space="0" w:color="auto"/>
            </w:tcBorders>
          </w:tcPr>
          <w:p w14:paraId="71CB78C0"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453" w:type="dxa"/>
            <w:vMerge/>
            <w:tcBorders>
              <w:top w:val="nil"/>
              <w:left w:val="single" w:sz="4" w:space="0" w:color="auto"/>
              <w:bottom w:val="nil"/>
              <w:right w:val="nil"/>
            </w:tcBorders>
          </w:tcPr>
          <w:p w14:paraId="25E44873"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719" w:type="dxa"/>
            <w:tcBorders>
              <w:top w:val="nil"/>
              <w:left w:val="nil"/>
              <w:bottom w:val="nil"/>
              <w:right w:val="single" w:sz="4" w:space="0" w:color="auto"/>
            </w:tcBorders>
          </w:tcPr>
          <w:p w14:paraId="41BC306E"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top w:val="nil"/>
              <w:left w:val="single" w:sz="4" w:space="0" w:color="auto"/>
              <w:bottom w:val="nil"/>
            </w:tcBorders>
            <w:shd w:val="clear" w:color="auto" w:fill="FFFFFF"/>
          </w:tcPr>
          <w:p w14:paraId="6B9ABED4"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w:t>
            </w:r>
          </w:p>
        </w:tc>
        <w:tc>
          <w:tcPr>
            <w:tcW w:w="1260" w:type="dxa"/>
            <w:tcBorders>
              <w:top w:val="nil"/>
              <w:bottom w:val="nil"/>
            </w:tcBorders>
            <w:shd w:val="clear" w:color="auto" w:fill="FFFFFF"/>
          </w:tcPr>
          <w:p w14:paraId="2A97C72C"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165" w:type="dxa"/>
            <w:tcBorders>
              <w:top w:val="nil"/>
              <w:bottom w:val="nil"/>
            </w:tcBorders>
            <w:shd w:val="clear" w:color="auto" w:fill="FFFFFF"/>
          </w:tcPr>
          <w:p w14:paraId="1BC0BC14"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016" w:type="dxa"/>
            <w:tcBorders>
              <w:top w:val="nil"/>
              <w:bottom w:val="nil"/>
            </w:tcBorders>
            <w:shd w:val="clear" w:color="auto" w:fill="FFFFFF"/>
          </w:tcPr>
          <w:p w14:paraId="4BFBFD9E"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236" w:type="dxa"/>
            <w:tcBorders>
              <w:top w:val="nil"/>
              <w:bottom w:val="nil"/>
              <w:right w:val="single" w:sz="4" w:space="0" w:color="auto"/>
            </w:tcBorders>
            <w:shd w:val="clear" w:color="auto" w:fill="FFFFFF"/>
          </w:tcPr>
          <w:p w14:paraId="1D3D72A3"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r>
      <w:tr w:rsidR="0040626D" w:rsidRPr="003A4E8D" w14:paraId="52063AEC" w14:textId="77777777" w:rsidTr="0062367B">
        <w:trPr>
          <w:cantSplit/>
          <w:trHeight w:val="297"/>
        </w:trPr>
        <w:tc>
          <w:tcPr>
            <w:tcW w:w="1449" w:type="dxa"/>
            <w:vMerge/>
            <w:tcBorders>
              <w:top w:val="single" w:sz="4" w:space="0" w:color="auto"/>
              <w:left w:val="single" w:sz="4" w:space="0" w:color="auto"/>
              <w:bottom w:val="single" w:sz="4" w:space="0" w:color="auto"/>
              <w:right w:val="single" w:sz="4" w:space="0" w:color="auto"/>
            </w:tcBorders>
          </w:tcPr>
          <w:p w14:paraId="5E3EF245"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453" w:type="dxa"/>
            <w:vMerge w:val="restart"/>
            <w:tcBorders>
              <w:top w:val="nil"/>
              <w:left w:val="single" w:sz="4" w:space="0" w:color="auto"/>
              <w:bottom w:val="nil"/>
              <w:right w:val="nil"/>
            </w:tcBorders>
          </w:tcPr>
          <w:p w14:paraId="2FE11B48"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r>
              <w:rPr>
                <w:rFonts w:ascii="Arial" w:eastAsiaTheme="minorHAnsi" w:hAnsi="Arial" w:cs="Arial"/>
                <w:color w:val="auto"/>
                <w:sz w:val="18"/>
                <w:szCs w:val="18"/>
              </w:rPr>
              <w:t>CITR</w:t>
            </w:r>
          </w:p>
        </w:tc>
        <w:tc>
          <w:tcPr>
            <w:tcW w:w="1719" w:type="dxa"/>
            <w:tcBorders>
              <w:top w:val="nil"/>
              <w:left w:val="nil"/>
              <w:bottom w:val="nil"/>
              <w:right w:val="single" w:sz="4" w:space="0" w:color="auto"/>
            </w:tcBorders>
          </w:tcPr>
          <w:p w14:paraId="69E0674E"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left w:val="single" w:sz="4" w:space="0" w:color="auto"/>
              <w:bottom w:val="nil"/>
            </w:tcBorders>
            <w:shd w:val="clear" w:color="auto" w:fill="FFFFFF"/>
          </w:tcPr>
          <w:p w14:paraId="60E8067B"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.928</w:t>
            </w:r>
            <w:r w:rsidRPr="00091CA7">
              <w:rPr>
                <w:rFonts w:ascii="Arial" w:eastAsiaTheme="minorHAnsi" w:hAnsi="Arial" w:cs="Arial"/>
                <w:color w:val="auto"/>
                <w:sz w:val="18"/>
                <w:szCs w:val="18"/>
                <w:vertAlign w:val="superscript"/>
              </w:rPr>
              <w:t>**</w:t>
            </w:r>
          </w:p>
        </w:tc>
        <w:tc>
          <w:tcPr>
            <w:tcW w:w="1260" w:type="dxa"/>
            <w:tcBorders>
              <w:bottom w:val="nil"/>
            </w:tcBorders>
            <w:shd w:val="clear" w:color="auto" w:fill="FFFFFF"/>
          </w:tcPr>
          <w:p w14:paraId="404D9325"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1.000</w:t>
            </w:r>
          </w:p>
        </w:tc>
        <w:tc>
          <w:tcPr>
            <w:tcW w:w="1165" w:type="dxa"/>
            <w:tcBorders>
              <w:bottom w:val="nil"/>
            </w:tcBorders>
            <w:shd w:val="clear" w:color="auto" w:fill="FFFFFF"/>
          </w:tcPr>
          <w:p w14:paraId="7B12D2F2" w14:textId="77777777" w:rsidR="0040626D" w:rsidRPr="00091CA7" w:rsidRDefault="0040626D" w:rsidP="0040626D">
            <w:pPr>
              <w:autoSpaceDE w:val="0"/>
              <w:autoSpaceDN w:val="0"/>
              <w:adjustRightInd w:val="0"/>
              <w:spacing w:before="0" w:line="240" w:lineRule="auto"/>
              <w:ind w:right="60"/>
              <w:rPr>
                <w:rFonts w:ascii="Arial" w:eastAsiaTheme="minorHAnsi" w:hAnsi="Arial" w:cs="Arial"/>
                <w:color w:val="auto"/>
                <w:sz w:val="18"/>
                <w:szCs w:val="18"/>
              </w:rPr>
            </w:pPr>
            <w:r w:rsidRPr="00091CA7">
              <w:rPr>
                <w:rFonts w:ascii="Arial" w:eastAsiaTheme="minorHAnsi" w:hAnsi="Arial" w:cs="Arial"/>
                <w:color w:val="auto"/>
                <w:sz w:val="18"/>
                <w:szCs w:val="18"/>
              </w:rPr>
              <w:t>.</w:t>
            </w:r>
          </w:p>
        </w:tc>
        <w:tc>
          <w:tcPr>
            <w:tcW w:w="1016" w:type="dxa"/>
            <w:tcBorders>
              <w:bottom w:val="nil"/>
            </w:tcBorders>
            <w:shd w:val="clear" w:color="auto" w:fill="FFFFFF"/>
          </w:tcPr>
          <w:p w14:paraId="1C338C52"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236" w:type="dxa"/>
            <w:tcBorders>
              <w:bottom w:val="nil"/>
              <w:right w:val="single" w:sz="4" w:space="0" w:color="auto"/>
            </w:tcBorders>
            <w:shd w:val="clear" w:color="auto" w:fill="FFFFFF"/>
          </w:tcPr>
          <w:p w14:paraId="009AE9C1" w14:textId="77777777" w:rsidR="0040626D" w:rsidRPr="00091CA7" w:rsidRDefault="0040626D" w:rsidP="0040626D">
            <w:pPr>
              <w:autoSpaceDE w:val="0"/>
              <w:autoSpaceDN w:val="0"/>
              <w:adjustRightInd w:val="0"/>
              <w:spacing w:before="0" w:line="240" w:lineRule="auto"/>
              <w:ind w:right="60"/>
              <w:rPr>
                <w:rFonts w:ascii="Arial" w:eastAsiaTheme="minorHAnsi" w:hAnsi="Arial" w:cs="Arial"/>
                <w:color w:val="auto"/>
                <w:sz w:val="18"/>
                <w:szCs w:val="18"/>
              </w:rPr>
            </w:pPr>
          </w:p>
        </w:tc>
      </w:tr>
      <w:tr w:rsidR="0040626D" w:rsidRPr="003A4E8D" w14:paraId="4140CA63" w14:textId="77777777" w:rsidTr="0062367B">
        <w:trPr>
          <w:cantSplit/>
          <w:trHeight w:val="310"/>
        </w:trPr>
        <w:tc>
          <w:tcPr>
            <w:tcW w:w="1449" w:type="dxa"/>
            <w:vMerge/>
            <w:tcBorders>
              <w:top w:val="single" w:sz="4" w:space="0" w:color="auto"/>
              <w:left w:val="single" w:sz="4" w:space="0" w:color="auto"/>
              <w:bottom w:val="single" w:sz="4" w:space="0" w:color="auto"/>
              <w:right w:val="single" w:sz="4" w:space="0" w:color="auto"/>
            </w:tcBorders>
          </w:tcPr>
          <w:p w14:paraId="540F5736"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453" w:type="dxa"/>
            <w:vMerge/>
            <w:tcBorders>
              <w:top w:val="nil"/>
              <w:left w:val="single" w:sz="4" w:space="0" w:color="auto"/>
              <w:bottom w:val="nil"/>
              <w:right w:val="nil"/>
            </w:tcBorders>
          </w:tcPr>
          <w:p w14:paraId="6B919200"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719" w:type="dxa"/>
            <w:tcBorders>
              <w:top w:val="nil"/>
              <w:left w:val="nil"/>
              <w:bottom w:val="nil"/>
              <w:right w:val="single" w:sz="4" w:space="0" w:color="auto"/>
            </w:tcBorders>
          </w:tcPr>
          <w:p w14:paraId="4A9AEC9B"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left w:val="single" w:sz="4" w:space="0" w:color="auto"/>
              <w:bottom w:val="nil"/>
            </w:tcBorders>
            <w:shd w:val="clear" w:color="auto" w:fill="FFFFFF"/>
          </w:tcPr>
          <w:p w14:paraId="3473D1A6"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.000</w:t>
            </w:r>
          </w:p>
        </w:tc>
        <w:tc>
          <w:tcPr>
            <w:tcW w:w="1260" w:type="dxa"/>
            <w:tcBorders>
              <w:bottom w:val="nil"/>
            </w:tcBorders>
            <w:shd w:val="clear" w:color="auto" w:fill="FFFFFF"/>
          </w:tcPr>
          <w:p w14:paraId="5A3E90E4"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w:t>
            </w:r>
          </w:p>
        </w:tc>
        <w:tc>
          <w:tcPr>
            <w:tcW w:w="1165" w:type="dxa"/>
            <w:tcBorders>
              <w:bottom w:val="nil"/>
            </w:tcBorders>
            <w:shd w:val="clear" w:color="auto" w:fill="FFFFFF"/>
          </w:tcPr>
          <w:p w14:paraId="2D494E86"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016" w:type="dxa"/>
            <w:tcBorders>
              <w:bottom w:val="nil"/>
            </w:tcBorders>
            <w:shd w:val="clear" w:color="auto" w:fill="FFFFFF"/>
          </w:tcPr>
          <w:p w14:paraId="70564065"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236" w:type="dxa"/>
            <w:tcBorders>
              <w:bottom w:val="nil"/>
              <w:right w:val="single" w:sz="4" w:space="0" w:color="auto"/>
            </w:tcBorders>
            <w:shd w:val="clear" w:color="auto" w:fill="FFFFFF"/>
          </w:tcPr>
          <w:p w14:paraId="37F15B1A"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r>
      <w:tr w:rsidR="0040626D" w:rsidRPr="003A4E8D" w14:paraId="0C909DC2" w14:textId="77777777" w:rsidTr="0062367B">
        <w:trPr>
          <w:cantSplit/>
          <w:trHeight w:val="297"/>
        </w:trPr>
        <w:tc>
          <w:tcPr>
            <w:tcW w:w="1449" w:type="dxa"/>
            <w:vMerge/>
            <w:tcBorders>
              <w:top w:val="single" w:sz="4" w:space="0" w:color="auto"/>
              <w:left w:val="single" w:sz="4" w:space="0" w:color="auto"/>
              <w:bottom w:val="single" w:sz="4" w:space="0" w:color="auto"/>
              <w:right w:val="single" w:sz="4" w:space="0" w:color="auto"/>
            </w:tcBorders>
          </w:tcPr>
          <w:p w14:paraId="6DA11EEA"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453" w:type="dxa"/>
            <w:vMerge w:val="restart"/>
            <w:tcBorders>
              <w:top w:val="nil"/>
              <w:left w:val="single" w:sz="4" w:space="0" w:color="auto"/>
              <w:bottom w:val="nil"/>
              <w:right w:val="nil"/>
            </w:tcBorders>
          </w:tcPr>
          <w:p w14:paraId="592BE6E0"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r>
              <w:rPr>
                <w:rFonts w:ascii="Arial" w:eastAsiaTheme="minorHAnsi" w:hAnsi="Arial" w:cs="Arial"/>
                <w:color w:val="auto"/>
                <w:sz w:val="18"/>
                <w:szCs w:val="18"/>
              </w:rPr>
              <w:t>VAT</w:t>
            </w:r>
          </w:p>
        </w:tc>
        <w:tc>
          <w:tcPr>
            <w:tcW w:w="1719" w:type="dxa"/>
            <w:tcBorders>
              <w:top w:val="nil"/>
              <w:left w:val="nil"/>
              <w:bottom w:val="nil"/>
              <w:right w:val="single" w:sz="4" w:space="0" w:color="auto"/>
            </w:tcBorders>
          </w:tcPr>
          <w:p w14:paraId="04450090"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left w:val="single" w:sz="4" w:space="0" w:color="auto"/>
              <w:bottom w:val="nil"/>
            </w:tcBorders>
            <w:shd w:val="clear" w:color="auto" w:fill="FFFFFF"/>
          </w:tcPr>
          <w:p w14:paraId="663337FA"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.340</w:t>
            </w:r>
            <w:r w:rsidRPr="00091CA7">
              <w:rPr>
                <w:rFonts w:ascii="Arial" w:eastAsiaTheme="minorHAnsi" w:hAnsi="Arial" w:cs="Arial"/>
                <w:color w:val="auto"/>
                <w:sz w:val="18"/>
                <w:szCs w:val="18"/>
                <w:vertAlign w:val="superscript"/>
              </w:rPr>
              <w:t>**</w:t>
            </w:r>
          </w:p>
        </w:tc>
        <w:tc>
          <w:tcPr>
            <w:tcW w:w="1260" w:type="dxa"/>
            <w:tcBorders>
              <w:bottom w:val="nil"/>
            </w:tcBorders>
            <w:shd w:val="clear" w:color="auto" w:fill="FFFFFF"/>
          </w:tcPr>
          <w:p w14:paraId="55F75D57"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.261</w:t>
            </w:r>
            <w:r w:rsidRPr="00091CA7">
              <w:rPr>
                <w:rFonts w:ascii="Arial" w:eastAsiaTheme="minorHAnsi" w:hAnsi="Arial" w:cs="Arial"/>
                <w:color w:val="auto"/>
                <w:sz w:val="18"/>
                <w:szCs w:val="18"/>
                <w:vertAlign w:val="superscript"/>
              </w:rPr>
              <w:t>**</w:t>
            </w:r>
          </w:p>
        </w:tc>
        <w:tc>
          <w:tcPr>
            <w:tcW w:w="1165" w:type="dxa"/>
            <w:tcBorders>
              <w:bottom w:val="nil"/>
            </w:tcBorders>
            <w:shd w:val="clear" w:color="auto" w:fill="FFFFFF"/>
          </w:tcPr>
          <w:p w14:paraId="0DC4C58D"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1.000</w:t>
            </w:r>
          </w:p>
        </w:tc>
        <w:tc>
          <w:tcPr>
            <w:tcW w:w="1016" w:type="dxa"/>
            <w:tcBorders>
              <w:bottom w:val="nil"/>
            </w:tcBorders>
            <w:shd w:val="clear" w:color="auto" w:fill="FFFFFF"/>
          </w:tcPr>
          <w:p w14:paraId="50DB57C3"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236" w:type="dxa"/>
            <w:tcBorders>
              <w:bottom w:val="nil"/>
              <w:right w:val="single" w:sz="4" w:space="0" w:color="auto"/>
            </w:tcBorders>
            <w:shd w:val="clear" w:color="auto" w:fill="FFFFFF"/>
          </w:tcPr>
          <w:p w14:paraId="09C2ADC2" w14:textId="77777777" w:rsidR="0040626D" w:rsidRPr="00091CA7"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p>
        </w:tc>
      </w:tr>
      <w:tr w:rsidR="0040626D" w:rsidRPr="003A4E8D" w14:paraId="50DC0A36" w14:textId="77777777" w:rsidTr="0062367B">
        <w:trPr>
          <w:cantSplit/>
          <w:trHeight w:val="310"/>
        </w:trPr>
        <w:tc>
          <w:tcPr>
            <w:tcW w:w="1449" w:type="dxa"/>
            <w:vMerge/>
            <w:tcBorders>
              <w:top w:val="single" w:sz="4" w:space="0" w:color="auto"/>
              <w:left w:val="single" w:sz="4" w:space="0" w:color="auto"/>
              <w:bottom w:val="single" w:sz="4" w:space="0" w:color="auto"/>
              <w:right w:val="single" w:sz="4" w:space="0" w:color="auto"/>
            </w:tcBorders>
          </w:tcPr>
          <w:p w14:paraId="2300CA62"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453" w:type="dxa"/>
            <w:vMerge/>
            <w:tcBorders>
              <w:top w:val="nil"/>
              <w:left w:val="single" w:sz="4" w:space="0" w:color="auto"/>
              <w:bottom w:val="nil"/>
              <w:right w:val="nil"/>
            </w:tcBorders>
          </w:tcPr>
          <w:p w14:paraId="7060E033"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719" w:type="dxa"/>
            <w:tcBorders>
              <w:top w:val="nil"/>
              <w:left w:val="nil"/>
              <w:bottom w:val="nil"/>
              <w:right w:val="single" w:sz="4" w:space="0" w:color="auto"/>
            </w:tcBorders>
          </w:tcPr>
          <w:p w14:paraId="4F85F31F"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left w:val="single" w:sz="4" w:space="0" w:color="auto"/>
              <w:bottom w:val="nil"/>
            </w:tcBorders>
            <w:shd w:val="clear" w:color="auto" w:fill="FFFFFF"/>
          </w:tcPr>
          <w:p w14:paraId="60CCC9FF"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.001</w:t>
            </w:r>
          </w:p>
        </w:tc>
        <w:tc>
          <w:tcPr>
            <w:tcW w:w="1260" w:type="dxa"/>
            <w:tcBorders>
              <w:bottom w:val="nil"/>
            </w:tcBorders>
            <w:shd w:val="clear" w:color="auto" w:fill="FFFFFF"/>
          </w:tcPr>
          <w:p w14:paraId="2B6E1E65"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.009</w:t>
            </w:r>
          </w:p>
        </w:tc>
        <w:tc>
          <w:tcPr>
            <w:tcW w:w="1165" w:type="dxa"/>
            <w:tcBorders>
              <w:bottom w:val="nil"/>
            </w:tcBorders>
            <w:shd w:val="clear" w:color="auto" w:fill="FFFFFF"/>
          </w:tcPr>
          <w:p w14:paraId="3A90CB9A"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w:t>
            </w:r>
          </w:p>
        </w:tc>
        <w:tc>
          <w:tcPr>
            <w:tcW w:w="1016" w:type="dxa"/>
            <w:tcBorders>
              <w:bottom w:val="nil"/>
            </w:tcBorders>
            <w:shd w:val="clear" w:color="auto" w:fill="FFFFFF"/>
          </w:tcPr>
          <w:p w14:paraId="5FDFB4A6" w14:textId="77777777" w:rsidR="0040626D" w:rsidRPr="00091CA7"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p>
        </w:tc>
        <w:tc>
          <w:tcPr>
            <w:tcW w:w="1236" w:type="dxa"/>
            <w:tcBorders>
              <w:bottom w:val="nil"/>
              <w:right w:val="single" w:sz="4" w:space="0" w:color="auto"/>
            </w:tcBorders>
            <w:shd w:val="clear" w:color="auto" w:fill="FFFFFF"/>
          </w:tcPr>
          <w:p w14:paraId="24223F1D"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r>
      <w:tr w:rsidR="0040626D" w:rsidRPr="003A4E8D" w14:paraId="12DE04A0" w14:textId="77777777" w:rsidTr="0062367B">
        <w:trPr>
          <w:cantSplit/>
          <w:trHeight w:val="297"/>
        </w:trPr>
        <w:tc>
          <w:tcPr>
            <w:tcW w:w="1449" w:type="dxa"/>
            <w:vMerge/>
            <w:tcBorders>
              <w:top w:val="single" w:sz="4" w:space="0" w:color="auto"/>
              <w:left w:val="single" w:sz="4" w:space="0" w:color="auto"/>
              <w:bottom w:val="single" w:sz="4" w:space="0" w:color="auto"/>
              <w:right w:val="single" w:sz="4" w:space="0" w:color="auto"/>
            </w:tcBorders>
          </w:tcPr>
          <w:p w14:paraId="248088D2"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453" w:type="dxa"/>
            <w:vMerge w:val="restart"/>
            <w:tcBorders>
              <w:top w:val="nil"/>
              <w:left w:val="single" w:sz="4" w:space="0" w:color="auto"/>
              <w:bottom w:val="nil"/>
              <w:right w:val="nil"/>
            </w:tcBorders>
          </w:tcPr>
          <w:p w14:paraId="720D938A"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r>
              <w:rPr>
                <w:rFonts w:ascii="Arial" w:eastAsiaTheme="minorHAnsi" w:hAnsi="Arial" w:cs="Arial"/>
                <w:color w:val="auto"/>
                <w:sz w:val="18"/>
                <w:szCs w:val="18"/>
              </w:rPr>
              <w:t>TI</w:t>
            </w:r>
          </w:p>
        </w:tc>
        <w:tc>
          <w:tcPr>
            <w:tcW w:w="1719" w:type="dxa"/>
            <w:tcBorders>
              <w:top w:val="nil"/>
              <w:left w:val="nil"/>
              <w:bottom w:val="nil"/>
              <w:right w:val="single" w:sz="4" w:space="0" w:color="auto"/>
            </w:tcBorders>
          </w:tcPr>
          <w:p w14:paraId="0DE1F844"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left w:val="single" w:sz="4" w:space="0" w:color="auto"/>
              <w:bottom w:val="nil"/>
            </w:tcBorders>
            <w:shd w:val="clear" w:color="auto" w:fill="FFFFFF"/>
          </w:tcPr>
          <w:p w14:paraId="30FE082B"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-.116</w:t>
            </w:r>
          </w:p>
        </w:tc>
        <w:tc>
          <w:tcPr>
            <w:tcW w:w="1260" w:type="dxa"/>
            <w:tcBorders>
              <w:bottom w:val="nil"/>
            </w:tcBorders>
            <w:shd w:val="clear" w:color="auto" w:fill="FFFFFF"/>
          </w:tcPr>
          <w:p w14:paraId="1C8C2DB1"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-.159</w:t>
            </w:r>
          </w:p>
        </w:tc>
        <w:tc>
          <w:tcPr>
            <w:tcW w:w="1165" w:type="dxa"/>
            <w:tcBorders>
              <w:bottom w:val="nil"/>
            </w:tcBorders>
            <w:shd w:val="clear" w:color="auto" w:fill="FFFFFF"/>
          </w:tcPr>
          <w:p w14:paraId="48C1B17F"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-.328</w:t>
            </w:r>
            <w:r w:rsidRPr="00091CA7">
              <w:rPr>
                <w:rFonts w:ascii="Arial" w:eastAsiaTheme="minorHAnsi" w:hAnsi="Arial" w:cs="Arial"/>
                <w:color w:val="auto"/>
                <w:sz w:val="18"/>
                <w:szCs w:val="18"/>
                <w:vertAlign w:val="superscript"/>
              </w:rPr>
              <w:t>**</w:t>
            </w:r>
          </w:p>
        </w:tc>
        <w:tc>
          <w:tcPr>
            <w:tcW w:w="1016" w:type="dxa"/>
            <w:tcBorders>
              <w:bottom w:val="nil"/>
            </w:tcBorders>
            <w:shd w:val="clear" w:color="auto" w:fill="FFFFFF"/>
          </w:tcPr>
          <w:p w14:paraId="49C338F1"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1.000</w:t>
            </w:r>
          </w:p>
        </w:tc>
        <w:tc>
          <w:tcPr>
            <w:tcW w:w="1236" w:type="dxa"/>
            <w:tcBorders>
              <w:bottom w:val="nil"/>
              <w:right w:val="single" w:sz="4" w:space="0" w:color="auto"/>
            </w:tcBorders>
            <w:shd w:val="clear" w:color="auto" w:fill="FFFFFF"/>
          </w:tcPr>
          <w:p w14:paraId="616C4D4A"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r>
      <w:tr w:rsidR="0040626D" w:rsidRPr="003A4E8D" w14:paraId="2912EC14" w14:textId="77777777" w:rsidTr="0062367B">
        <w:trPr>
          <w:cantSplit/>
          <w:trHeight w:val="310"/>
        </w:trPr>
        <w:tc>
          <w:tcPr>
            <w:tcW w:w="1449" w:type="dxa"/>
            <w:vMerge/>
            <w:tcBorders>
              <w:top w:val="single" w:sz="4" w:space="0" w:color="auto"/>
              <w:left w:val="single" w:sz="4" w:space="0" w:color="auto"/>
              <w:bottom w:val="single" w:sz="4" w:space="0" w:color="auto"/>
              <w:right w:val="single" w:sz="4" w:space="0" w:color="auto"/>
            </w:tcBorders>
          </w:tcPr>
          <w:p w14:paraId="6A642173"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453" w:type="dxa"/>
            <w:vMerge/>
            <w:tcBorders>
              <w:top w:val="nil"/>
              <w:left w:val="single" w:sz="4" w:space="0" w:color="auto"/>
              <w:bottom w:val="nil"/>
              <w:right w:val="nil"/>
            </w:tcBorders>
          </w:tcPr>
          <w:p w14:paraId="1E6422E1"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719" w:type="dxa"/>
            <w:tcBorders>
              <w:top w:val="nil"/>
              <w:left w:val="nil"/>
              <w:bottom w:val="nil"/>
              <w:right w:val="single" w:sz="4" w:space="0" w:color="auto"/>
            </w:tcBorders>
          </w:tcPr>
          <w:p w14:paraId="029ACD03"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left w:val="single" w:sz="4" w:space="0" w:color="auto"/>
              <w:bottom w:val="nil"/>
            </w:tcBorders>
            <w:shd w:val="clear" w:color="auto" w:fill="FFFFFF"/>
          </w:tcPr>
          <w:p w14:paraId="07B79335"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.249</w:t>
            </w:r>
          </w:p>
        </w:tc>
        <w:tc>
          <w:tcPr>
            <w:tcW w:w="1260" w:type="dxa"/>
            <w:tcBorders>
              <w:bottom w:val="nil"/>
            </w:tcBorders>
            <w:shd w:val="clear" w:color="auto" w:fill="FFFFFF"/>
          </w:tcPr>
          <w:p w14:paraId="289704B1"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.115</w:t>
            </w:r>
          </w:p>
        </w:tc>
        <w:tc>
          <w:tcPr>
            <w:tcW w:w="1165" w:type="dxa"/>
            <w:tcBorders>
              <w:bottom w:val="nil"/>
            </w:tcBorders>
            <w:shd w:val="clear" w:color="auto" w:fill="FFFFFF"/>
          </w:tcPr>
          <w:p w14:paraId="449BB9C1"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.001</w:t>
            </w:r>
          </w:p>
        </w:tc>
        <w:tc>
          <w:tcPr>
            <w:tcW w:w="1016" w:type="dxa"/>
            <w:tcBorders>
              <w:bottom w:val="nil"/>
            </w:tcBorders>
            <w:shd w:val="clear" w:color="auto" w:fill="FFFFFF"/>
          </w:tcPr>
          <w:p w14:paraId="25320C4D"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w:t>
            </w:r>
          </w:p>
        </w:tc>
        <w:tc>
          <w:tcPr>
            <w:tcW w:w="1236" w:type="dxa"/>
            <w:tcBorders>
              <w:bottom w:val="nil"/>
              <w:right w:val="single" w:sz="4" w:space="0" w:color="auto"/>
            </w:tcBorders>
            <w:shd w:val="clear" w:color="auto" w:fill="FFFFFF"/>
          </w:tcPr>
          <w:p w14:paraId="0C0EA66A"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r>
      <w:tr w:rsidR="0040626D" w:rsidRPr="003A4E8D" w14:paraId="6DC7B850" w14:textId="77777777" w:rsidTr="0062367B">
        <w:trPr>
          <w:cantSplit/>
          <w:trHeight w:val="297"/>
        </w:trPr>
        <w:tc>
          <w:tcPr>
            <w:tcW w:w="1449" w:type="dxa"/>
            <w:vMerge/>
            <w:tcBorders>
              <w:top w:val="single" w:sz="4" w:space="0" w:color="auto"/>
              <w:left w:val="single" w:sz="4" w:space="0" w:color="auto"/>
              <w:bottom w:val="single" w:sz="4" w:space="0" w:color="auto"/>
              <w:right w:val="single" w:sz="4" w:space="0" w:color="auto"/>
            </w:tcBorders>
          </w:tcPr>
          <w:p w14:paraId="55F77E40"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453" w:type="dxa"/>
            <w:vMerge w:val="restart"/>
            <w:tcBorders>
              <w:top w:val="nil"/>
              <w:left w:val="single" w:sz="4" w:space="0" w:color="auto"/>
              <w:bottom w:val="nil"/>
              <w:right w:val="nil"/>
            </w:tcBorders>
          </w:tcPr>
          <w:p w14:paraId="12B345EE"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r>
              <w:rPr>
                <w:rFonts w:ascii="Arial" w:eastAsiaTheme="minorHAnsi" w:hAnsi="Arial" w:cs="Arial"/>
                <w:color w:val="auto"/>
                <w:sz w:val="18"/>
                <w:szCs w:val="18"/>
              </w:rPr>
              <w:t>CED</w:t>
            </w:r>
          </w:p>
        </w:tc>
        <w:tc>
          <w:tcPr>
            <w:tcW w:w="1719" w:type="dxa"/>
            <w:tcBorders>
              <w:top w:val="nil"/>
              <w:left w:val="nil"/>
              <w:bottom w:val="nil"/>
              <w:right w:val="single" w:sz="4" w:space="0" w:color="auto"/>
            </w:tcBorders>
          </w:tcPr>
          <w:p w14:paraId="028E656D"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left w:val="single" w:sz="4" w:space="0" w:color="auto"/>
              <w:bottom w:val="nil"/>
            </w:tcBorders>
            <w:shd w:val="clear" w:color="auto" w:fill="FFFFFF"/>
          </w:tcPr>
          <w:p w14:paraId="2BD5AF49"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.047</w:t>
            </w:r>
          </w:p>
        </w:tc>
        <w:tc>
          <w:tcPr>
            <w:tcW w:w="1260" w:type="dxa"/>
            <w:tcBorders>
              <w:bottom w:val="nil"/>
            </w:tcBorders>
            <w:shd w:val="clear" w:color="auto" w:fill="FFFFFF"/>
          </w:tcPr>
          <w:p w14:paraId="3FB24F33"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.082</w:t>
            </w:r>
          </w:p>
        </w:tc>
        <w:tc>
          <w:tcPr>
            <w:tcW w:w="1165" w:type="dxa"/>
            <w:tcBorders>
              <w:bottom w:val="nil"/>
            </w:tcBorders>
            <w:shd w:val="clear" w:color="auto" w:fill="FFFFFF"/>
          </w:tcPr>
          <w:p w14:paraId="3695338A"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.019</w:t>
            </w:r>
          </w:p>
        </w:tc>
        <w:tc>
          <w:tcPr>
            <w:tcW w:w="1016" w:type="dxa"/>
            <w:tcBorders>
              <w:bottom w:val="nil"/>
            </w:tcBorders>
            <w:shd w:val="clear" w:color="auto" w:fill="FFFFFF"/>
          </w:tcPr>
          <w:p w14:paraId="14E71113"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-.699</w:t>
            </w:r>
            <w:r w:rsidRPr="00091CA7">
              <w:rPr>
                <w:rFonts w:ascii="Arial" w:eastAsiaTheme="minorHAnsi" w:hAnsi="Arial" w:cs="Arial"/>
                <w:color w:val="auto"/>
                <w:sz w:val="18"/>
                <w:szCs w:val="18"/>
                <w:vertAlign w:val="superscript"/>
              </w:rPr>
              <w:t>**</w:t>
            </w:r>
          </w:p>
        </w:tc>
        <w:tc>
          <w:tcPr>
            <w:tcW w:w="1236" w:type="dxa"/>
            <w:tcBorders>
              <w:bottom w:val="nil"/>
              <w:right w:val="single" w:sz="4" w:space="0" w:color="auto"/>
            </w:tcBorders>
            <w:shd w:val="clear" w:color="auto" w:fill="FFFFFF"/>
          </w:tcPr>
          <w:p w14:paraId="7F86B481"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1.000</w:t>
            </w:r>
          </w:p>
        </w:tc>
      </w:tr>
      <w:tr w:rsidR="0040626D" w:rsidRPr="003A4E8D" w14:paraId="531DC9D5" w14:textId="77777777" w:rsidTr="0062367B">
        <w:trPr>
          <w:cantSplit/>
          <w:trHeight w:val="310"/>
        </w:trPr>
        <w:tc>
          <w:tcPr>
            <w:tcW w:w="1449" w:type="dxa"/>
            <w:vMerge/>
            <w:tcBorders>
              <w:top w:val="single" w:sz="4" w:space="0" w:color="auto"/>
              <w:left w:val="single" w:sz="4" w:space="0" w:color="auto"/>
              <w:bottom w:val="single" w:sz="4" w:space="0" w:color="auto"/>
              <w:right w:val="single" w:sz="4" w:space="0" w:color="auto"/>
            </w:tcBorders>
          </w:tcPr>
          <w:p w14:paraId="21F6D438"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453" w:type="dxa"/>
            <w:vMerge/>
            <w:tcBorders>
              <w:top w:val="nil"/>
              <w:left w:val="single" w:sz="4" w:space="0" w:color="auto"/>
              <w:bottom w:val="nil"/>
              <w:right w:val="nil"/>
            </w:tcBorders>
          </w:tcPr>
          <w:p w14:paraId="15382543"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719" w:type="dxa"/>
            <w:tcBorders>
              <w:top w:val="nil"/>
              <w:left w:val="nil"/>
              <w:bottom w:val="nil"/>
              <w:right w:val="single" w:sz="4" w:space="0" w:color="auto"/>
            </w:tcBorders>
          </w:tcPr>
          <w:p w14:paraId="25FA48AB"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left w:val="single" w:sz="4" w:space="0" w:color="auto"/>
              <w:bottom w:val="single" w:sz="4" w:space="0" w:color="auto"/>
            </w:tcBorders>
            <w:shd w:val="clear" w:color="auto" w:fill="FFFFFF"/>
          </w:tcPr>
          <w:p w14:paraId="0DC28CFC"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260" w:type="dxa"/>
            <w:tcBorders>
              <w:bottom w:val="single" w:sz="4" w:space="0" w:color="auto"/>
            </w:tcBorders>
            <w:shd w:val="clear" w:color="auto" w:fill="FFFFFF"/>
          </w:tcPr>
          <w:p w14:paraId="7BA7503F"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165" w:type="dxa"/>
            <w:tcBorders>
              <w:bottom w:val="single" w:sz="4" w:space="0" w:color="auto"/>
            </w:tcBorders>
            <w:shd w:val="clear" w:color="auto" w:fill="FFFFFF"/>
          </w:tcPr>
          <w:p w14:paraId="5CBE83A3"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016" w:type="dxa"/>
            <w:tcBorders>
              <w:bottom w:val="single" w:sz="4" w:space="0" w:color="auto"/>
            </w:tcBorders>
            <w:shd w:val="clear" w:color="auto" w:fill="FFFFFF"/>
          </w:tcPr>
          <w:p w14:paraId="13CCDCB5"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236" w:type="dxa"/>
            <w:tcBorders>
              <w:bottom w:val="single" w:sz="4" w:space="0" w:color="auto"/>
              <w:right w:val="single" w:sz="4" w:space="0" w:color="auto"/>
            </w:tcBorders>
            <w:shd w:val="clear" w:color="auto" w:fill="FFFFFF"/>
          </w:tcPr>
          <w:p w14:paraId="353BD316"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w:t>
            </w:r>
          </w:p>
        </w:tc>
      </w:tr>
      <w:tr w:rsidR="0040626D" w:rsidRPr="003A4E8D" w14:paraId="595E157C" w14:textId="77777777" w:rsidTr="0062367B">
        <w:trPr>
          <w:cantSplit/>
          <w:trHeight w:val="284"/>
        </w:trPr>
        <w:tc>
          <w:tcPr>
            <w:tcW w:w="10520" w:type="dxa"/>
            <w:gridSpan w:val="8"/>
            <w:tcBorders>
              <w:top w:val="single" w:sz="4" w:space="0" w:color="auto"/>
              <w:left w:val="single" w:sz="4" w:space="0" w:color="auto"/>
              <w:bottom w:val="single" w:sz="4" w:space="0" w:color="auto"/>
              <w:right w:val="single" w:sz="4" w:space="0" w:color="auto"/>
            </w:tcBorders>
            <w:shd w:val="clear" w:color="auto" w:fill="FFFFFF"/>
          </w:tcPr>
          <w:p w14:paraId="38D4DE39"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r w:rsidRPr="00091CA7">
              <w:rPr>
                <w:rFonts w:ascii="Arial" w:eastAsiaTheme="minorHAnsi" w:hAnsi="Arial" w:cs="Arial"/>
                <w:color w:val="auto"/>
                <w:sz w:val="18"/>
                <w:szCs w:val="18"/>
              </w:rPr>
              <w:t>**. Correlation is significant at the 0.01 level (2-tailed).</w:t>
            </w:r>
          </w:p>
        </w:tc>
      </w:tr>
    </w:tbl>
    <w:p w14:paraId="07BD644A" w14:textId="77777777" w:rsidR="0040626D" w:rsidRDefault="0040626D" w:rsidP="007B3AE1">
      <w:pPr>
        <w:spacing w:before="0" w:line="240" w:lineRule="auto"/>
        <w:rPr>
          <w:b/>
          <w:bCs/>
          <w:color w:val="000000" w:themeColor="text1"/>
          <w:sz w:val="28"/>
          <w:szCs w:val="24"/>
        </w:rPr>
      </w:pPr>
    </w:p>
    <w:p w14:paraId="2663F6E2" w14:textId="77777777" w:rsidR="0040626D" w:rsidRDefault="0040626D" w:rsidP="007B3AE1">
      <w:pPr>
        <w:spacing w:before="0" w:line="240" w:lineRule="auto"/>
        <w:rPr>
          <w:b/>
          <w:bCs/>
          <w:color w:val="000000" w:themeColor="text1"/>
          <w:sz w:val="28"/>
          <w:szCs w:val="24"/>
        </w:rPr>
      </w:pPr>
    </w:p>
    <w:p w14:paraId="642B9EB5" w14:textId="673E0E5B" w:rsidR="0040626D" w:rsidRDefault="0040626D" w:rsidP="007B3AE1">
      <w:pPr>
        <w:spacing w:before="0" w:line="240" w:lineRule="auto"/>
        <w:rPr>
          <w:b/>
          <w:bCs/>
          <w:color w:val="000000" w:themeColor="text1"/>
          <w:sz w:val="28"/>
          <w:szCs w:val="24"/>
        </w:rPr>
      </w:pPr>
      <w:r w:rsidRPr="0040626D">
        <w:rPr>
          <w:b/>
          <w:bCs/>
          <w:color w:val="000000" w:themeColor="text1"/>
          <w:sz w:val="28"/>
          <w:szCs w:val="24"/>
        </w:rPr>
        <w:t>Regression Model Summary</w:t>
      </w:r>
    </w:p>
    <w:p w14:paraId="23A0DA99" w14:textId="45A6D089" w:rsidR="0040626D" w:rsidRDefault="0040626D" w:rsidP="0040626D">
      <w:pPr>
        <w:spacing w:line="240" w:lineRule="auto"/>
      </w:pPr>
      <w:r w:rsidRPr="0040626D">
        <w:t>An R value of 0.839 was obtained from the model, suggesting that the dependent variable was closely linked with the independent variables. The R² value of 0.704 revealed that 70.4% of the variation in the dependent variable was explained by the model. Affirm that the model is an appropriate fit for the study</w:t>
      </w:r>
      <w:r>
        <w:t>.</w:t>
      </w:r>
    </w:p>
    <w:p w14:paraId="20D43555" w14:textId="65B94908" w:rsidR="00DF2A42" w:rsidRDefault="00DF2A42" w:rsidP="00DF2A42">
      <w:pPr>
        <w:spacing w:before="0" w:line="240" w:lineRule="auto"/>
        <w:rPr>
          <w:b/>
          <w:bCs/>
          <w:i/>
          <w:iCs/>
        </w:rPr>
      </w:pPr>
      <w:r w:rsidRPr="00711AB4">
        <w:rPr>
          <w:b/>
          <w:bCs/>
          <w:i/>
          <w:iCs/>
        </w:rPr>
        <w:t xml:space="preserve">Table </w:t>
      </w:r>
      <w:r>
        <w:rPr>
          <w:b/>
          <w:bCs/>
          <w:i/>
          <w:iCs/>
        </w:rPr>
        <w:t>8</w:t>
      </w:r>
      <w:r w:rsidRPr="00711AB4">
        <w:rPr>
          <w:b/>
          <w:bCs/>
          <w:i/>
          <w:iCs/>
        </w:rPr>
        <w:t xml:space="preserve">: </w:t>
      </w:r>
      <w:r w:rsidRPr="00DF2A42">
        <w:rPr>
          <w:b/>
          <w:bCs/>
          <w:i/>
          <w:iCs/>
        </w:rPr>
        <w:t>Model Summary</w:t>
      </w:r>
    </w:p>
    <w:tbl>
      <w:tblPr>
        <w:tblW w:w="8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7"/>
        <w:gridCol w:w="1246"/>
        <w:gridCol w:w="1321"/>
        <w:gridCol w:w="1788"/>
        <w:gridCol w:w="1788"/>
        <w:gridCol w:w="1790"/>
      </w:tblGrid>
      <w:tr w:rsidR="0040626D" w:rsidRPr="00053BA5" w14:paraId="66E3F7BA" w14:textId="77777777" w:rsidTr="0062367B">
        <w:trPr>
          <w:cantSplit/>
          <w:trHeight w:val="377"/>
        </w:trPr>
        <w:tc>
          <w:tcPr>
            <w:tcW w:w="8900" w:type="dxa"/>
            <w:gridSpan w:val="6"/>
            <w:shd w:val="clear" w:color="auto" w:fill="FFFFFF"/>
            <w:vAlign w:val="center"/>
          </w:tcPr>
          <w:p w14:paraId="0D3C8C6D" w14:textId="77777777" w:rsidR="0040626D" w:rsidRPr="00053BA5" w:rsidRDefault="0040626D" w:rsidP="0040626D">
            <w:pPr>
              <w:autoSpaceDE w:val="0"/>
              <w:autoSpaceDN w:val="0"/>
              <w:adjustRightInd w:val="0"/>
              <w:spacing w:before="0" w:line="240" w:lineRule="auto"/>
              <w:ind w:left="60" w:right="60"/>
              <w:jc w:val="center"/>
              <w:rPr>
                <w:rFonts w:eastAsiaTheme="minorHAnsi"/>
                <w:color w:val="auto"/>
                <w:sz w:val="22"/>
              </w:rPr>
            </w:pPr>
            <w:r w:rsidRPr="00053BA5">
              <w:rPr>
                <w:rFonts w:eastAsiaTheme="minorHAnsi"/>
                <w:b/>
                <w:bCs/>
                <w:color w:val="auto"/>
                <w:sz w:val="22"/>
              </w:rPr>
              <w:t>Model Summary</w:t>
            </w:r>
            <w:r w:rsidRPr="00053BA5">
              <w:rPr>
                <w:rFonts w:eastAsiaTheme="minorHAnsi"/>
                <w:b/>
                <w:bCs/>
                <w:color w:val="auto"/>
                <w:sz w:val="22"/>
                <w:vertAlign w:val="superscript"/>
              </w:rPr>
              <w:t>b</w:t>
            </w:r>
          </w:p>
        </w:tc>
      </w:tr>
      <w:tr w:rsidR="0040626D" w:rsidRPr="00053BA5" w14:paraId="351206F8" w14:textId="77777777" w:rsidTr="0062367B">
        <w:trPr>
          <w:cantSplit/>
          <w:trHeight w:val="754"/>
        </w:trPr>
        <w:tc>
          <w:tcPr>
            <w:tcW w:w="967" w:type="dxa"/>
            <w:vAlign w:val="bottom"/>
          </w:tcPr>
          <w:p w14:paraId="52A39B5F" w14:textId="77777777" w:rsidR="0040626D" w:rsidRPr="00053BA5" w:rsidRDefault="0040626D" w:rsidP="0040626D">
            <w:pPr>
              <w:autoSpaceDE w:val="0"/>
              <w:autoSpaceDN w:val="0"/>
              <w:adjustRightInd w:val="0"/>
              <w:spacing w:before="0" w:line="240" w:lineRule="auto"/>
              <w:ind w:left="60" w:right="60"/>
              <w:jc w:val="left"/>
              <w:rPr>
                <w:rFonts w:eastAsiaTheme="minorHAnsi"/>
                <w:color w:val="auto"/>
                <w:sz w:val="22"/>
              </w:rPr>
            </w:pPr>
            <w:r w:rsidRPr="00053BA5">
              <w:rPr>
                <w:rFonts w:eastAsiaTheme="minorHAnsi"/>
                <w:color w:val="auto"/>
                <w:sz w:val="22"/>
              </w:rPr>
              <w:t>Model</w:t>
            </w:r>
          </w:p>
        </w:tc>
        <w:tc>
          <w:tcPr>
            <w:tcW w:w="1246" w:type="dxa"/>
            <w:shd w:val="clear" w:color="auto" w:fill="FFFFFF"/>
            <w:vAlign w:val="bottom"/>
          </w:tcPr>
          <w:p w14:paraId="698C6E91" w14:textId="77777777" w:rsidR="0040626D" w:rsidRPr="00053BA5" w:rsidRDefault="0040626D" w:rsidP="0040626D">
            <w:pPr>
              <w:autoSpaceDE w:val="0"/>
              <w:autoSpaceDN w:val="0"/>
              <w:adjustRightInd w:val="0"/>
              <w:spacing w:before="0" w:line="240" w:lineRule="auto"/>
              <w:ind w:left="60" w:right="60"/>
              <w:jc w:val="center"/>
              <w:rPr>
                <w:rFonts w:eastAsiaTheme="minorHAnsi"/>
                <w:color w:val="auto"/>
                <w:sz w:val="22"/>
              </w:rPr>
            </w:pPr>
            <w:r w:rsidRPr="00053BA5">
              <w:rPr>
                <w:rFonts w:eastAsiaTheme="minorHAnsi"/>
                <w:color w:val="auto"/>
                <w:sz w:val="22"/>
              </w:rPr>
              <w:t>R</w:t>
            </w:r>
          </w:p>
        </w:tc>
        <w:tc>
          <w:tcPr>
            <w:tcW w:w="1321" w:type="dxa"/>
            <w:shd w:val="clear" w:color="auto" w:fill="FFFFFF"/>
            <w:vAlign w:val="bottom"/>
          </w:tcPr>
          <w:p w14:paraId="4B7A8F76" w14:textId="77777777" w:rsidR="0040626D" w:rsidRPr="00053BA5" w:rsidRDefault="0040626D" w:rsidP="0040626D">
            <w:pPr>
              <w:autoSpaceDE w:val="0"/>
              <w:autoSpaceDN w:val="0"/>
              <w:adjustRightInd w:val="0"/>
              <w:spacing w:before="0" w:line="240" w:lineRule="auto"/>
              <w:ind w:left="60" w:right="60"/>
              <w:jc w:val="center"/>
              <w:rPr>
                <w:rFonts w:eastAsiaTheme="minorHAnsi"/>
                <w:color w:val="auto"/>
                <w:sz w:val="22"/>
              </w:rPr>
            </w:pPr>
            <w:r w:rsidRPr="00053BA5">
              <w:rPr>
                <w:rFonts w:eastAsiaTheme="minorHAnsi"/>
                <w:color w:val="auto"/>
                <w:sz w:val="22"/>
              </w:rPr>
              <w:t>R Square</w:t>
            </w:r>
          </w:p>
        </w:tc>
        <w:tc>
          <w:tcPr>
            <w:tcW w:w="1788" w:type="dxa"/>
            <w:shd w:val="clear" w:color="auto" w:fill="FFFFFF"/>
            <w:vAlign w:val="bottom"/>
          </w:tcPr>
          <w:p w14:paraId="37DE7317" w14:textId="77777777" w:rsidR="0040626D" w:rsidRPr="00053BA5" w:rsidRDefault="0040626D" w:rsidP="0040626D">
            <w:pPr>
              <w:autoSpaceDE w:val="0"/>
              <w:autoSpaceDN w:val="0"/>
              <w:adjustRightInd w:val="0"/>
              <w:spacing w:before="0" w:line="240" w:lineRule="auto"/>
              <w:ind w:left="60" w:right="60"/>
              <w:jc w:val="center"/>
              <w:rPr>
                <w:rFonts w:eastAsiaTheme="minorHAnsi"/>
                <w:color w:val="auto"/>
                <w:sz w:val="22"/>
              </w:rPr>
            </w:pPr>
            <w:r w:rsidRPr="00053BA5">
              <w:rPr>
                <w:rFonts w:eastAsiaTheme="minorHAnsi"/>
                <w:color w:val="auto"/>
                <w:sz w:val="22"/>
              </w:rPr>
              <w:t>Adjusted R Square</w:t>
            </w:r>
          </w:p>
        </w:tc>
        <w:tc>
          <w:tcPr>
            <w:tcW w:w="1788" w:type="dxa"/>
            <w:shd w:val="clear" w:color="auto" w:fill="FFFFFF"/>
            <w:vAlign w:val="bottom"/>
          </w:tcPr>
          <w:p w14:paraId="6BF20F4C" w14:textId="77777777" w:rsidR="0040626D" w:rsidRPr="00053BA5" w:rsidRDefault="0040626D" w:rsidP="0040626D">
            <w:pPr>
              <w:autoSpaceDE w:val="0"/>
              <w:autoSpaceDN w:val="0"/>
              <w:adjustRightInd w:val="0"/>
              <w:spacing w:before="0" w:line="240" w:lineRule="auto"/>
              <w:ind w:left="60" w:right="60"/>
              <w:jc w:val="center"/>
              <w:rPr>
                <w:rFonts w:eastAsiaTheme="minorHAnsi"/>
                <w:color w:val="auto"/>
                <w:sz w:val="22"/>
              </w:rPr>
            </w:pPr>
            <w:r w:rsidRPr="00053BA5">
              <w:rPr>
                <w:rFonts w:eastAsiaTheme="minorHAnsi"/>
                <w:color w:val="auto"/>
                <w:sz w:val="22"/>
              </w:rPr>
              <w:t>Std. Error of the Estimate</w:t>
            </w:r>
          </w:p>
        </w:tc>
        <w:tc>
          <w:tcPr>
            <w:tcW w:w="1790" w:type="dxa"/>
            <w:shd w:val="clear" w:color="auto" w:fill="FFFFFF"/>
            <w:vAlign w:val="bottom"/>
          </w:tcPr>
          <w:p w14:paraId="4041BD90" w14:textId="77777777" w:rsidR="0040626D" w:rsidRPr="00053BA5" w:rsidRDefault="0040626D" w:rsidP="0040626D">
            <w:pPr>
              <w:autoSpaceDE w:val="0"/>
              <w:autoSpaceDN w:val="0"/>
              <w:adjustRightInd w:val="0"/>
              <w:spacing w:before="0" w:line="240" w:lineRule="auto"/>
              <w:ind w:left="60" w:right="60"/>
              <w:jc w:val="center"/>
              <w:rPr>
                <w:rFonts w:eastAsiaTheme="minorHAnsi"/>
                <w:color w:val="auto"/>
                <w:sz w:val="22"/>
              </w:rPr>
            </w:pPr>
            <w:r w:rsidRPr="00053BA5">
              <w:rPr>
                <w:rFonts w:eastAsiaTheme="minorHAnsi"/>
                <w:color w:val="auto"/>
                <w:sz w:val="22"/>
              </w:rPr>
              <w:t>Durbin-Watson</w:t>
            </w:r>
          </w:p>
        </w:tc>
      </w:tr>
      <w:tr w:rsidR="0040626D" w:rsidRPr="00053BA5" w14:paraId="46D73537" w14:textId="77777777" w:rsidTr="0062367B">
        <w:trPr>
          <w:cantSplit/>
          <w:trHeight w:val="377"/>
        </w:trPr>
        <w:tc>
          <w:tcPr>
            <w:tcW w:w="967" w:type="dxa"/>
            <w:tcBorders>
              <w:bottom w:val="single" w:sz="4" w:space="0" w:color="auto"/>
            </w:tcBorders>
          </w:tcPr>
          <w:p w14:paraId="0FA220C7" w14:textId="77777777" w:rsidR="0040626D" w:rsidRPr="00053BA5" w:rsidRDefault="0040626D" w:rsidP="0040626D">
            <w:pPr>
              <w:autoSpaceDE w:val="0"/>
              <w:autoSpaceDN w:val="0"/>
              <w:adjustRightInd w:val="0"/>
              <w:spacing w:before="0" w:line="240" w:lineRule="auto"/>
              <w:ind w:left="60" w:right="60"/>
              <w:jc w:val="left"/>
              <w:rPr>
                <w:rFonts w:eastAsiaTheme="minorHAnsi"/>
                <w:color w:val="auto"/>
                <w:sz w:val="22"/>
              </w:rPr>
            </w:pPr>
            <w:r w:rsidRPr="00053BA5">
              <w:rPr>
                <w:rFonts w:eastAsiaTheme="minorHAnsi"/>
                <w:color w:val="auto"/>
                <w:sz w:val="22"/>
              </w:rPr>
              <w:t>1</w:t>
            </w:r>
          </w:p>
        </w:tc>
        <w:tc>
          <w:tcPr>
            <w:tcW w:w="1246" w:type="dxa"/>
            <w:tcBorders>
              <w:bottom w:val="single" w:sz="4" w:space="0" w:color="auto"/>
            </w:tcBorders>
            <w:shd w:val="clear" w:color="auto" w:fill="FFFFFF"/>
          </w:tcPr>
          <w:p w14:paraId="59D02D1C" w14:textId="77777777" w:rsidR="0040626D" w:rsidRPr="00053BA5" w:rsidRDefault="0040626D" w:rsidP="0040626D">
            <w:pPr>
              <w:autoSpaceDE w:val="0"/>
              <w:autoSpaceDN w:val="0"/>
              <w:adjustRightInd w:val="0"/>
              <w:spacing w:before="0" w:line="240" w:lineRule="auto"/>
              <w:ind w:left="60" w:right="60"/>
              <w:jc w:val="right"/>
              <w:rPr>
                <w:rFonts w:eastAsiaTheme="minorHAnsi"/>
                <w:color w:val="auto"/>
                <w:sz w:val="22"/>
              </w:rPr>
            </w:pPr>
            <w:r w:rsidRPr="00053BA5">
              <w:rPr>
                <w:rFonts w:eastAsiaTheme="minorHAnsi"/>
                <w:color w:val="auto"/>
                <w:sz w:val="22"/>
              </w:rPr>
              <w:t>.839</w:t>
            </w:r>
            <w:r w:rsidRPr="00053BA5">
              <w:rPr>
                <w:rFonts w:eastAsiaTheme="minorHAnsi"/>
                <w:color w:val="auto"/>
                <w:sz w:val="22"/>
                <w:vertAlign w:val="superscript"/>
              </w:rPr>
              <w:t>a</w:t>
            </w:r>
          </w:p>
        </w:tc>
        <w:tc>
          <w:tcPr>
            <w:tcW w:w="1321" w:type="dxa"/>
            <w:tcBorders>
              <w:bottom w:val="single" w:sz="4" w:space="0" w:color="auto"/>
            </w:tcBorders>
            <w:shd w:val="clear" w:color="auto" w:fill="FFFFFF"/>
          </w:tcPr>
          <w:p w14:paraId="225F7B91" w14:textId="77777777" w:rsidR="0040626D" w:rsidRPr="00053BA5" w:rsidRDefault="0040626D" w:rsidP="0040626D">
            <w:pPr>
              <w:autoSpaceDE w:val="0"/>
              <w:autoSpaceDN w:val="0"/>
              <w:adjustRightInd w:val="0"/>
              <w:spacing w:before="0" w:line="240" w:lineRule="auto"/>
              <w:ind w:left="60" w:right="60"/>
              <w:jc w:val="right"/>
              <w:rPr>
                <w:rFonts w:eastAsiaTheme="minorHAnsi"/>
                <w:color w:val="auto"/>
                <w:sz w:val="22"/>
              </w:rPr>
            </w:pPr>
            <w:r w:rsidRPr="00053BA5">
              <w:rPr>
                <w:rFonts w:eastAsiaTheme="minorHAnsi"/>
                <w:color w:val="auto"/>
                <w:sz w:val="22"/>
              </w:rPr>
              <w:t>.704</w:t>
            </w:r>
          </w:p>
        </w:tc>
        <w:tc>
          <w:tcPr>
            <w:tcW w:w="1788" w:type="dxa"/>
            <w:tcBorders>
              <w:bottom w:val="single" w:sz="4" w:space="0" w:color="auto"/>
            </w:tcBorders>
            <w:shd w:val="clear" w:color="auto" w:fill="FFFFFF"/>
          </w:tcPr>
          <w:p w14:paraId="44142ED6" w14:textId="77777777" w:rsidR="0040626D" w:rsidRPr="00053BA5" w:rsidRDefault="0040626D" w:rsidP="0040626D">
            <w:pPr>
              <w:autoSpaceDE w:val="0"/>
              <w:autoSpaceDN w:val="0"/>
              <w:adjustRightInd w:val="0"/>
              <w:spacing w:before="0" w:line="240" w:lineRule="auto"/>
              <w:ind w:left="60" w:right="60"/>
              <w:jc w:val="right"/>
              <w:rPr>
                <w:rFonts w:eastAsiaTheme="minorHAnsi"/>
                <w:color w:val="auto"/>
                <w:sz w:val="22"/>
              </w:rPr>
            </w:pPr>
            <w:r w:rsidRPr="00053BA5">
              <w:rPr>
                <w:rFonts w:eastAsiaTheme="minorHAnsi"/>
                <w:color w:val="auto"/>
                <w:sz w:val="22"/>
              </w:rPr>
              <w:t>.691</w:t>
            </w:r>
          </w:p>
        </w:tc>
        <w:tc>
          <w:tcPr>
            <w:tcW w:w="1788" w:type="dxa"/>
            <w:tcBorders>
              <w:bottom w:val="single" w:sz="4" w:space="0" w:color="auto"/>
            </w:tcBorders>
            <w:shd w:val="clear" w:color="auto" w:fill="FFFFFF"/>
          </w:tcPr>
          <w:p w14:paraId="55559451" w14:textId="77777777" w:rsidR="0040626D" w:rsidRPr="00053BA5" w:rsidRDefault="0040626D" w:rsidP="0040626D">
            <w:pPr>
              <w:autoSpaceDE w:val="0"/>
              <w:autoSpaceDN w:val="0"/>
              <w:adjustRightInd w:val="0"/>
              <w:spacing w:before="0" w:line="240" w:lineRule="auto"/>
              <w:ind w:left="60" w:right="60"/>
              <w:jc w:val="right"/>
              <w:rPr>
                <w:rFonts w:eastAsiaTheme="minorHAnsi"/>
                <w:color w:val="auto"/>
                <w:sz w:val="22"/>
              </w:rPr>
            </w:pPr>
            <w:r w:rsidRPr="00053BA5">
              <w:rPr>
                <w:rFonts w:eastAsiaTheme="minorHAnsi"/>
                <w:color w:val="auto"/>
                <w:sz w:val="22"/>
              </w:rPr>
              <w:t>.55544381</w:t>
            </w:r>
          </w:p>
        </w:tc>
        <w:tc>
          <w:tcPr>
            <w:tcW w:w="1790" w:type="dxa"/>
            <w:tcBorders>
              <w:bottom w:val="single" w:sz="4" w:space="0" w:color="auto"/>
            </w:tcBorders>
            <w:shd w:val="clear" w:color="auto" w:fill="FFFFFF"/>
          </w:tcPr>
          <w:p w14:paraId="4F27D9B1" w14:textId="77777777" w:rsidR="0040626D" w:rsidRPr="00053BA5" w:rsidRDefault="0040626D" w:rsidP="0040626D">
            <w:pPr>
              <w:autoSpaceDE w:val="0"/>
              <w:autoSpaceDN w:val="0"/>
              <w:adjustRightInd w:val="0"/>
              <w:spacing w:before="0" w:line="240" w:lineRule="auto"/>
              <w:ind w:left="60" w:right="60"/>
              <w:jc w:val="right"/>
              <w:rPr>
                <w:rFonts w:eastAsiaTheme="minorHAnsi"/>
                <w:color w:val="auto"/>
                <w:sz w:val="22"/>
              </w:rPr>
            </w:pPr>
            <w:r w:rsidRPr="00053BA5">
              <w:rPr>
                <w:rFonts w:eastAsiaTheme="minorHAnsi"/>
                <w:color w:val="auto"/>
                <w:sz w:val="22"/>
              </w:rPr>
              <w:t>1.684</w:t>
            </w:r>
          </w:p>
        </w:tc>
      </w:tr>
    </w:tbl>
    <w:p w14:paraId="6C43AFD3" w14:textId="77777777" w:rsidR="0040626D" w:rsidRDefault="0040626D" w:rsidP="007B3AE1">
      <w:pPr>
        <w:spacing w:before="0" w:line="240" w:lineRule="auto"/>
        <w:rPr>
          <w:b/>
          <w:bCs/>
          <w:color w:val="000000" w:themeColor="text1"/>
          <w:sz w:val="28"/>
          <w:szCs w:val="24"/>
        </w:rPr>
      </w:pPr>
    </w:p>
    <w:p w14:paraId="0F66301C" w14:textId="77777777" w:rsidR="0040626D" w:rsidRPr="0040626D" w:rsidRDefault="0040626D" w:rsidP="0040626D">
      <w:pPr>
        <w:rPr>
          <w:b/>
          <w:bCs/>
        </w:rPr>
      </w:pPr>
      <w:r w:rsidRPr="0040626D">
        <w:rPr>
          <w:b/>
          <w:bCs/>
        </w:rPr>
        <w:t>ANOVA</w:t>
      </w:r>
    </w:p>
    <w:p w14:paraId="5E506442" w14:textId="398E8000" w:rsidR="0040626D" w:rsidRDefault="0040626D" w:rsidP="0040626D">
      <w:pPr>
        <w:autoSpaceDE w:val="0"/>
        <w:autoSpaceDN w:val="0"/>
        <w:adjustRightInd w:val="0"/>
        <w:spacing w:line="240" w:lineRule="auto"/>
        <w:jc w:val="left"/>
        <w:rPr>
          <w:rFonts w:eastAsiaTheme="minorHAnsi"/>
          <w:color w:val="auto"/>
          <w:szCs w:val="24"/>
        </w:rPr>
      </w:pPr>
      <w:r w:rsidRPr="0040626D">
        <w:rPr>
          <w:rFonts w:eastAsiaTheme="minorHAnsi"/>
          <w:color w:val="auto"/>
          <w:szCs w:val="24"/>
        </w:rPr>
        <w:t>The ANOVA results confirmed the regression model’s statistical validity and strong predictive power (F = 56.472, p &lt; 0.05). The regression mean square (17.423) exceeded the residual mean square (0.309), producing a large F-value and a highly significant p-value. These findings indicate that the tax policy variables collectively had a significant effect on financial performance, demonstrating that the model effectively explained variations in the dependent variable.</w:t>
      </w:r>
    </w:p>
    <w:p w14:paraId="25F4EA67" w14:textId="77777777" w:rsidR="00DF2A42" w:rsidRDefault="00DF2A42" w:rsidP="00DF2A42">
      <w:pPr>
        <w:spacing w:before="0" w:line="240" w:lineRule="auto"/>
        <w:rPr>
          <w:b/>
          <w:bCs/>
          <w:i/>
          <w:iCs/>
        </w:rPr>
      </w:pPr>
    </w:p>
    <w:p w14:paraId="604B61B3" w14:textId="61B2DDD4" w:rsidR="00DF2A42" w:rsidRDefault="00DF2A42" w:rsidP="00DF2A42">
      <w:pPr>
        <w:spacing w:before="0" w:line="240" w:lineRule="auto"/>
        <w:rPr>
          <w:b/>
          <w:bCs/>
          <w:i/>
          <w:iCs/>
        </w:rPr>
      </w:pPr>
      <w:r w:rsidRPr="00711AB4">
        <w:rPr>
          <w:b/>
          <w:bCs/>
          <w:i/>
          <w:iCs/>
        </w:rPr>
        <w:t xml:space="preserve">Table </w:t>
      </w:r>
      <w:r>
        <w:rPr>
          <w:b/>
          <w:bCs/>
          <w:i/>
          <w:iCs/>
        </w:rPr>
        <w:t>9</w:t>
      </w:r>
      <w:r w:rsidRPr="00711AB4">
        <w:rPr>
          <w:b/>
          <w:bCs/>
          <w:i/>
          <w:iCs/>
        </w:rPr>
        <w:t xml:space="preserve">: </w:t>
      </w:r>
      <w:r w:rsidRPr="00DF2A42">
        <w:rPr>
          <w:b/>
          <w:bCs/>
          <w:i/>
          <w:iCs/>
        </w:rPr>
        <w:t>ANOVA</w:t>
      </w:r>
    </w:p>
    <w:p w14:paraId="686AB269" w14:textId="77777777" w:rsidR="00DF2A42" w:rsidRPr="00DF2A42" w:rsidRDefault="00DF2A42" w:rsidP="0040626D">
      <w:pPr>
        <w:autoSpaceDE w:val="0"/>
        <w:autoSpaceDN w:val="0"/>
        <w:adjustRightInd w:val="0"/>
        <w:spacing w:line="240" w:lineRule="auto"/>
        <w:jc w:val="left"/>
        <w:rPr>
          <w:rFonts w:eastAsiaTheme="minorHAnsi"/>
          <w:b/>
          <w:bCs/>
          <w:color w:val="auto"/>
          <w:szCs w:val="24"/>
        </w:rPr>
      </w:pPr>
    </w:p>
    <w:tbl>
      <w:tblPr>
        <w:tblW w:w="8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4"/>
        <w:gridCol w:w="1426"/>
        <w:gridCol w:w="1631"/>
        <w:gridCol w:w="1138"/>
        <w:gridCol w:w="1564"/>
        <w:gridCol w:w="1138"/>
        <w:gridCol w:w="1141"/>
      </w:tblGrid>
      <w:tr w:rsidR="0040626D" w:rsidRPr="005F3F4F" w14:paraId="56A002E3" w14:textId="77777777" w:rsidTr="0062367B">
        <w:trPr>
          <w:cantSplit/>
          <w:trHeight w:val="320"/>
        </w:trPr>
        <w:tc>
          <w:tcPr>
            <w:tcW w:w="8852" w:type="dxa"/>
            <w:gridSpan w:val="7"/>
            <w:shd w:val="clear" w:color="auto" w:fill="FFFFFF"/>
            <w:vAlign w:val="center"/>
          </w:tcPr>
          <w:p w14:paraId="4D2319C2"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b/>
                <w:bCs/>
                <w:color w:val="auto"/>
                <w:sz w:val="22"/>
              </w:rPr>
              <w:t>ANOVA</w:t>
            </w:r>
            <w:r w:rsidRPr="005F3F4F">
              <w:rPr>
                <w:rFonts w:eastAsiaTheme="minorHAnsi"/>
                <w:b/>
                <w:bCs/>
                <w:color w:val="auto"/>
                <w:sz w:val="22"/>
                <w:vertAlign w:val="superscript"/>
              </w:rPr>
              <w:t>a</w:t>
            </w:r>
          </w:p>
        </w:tc>
      </w:tr>
      <w:tr w:rsidR="0040626D" w:rsidRPr="005F3F4F" w14:paraId="1F417796" w14:textId="77777777" w:rsidTr="0062367B">
        <w:trPr>
          <w:cantSplit/>
          <w:trHeight w:val="640"/>
        </w:trPr>
        <w:tc>
          <w:tcPr>
            <w:tcW w:w="2240" w:type="dxa"/>
            <w:gridSpan w:val="2"/>
            <w:shd w:val="clear" w:color="auto" w:fill="FFFFFF"/>
            <w:vAlign w:val="bottom"/>
          </w:tcPr>
          <w:p w14:paraId="539BAF62" w14:textId="77777777" w:rsidR="0040626D" w:rsidRPr="005F3F4F" w:rsidRDefault="0040626D" w:rsidP="0062367B">
            <w:pPr>
              <w:autoSpaceDE w:val="0"/>
              <w:autoSpaceDN w:val="0"/>
              <w:adjustRightInd w:val="0"/>
              <w:spacing w:line="320" w:lineRule="atLeast"/>
              <w:ind w:left="60" w:right="60"/>
              <w:jc w:val="left"/>
              <w:rPr>
                <w:rFonts w:eastAsiaTheme="minorHAnsi"/>
                <w:color w:val="auto"/>
                <w:sz w:val="22"/>
              </w:rPr>
            </w:pPr>
            <w:r w:rsidRPr="005F3F4F">
              <w:rPr>
                <w:rFonts w:eastAsiaTheme="minorHAnsi"/>
                <w:color w:val="auto"/>
                <w:sz w:val="22"/>
              </w:rPr>
              <w:t>Model</w:t>
            </w:r>
          </w:p>
        </w:tc>
        <w:tc>
          <w:tcPr>
            <w:tcW w:w="1631" w:type="dxa"/>
            <w:tcBorders>
              <w:bottom w:val="single" w:sz="4" w:space="0" w:color="auto"/>
            </w:tcBorders>
            <w:shd w:val="clear" w:color="auto" w:fill="FFFFFF"/>
            <w:vAlign w:val="bottom"/>
          </w:tcPr>
          <w:p w14:paraId="16A4122E"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Sum of Squares</w:t>
            </w:r>
          </w:p>
        </w:tc>
        <w:tc>
          <w:tcPr>
            <w:tcW w:w="1138" w:type="dxa"/>
            <w:tcBorders>
              <w:bottom w:val="single" w:sz="4" w:space="0" w:color="auto"/>
            </w:tcBorders>
            <w:shd w:val="clear" w:color="auto" w:fill="FFFFFF"/>
            <w:vAlign w:val="bottom"/>
          </w:tcPr>
          <w:p w14:paraId="2F5A1E71"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df</w:t>
            </w:r>
          </w:p>
        </w:tc>
        <w:tc>
          <w:tcPr>
            <w:tcW w:w="1564" w:type="dxa"/>
            <w:tcBorders>
              <w:bottom w:val="single" w:sz="4" w:space="0" w:color="auto"/>
            </w:tcBorders>
            <w:shd w:val="clear" w:color="auto" w:fill="FFFFFF"/>
            <w:vAlign w:val="bottom"/>
          </w:tcPr>
          <w:p w14:paraId="2F4EA394"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Mean Square</w:t>
            </w:r>
          </w:p>
        </w:tc>
        <w:tc>
          <w:tcPr>
            <w:tcW w:w="1138" w:type="dxa"/>
            <w:tcBorders>
              <w:bottom w:val="single" w:sz="4" w:space="0" w:color="auto"/>
            </w:tcBorders>
            <w:shd w:val="clear" w:color="auto" w:fill="FFFFFF"/>
            <w:vAlign w:val="bottom"/>
          </w:tcPr>
          <w:p w14:paraId="76E62606"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F</w:t>
            </w:r>
          </w:p>
        </w:tc>
        <w:tc>
          <w:tcPr>
            <w:tcW w:w="1141" w:type="dxa"/>
            <w:tcBorders>
              <w:bottom w:val="single" w:sz="4" w:space="0" w:color="auto"/>
            </w:tcBorders>
            <w:shd w:val="clear" w:color="auto" w:fill="FFFFFF"/>
            <w:vAlign w:val="bottom"/>
          </w:tcPr>
          <w:p w14:paraId="764DBC65"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Sig.</w:t>
            </w:r>
          </w:p>
        </w:tc>
      </w:tr>
      <w:tr w:rsidR="0040626D" w:rsidRPr="005F3F4F" w14:paraId="698787EA" w14:textId="77777777" w:rsidTr="0062367B">
        <w:trPr>
          <w:cantSplit/>
          <w:trHeight w:val="320"/>
        </w:trPr>
        <w:tc>
          <w:tcPr>
            <w:tcW w:w="814" w:type="dxa"/>
            <w:vMerge w:val="restart"/>
          </w:tcPr>
          <w:p w14:paraId="2D9589F0" w14:textId="77777777" w:rsidR="0040626D" w:rsidRPr="005F3F4F" w:rsidRDefault="0040626D" w:rsidP="0062367B">
            <w:pPr>
              <w:autoSpaceDE w:val="0"/>
              <w:autoSpaceDN w:val="0"/>
              <w:adjustRightInd w:val="0"/>
              <w:spacing w:line="320" w:lineRule="atLeast"/>
              <w:ind w:left="60" w:right="60"/>
              <w:jc w:val="left"/>
              <w:rPr>
                <w:rFonts w:eastAsiaTheme="minorHAnsi"/>
                <w:color w:val="auto"/>
                <w:sz w:val="22"/>
              </w:rPr>
            </w:pPr>
            <w:r w:rsidRPr="005F3F4F">
              <w:rPr>
                <w:rFonts w:eastAsiaTheme="minorHAnsi"/>
                <w:color w:val="auto"/>
                <w:sz w:val="22"/>
              </w:rPr>
              <w:t>1</w:t>
            </w:r>
          </w:p>
        </w:tc>
        <w:tc>
          <w:tcPr>
            <w:tcW w:w="1426" w:type="dxa"/>
            <w:tcBorders>
              <w:right w:val="single" w:sz="4" w:space="0" w:color="auto"/>
            </w:tcBorders>
          </w:tcPr>
          <w:p w14:paraId="5CD98ADC" w14:textId="77777777" w:rsidR="0040626D" w:rsidRPr="005F3F4F" w:rsidRDefault="0040626D" w:rsidP="0062367B">
            <w:pPr>
              <w:autoSpaceDE w:val="0"/>
              <w:autoSpaceDN w:val="0"/>
              <w:adjustRightInd w:val="0"/>
              <w:spacing w:line="320" w:lineRule="atLeast"/>
              <w:ind w:left="60" w:right="60"/>
              <w:jc w:val="left"/>
              <w:rPr>
                <w:rFonts w:eastAsiaTheme="minorHAnsi"/>
                <w:color w:val="auto"/>
                <w:sz w:val="22"/>
              </w:rPr>
            </w:pPr>
            <w:r w:rsidRPr="005F3F4F">
              <w:rPr>
                <w:rFonts w:eastAsiaTheme="minorHAnsi"/>
                <w:color w:val="auto"/>
                <w:sz w:val="22"/>
              </w:rPr>
              <w:t>Regression</w:t>
            </w:r>
          </w:p>
        </w:tc>
        <w:tc>
          <w:tcPr>
            <w:tcW w:w="1631" w:type="dxa"/>
            <w:tcBorders>
              <w:top w:val="single" w:sz="4" w:space="0" w:color="auto"/>
              <w:left w:val="single" w:sz="4" w:space="0" w:color="auto"/>
              <w:bottom w:val="nil"/>
              <w:right w:val="nil"/>
            </w:tcBorders>
            <w:shd w:val="clear" w:color="auto" w:fill="FFFFFF"/>
          </w:tcPr>
          <w:p w14:paraId="20B10F7D"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69.691</w:t>
            </w:r>
          </w:p>
        </w:tc>
        <w:tc>
          <w:tcPr>
            <w:tcW w:w="1138" w:type="dxa"/>
            <w:tcBorders>
              <w:top w:val="single" w:sz="4" w:space="0" w:color="auto"/>
              <w:left w:val="nil"/>
              <w:bottom w:val="nil"/>
              <w:right w:val="nil"/>
            </w:tcBorders>
            <w:shd w:val="clear" w:color="auto" w:fill="FFFFFF"/>
          </w:tcPr>
          <w:p w14:paraId="43ABE1A9"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4</w:t>
            </w:r>
          </w:p>
        </w:tc>
        <w:tc>
          <w:tcPr>
            <w:tcW w:w="1564" w:type="dxa"/>
            <w:tcBorders>
              <w:top w:val="single" w:sz="4" w:space="0" w:color="auto"/>
              <w:left w:val="nil"/>
              <w:bottom w:val="nil"/>
              <w:right w:val="nil"/>
            </w:tcBorders>
            <w:shd w:val="clear" w:color="auto" w:fill="FFFFFF"/>
          </w:tcPr>
          <w:p w14:paraId="33FCF387"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17.423</w:t>
            </w:r>
          </w:p>
        </w:tc>
        <w:tc>
          <w:tcPr>
            <w:tcW w:w="1138" w:type="dxa"/>
            <w:tcBorders>
              <w:top w:val="single" w:sz="4" w:space="0" w:color="auto"/>
              <w:left w:val="nil"/>
              <w:bottom w:val="nil"/>
              <w:right w:val="nil"/>
            </w:tcBorders>
            <w:shd w:val="clear" w:color="auto" w:fill="FFFFFF"/>
          </w:tcPr>
          <w:p w14:paraId="0A174170"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56.472</w:t>
            </w:r>
          </w:p>
        </w:tc>
        <w:tc>
          <w:tcPr>
            <w:tcW w:w="1141" w:type="dxa"/>
            <w:tcBorders>
              <w:top w:val="single" w:sz="4" w:space="0" w:color="auto"/>
              <w:left w:val="nil"/>
              <w:bottom w:val="nil"/>
              <w:right w:val="single" w:sz="4" w:space="0" w:color="auto"/>
            </w:tcBorders>
            <w:shd w:val="clear" w:color="auto" w:fill="FFFFFF"/>
          </w:tcPr>
          <w:p w14:paraId="39360C6D"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.000</w:t>
            </w:r>
            <w:r w:rsidRPr="005F3F4F">
              <w:rPr>
                <w:rFonts w:eastAsiaTheme="minorHAnsi"/>
                <w:color w:val="auto"/>
                <w:sz w:val="22"/>
                <w:vertAlign w:val="superscript"/>
              </w:rPr>
              <w:t>b</w:t>
            </w:r>
          </w:p>
        </w:tc>
      </w:tr>
      <w:tr w:rsidR="0040626D" w:rsidRPr="005F3F4F" w14:paraId="3AD1C55D" w14:textId="77777777" w:rsidTr="0062367B">
        <w:trPr>
          <w:cantSplit/>
          <w:trHeight w:val="335"/>
        </w:trPr>
        <w:tc>
          <w:tcPr>
            <w:tcW w:w="814" w:type="dxa"/>
            <w:vMerge/>
          </w:tcPr>
          <w:p w14:paraId="0F75FF71" w14:textId="77777777" w:rsidR="0040626D" w:rsidRPr="005F3F4F" w:rsidRDefault="0040626D" w:rsidP="0062367B">
            <w:pPr>
              <w:autoSpaceDE w:val="0"/>
              <w:autoSpaceDN w:val="0"/>
              <w:adjustRightInd w:val="0"/>
              <w:spacing w:line="240" w:lineRule="auto"/>
              <w:jc w:val="left"/>
              <w:rPr>
                <w:rFonts w:eastAsiaTheme="minorHAnsi"/>
                <w:color w:val="auto"/>
                <w:sz w:val="22"/>
              </w:rPr>
            </w:pPr>
          </w:p>
        </w:tc>
        <w:tc>
          <w:tcPr>
            <w:tcW w:w="1426" w:type="dxa"/>
            <w:tcBorders>
              <w:right w:val="single" w:sz="4" w:space="0" w:color="auto"/>
            </w:tcBorders>
          </w:tcPr>
          <w:p w14:paraId="3CD546F3" w14:textId="77777777" w:rsidR="0040626D" w:rsidRPr="005F3F4F" w:rsidRDefault="0040626D" w:rsidP="0062367B">
            <w:pPr>
              <w:autoSpaceDE w:val="0"/>
              <w:autoSpaceDN w:val="0"/>
              <w:adjustRightInd w:val="0"/>
              <w:spacing w:line="320" w:lineRule="atLeast"/>
              <w:ind w:left="60" w:right="60"/>
              <w:jc w:val="left"/>
              <w:rPr>
                <w:rFonts w:eastAsiaTheme="minorHAnsi"/>
                <w:color w:val="auto"/>
                <w:sz w:val="22"/>
              </w:rPr>
            </w:pPr>
            <w:r w:rsidRPr="005F3F4F">
              <w:rPr>
                <w:rFonts w:eastAsiaTheme="minorHAnsi"/>
                <w:color w:val="auto"/>
                <w:sz w:val="22"/>
              </w:rPr>
              <w:t>Residual</w:t>
            </w:r>
          </w:p>
        </w:tc>
        <w:tc>
          <w:tcPr>
            <w:tcW w:w="1631" w:type="dxa"/>
            <w:tcBorders>
              <w:top w:val="nil"/>
              <w:left w:val="single" w:sz="4" w:space="0" w:color="auto"/>
              <w:bottom w:val="nil"/>
              <w:right w:val="nil"/>
            </w:tcBorders>
            <w:shd w:val="clear" w:color="auto" w:fill="FFFFFF"/>
          </w:tcPr>
          <w:p w14:paraId="5D0FBB42"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29.309</w:t>
            </w:r>
          </w:p>
        </w:tc>
        <w:tc>
          <w:tcPr>
            <w:tcW w:w="1138" w:type="dxa"/>
            <w:tcBorders>
              <w:top w:val="nil"/>
              <w:left w:val="nil"/>
              <w:bottom w:val="nil"/>
              <w:right w:val="nil"/>
            </w:tcBorders>
            <w:shd w:val="clear" w:color="auto" w:fill="FFFFFF"/>
          </w:tcPr>
          <w:p w14:paraId="3F8FAACB"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95</w:t>
            </w:r>
          </w:p>
        </w:tc>
        <w:tc>
          <w:tcPr>
            <w:tcW w:w="1564" w:type="dxa"/>
            <w:tcBorders>
              <w:top w:val="nil"/>
              <w:left w:val="nil"/>
              <w:bottom w:val="nil"/>
              <w:right w:val="nil"/>
            </w:tcBorders>
            <w:shd w:val="clear" w:color="auto" w:fill="FFFFFF"/>
          </w:tcPr>
          <w:p w14:paraId="05980318"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.309</w:t>
            </w:r>
          </w:p>
        </w:tc>
        <w:tc>
          <w:tcPr>
            <w:tcW w:w="1138" w:type="dxa"/>
            <w:tcBorders>
              <w:top w:val="nil"/>
              <w:left w:val="nil"/>
              <w:bottom w:val="nil"/>
              <w:right w:val="nil"/>
            </w:tcBorders>
            <w:shd w:val="clear" w:color="auto" w:fill="FFFFFF"/>
            <w:vAlign w:val="center"/>
          </w:tcPr>
          <w:p w14:paraId="33BB5EED" w14:textId="77777777" w:rsidR="0040626D" w:rsidRPr="005F3F4F" w:rsidRDefault="0040626D" w:rsidP="0062367B">
            <w:pPr>
              <w:autoSpaceDE w:val="0"/>
              <w:autoSpaceDN w:val="0"/>
              <w:adjustRightInd w:val="0"/>
              <w:spacing w:line="240" w:lineRule="auto"/>
              <w:jc w:val="center"/>
              <w:rPr>
                <w:rFonts w:eastAsiaTheme="minorHAnsi"/>
                <w:color w:val="auto"/>
                <w:sz w:val="22"/>
              </w:rPr>
            </w:pPr>
          </w:p>
        </w:tc>
        <w:tc>
          <w:tcPr>
            <w:tcW w:w="1141" w:type="dxa"/>
            <w:tcBorders>
              <w:top w:val="nil"/>
              <w:left w:val="nil"/>
              <w:bottom w:val="nil"/>
              <w:right w:val="single" w:sz="4" w:space="0" w:color="auto"/>
            </w:tcBorders>
            <w:shd w:val="clear" w:color="auto" w:fill="FFFFFF"/>
            <w:vAlign w:val="center"/>
          </w:tcPr>
          <w:p w14:paraId="36356E35" w14:textId="77777777" w:rsidR="0040626D" w:rsidRPr="005F3F4F" w:rsidRDefault="0040626D" w:rsidP="0062367B">
            <w:pPr>
              <w:autoSpaceDE w:val="0"/>
              <w:autoSpaceDN w:val="0"/>
              <w:adjustRightInd w:val="0"/>
              <w:spacing w:line="240" w:lineRule="auto"/>
              <w:jc w:val="center"/>
              <w:rPr>
                <w:rFonts w:eastAsiaTheme="minorHAnsi"/>
                <w:color w:val="auto"/>
                <w:sz w:val="22"/>
              </w:rPr>
            </w:pPr>
          </w:p>
        </w:tc>
      </w:tr>
      <w:tr w:rsidR="0040626D" w:rsidRPr="005F3F4F" w14:paraId="6389765D" w14:textId="77777777" w:rsidTr="0062367B">
        <w:trPr>
          <w:cantSplit/>
          <w:trHeight w:val="335"/>
        </w:trPr>
        <w:tc>
          <w:tcPr>
            <w:tcW w:w="814" w:type="dxa"/>
            <w:vMerge/>
            <w:tcBorders>
              <w:bottom w:val="single" w:sz="4" w:space="0" w:color="auto"/>
            </w:tcBorders>
          </w:tcPr>
          <w:p w14:paraId="1C8D6006" w14:textId="77777777" w:rsidR="0040626D" w:rsidRPr="005F3F4F" w:rsidRDefault="0040626D" w:rsidP="0062367B">
            <w:pPr>
              <w:autoSpaceDE w:val="0"/>
              <w:autoSpaceDN w:val="0"/>
              <w:adjustRightInd w:val="0"/>
              <w:spacing w:line="240" w:lineRule="auto"/>
              <w:jc w:val="left"/>
              <w:rPr>
                <w:rFonts w:eastAsiaTheme="minorHAnsi"/>
                <w:color w:val="auto"/>
                <w:sz w:val="22"/>
              </w:rPr>
            </w:pPr>
          </w:p>
        </w:tc>
        <w:tc>
          <w:tcPr>
            <w:tcW w:w="1426" w:type="dxa"/>
            <w:tcBorders>
              <w:bottom w:val="single" w:sz="4" w:space="0" w:color="auto"/>
              <w:right w:val="single" w:sz="4" w:space="0" w:color="auto"/>
            </w:tcBorders>
          </w:tcPr>
          <w:p w14:paraId="76A9747B" w14:textId="77777777" w:rsidR="0040626D" w:rsidRPr="005F3F4F" w:rsidRDefault="0040626D" w:rsidP="0062367B">
            <w:pPr>
              <w:autoSpaceDE w:val="0"/>
              <w:autoSpaceDN w:val="0"/>
              <w:adjustRightInd w:val="0"/>
              <w:spacing w:line="320" w:lineRule="atLeast"/>
              <w:ind w:left="60" w:right="60"/>
              <w:jc w:val="left"/>
              <w:rPr>
                <w:rFonts w:eastAsiaTheme="minorHAnsi"/>
                <w:color w:val="auto"/>
                <w:sz w:val="22"/>
              </w:rPr>
            </w:pPr>
            <w:r w:rsidRPr="005F3F4F">
              <w:rPr>
                <w:rFonts w:eastAsiaTheme="minorHAnsi"/>
                <w:color w:val="auto"/>
                <w:sz w:val="22"/>
              </w:rPr>
              <w:t>Total</w:t>
            </w:r>
          </w:p>
        </w:tc>
        <w:tc>
          <w:tcPr>
            <w:tcW w:w="1631" w:type="dxa"/>
            <w:tcBorders>
              <w:top w:val="nil"/>
              <w:left w:val="single" w:sz="4" w:space="0" w:color="auto"/>
              <w:bottom w:val="single" w:sz="4" w:space="0" w:color="auto"/>
              <w:right w:val="nil"/>
            </w:tcBorders>
            <w:shd w:val="clear" w:color="auto" w:fill="FFFFFF"/>
          </w:tcPr>
          <w:p w14:paraId="5DE69CA0"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99.000</w:t>
            </w:r>
          </w:p>
        </w:tc>
        <w:tc>
          <w:tcPr>
            <w:tcW w:w="1138" w:type="dxa"/>
            <w:tcBorders>
              <w:top w:val="nil"/>
              <w:left w:val="nil"/>
              <w:bottom w:val="single" w:sz="4" w:space="0" w:color="auto"/>
              <w:right w:val="nil"/>
            </w:tcBorders>
            <w:shd w:val="clear" w:color="auto" w:fill="FFFFFF"/>
          </w:tcPr>
          <w:p w14:paraId="73138F65"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99</w:t>
            </w:r>
          </w:p>
        </w:tc>
        <w:tc>
          <w:tcPr>
            <w:tcW w:w="1564" w:type="dxa"/>
            <w:tcBorders>
              <w:top w:val="nil"/>
              <w:left w:val="nil"/>
              <w:bottom w:val="single" w:sz="4" w:space="0" w:color="auto"/>
              <w:right w:val="nil"/>
            </w:tcBorders>
            <w:shd w:val="clear" w:color="auto" w:fill="FFFFFF"/>
            <w:vAlign w:val="center"/>
          </w:tcPr>
          <w:p w14:paraId="50711DC3" w14:textId="77777777" w:rsidR="0040626D" w:rsidRPr="005F3F4F" w:rsidRDefault="0040626D" w:rsidP="0062367B">
            <w:pPr>
              <w:autoSpaceDE w:val="0"/>
              <w:autoSpaceDN w:val="0"/>
              <w:adjustRightInd w:val="0"/>
              <w:spacing w:line="240" w:lineRule="auto"/>
              <w:jc w:val="center"/>
              <w:rPr>
                <w:rFonts w:eastAsiaTheme="minorHAnsi"/>
                <w:color w:val="auto"/>
                <w:sz w:val="22"/>
              </w:rPr>
            </w:pPr>
          </w:p>
        </w:tc>
        <w:tc>
          <w:tcPr>
            <w:tcW w:w="1138" w:type="dxa"/>
            <w:tcBorders>
              <w:top w:val="nil"/>
              <w:left w:val="nil"/>
              <w:bottom w:val="single" w:sz="4" w:space="0" w:color="auto"/>
              <w:right w:val="nil"/>
            </w:tcBorders>
            <w:shd w:val="clear" w:color="auto" w:fill="FFFFFF"/>
            <w:vAlign w:val="center"/>
          </w:tcPr>
          <w:p w14:paraId="1E8F9649" w14:textId="77777777" w:rsidR="0040626D" w:rsidRPr="005F3F4F" w:rsidRDefault="0040626D" w:rsidP="0062367B">
            <w:pPr>
              <w:autoSpaceDE w:val="0"/>
              <w:autoSpaceDN w:val="0"/>
              <w:adjustRightInd w:val="0"/>
              <w:spacing w:line="240" w:lineRule="auto"/>
              <w:jc w:val="center"/>
              <w:rPr>
                <w:rFonts w:eastAsiaTheme="minorHAnsi"/>
                <w:color w:val="auto"/>
                <w:sz w:val="22"/>
              </w:rPr>
            </w:pPr>
          </w:p>
        </w:tc>
        <w:tc>
          <w:tcPr>
            <w:tcW w:w="1141" w:type="dxa"/>
            <w:tcBorders>
              <w:top w:val="nil"/>
              <w:left w:val="nil"/>
              <w:bottom w:val="single" w:sz="4" w:space="0" w:color="auto"/>
              <w:right w:val="single" w:sz="4" w:space="0" w:color="auto"/>
            </w:tcBorders>
            <w:shd w:val="clear" w:color="auto" w:fill="FFFFFF"/>
            <w:vAlign w:val="center"/>
          </w:tcPr>
          <w:p w14:paraId="05853D33" w14:textId="77777777" w:rsidR="0040626D" w:rsidRPr="005F3F4F" w:rsidRDefault="0040626D" w:rsidP="0062367B">
            <w:pPr>
              <w:autoSpaceDE w:val="0"/>
              <w:autoSpaceDN w:val="0"/>
              <w:adjustRightInd w:val="0"/>
              <w:spacing w:line="240" w:lineRule="auto"/>
              <w:jc w:val="center"/>
              <w:rPr>
                <w:rFonts w:eastAsiaTheme="minorHAnsi"/>
                <w:color w:val="auto"/>
                <w:sz w:val="22"/>
              </w:rPr>
            </w:pPr>
          </w:p>
        </w:tc>
      </w:tr>
    </w:tbl>
    <w:p w14:paraId="2B8EA767" w14:textId="4C832BE3" w:rsidR="0040626D" w:rsidRDefault="00766A2F" w:rsidP="0040626D">
      <w:pPr>
        <w:autoSpaceDE w:val="0"/>
        <w:autoSpaceDN w:val="0"/>
        <w:adjustRightInd w:val="0"/>
        <w:spacing w:line="400" w:lineRule="atLeast"/>
        <w:jc w:val="left"/>
        <w:rPr>
          <w:rFonts w:eastAsiaTheme="minorHAnsi"/>
          <w:b/>
          <w:bCs/>
          <w:color w:val="auto"/>
          <w:sz w:val="28"/>
          <w:szCs w:val="28"/>
        </w:rPr>
      </w:pPr>
      <w:r w:rsidRPr="00766A2F">
        <w:rPr>
          <w:rFonts w:eastAsiaTheme="minorHAnsi"/>
          <w:b/>
          <w:bCs/>
          <w:color w:val="auto"/>
          <w:sz w:val="28"/>
          <w:szCs w:val="28"/>
        </w:rPr>
        <w:t>Discussion of Findings</w:t>
      </w:r>
    </w:p>
    <w:p w14:paraId="1B06CEF8" w14:textId="77777777" w:rsidR="00766A2F" w:rsidRPr="00766A2F" w:rsidRDefault="00766A2F" w:rsidP="00766A2F">
      <w:pPr>
        <w:spacing w:line="240" w:lineRule="auto"/>
      </w:pPr>
      <w:r w:rsidRPr="00766A2F">
        <w:t>The study’s findings reveal important relationships between taxation variables and financial performance among Kenyan manufacturing firms. The average return on assets (ROA) stood at 9.7%, suggesting moderate profitability across the sector. Corporate income tax rate (CITR) averaged 2.7%, far below the statutory rate, implying that firms benefit from deductions, exemptions, or incentives. Value-added tax (VAT) averaged 15.14%, reflecting a consistent indirect tax burden, while customs and excise duties (CED) showed wide variation due to sectoral differences.</w:t>
      </w:r>
    </w:p>
    <w:p w14:paraId="557882D2" w14:textId="77777777" w:rsidR="00766A2F" w:rsidRPr="00766A2F" w:rsidRDefault="00766A2F" w:rsidP="00766A2F">
      <w:pPr>
        <w:spacing w:line="240" w:lineRule="auto"/>
      </w:pPr>
      <w:r w:rsidRPr="00766A2F">
        <w:t>Correlation analysis revealed a strong positive association between CITR and ROA, suggesting that profitable firms tend to bear higher corporate tax obligations, indicating financial strength and resilience. VAT also exhibited a positive relationship with ROA, implying that financially stable firms can absorb and manage indirect tax burdens efficiently. Tax incentives (TI) were weakly and negatively correlated with ROA, possibly because such benefits often target financially constrained firms. Conversely, CED showed a weak positive relationship, indicating that stronger firms sustain profitability despite higher excise obligations.</w:t>
      </w:r>
    </w:p>
    <w:p w14:paraId="710AF145" w14:textId="1FCD2137" w:rsidR="00766A2F" w:rsidRPr="00766A2F" w:rsidRDefault="00766A2F" w:rsidP="00766A2F">
      <w:pPr>
        <w:spacing w:line="240" w:lineRule="auto"/>
      </w:pPr>
      <w:r w:rsidRPr="00766A2F">
        <w:t>Regression results demonstrated that the model explained 70.4% of the variance in financial performance (R² = 0.704). VAT (β = 0.794, p = 0.000), TI (β = 0.203, p = 0.005), and CED (β = 0.264, p = 0.000) had significant positive effects on ROA, whereas CITR (β = 0.034, p = 0.574) was positive but insignificant. These results suggest that efficient VAT management, strategic utilization of tax incentives, and compliance with excise duties enhance firm performance. Overall, the findings indicate that while higher statutory taxes may impose fiscal pressure, effective tax planning, operational efficiency, and compliance enable firms to maintain profitability within Kenya’s manufacturing sector.</w:t>
      </w:r>
    </w:p>
    <w:p w14:paraId="359E84B3" w14:textId="69EAA060" w:rsidR="00055D83" w:rsidRPr="007A56B8" w:rsidRDefault="00055D83" w:rsidP="00055D83">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 xml:space="preserve">5.0 CONCLUSIONS </w:t>
      </w:r>
    </w:p>
    <w:p w14:paraId="50F0BC2F" w14:textId="7E597979" w:rsidR="00A27439" w:rsidRDefault="00E207BA" w:rsidP="002E784F">
      <w:pPr>
        <w:spacing w:line="240" w:lineRule="auto"/>
        <w:rPr>
          <w:rFonts w:cs="Times New Roman"/>
          <w:color w:val="000000" w:themeColor="text1"/>
          <w:szCs w:val="24"/>
        </w:rPr>
      </w:pPr>
      <w:r w:rsidRPr="00E207BA">
        <w:rPr>
          <w:rFonts w:cs="Times New Roman"/>
          <w:color w:val="000000" w:themeColor="text1"/>
          <w:szCs w:val="24"/>
        </w:rPr>
        <w:t>The study concludes that taxation policies significantly influence the financial performance of manufacturing firms in Kenya. Corporate income tax rate had a positive but insignificant effect, implying firms offset tax burdens through efficiency and reinvestment. Value-added tax, tax incentives, and customs and excise duties showed strong positive and significant effects, demonstrating that well-managed tax obligations enhance liquidity, competitiveness, and growth. These findings suggest that a balanced tax framework</w:t>
      </w:r>
      <w:r>
        <w:rPr>
          <w:rFonts w:cs="Times New Roman"/>
          <w:color w:val="000000" w:themeColor="text1"/>
          <w:szCs w:val="24"/>
        </w:rPr>
        <w:t xml:space="preserve"> </w:t>
      </w:r>
      <w:r w:rsidRPr="00E207BA">
        <w:rPr>
          <w:rFonts w:cs="Times New Roman"/>
          <w:color w:val="000000" w:themeColor="text1"/>
          <w:szCs w:val="24"/>
        </w:rPr>
        <w:t>optimizing VAT, incentives, and excise duties while maintaining rational corporate tax policies</w:t>
      </w:r>
      <w:r>
        <w:rPr>
          <w:rFonts w:cs="Times New Roman"/>
          <w:color w:val="000000" w:themeColor="text1"/>
          <w:szCs w:val="24"/>
        </w:rPr>
        <w:t xml:space="preserve"> </w:t>
      </w:r>
      <w:r w:rsidRPr="00E207BA">
        <w:rPr>
          <w:rFonts w:cs="Times New Roman"/>
          <w:color w:val="000000" w:themeColor="text1"/>
          <w:szCs w:val="24"/>
        </w:rPr>
        <w:t>can foster firm resilience, attract investment, and promote sustainable profitability in Kenya’s manufacturing sector.</w:t>
      </w:r>
      <w:r w:rsidR="00E05059" w:rsidRPr="00E05059">
        <w:rPr>
          <w:rFonts w:cs="Times New Roman"/>
          <w:color w:val="000000" w:themeColor="text1"/>
          <w:szCs w:val="24"/>
        </w:rPr>
        <w:t xml:space="preserve"> </w:t>
      </w:r>
    </w:p>
    <w:p w14:paraId="415590CB" w14:textId="77777777" w:rsidR="00766A2F" w:rsidRPr="007A56B8" w:rsidRDefault="00766A2F" w:rsidP="002E784F">
      <w:pPr>
        <w:spacing w:line="240" w:lineRule="auto"/>
        <w:rPr>
          <w:rFonts w:cs="Times New Roman"/>
          <w:color w:val="000000" w:themeColor="text1"/>
          <w:szCs w:val="24"/>
        </w:rPr>
      </w:pPr>
    </w:p>
    <w:p w14:paraId="750144BF" w14:textId="7E52FE3F" w:rsidR="00055D83" w:rsidRPr="007A56B8" w:rsidRDefault="00055D83" w:rsidP="00D26C8B">
      <w:pPr>
        <w:spacing w:line="240" w:lineRule="auto"/>
        <w:rPr>
          <w:rFonts w:cs="Times New Roman"/>
          <w:b/>
          <w:bCs/>
          <w:color w:val="000000" w:themeColor="text1"/>
          <w:sz w:val="28"/>
          <w:szCs w:val="28"/>
        </w:rPr>
      </w:pPr>
      <w:commentRangeStart w:id="10"/>
      <w:r w:rsidRPr="007A56B8">
        <w:rPr>
          <w:rFonts w:cs="Times New Roman"/>
          <w:b/>
          <w:bCs/>
          <w:color w:val="000000" w:themeColor="text1"/>
          <w:sz w:val="28"/>
          <w:szCs w:val="28"/>
        </w:rPr>
        <w:t>6.0 RECOMMENDATIONS</w:t>
      </w:r>
      <w:commentRangeEnd w:id="10"/>
      <w:r w:rsidR="004002A3">
        <w:rPr>
          <w:rStyle w:val="CommentReference"/>
        </w:rPr>
        <w:commentReference w:id="10"/>
      </w:r>
    </w:p>
    <w:p w14:paraId="648B633B" w14:textId="23378966" w:rsidR="00D16476" w:rsidRDefault="00E207BA" w:rsidP="00E05059">
      <w:pPr>
        <w:spacing w:before="0" w:line="240" w:lineRule="auto"/>
      </w:pPr>
      <w:r w:rsidRPr="00E207BA">
        <w:t>The study offers key recommendations to enhance corporate financial performance through efficient tax management. Companies should strengthen tax planning by maximizing deductions, optimizing capital structures, and adopting advanced financial systems to track exposures and reinvest earnings. Policymakers should maintain stable and transparent tax regimes to foster long-term investments. Since value-added tax (VAT) showed the strongest influence on financial performance, firms should improve VAT compliance through accurate accounting, staff training, and technology integration such as ERP systems. Policymakers should streamline refund processes to improve liquidity. Tax incentives also positively affected performance, though underutilization was noted; firms should actively pursue available incentives aligned with cost-reduction and expansion goals, while policymakers ensure these incentives remain transparent and sector-specific. Effective customs and excise management</w:t>
      </w:r>
      <w:r>
        <w:t xml:space="preserve"> </w:t>
      </w:r>
      <w:r w:rsidRPr="00E207BA">
        <w:t>through logistics optimization and compliance</w:t>
      </w:r>
      <w:r>
        <w:t xml:space="preserve"> </w:t>
      </w:r>
      <w:r w:rsidRPr="00E207BA">
        <w:t xml:space="preserve">can enhance competitiveness, supported by harmonized and predictable </w:t>
      </w:r>
      <w:bookmarkStart w:id="11" w:name="_GoBack"/>
      <w:r w:rsidRPr="00E207BA">
        <w:t xml:space="preserve">policies. The study faced limitations related to incomplete data, inconsistent tax interpretations, and difficulty </w:t>
      </w:r>
      <w:bookmarkEnd w:id="11"/>
      <w:r w:rsidRPr="00E207BA">
        <w:t>isolating tax effects from macroeconomic factors. Future research should examine sectoral variations, technological adoption in tax compliance, and managerial decision-making to enrich understanding of how tax policies affect performance across industries.</w:t>
      </w:r>
    </w:p>
    <w:p w14:paraId="38ACF2C4" w14:textId="533F23DE" w:rsidR="007A56B8" w:rsidRPr="007A56B8" w:rsidRDefault="007A56B8">
      <w:pPr>
        <w:spacing w:before="0" w:after="160" w:line="259" w:lineRule="auto"/>
        <w:jc w:val="left"/>
        <w:rPr>
          <w:rFonts w:eastAsia="Times New Roman" w:cs="Times New Roman"/>
          <w:b/>
          <w:bCs/>
          <w:color w:val="000000" w:themeColor="text1"/>
          <w:sz w:val="28"/>
          <w:szCs w:val="28"/>
        </w:rPr>
      </w:pPr>
    </w:p>
    <w:p w14:paraId="5A202687" w14:textId="2912289E" w:rsidR="00B55CEF" w:rsidRPr="007A56B8" w:rsidRDefault="00055D83" w:rsidP="002151BA">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REFERENCES</w:t>
      </w:r>
    </w:p>
    <w:p w14:paraId="43504F5C"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Amiti, M., Redding, S. J., &amp; Weinstein, D. E. (2019). The impact of the 2018 tariffs on prices and welfare. Journal of Economic Perspectives, 33(4), 187-210.</w:t>
      </w:r>
    </w:p>
    <w:p w14:paraId="7B015043"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Apollo, C. O. (2022). Effect of digitalization on value added tax compliance among small and medium enterprises in Embakasi Central Subcounty, Nairobi County [Research project, KeSRA/Moi University].</w:t>
      </w:r>
    </w:p>
    <w:p w14:paraId="7C71245B"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Arora, A., &amp; Rakhyani, S. (2020). Investigating the impact of exchange rate volatility, inflation and economic output on international trade of India. The Indian Economic Journal, 68(2), 207-226.</w:t>
      </w:r>
    </w:p>
    <w:p w14:paraId="1B8CA761"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Baltagi, B. H. (2021). Econometric analysis of panel data (6th ed.). Springer.</w:t>
      </w:r>
    </w:p>
    <w:p w14:paraId="7DFDF280"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Bilicka, K. A., Güçeri, I., &amp; Koumanakos, E. (2023). Dividend Taxation and Firm Performance with Heterogeneous Payout Responses. SSRN Electronic Journal. https://doi.org/10.2139/ssrn.4316292</w:t>
      </w:r>
    </w:p>
    <w:p w14:paraId="124D1688"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Brown, K. B. (2021). Tax incentives and sub-Saharan Africa. Pepp. L. Rev., 48, 995.</w:t>
      </w:r>
    </w:p>
    <w:p w14:paraId="326626F7"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Bryman, A. (2021). Social Research Methods (6th ed.). Oxford University Press</w:t>
      </w:r>
    </w:p>
    <w:p w14:paraId="13F1971E"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Bührle, A. T., Nicolay, K., Spengel, C., &amp; Wickel, S. (2023). From corporate tax competition to global cooperation? Trends, prospects and effects on German family businesses (No. 23-027). ZEW Discussion Papers.</w:t>
      </w:r>
    </w:p>
    <w:p w14:paraId="363F1505"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Cameron, A. C., &amp; Trivedi, P. K. (2013). Regression analysis of count data (2nd ed.). Cambridge University Press.</w:t>
      </w:r>
    </w:p>
    <w:p w14:paraId="2D16205B"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Chebii, R. K. (2020). Tax Incentives and Growth of Small and Medium Sized Enterprises in Nairobi County. Journal of Economics, 4(1), 77-92.</w:t>
      </w:r>
    </w:p>
    <w:p w14:paraId="44E41E19"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Cin, B. C., Kim, Y., &amp; Vonortas, N. S. (2017). The impact of government R&amp;D subsidy on firm performance: Evidence from Korean SMEs. Small Business Economics, 48(2), 345-360.</w:t>
      </w:r>
    </w:p>
    <w:p w14:paraId="7E637327"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Córdova-León, F., Duque-Espinoza, G., Aguirre-Quezada, J. C., Sigüencia-Muñoz, A., Córdova-León, F., Duque-Espinoza, G., Aguirre-Quezada, J. C., &amp; Sigüencia-Muñoz, A. (2022). Tax incentives and financial performance: empirical evidence of Ecuadorian companies. Cuadernos de Administración (Universidad Del Valle), 38(73). https://doi.org/10.25100/cdea.v38i73.10984</w:t>
      </w:r>
    </w:p>
    <w:p w14:paraId="4845A9B6"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Creswell, J. W., &amp; Creswell, J. D. (2018). Research design: Qualitative, quantitative, and mixed methods approaches (5th ed.). SAGE Publications.</w:t>
      </w:r>
    </w:p>
    <w:p w14:paraId="338C7F6A"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Creswell, J. W., &amp; Creswell, J. D. (2018). Research design: Qualitative, quantitative, and mixed methods approaches (5th ed.). SAGE Publications.</w:t>
      </w:r>
    </w:p>
    <w:p w14:paraId="3000C63F"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Dartey, E. O. (2023). View of Corporate Tax Rates, Financial Leverage, and Firm Growth in Sub - Saharan Africa. Univ-Danubius.ro. https://dj.univ-danubius.ro/index.php/AUDOE/article/view/2143/2433</w:t>
      </w:r>
    </w:p>
    <w:p w14:paraId="28C23654"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Diamond, P. A., &amp; Mirrlees, J. A. (1971). Optimal taxation and public production I: Production efficiency. The American economic review, 61(1), 8-27.</w:t>
      </w:r>
    </w:p>
    <w:p w14:paraId="3DAB0D62"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Djankov, S., Ganser, T., McLiesh, C., Ramalho, R., &amp; Shleifer, A. (2010). The Effect of Corporate Taxes on Investment and Entrepreneurship. American Economic Journal: Macroeconomics, 2(3), 31–64.</w:t>
      </w:r>
    </w:p>
    <w:p w14:paraId="662D2C69"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Fajgelbaum, P. D., &amp; Khandelwal, A. K. (2022). The economic impacts of the US–China trade war. Annual Review of Economics, 14(1), 205-228.</w:t>
      </w:r>
    </w:p>
    <w:p w14:paraId="6E0DA0BE"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Fama, E. F., &amp; French, K. R. (2002). Testing Trade-Off and Pecking Order Predictions About Dividends and Debt. Review of Financial Studies, 15(1), 1–33. https://doi.org/10.1093/rfs/15.1.1</w:t>
      </w:r>
    </w:p>
    <w:p w14:paraId="1BDC88BE"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Gachigo, J. (2024). Effect Of Value Added Tax On The Financial Performance Of Telecommunication Firms In Kenya. Journal of Finance and Accounting, 8(9), 164-180.</w:t>
      </w:r>
    </w:p>
    <w:p w14:paraId="7676B444"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Gachigo, J. (2024). Effect Of Value Added Tax On The Financial Performance Of Telecommunication Firms In Kenya. Journal of Finance and Accounting, 8(9), 164–180. https://doi.org/10.53819/81018102t2457</w:t>
      </w:r>
    </w:p>
    <w:p w14:paraId="42EE8D56"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Gitari, J. K. (2019). Effects of tax incentives on the financial performance of the manufacturing sector in Naivasha, Nakuru County, Kenya. https://ikesra.kra.go.ke/</w:t>
      </w:r>
    </w:p>
    <w:p w14:paraId="54B1072A"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Gliem, J. A., &amp; Gliem, R. R. (2003). Calculating, interpreting, and reporting Cronbach’s alpha reliability coefficient for Likert-type scales. Midwest Research-to-Practice Conference in Adult, Continuing, and Community Education.</w:t>
      </w:r>
    </w:p>
    <w:p w14:paraId="266CB7D1"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Graham, J. R. (2000). How Big Are the Tax Benefits of Debt? The Journal of Finance, 55(5), 1901–1941. https://doi.org/10.1111/0022-1082.00277</w:t>
      </w:r>
    </w:p>
    <w:p w14:paraId="33D4936F"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Gujarati, D. N., &amp; Porter, D. C. (2020). Basic econometrics (6th ed.). McGraw-Hill.</w:t>
      </w:r>
    </w:p>
    <w:p w14:paraId="7D28E03D"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Harberger, A. C. (1964). The measurement of waste. The American Economic Review, 54(3), 58-76.</w:t>
      </w:r>
    </w:p>
    <w:p w14:paraId="242F78FA"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Heeringa, S. G., West, B. T., &amp; Berglund, P. A. (2017). Applied survey data analysis (2nd ed.). Chapman &amp; Hall/CRC</w:t>
      </w:r>
    </w:p>
    <w:p w14:paraId="4C40C930"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Itumo, N. P. (2023). Relationship Between Efficiency and Financial Performance of Commercial Banks in Kenya. Uonbi.ac.ke. https://erepository.uonbi.ac.ke. UoN Digital Repository Home.</w:t>
      </w:r>
    </w:p>
    <w:p w14:paraId="6C732361"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Jacob, M. (2022). Real effects of corporate taxation: A review. European Accounting Review, 31(1), 269-296.</w:t>
      </w:r>
    </w:p>
    <w:p w14:paraId="1821447D"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Jeanne, U. M. (2020). Internal Control Components And Financial Performance In Public Institutions In Rwanda Case Study: Rwanda Social Security Board (Rssb). University Of</w:t>
      </w:r>
      <w:r w:rsidRPr="005508BF">
        <w:rPr>
          <w:rFonts w:cs="Times New Roman"/>
          <w:szCs w:val="24"/>
        </w:rPr>
        <w:tab/>
      </w:r>
      <w:r w:rsidRPr="005508BF">
        <w:rPr>
          <w:rFonts w:cs="Times New Roman"/>
          <w:szCs w:val="24"/>
        </w:rPr>
        <w:tab/>
        <w:t>Rwanda. Http://Dr.Ur.Ac.Rw/Bitstream/Handle/123456789/677/By%20uwingabiye%20marie%20jeanne.Pdf?Sequence=1&amp;Isallowed=Y</w:t>
      </w:r>
    </w:p>
    <w:p w14:paraId="4F4D39D0"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Kamau, A. M., Olweny, T., &amp; Muturi, W. M. (2021). Financial Performance of Insurance Firms. Does Leverage and Liquidity Matter? Evidence from Kenya. Eastern Journal of Economics and Finance, 6(1), 1-14.</w:t>
      </w:r>
    </w:p>
    <w:p w14:paraId="60AFC890"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Karimi, J. W., &amp; Wanjohi, F. M. (2024). Tax incentives and financial performance of manufacturing firms in Nairobi City County Kenya. The Strategic Journal of Business &amp; Change Management, 11(2), 253–278. https://doi.org/10.61426/sjbcm.v11i2.2907</w:t>
      </w:r>
    </w:p>
    <w:p w14:paraId="52AE1AA5"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Kariuki, C. (2023). Effect of corporate taxation on investor attraction of listed manufacturing firms in Kenya (Doctoral dissertation, Thesis, Strathmore University).</w:t>
      </w:r>
    </w:p>
    <w:p w14:paraId="7C412014"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Kariuki, S. (2017). The effect of corporate tax planning on the financial performance of listed companies in Kenya (Doctoral dissertation, University of Nairobi).</w:t>
      </w:r>
    </w:p>
    <w:p w14:paraId="69788DEF"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Karugu, J. G. (2021). Impact of Taxation on the Cost of Business Operations among Small and Medium Enterprises in Nairobi County, Kenya. The International Journal of Business &amp; Management, 9(11). https://doi.org/10.24940/theijbm/2021/v9/i11/bm2107-043</w:t>
      </w:r>
    </w:p>
    <w:p w14:paraId="50E9EE9A"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Kenya Association of Manufacturers (KAM). (2021). VAT refund claims by manufacturers: Policy brief. https://kam.co.ke</w:t>
      </w:r>
    </w:p>
    <w:p w14:paraId="39736F8C"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Kenya Association of Manufacturers (KAM). (2022). Manufacturing Priority Agenda 2022. https://kam.co.ke/wp-content/uploads/2022/02/MANUFACTURING-PRIORITY-AGENDA-2022-Final-Copy.pdf</w:t>
      </w:r>
    </w:p>
    <w:p w14:paraId="1C8B3364"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Kenya Association of Manufacturers (KAM). (2023). Annual Manufacturing Sector Report. https://kam.co.ke</w:t>
      </w:r>
    </w:p>
    <w:p w14:paraId="233F3B87"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Kenya Association of Manufacturers (KAM). (2023). Kenya Manufacturing Industry Survey Report 2023. Nairobi: Kenya Association of Manufacturers.</w:t>
      </w:r>
    </w:p>
    <w:p w14:paraId="4BDB665C"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Kenya National Bureau of Statistics (KNBS). (2021). Economic Survey 2021. https://www.knbs.or.ke/?wpdmpro=economic-survey-2021</w:t>
      </w:r>
    </w:p>
    <w:p w14:paraId="3AF2B9BA"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Kenya National Bureau of Statistics (KNBS). (2023). Economic survey 2023. Nairobi: Government of Kenya. Retrieved from https://www.knbs.or.ke</w:t>
      </w:r>
    </w:p>
    <w:p w14:paraId="0CCBFA67"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Kenya National Bureau of Statistics (KNBS). (2023). Economic survey 2023. Nairobi: Government of Kenya. https://www.knbs.or.ke</w:t>
      </w:r>
    </w:p>
    <w:p w14:paraId="0851EF21"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Kenya Revenue Authority (KRA). (2022). Corporate tax rates in Kenya. Retrieved from https://www.kra.go.ke</w:t>
      </w:r>
    </w:p>
    <w:p w14:paraId="4A4F70D2"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Kimani, P. G. (2023). Determinants Of Financial Performance of General Insurance Companies in Kenya. Kcau.ac.ke. https://repository.kcau.ac.ke/handle/123456789/1483</w:t>
      </w:r>
    </w:p>
    <w:p w14:paraId="64A80C17"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Kothari, C. R. (2011). Research Methodology: Methods and Techniques (2nd ed.). New Age International.</w:t>
      </w:r>
    </w:p>
    <w:p w14:paraId="1DE4CC76"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Laffer, A. (2004). The Laffer Curve: Past, Present, and Future. The Heritage Foundation. https://www.heritage.org/taxes/report/the-laffer-curve-past-present-and-future</w:t>
      </w:r>
    </w:p>
    <w:p w14:paraId="6D84993D"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Lee, Y., &amp; Gordon, R. H. (2005). Tax Structure and Economic Growth. Journal of Public Economics, 89(5-6), 1027–1043.</w:t>
      </w:r>
    </w:p>
    <w:p w14:paraId="12F7B937"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Liu, X., Fang, H., Zhao, L., &amp; Xu, W. (2023). Do VAT cuts help stabilize employment? Evidence from China’s VAT rate reform. Economic Analysis and Policy, 28, Pages 190-207. https://doi.org/10.1016/j.eap.2023.03.005</w:t>
      </w:r>
    </w:p>
    <w:p w14:paraId="448936CA"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Maithya, R. N., Abdul, F., &amp; Sang, P. (2020). I-tax adoption determinants and value added tax compliance among large corporate taxpayers in kenya (Doctoral dissertation, Kenyatta University).</w:t>
      </w:r>
    </w:p>
    <w:p w14:paraId="5F07CBFB"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Matano, E. (2021). The Effect of Tax Incentives on Performance of Manufacturing Firms in Nairobi, Kenya (Doctoral dissertation, University of Nairobi).</w:t>
      </w:r>
    </w:p>
    <w:p w14:paraId="49294BE7"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Matlala, T. (2024). A South African perspective: Do excise duties imposed on tobacco products drive the illicit trade in tobacco products?</w:t>
      </w:r>
    </w:p>
    <w:p w14:paraId="5051B016"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Mayende, S. (2013). The Effects of Tax Incentives on Firm Performance: Evidence from Uganda. Journal of Politics and Law, 6(4). https://doi.org/10.5539/jpl.v6n4p95</w:t>
      </w:r>
    </w:p>
    <w:p w14:paraId="68DD2DA8"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Mdasha, Z., Kariuki, P., &amp; Wanjohi, P. (2024). environmental regulations compliance and performance of large manufacturing firms in Kenya. African Journal of Emerging Issues (AJOEI). Online ISSN: 2663-9335, Vol (6), Issue 3, Pg. 23-43. http://www.ajoeijournals.org</w:t>
      </w:r>
    </w:p>
    <w:p w14:paraId="082D74EE"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Modigliani, F., &amp; Miller, M. H. (1963). Corporate income taxes and the cost of capital: A correction. The American Economic Review, 53(3), 433–443. https://www.jstor.org/stable/1809167</w:t>
      </w:r>
    </w:p>
    <w:p w14:paraId="52EB7B58"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Mugenda, O. M., &amp; Mugenda, A. G. (2003). Research Methods: Quantitative and Qualitative Approaches. Acts Press.</w:t>
      </w:r>
    </w:p>
    <w:p w14:paraId="2EE7B13E"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Mukui, N. (2022). Effect of Operational Efficiency on Financial Performance of Manufacturing Firms Listed at the Nairobi Securities Exchange, Kenya (Doctoral dissertation, University of Nairobi).</w:t>
      </w:r>
    </w:p>
    <w:p w14:paraId="09875BF0"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Mumo, S. M. (2019). Firm characteristics and value added tax compliance on construction firms in Kenya: a survey of Starehe sub-county, Nairobi Kenya.</w:t>
      </w:r>
    </w:p>
    <w:p w14:paraId="28DEB372"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Mushunje, L. (2023). Capturing the Tax-Revenue Bracketing System via a predator-prey model: Evidence from South Africa. arXiv preprint arXiv:2401.13686.</w:t>
      </w:r>
    </w:p>
    <w:p w14:paraId="0296EB2B"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Musyoka, N. N. (2019). Effect of tax reforms on voluntary tax compliance among small and medium enterprises in Kenya: a case of Nairobi County (Doctoral dissertation, Strathmore University).</w:t>
      </w:r>
    </w:p>
    <w:p w14:paraId="72C8806C"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Mutua, L. M., &amp; Atheru, G. K. (2020). Capital structure and financial performance of companies listed under manufacturing and allied sector at Nairobi Securities Exchange in Kenya. Journal of Finance and Accounting, 4(1), 25-38.</w:t>
      </w:r>
    </w:p>
    <w:p w14:paraId="10F3AB19"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Mwangi, G. M., &amp; Gitau, R. (2022). Effect Of Custom Duty Incentives On Financial Performance Of Manufacturing Companies In Kenya. European Journal of Economic and Financial Research, 6(4). https://doi.org/10.46827/ejefr.v6i4.1366</w:t>
      </w:r>
    </w:p>
    <w:p w14:paraId="6EF78BDC"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Mwangi, G., Gitau, R., &amp; Kung’u, J. (2021). Influence of VAT incentives on financial performance of manufacturing companies in Kenya. Management and Economics Research Journal, 7(3), 1–6. https://www.researchgate.net/publication/354917018_Influence_of_VAT_Incentives_on_Financial_Performance_of_Manufacturing_Companies_in_Kenya</w:t>
      </w:r>
    </w:p>
    <w:p w14:paraId="29BD7674"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Ndungi Njoroge, R. (2021). Effect of tax incentives on the performance of export processing zones enterprises in Mombasa County, Kenya (Doctoral dissertation, Moi University).</w:t>
      </w:r>
    </w:p>
    <w:p w14:paraId="6475F99C"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Ngali, J. I. (2020). Effect of Taxation on the Performance of Small and Medium Enterprises in Voi Town, Kenya (Doctoral dissertation, Masters Dissertation, Kenyatta University, Nairobi Kenya).</w:t>
      </w:r>
    </w:p>
    <w:p w14:paraId="1CF5BBBA"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Nguyen, H., Pham, A., Duy, M., &amp; Mia Hang Pham. (2023). Business resilience: Lessons from government responses to the global COVID-19 crisis. International Business Review, 32(5), 102166–102166. https://doi.org/10.1016/j.ibusrev.2023.102166</w:t>
      </w:r>
    </w:p>
    <w:p w14:paraId="1A2F912F"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Ochieng, V. O. (2020). Effects of tax Incentives on the financial performance of Export Processing Zones Firms in Mombasa. Unpublished Thesis, Jomo Kenyatta University of Agriculture and Technology.</w:t>
      </w:r>
    </w:p>
    <w:p w14:paraId="2DE17DE9"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OECD. (2022). Revenue statistics in Africa 2022: Kenya. Organisation for Economic Co-operation and Development. https://www.oecd.org/tax/revenue-statistics-in-africa-2022-kenya.pdf</w:t>
      </w:r>
    </w:p>
    <w:p w14:paraId="3EA81236"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Ogbonnaya, I. O., &amp; Okereke, I. E. (2022). Has Value Added Tax Exemption Been Effective? A Lesson from the Nigerian Manufacturing Sub-Sector. Caritas Journal of Management, Social Sciences and Humanities, 1(1).</w:t>
      </w:r>
    </w:p>
    <w:p w14:paraId="50CF6ECB"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Okereke Ikpo Igwe, Juneth Lourdes Fiel-Miranda, &amp; Miranda, A. T. (2023). Impact of Importation on Business performance of the Textile Industries in Nigeria. PACHA. Revista de Estudios Contemporáneos Del Sur Global, 4(12), e230200–e230200. https://doi.org/10.46652/pacha.v4i12.200</w:t>
      </w:r>
    </w:p>
    <w:p w14:paraId="40DA3F08"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Omar, M. A. (2020). Effect of Value Added Tax on Financial Performance of Small and Meduim Enterprises in Mombasa County.</w:t>
      </w:r>
    </w:p>
    <w:p w14:paraId="0FB0F538"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Omar, M. A. (2020). Effect of value added tax on financial performance of small and medium enterprises in Mombasa County [Unpublished master's thesis].</w:t>
      </w:r>
    </w:p>
    <w:p w14:paraId="12BC1A9F"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Omodero, C. O., &amp; Eriabie, S. (2022). Valued added taxation and industrial sector productivity: a granger causality approach. Cogent Business &amp; Management, 9(1). https://doi.org/10.1080/23311975.2022.2126120</w:t>
      </w:r>
    </w:p>
    <w:p w14:paraId="5555FEDB"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Omosa, A. M. (2021). Effect of systems automation on customs revenue performance in Kenya (Doctoral dissertation, Kenya School of Revenue Administration_Moi University).</w:t>
      </w:r>
    </w:p>
    <w:p w14:paraId="5F1F0122"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Otieno, G. W. (2011). The effect of taxes and levies on the profitability of sugar factories in Kenya. Ku.ac.ke. http://ir-library.ku.ac.ke/handle/123456789/1203</w:t>
      </w:r>
    </w:p>
    <w:p w14:paraId="437B4C91"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Otwani, M., Simiyu, G., &amp; Makokha, E. (2017). Effect of corporate income tax on financial performance of companies listed on the Nairobi securities exchange in Kenya. International Journal of Social Science and Information Technology, 3(8), 2467-2477.</w:t>
      </w:r>
    </w:p>
    <w:p w14:paraId="6C3540FF"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Owino, J., &amp; Owino, J. (2020, January 23). Manufacturers claim VAT refunds delay is hurting them. Capital Business. https://www.capitalfm.co.ke/business/2020/01/manufacturers-claim-vat-refunds-delay-is-hurting-them/</w:t>
      </w:r>
    </w:p>
    <w:p w14:paraId="520B6D2C"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Oyerogba Ezekiel Oluwagbemiga1, and , Adeyemi, A. J., &amp; Olusola, O. S. (n.d.). Tax Incentives and Firm Performance: Evidence from Listed Manufacturing Firms in Nigeria. Sabinet African Journals. Vol. 19, No. 3. https://journals.co.za/doi/full/10.31920/1750-4562/2024/v19n3a11</w:t>
      </w:r>
    </w:p>
    <w:p w14:paraId="1B68189D"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Piketty, T., Saez, E., &amp; Stantcheva, S. (2014). Optimal Taxation of Top Labor Incomes: A Tale of Three Elasticities. American Economic Journal: Economic Policy, 6(1), 230–271. https://doi.org/10.1257/pol.6.1.230</w:t>
      </w:r>
    </w:p>
    <w:p w14:paraId="0384FA88"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Rahman, A., &amp; Nguyen, T. (2019). VAT and manufacturing performance in ASEAN: A panel data analysis. International Journal of Business and Economic Research, 8(2), 215–230</w:t>
      </w:r>
    </w:p>
    <w:p w14:paraId="1F8BEF6D"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Ritho, B. M. (2024). Firm Characteristics, Inflation, Revenue Efficiency and Financial Stability of Insurance Firms in Kenya (Doctoral dissertation, Kenyatta University).</w:t>
      </w:r>
    </w:p>
    <w:p w14:paraId="566CEF07"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Romer, C. D., &amp; Romer, D. H. (2010). The Macroeconomic Effects of Tax Changes: Estimates Based on a New Measure of Fiscal Shocks. American Economic Review, 100(3), 763–801. https://doi.org/10.1257/aer.100.3.763</w:t>
      </w:r>
    </w:p>
    <w:p w14:paraId="2C1AD5DB"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Saez, E. (2001). Using elasticities to derive optimal income tax rates. The review of economic studies, 68(1), 205-229.</w:t>
      </w:r>
    </w:p>
    <w:p w14:paraId="1C8B0522"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Saunders, M., Lewis, P., &amp; Thornhill, A. (2019). Research Methods for Business Students (8th ed.). Pearson.</w:t>
      </w:r>
    </w:p>
    <w:p w14:paraId="1C50A346"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Tudose, M. B., Rusu, V. D., &amp; Avasilcai, S. (2022). Financial performance – determinants and interdependencies between measurement indicators. Business, Management and Economics Engineering, 20(1), 119–138119–138. https://doi.org/10.3846/bmee.2022.16732</w:t>
      </w:r>
    </w:p>
    <w:p w14:paraId="5C947790"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UNCTAD. (2022). The role of the manufacturing sector in Kenya’s economic development. United Nations Conference on Trade and Development. https://unctad.org/system/files/non-official-document/aldc_2022_pdsd_pdw_ken_ppt_16-18_mar_hezekiah_okeyo_eng.pdf</w:t>
      </w:r>
    </w:p>
    <w:p w14:paraId="46BBC5ED"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Walde, I. G., &amp; Makori, D. (2022). Macroeconomic variables and financial performance of deposit taking microfinance institutions in Kenya. International Academic Journal of Economics and Finance, 3 (7), 447, 487(2).</w:t>
      </w:r>
    </w:p>
    <w:p w14:paraId="2CA4DD2E"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Wangare, D. N. (2024). Tax Administration and Financial Performance of Manufacturing Firms in Kenya: A Literature Review. African Journal of Commercial Studies, 4(4), 270–277. https://doi.org/10.59413/ajocs/v4.i4.2</w:t>
      </w:r>
    </w:p>
    <w:p w14:paraId="4BC5FD82"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Waweru, E. W. (2019). Influence Of Withholding Value Added Tax Knowledge On Tax Compliance In Kenya: A Case Of Nairobi County (Doctoral Dissertation, School Of Business In Partial Fulfillment Of The Requirement For The Award Of The Postgraduate Diploma In Customs/Tax Administration, Jomo Kenyatta University Of Agriculture And Technology).</w:t>
      </w:r>
    </w:p>
    <w:p w14:paraId="059B4F3A"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Were, A. (2016). Manufacturing in Kenya: Features, challenges, and opportunities. International Journal of Science, Management, and Engineering, 4(6), 15-26.https://set.odi.org/wp-content/uploads/2016/09/Manufacturing-in-Kenya-Anzetse-Were.pdf</w:t>
      </w:r>
    </w:p>
    <w:p w14:paraId="323B263C"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Wooldridge, J. M. (2021). Introductory econometrics: A modern approach (7th ed.). Cengage Learning.</w:t>
      </w:r>
    </w:p>
    <w:p w14:paraId="22368E2F"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World Bank. (2022). Manufacturing, value added (% of GDP) – Kenya. World Development Indicators. Retrieved from https://data.worldbank.org/indicator/NV.IND.MANF.ZS</w:t>
      </w:r>
    </w:p>
    <w:p w14:paraId="21F9785E"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Yamane, T. (1973). Statistics: An Introductory Analysis (2nd ed.). Harper &amp; Row.</w:t>
      </w:r>
    </w:p>
    <w:p w14:paraId="22A005A7" w14:textId="7A8B7913" w:rsidR="00B55CEF" w:rsidRPr="00B55CEF" w:rsidRDefault="005508BF" w:rsidP="005508BF">
      <w:pPr>
        <w:tabs>
          <w:tab w:val="left" w:pos="3150"/>
        </w:tabs>
        <w:spacing w:line="240" w:lineRule="auto"/>
        <w:ind w:left="720" w:hanging="720"/>
        <w:rPr>
          <w:color w:val="000000" w:themeColor="text1"/>
        </w:rPr>
      </w:pPr>
      <w:r w:rsidRPr="005508BF">
        <w:rPr>
          <w:rFonts w:cs="Times New Roman"/>
          <w:szCs w:val="24"/>
        </w:rPr>
        <w:t>Zeng, S., Ji, M., &amp; Huang, X. (2025). An empirical study on the impact of tax incentives on the development of new energy vehicles: Case of China. Energy Policy, 198, 114452. https://doi.org/10.1016/j.enpol.2024.114452</w:t>
      </w:r>
    </w:p>
    <w:sectPr w:rsidR="00B55CEF" w:rsidRPr="00B55CEF" w:rsidSect="00055D83">
      <w:headerReference w:type="even" r:id="rId9"/>
      <w:headerReference w:type="default" r:id="rId10"/>
      <w:footerReference w:type="even" r:id="rId11"/>
      <w:footerReference w:type="default" r:id="rId12"/>
      <w:headerReference w:type="first" r:id="rId13"/>
      <w:footerReference w:type="first" r:id="rId14"/>
      <w:pgSz w:w="12240" w:h="15840" w:code="1"/>
      <w:pgMar w:top="1094" w:right="605" w:bottom="605" w:left="605" w:header="346" w:footer="403"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Microsoft account" w:date="2025-11-07T21:05:00Z" w:initials="Ma">
    <w:p w14:paraId="541D1DDB" w14:textId="29D01216" w:rsidR="00087B6D" w:rsidRDefault="00087B6D">
      <w:pPr>
        <w:pStyle w:val="CommentText"/>
      </w:pPr>
      <w:r>
        <w:rPr>
          <w:rStyle w:val="CommentReference"/>
        </w:rPr>
        <w:annotationRef/>
      </w:r>
      <w:r>
        <w:t xml:space="preserve">Why? Special from others? </w:t>
      </w:r>
    </w:p>
    <w:p w14:paraId="3F6EF4C9" w14:textId="2B2F92A0" w:rsidR="00D24F2A" w:rsidRDefault="00D24F2A">
      <w:pPr>
        <w:pStyle w:val="CommentText"/>
      </w:pPr>
      <w:r>
        <w:t>And  explain the model used….</w:t>
      </w:r>
    </w:p>
  </w:comment>
  <w:comment w:id="3" w:author="Microsoft account" w:date="2025-11-07T21:01:00Z" w:initials="Ma">
    <w:p w14:paraId="5195B876" w14:textId="1B6D8893" w:rsidR="00087B6D" w:rsidRDefault="00087B6D">
      <w:pPr>
        <w:pStyle w:val="CommentText"/>
      </w:pPr>
      <w:r>
        <w:rPr>
          <w:rStyle w:val="CommentReference"/>
        </w:rPr>
        <w:annotationRef/>
      </w:r>
      <w:r>
        <w:t>Make 3-5</w:t>
      </w:r>
    </w:p>
  </w:comment>
  <w:comment w:id="4" w:author="Microsoft account" w:date="2025-11-07T21:06:00Z" w:initials="Ma">
    <w:p w14:paraId="2E52B082" w14:textId="415D1F37" w:rsidR="00087B6D" w:rsidRDefault="00087B6D">
      <w:pPr>
        <w:pStyle w:val="CommentText"/>
      </w:pPr>
      <w:r>
        <w:rPr>
          <w:rStyle w:val="CommentReference"/>
        </w:rPr>
        <w:annotationRef/>
      </w:r>
      <w:r>
        <w:t>Make it the same sty references APA</w:t>
      </w:r>
    </w:p>
  </w:comment>
  <w:comment w:id="6" w:author="Microsoft account" w:date="2025-11-07T21:12:00Z" w:initials="Ma">
    <w:p w14:paraId="5B18DCFD" w14:textId="5E1370E3" w:rsidR="00D24F2A" w:rsidRDefault="00D24F2A">
      <w:pPr>
        <w:pStyle w:val="CommentText"/>
      </w:pPr>
      <w:r>
        <w:rPr>
          <w:rStyle w:val="CommentReference"/>
        </w:rPr>
        <w:annotationRef/>
      </w:r>
      <w:r>
        <w:t xml:space="preserve">Not or now you did your result already </w:t>
      </w:r>
    </w:p>
  </w:comment>
  <w:comment w:id="7" w:author="Microsoft account" w:date="2025-11-07T21:19:00Z" w:initials="Ma">
    <w:p w14:paraId="423755DC" w14:textId="77777777" w:rsidR="00D24F2A" w:rsidRDefault="00D24F2A" w:rsidP="00D24F2A">
      <w:pPr>
        <w:pStyle w:val="CommentText"/>
        <w:numPr>
          <w:ilvl w:val="0"/>
          <w:numId w:val="24"/>
        </w:numPr>
      </w:pPr>
      <w:r>
        <w:rPr>
          <w:rStyle w:val="CommentReference"/>
        </w:rPr>
        <w:annotationRef/>
      </w:r>
      <w:r>
        <w:t>No Panel data results you said under method to use panel data 2020-2024, but not any result.</w:t>
      </w:r>
    </w:p>
    <w:p w14:paraId="77273185" w14:textId="77777777" w:rsidR="00D24F2A" w:rsidRDefault="00D24F2A" w:rsidP="00D24F2A">
      <w:pPr>
        <w:pStyle w:val="CommentText"/>
        <w:numPr>
          <w:ilvl w:val="0"/>
          <w:numId w:val="24"/>
        </w:numPr>
      </w:pPr>
      <w:r>
        <w:t>You putted FEor RF model but no….</w:t>
      </w:r>
    </w:p>
    <w:p w14:paraId="7F55EED0" w14:textId="77777777" w:rsidR="00D24F2A" w:rsidRDefault="00D24F2A" w:rsidP="00D24F2A">
      <w:pPr>
        <w:pStyle w:val="CommentText"/>
        <w:numPr>
          <w:ilvl w:val="0"/>
          <w:numId w:val="24"/>
        </w:numPr>
      </w:pPr>
      <w:r>
        <w:t xml:space="preserve"> Objective and result not match</w:t>
      </w:r>
    </w:p>
    <w:p w14:paraId="4E1D78D3" w14:textId="77777777" w:rsidR="00D24F2A" w:rsidRDefault="00D24F2A" w:rsidP="00D24F2A">
      <w:pPr>
        <w:pStyle w:val="CommentText"/>
        <w:numPr>
          <w:ilvl w:val="0"/>
          <w:numId w:val="24"/>
        </w:numPr>
      </w:pPr>
      <w:r>
        <w:t xml:space="preserve"> Please which analysis </w:t>
      </w:r>
      <w:r w:rsidR="00AC49DF">
        <w:t xml:space="preserve">of quantitative answer objective and qualitative also? </w:t>
      </w:r>
    </w:p>
    <w:p w14:paraId="4CEBC2FA" w14:textId="77777777" w:rsidR="00AC49DF" w:rsidRDefault="00AC49DF" w:rsidP="00D24F2A">
      <w:pPr>
        <w:pStyle w:val="CommentText"/>
        <w:numPr>
          <w:ilvl w:val="0"/>
          <w:numId w:val="24"/>
        </w:numPr>
      </w:pPr>
      <w:r>
        <w:t xml:space="preserve"> Conclusion is not clear…</w:t>
      </w:r>
    </w:p>
    <w:p w14:paraId="545CE2E7" w14:textId="77777777" w:rsidR="00AC49DF" w:rsidRDefault="00AC49DF" w:rsidP="00D24F2A">
      <w:pPr>
        <w:pStyle w:val="CommentText"/>
        <w:numPr>
          <w:ilvl w:val="0"/>
          <w:numId w:val="24"/>
        </w:numPr>
      </w:pPr>
      <w:r>
        <w:t xml:space="preserve"> No limitation and contribution…</w:t>
      </w:r>
    </w:p>
    <w:p w14:paraId="35E989F7" w14:textId="77777777" w:rsidR="00AC49DF" w:rsidRDefault="00AC49DF" w:rsidP="00D24F2A">
      <w:pPr>
        <w:pStyle w:val="CommentText"/>
        <w:numPr>
          <w:ilvl w:val="0"/>
          <w:numId w:val="24"/>
        </w:numPr>
      </w:pPr>
      <w:r>
        <w:t xml:space="preserve"> Estimation model is panel but no analysied</w:t>
      </w:r>
    </w:p>
    <w:p w14:paraId="1D11EEE9" w14:textId="1D6C8599" w:rsidR="00AC49DF" w:rsidRDefault="00AC49DF" w:rsidP="00D24F2A">
      <w:pPr>
        <w:pStyle w:val="CommentText"/>
        <w:numPr>
          <w:ilvl w:val="0"/>
          <w:numId w:val="24"/>
        </w:numPr>
      </w:pPr>
      <w:r>
        <w:t xml:space="preserve"> Analysis by multiple but not but under method no estimated model.</w:t>
      </w:r>
    </w:p>
  </w:comment>
  <w:comment w:id="10" w:author="Microsoft account" w:date="2025-11-07T21:28:00Z" w:initials="Ma">
    <w:p w14:paraId="38725E2D" w14:textId="368EE2A7" w:rsidR="004002A3" w:rsidRDefault="004002A3">
      <w:pPr>
        <w:pStyle w:val="CommentText"/>
      </w:pPr>
      <w:r>
        <w:rPr>
          <w:rStyle w:val="CommentReference"/>
        </w:rPr>
        <w:annotationRef/>
      </w:r>
      <w:r>
        <w:t xml:space="preserve">Not considered tax policy variable ? why ?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6EF4C9" w15:done="0"/>
  <w15:commentEx w15:paraId="5195B876" w15:done="0"/>
  <w15:commentEx w15:paraId="2E52B082" w15:done="0"/>
  <w15:commentEx w15:paraId="5B18DCFD" w15:done="0"/>
  <w15:commentEx w15:paraId="1D11EEE9" w15:done="0"/>
  <w15:commentEx w15:paraId="38725E2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20B77C" w14:textId="77777777" w:rsidR="00C95D14" w:rsidRDefault="00C95D14">
      <w:pPr>
        <w:spacing w:before="0" w:line="240" w:lineRule="auto"/>
      </w:pPr>
      <w:r>
        <w:separator/>
      </w:r>
    </w:p>
  </w:endnote>
  <w:endnote w:type="continuationSeparator" w:id="0">
    <w:p w14:paraId="15A68DE0" w14:textId="77777777" w:rsidR="00C95D14" w:rsidRDefault="00C95D1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6D005" w14:textId="77777777" w:rsidR="00087B6D" w:rsidRDefault="00087B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2236679"/>
      <w:docPartObj>
        <w:docPartGallery w:val="Page Numbers (Bottom of Page)"/>
        <w:docPartUnique/>
      </w:docPartObj>
    </w:sdtPr>
    <w:sdtEndPr>
      <w:rPr>
        <w:noProof/>
        <w:sz w:val="20"/>
        <w:szCs w:val="18"/>
      </w:rPr>
    </w:sdtEndPr>
    <w:sdtContent>
      <w:p w14:paraId="78E128D3" w14:textId="5B565ABA" w:rsidR="00087B6D" w:rsidRPr="008A0558" w:rsidRDefault="00087B6D">
        <w:pPr>
          <w:pStyle w:val="Footer"/>
          <w:jc w:val="center"/>
          <w:rPr>
            <w:sz w:val="20"/>
            <w:szCs w:val="18"/>
          </w:rPr>
        </w:pPr>
        <w:r w:rsidRPr="008A0558">
          <w:rPr>
            <w:sz w:val="20"/>
            <w:szCs w:val="18"/>
          </w:rPr>
          <w:fldChar w:fldCharType="begin"/>
        </w:r>
        <w:r w:rsidRPr="008A0558">
          <w:rPr>
            <w:sz w:val="20"/>
            <w:szCs w:val="18"/>
          </w:rPr>
          <w:instrText xml:space="preserve"> PAGE   \* MERGEFORMAT </w:instrText>
        </w:r>
        <w:r w:rsidRPr="008A0558">
          <w:rPr>
            <w:sz w:val="20"/>
            <w:szCs w:val="18"/>
          </w:rPr>
          <w:fldChar w:fldCharType="separate"/>
        </w:r>
        <w:r w:rsidR="00C95D14">
          <w:rPr>
            <w:noProof/>
            <w:sz w:val="20"/>
            <w:szCs w:val="18"/>
          </w:rPr>
          <w:t>1</w:t>
        </w:r>
        <w:r w:rsidRPr="008A0558">
          <w:rPr>
            <w:noProof/>
            <w:sz w:val="20"/>
            <w:szCs w:val="18"/>
          </w:rPr>
          <w:fldChar w:fldCharType="end"/>
        </w:r>
      </w:p>
    </w:sdtContent>
  </w:sdt>
  <w:p w14:paraId="70E80D4D" w14:textId="77777777" w:rsidR="00087B6D" w:rsidRDefault="00087B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325B5" w14:textId="77777777" w:rsidR="00087B6D" w:rsidRDefault="00087B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E115A" w14:textId="77777777" w:rsidR="00C95D14" w:rsidRDefault="00C95D14">
      <w:pPr>
        <w:spacing w:before="0" w:line="240" w:lineRule="auto"/>
      </w:pPr>
      <w:r>
        <w:separator/>
      </w:r>
    </w:p>
  </w:footnote>
  <w:footnote w:type="continuationSeparator" w:id="0">
    <w:p w14:paraId="118201FA" w14:textId="77777777" w:rsidR="00C95D14" w:rsidRDefault="00C95D14">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833B3" w14:textId="4D963A4B" w:rsidR="00087B6D" w:rsidRDefault="00087B6D">
    <w:pPr>
      <w:pStyle w:val="Header"/>
    </w:pPr>
    <w:r>
      <w:rPr>
        <w:noProof/>
      </w:rPr>
      <w:pict w14:anchorId="16F84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905704" o:spid="_x0000_s2050" type="#_x0000_t136" style="position:absolute;left:0;text-align:left;margin-left:0;margin-top:0;width:699.8pt;height:77.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AA5C9" w14:textId="3101380E" w:rsidR="00087B6D" w:rsidRDefault="00087B6D">
    <w:pPr>
      <w:pStyle w:val="Header"/>
    </w:pPr>
    <w:r>
      <w:rPr>
        <w:noProof/>
      </w:rPr>
      <w:pict w14:anchorId="595F1D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905705" o:spid="_x0000_s2051" type="#_x0000_t136" style="position:absolute;left:0;text-align:left;margin-left:0;margin-top:0;width:699.8pt;height:77.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03AAA" w14:textId="04E3EB1B" w:rsidR="00087B6D" w:rsidRDefault="00087B6D">
    <w:pPr>
      <w:pStyle w:val="Header"/>
    </w:pPr>
    <w:r>
      <w:rPr>
        <w:noProof/>
      </w:rPr>
      <w:pict w14:anchorId="4A283E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905703" o:spid="_x0000_s2049" type="#_x0000_t136" style="position:absolute;left:0;text-align:left;margin-left:0;margin-top:0;width:699.8pt;height:77.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10782F"/>
    <w:multiLevelType w:val="hybridMultilevel"/>
    <w:tmpl w:val="4AC4A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687400"/>
    <w:multiLevelType w:val="hybridMultilevel"/>
    <w:tmpl w:val="0718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9566D1"/>
    <w:multiLevelType w:val="hybridMultilevel"/>
    <w:tmpl w:val="7BAE5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1B7C9E"/>
    <w:multiLevelType w:val="multilevel"/>
    <w:tmpl w:val="0C88FA22"/>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14F32EA"/>
    <w:multiLevelType w:val="hybridMultilevel"/>
    <w:tmpl w:val="E7D68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601C5E"/>
    <w:multiLevelType w:val="hybridMultilevel"/>
    <w:tmpl w:val="F65823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3733DE"/>
    <w:multiLevelType w:val="hybridMultilevel"/>
    <w:tmpl w:val="1BD88F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256848"/>
    <w:multiLevelType w:val="hybridMultilevel"/>
    <w:tmpl w:val="AD36A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8C196C"/>
    <w:multiLevelType w:val="hybridMultilevel"/>
    <w:tmpl w:val="E9F03D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4A1EAC"/>
    <w:multiLevelType w:val="hybridMultilevel"/>
    <w:tmpl w:val="A7EA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EE5C35"/>
    <w:multiLevelType w:val="hybridMultilevel"/>
    <w:tmpl w:val="4A0A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F1490C"/>
    <w:multiLevelType w:val="hybridMultilevel"/>
    <w:tmpl w:val="30E2D4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B47B39"/>
    <w:multiLevelType w:val="hybridMultilevel"/>
    <w:tmpl w:val="0D0A84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FD2ADC"/>
    <w:multiLevelType w:val="hybridMultilevel"/>
    <w:tmpl w:val="390E27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2D3349"/>
    <w:multiLevelType w:val="hybridMultilevel"/>
    <w:tmpl w:val="7B7E2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D46DE2"/>
    <w:multiLevelType w:val="hybridMultilevel"/>
    <w:tmpl w:val="C33094B4"/>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DD63F92"/>
    <w:multiLevelType w:val="hybridMultilevel"/>
    <w:tmpl w:val="0010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8732FF"/>
    <w:multiLevelType w:val="multilevel"/>
    <w:tmpl w:val="568460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1374EA5"/>
    <w:multiLevelType w:val="hybridMultilevel"/>
    <w:tmpl w:val="CAF83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8C22F9"/>
    <w:multiLevelType w:val="hybridMultilevel"/>
    <w:tmpl w:val="DDBAC8F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716B58F2"/>
    <w:multiLevelType w:val="multilevel"/>
    <w:tmpl w:val="EC12FE2E"/>
    <w:lvl w:ilvl="0">
      <w:start w:val="4"/>
      <w:numFmt w:val="decimal"/>
      <w:lvlText w:val="%1"/>
      <w:lvlJc w:val="left"/>
      <w:pPr>
        <w:ind w:left="375" w:hanging="375"/>
      </w:pPr>
      <w:rPr>
        <w:rFonts w:cs="SimSun" w:hint="default"/>
        <w:color w:val="000000"/>
        <w:sz w:val="24"/>
      </w:rPr>
    </w:lvl>
    <w:lvl w:ilvl="1">
      <w:start w:val="1"/>
      <w:numFmt w:val="decimal"/>
      <w:lvlText w:val="%1.%2"/>
      <w:lvlJc w:val="left"/>
      <w:pPr>
        <w:ind w:left="375" w:hanging="375"/>
      </w:pPr>
      <w:rPr>
        <w:rFonts w:cs="SimSun" w:hint="default"/>
        <w:color w:val="000000"/>
        <w:sz w:val="24"/>
      </w:rPr>
    </w:lvl>
    <w:lvl w:ilvl="2">
      <w:start w:val="1"/>
      <w:numFmt w:val="decimal"/>
      <w:lvlText w:val="%1.%2.%3"/>
      <w:lvlJc w:val="left"/>
      <w:pPr>
        <w:ind w:left="720" w:hanging="720"/>
      </w:pPr>
      <w:rPr>
        <w:rFonts w:cs="SimSun" w:hint="default"/>
        <w:color w:val="000000"/>
        <w:sz w:val="24"/>
      </w:rPr>
    </w:lvl>
    <w:lvl w:ilvl="3">
      <w:start w:val="1"/>
      <w:numFmt w:val="decimal"/>
      <w:lvlText w:val="%1.%2.%3.%4"/>
      <w:lvlJc w:val="left"/>
      <w:pPr>
        <w:ind w:left="720" w:hanging="720"/>
      </w:pPr>
      <w:rPr>
        <w:rFonts w:cs="SimSun" w:hint="default"/>
        <w:color w:val="000000"/>
        <w:sz w:val="24"/>
      </w:rPr>
    </w:lvl>
    <w:lvl w:ilvl="4">
      <w:start w:val="1"/>
      <w:numFmt w:val="decimal"/>
      <w:lvlText w:val="%1.%2.%3.%4.%5"/>
      <w:lvlJc w:val="left"/>
      <w:pPr>
        <w:ind w:left="1080" w:hanging="1080"/>
      </w:pPr>
      <w:rPr>
        <w:rFonts w:cs="SimSun" w:hint="default"/>
        <w:color w:val="000000"/>
        <w:sz w:val="24"/>
      </w:rPr>
    </w:lvl>
    <w:lvl w:ilvl="5">
      <w:start w:val="1"/>
      <w:numFmt w:val="decimal"/>
      <w:lvlText w:val="%1.%2.%3.%4.%5.%6"/>
      <w:lvlJc w:val="left"/>
      <w:pPr>
        <w:ind w:left="1080" w:hanging="1080"/>
      </w:pPr>
      <w:rPr>
        <w:rFonts w:cs="SimSun" w:hint="default"/>
        <w:color w:val="000000"/>
        <w:sz w:val="24"/>
      </w:rPr>
    </w:lvl>
    <w:lvl w:ilvl="6">
      <w:start w:val="1"/>
      <w:numFmt w:val="decimal"/>
      <w:lvlText w:val="%1.%2.%3.%4.%5.%6.%7"/>
      <w:lvlJc w:val="left"/>
      <w:pPr>
        <w:ind w:left="1440" w:hanging="1440"/>
      </w:pPr>
      <w:rPr>
        <w:rFonts w:cs="SimSun" w:hint="default"/>
        <w:color w:val="000000"/>
        <w:sz w:val="24"/>
      </w:rPr>
    </w:lvl>
    <w:lvl w:ilvl="7">
      <w:start w:val="1"/>
      <w:numFmt w:val="decimal"/>
      <w:lvlText w:val="%1.%2.%3.%4.%5.%6.%7.%8"/>
      <w:lvlJc w:val="left"/>
      <w:pPr>
        <w:ind w:left="1440" w:hanging="1440"/>
      </w:pPr>
      <w:rPr>
        <w:rFonts w:cs="SimSun" w:hint="default"/>
        <w:color w:val="000000"/>
        <w:sz w:val="24"/>
      </w:rPr>
    </w:lvl>
    <w:lvl w:ilvl="8">
      <w:start w:val="1"/>
      <w:numFmt w:val="decimal"/>
      <w:lvlText w:val="%1.%2.%3.%4.%5.%6.%7.%8.%9"/>
      <w:lvlJc w:val="left"/>
      <w:pPr>
        <w:ind w:left="1800" w:hanging="1800"/>
      </w:pPr>
      <w:rPr>
        <w:rFonts w:cs="SimSun" w:hint="default"/>
        <w:color w:val="000000"/>
        <w:sz w:val="24"/>
      </w:rPr>
    </w:lvl>
  </w:abstractNum>
  <w:abstractNum w:abstractNumId="22">
    <w:nsid w:val="79B72972"/>
    <w:multiLevelType w:val="hybridMultilevel"/>
    <w:tmpl w:val="4F306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C84D78"/>
    <w:multiLevelType w:val="multilevel"/>
    <w:tmpl w:val="C2EA0EBE"/>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5"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960" w:hanging="540"/>
      </w:pPr>
      <w:rPr>
        <w:rFonts w:hint="default"/>
        <w:lang w:val="en-US" w:eastAsia="en-US" w:bidi="ar-SA"/>
      </w:rPr>
    </w:lvl>
    <w:lvl w:ilvl="4">
      <w:numFmt w:val="bullet"/>
      <w:lvlText w:val="•"/>
      <w:lvlJc w:val="left"/>
      <w:pPr>
        <w:ind w:left="1090" w:hanging="540"/>
      </w:pPr>
      <w:rPr>
        <w:rFonts w:hint="default"/>
        <w:lang w:val="en-US" w:eastAsia="en-US" w:bidi="ar-SA"/>
      </w:rPr>
    </w:lvl>
    <w:lvl w:ilvl="5">
      <w:numFmt w:val="bullet"/>
      <w:lvlText w:val="•"/>
      <w:lvlJc w:val="left"/>
      <w:pPr>
        <w:ind w:left="1220" w:hanging="540"/>
      </w:pPr>
      <w:rPr>
        <w:rFonts w:hint="default"/>
        <w:lang w:val="en-US" w:eastAsia="en-US" w:bidi="ar-SA"/>
      </w:rPr>
    </w:lvl>
    <w:lvl w:ilvl="6">
      <w:numFmt w:val="bullet"/>
      <w:lvlText w:val="•"/>
      <w:lvlJc w:val="left"/>
      <w:pPr>
        <w:ind w:left="1351" w:hanging="540"/>
      </w:pPr>
      <w:rPr>
        <w:rFonts w:hint="default"/>
        <w:lang w:val="en-US" w:eastAsia="en-US" w:bidi="ar-SA"/>
      </w:rPr>
    </w:lvl>
    <w:lvl w:ilvl="7">
      <w:numFmt w:val="bullet"/>
      <w:lvlText w:val="•"/>
      <w:lvlJc w:val="left"/>
      <w:pPr>
        <w:ind w:left="1481" w:hanging="540"/>
      </w:pPr>
      <w:rPr>
        <w:rFonts w:hint="default"/>
        <w:lang w:val="en-US" w:eastAsia="en-US" w:bidi="ar-SA"/>
      </w:rPr>
    </w:lvl>
    <w:lvl w:ilvl="8">
      <w:numFmt w:val="bullet"/>
      <w:lvlText w:val="•"/>
      <w:lvlJc w:val="left"/>
      <w:pPr>
        <w:ind w:left="1611" w:hanging="540"/>
      </w:pPr>
      <w:rPr>
        <w:rFonts w:hint="default"/>
        <w:lang w:val="en-US" w:eastAsia="en-US" w:bidi="ar-SA"/>
      </w:rPr>
    </w:lvl>
  </w:abstractNum>
  <w:num w:numId="1">
    <w:abstractNumId w:val="5"/>
  </w:num>
  <w:num w:numId="2">
    <w:abstractNumId w:val="17"/>
  </w:num>
  <w:num w:numId="3">
    <w:abstractNumId w:val="23"/>
  </w:num>
  <w:num w:numId="4">
    <w:abstractNumId w:val="22"/>
  </w:num>
  <w:num w:numId="5">
    <w:abstractNumId w:val="18"/>
  </w:num>
  <w:num w:numId="6">
    <w:abstractNumId w:val="21"/>
  </w:num>
  <w:num w:numId="7">
    <w:abstractNumId w:val="4"/>
  </w:num>
  <w:num w:numId="8">
    <w:abstractNumId w:val="0"/>
  </w:num>
  <w:num w:numId="9">
    <w:abstractNumId w:val="13"/>
  </w:num>
  <w:num w:numId="10">
    <w:abstractNumId w:val="6"/>
  </w:num>
  <w:num w:numId="11">
    <w:abstractNumId w:val="2"/>
  </w:num>
  <w:num w:numId="12">
    <w:abstractNumId w:val="11"/>
  </w:num>
  <w:num w:numId="13">
    <w:abstractNumId w:val="15"/>
  </w:num>
  <w:num w:numId="14">
    <w:abstractNumId w:val="20"/>
  </w:num>
  <w:num w:numId="15">
    <w:abstractNumId w:val="3"/>
  </w:num>
  <w:num w:numId="16">
    <w:abstractNumId w:val="10"/>
  </w:num>
  <w:num w:numId="17">
    <w:abstractNumId w:val="8"/>
  </w:num>
  <w:num w:numId="18">
    <w:abstractNumId w:val="16"/>
  </w:num>
  <w:num w:numId="19">
    <w:abstractNumId w:val="14"/>
  </w:num>
  <w:num w:numId="20">
    <w:abstractNumId w:val="7"/>
  </w:num>
  <w:num w:numId="21">
    <w:abstractNumId w:val="9"/>
  </w:num>
  <w:num w:numId="22">
    <w:abstractNumId w:val="12"/>
  </w:num>
  <w:num w:numId="23">
    <w:abstractNumId w:val="19"/>
  </w:num>
  <w:num w:numId="2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69b11199cdfe1f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D83"/>
    <w:rsid w:val="00001A44"/>
    <w:rsid w:val="00005286"/>
    <w:rsid w:val="00014726"/>
    <w:rsid w:val="0001490C"/>
    <w:rsid w:val="00036654"/>
    <w:rsid w:val="000410EC"/>
    <w:rsid w:val="000443AB"/>
    <w:rsid w:val="000446E8"/>
    <w:rsid w:val="00047D61"/>
    <w:rsid w:val="00055D83"/>
    <w:rsid w:val="000577EB"/>
    <w:rsid w:val="0006448B"/>
    <w:rsid w:val="00064933"/>
    <w:rsid w:val="000661F9"/>
    <w:rsid w:val="00073097"/>
    <w:rsid w:val="00073840"/>
    <w:rsid w:val="000747C2"/>
    <w:rsid w:val="000750F8"/>
    <w:rsid w:val="00076BA5"/>
    <w:rsid w:val="00082DAA"/>
    <w:rsid w:val="00087A1D"/>
    <w:rsid w:val="00087B6D"/>
    <w:rsid w:val="00087EBC"/>
    <w:rsid w:val="0009733F"/>
    <w:rsid w:val="000A3BD7"/>
    <w:rsid w:val="000A57EC"/>
    <w:rsid w:val="000A6884"/>
    <w:rsid w:val="000B496D"/>
    <w:rsid w:val="000C037E"/>
    <w:rsid w:val="000C57D5"/>
    <w:rsid w:val="000D075E"/>
    <w:rsid w:val="000D0F56"/>
    <w:rsid w:val="000D1B44"/>
    <w:rsid w:val="000D7152"/>
    <w:rsid w:val="000D7DAA"/>
    <w:rsid w:val="000E11E7"/>
    <w:rsid w:val="000E2349"/>
    <w:rsid w:val="000F4C94"/>
    <w:rsid w:val="00111B62"/>
    <w:rsid w:val="001163C7"/>
    <w:rsid w:val="00130874"/>
    <w:rsid w:val="00131EAA"/>
    <w:rsid w:val="001403AD"/>
    <w:rsid w:val="00142F60"/>
    <w:rsid w:val="001450C8"/>
    <w:rsid w:val="001452A3"/>
    <w:rsid w:val="00147E4C"/>
    <w:rsid w:val="00151266"/>
    <w:rsid w:val="00154669"/>
    <w:rsid w:val="00162029"/>
    <w:rsid w:val="00167079"/>
    <w:rsid w:val="00167C75"/>
    <w:rsid w:val="0017796D"/>
    <w:rsid w:val="0018163F"/>
    <w:rsid w:val="00185BCB"/>
    <w:rsid w:val="00185FFD"/>
    <w:rsid w:val="0018600E"/>
    <w:rsid w:val="001938DE"/>
    <w:rsid w:val="001A1E1C"/>
    <w:rsid w:val="001A5880"/>
    <w:rsid w:val="001C0412"/>
    <w:rsid w:val="001C35CA"/>
    <w:rsid w:val="001C4B7D"/>
    <w:rsid w:val="001D23A9"/>
    <w:rsid w:val="001D4A55"/>
    <w:rsid w:val="001D6A60"/>
    <w:rsid w:val="001E0043"/>
    <w:rsid w:val="001E21F0"/>
    <w:rsid w:val="001E5289"/>
    <w:rsid w:val="001E649F"/>
    <w:rsid w:val="001F024F"/>
    <w:rsid w:val="001F27A6"/>
    <w:rsid w:val="001F2B0E"/>
    <w:rsid w:val="001F51C1"/>
    <w:rsid w:val="001F7468"/>
    <w:rsid w:val="00204AAD"/>
    <w:rsid w:val="0021142D"/>
    <w:rsid w:val="002151BA"/>
    <w:rsid w:val="00217B45"/>
    <w:rsid w:val="0022048F"/>
    <w:rsid w:val="0022156B"/>
    <w:rsid w:val="00223099"/>
    <w:rsid w:val="00223A1A"/>
    <w:rsid w:val="0022500A"/>
    <w:rsid w:val="002436A6"/>
    <w:rsid w:val="00243C69"/>
    <w:rsid w:val="0024737A"/>
    <w:rsid w:val="0025131C"/>
    <w:rsid w:val="0025160E"/>
    <w:rsid w:val="0025635B"/>
    <w:rsid w:val="00260B2D"/>
    <w:rsid w:val="002645C1"/>
    <w:rsid w:val="00270AED"/>
    <w:rsid w:val="00271CF6"/>
    <w:rsid w:val="00274AC6"/>
    <w:rsid w:val="00276CE5"/>
    <w:rsid w:val="002779A5"/>
    <w:rsid w:val="00280B3D"/>
    <w:rsid w:val="00281B4F"/>
    <w:rsid w:val="002856C7"/>
    <w:rsid w:val="002859D4"/>
    <w:rsid w:val="002860AE"/>
    <w:rsid w:val="002B2D3C"/>
    <w:rsid w:val="002B5578"/>
    <w:rsid w:val="002C2F8F"/>
    <w:rsid w:val="002C5E15"/>
    <w:rsid w:val="002C6F25"/>
    <w:rsid w:val="002C72A3"/>
    <w:rsid w:val="002D1CB2"/>
    <w:rsid w:val="002D32ED"/>
    <w:rsid w:val="002D4259"/>
    <w:rsid w:val="002D7340"/>
    <w:rsid w:val="002E3874"/>
    <w:rsid w:val="002E784F"/>
    <w:rsid w:val="002F03DA"/>
    <w:rsid w:val="002F3573"/>
    <w:rsid w:val="00300BE0"/>
    <w:rsid w:val="00301FD6"/>
    <w:rsid w:val="003029F0"/>
    <w:rsid w:val="00311377"/>
    <w:rsid w:val="00311DFA"/>
    <w:rsid w:val="003128C6"/>
    <w:rsid w:val="003131D7"/>
    <w:rsid w:val="003140FD"/>
    <w:rsid w:val="00323D68"/>
    <w:rsid w:val="00324548"/>
    <w:rsid w:val="0033028F"/>
    <w:rsid w:val="0033151D"/>
    <w:rsid w:val="00336C6D"/>
    <w:rsid w:val="00337145"/>
    <w:rsid w:val="0034183D"/>
    <w:rsid w:val="00342FD9"/>
    <w:rsid w:val="00343363"/>
    <w:rsid w:val="00344733"/>
    <w:rsid w:val="003518C1"/>
    <w:rsid w:val="003607E2"/>
    <w:rsid w:val="0036344E"/>
    <w:rsid w:val="00370F8B"/>
    <w:rsid w:val="00372DCB"/>
    <w:rsid w:val="00374FD9"/>
    <w:rsid w:val="00376BF4"/>
    <w:rsid w:val="0038103F"/>
    <w:rsid w:val="003851AE"/>
    <w:rsid w:val="003A2387"/>
    <w:rsid w:val="003C4227"/>
    <w:rsid w:val="003C581F"/>
    <w:rsid w:val="003C59BB"/>
    <w:rsid w:val="003C7107"/>
    <w:rsid w:val="003D2541"/>
    <w:rsid w:val="003D39AB"/>
    <w:rsid w:val="003D4D6F"/>
    <w:rsid w:val="003D7198"/>
    <w:rsid w:val="003E0D69"/>
    <w:rsid w:val="003E0FAD"/>
    <w:rsid w:val="003F01AE"/>
    <w:rsid w:val="003F72A0"/>
    <w:rsid w:val="004002A3"/>
    <w:rsid w:val="0040626D"/>
    <w:rsid w:val="00406845"/>
    <w:rsid w:val="004071F4"/>
    <w:rsid w:val="00407977"/>
    <w:rsid w:val="0041566F"/>
    <w:rsid w:val="00415ABE"/>
    <w:rsid w:val="004165B3"/>
    <w:rsid w:val="00416E73"/>
    <w:rsid w:val="00421CF2"/>
    <w:rsid w:val="0042251A"/>
    <w:rsid w:val="00426617"/>
    <w:rsid w:val="00426CDB"/>
    <w:rsid w:val="00437393"/>
    <w:rsid w:val="00440EF7"/>
    <w:rsid w:val="00442282"/>
    <w:rsid w:val="00462B59"/>
    <w:rsid w:val="00466181"/>
    <w:rsid w:val="004737A8"/>
    <w:rsid w:val="004916BB"/>
    <w:rsid w:val="004963A4"/>
    <w:rsid w:val="00496991"/>
    <w:rsid w:val="004A12F4"/>
    <w:rsid w:val="004A3F7C"/>
    <w:rsid w:val="004A5357"/>
    <w:rsid w:val="004B7C71"/>
    <w:rsid w:val="004C3121"/>
    <w:rsid w:val="004C41F7"/>
    <w:rsid w:val="004C4596"/>
    <w:rsid w:val="004C7D5D"/>
    <w:rsid w:val="004D0812"/>
    <w:rsid w:val="004D081D"/>
    <w:rsid w:val="004D5CCD"/>
    <w:rsid w:val="004D6AC0"/>
    <w:rsid w:val="004E3D2D"/>
    <w:rsid w:val="004E4A2C"/>
    <w:rsid w:val="004F5A5D"/>
    <w:rsid w:val="00500683"/>
    <w:rsid w:val="00505972"/>
    <w:rsid w:val="0051495F"/>
    <w:rsid w:val="005202A1"/>
    <w:rsid w:val="0052143B"/>
    <w:rsid w:val="00526412"/>
    <w:rsid w:val="0052667E"/>
    <w:rsid w:val="00531B5F"/>
    <w:rsid w:val="005417F4"/>
    <w:rsid w:val="0054398C"/>
    <w:rsid w:val="00546369"/>
    <w:rsid w:val="005508BF"/>
    <w:rsid w:val="00556C7C"/>
    <w:rsid w:val="00561737"/>
    <w:rsid w:val="00563CE7"/>
    <w:rsid w:val="005666F9"/>
    <w:rsid w:val="00571717"/>
    <w:rsid w:val="00571F99"/>
    <w:rsid w:val="005740B5"/>
    <w:rsid w:val="00575F00"/>
    <w:rsid w:val="00591997"/>
    <w:rsid w:val="00591DBD"/>
    <w:rsid w:val="005926C9"/>
    <w:rsid w:val="00594F68"/>
    <w:rsid w:val="005A1956"/>
    <w:rsid w:val="005B04D7"/>
    <w:rsid w:val="005B0558"/>
    <w:rsid w:val="005C09D0"/>
    <w:rsid w:val="005D3FE1"/>
    <w:rsid w:val="005D72F4"/>
    <w:rsid w:val="005E3D2C"/>
    <w:rsid w:val="005F1DA5"/>
    <w:rsid w:val="005F2F50"/>
    <w:rsid w:val="0060683F"/>
    <w:rsid w:val="00610BEF"/>
    <w:rsid w:val="0061111A"/>
    <w:rsid w:val="00615B2D"/>
    <w:rsid w:val="00616E93"/>
    <w:rsid w:val="006177C4"/>
    <w:rsid w:val="006211E5"/>
    <w:rsid w:val="00622E5D"/>
    <w:rsid w:val="0062367B"/>
    <w:rsid w:val="00623C02"/>
    <w:rsid w:val="00632E53"/>
    <w:rsid w:val="00652189"/>
    <w:rsid w:val="0065654C"/>
    <w:rsid w:val="00661AAF"/>
    <w:rsid w:val="00675C16"/>
    <w:rsid w:val="006826A1"/>
    <w:rsid w:val="00683F32"/>
    <w:rsid w:val="00685965"/>
    <w:rsid w:val="0068692A"/>
    <w:rsid w:val="006A0520"/>
    <w:rsid w:val="006B1220"/>
    <w:rsid w:val="006B3C88"/>
    <w:rsid w:val="006B5A8E"/>
    <w:rsid w:val="006B5CA2"/>
    <w:rsid w:val="006C3DFD"/>
    <w:rsid w:val="006C41A9"/>
    <w:rsid w:val="006C4D79"/>
    <w:rsid w:val="006D16E8"/>
    <w:rsid w:val="006E1D74"/>
    <w:rsid w:val="006E3F3F"/>
    <w:rsid w:val="006E526B"/>
    <w:rsid w:val="0070085D"/>
    <w:rsid w:val="00711AB4"/>
    <w:rsid w:val="00714562"/>
    <w:rsid w:val="0071731F"/>
    <w:rsid w:val="007173FC"/>
    <w:rsid w:val="007205CE"/>
    <w:rsid w:val="00722A32"/>
    <w:rsid w:val="00723B81"/>
    <w:rsid w:val="007313ED"/>
    <w:rsid w:val="00750F50"/>
    <w:rsid w:val="0076188C"/>
    <w:rsid w:val="00762807"/>
    <w:rsid w:val="007656A9"/>
    <w:rsid w:val="00766A2F"/>
    <w:rsid w:val="0077042C"/>
    <w:rsid w:val="00772A04"/>
    <w:rsid w:val="00774F84"/>
    <w:rsid w:val="007769D0"/>
    <w:rsid w:val="00777615"/>
    <w:rsid w:val="007846B3"/>
    <w:rsid w:val="00784B96"/>
    <w:rsid w:val="00785F6F"/>
    <w:rsid w:val="00790BF9"/>
    <w:rsid w:val="00795B86"/>
    <w:rsid w:val="00797B58"/>
    <w:rsid w:val="007A0442"/>
    <w:rsid w:val="007A2567"/>
    <w:rsid w:val="007A48D9"/>
    <w:rsid w:val="007A56B8"/>
    <w:rsid w:val="007A602B"/>
    <w:rsid w:val="007A6B64"/>
    <w:rsid w:val="007A7328"/>
    <w:rsid w:val="007A784F"/>
    <w:rsid w:val="007A7BFC"/>
    <w:rsid w:val="007B3AE1"/>
    <w:rsid w:val="007B652A"/>
    <w:rsid w:val="007B693A"/>
    <w:rsid w:val="007B75C6"/>
    <w:rsid w:val="007C3182"/>
    <w:rsid w:val="007C6929"/>
    <w:rsid w:val="007D08AC"/>
    <w:rsid w:val="007D4F35"/>
    <w:rsid w:val="007E3458"/>
    <w:rsid w:val="007E5A6C"/>
    <w:rsid w:val="007F1318"/>
    <w:rsid w:val="007F4F3C"/>
    <w:rsid w:val="008003E7"/>
    <w:rsid w:val="0081762C"/>
    <w:rsid w:val="008209F0"/>
    <w:rsid w:val="00822A7E"/>
    <w:rsid w:val="008263C5"/>
    <w:rsid w:val="008456FF"/>
    <w:rsid w:val="00854FF7"/>
    <w:rsid w:val="00857BF9"/>
    <w:rsid w:val="00860F17"/>
    <w:rsid w:val="00870B4E"/>
    <w:rsid w:val="008718EE"/>
    <w:rsid w:val="00872612"/>
    <w:rsid w:val="00876501"/>
    <w:rsid w:val="00880213"/>
    <w:rsid w:val="00895281"/>
    <w:rsid w:val="008A5E87"/>
    <w:rsid w:val="008B0097"/>
    <w:rsid w:val="008B4F87"/>
    <w:rsid w:val="008B511B"/>
    <w:rsid w:val="008B630B"/>
    <w:rsid w:val="008B7836"/>
    <w:rsid w:val="008B7D65"/>
    <w:rsid w:val="008C2098"/>
    <w:rsid w:val="008D43EA"/>
    <w:rsid w:val="008E2312"/>
    <w:rsid w:val="008F4E62"/>
    <w:rsid w:val="00906288"/>
    <w:rsid w:val="00912F66"/>
    <w:rsid w:val="0092006B"/>
    <w:rsid w:val="00925466"/>
    <w:rsid w:val="0092720B"/>
    <w:rsid w:val="00935ABF"/>
    <w:rsid w:val="00945F70"/>
    <w:rsid w:val="00961903"/>
    <w:rsid w:val="00963A57"/>
    <w:rsid w:val="00973355"/>
    <w:rsid w:val="009841F2"/>
    <w:rsid w:val="00984917"/>
    <w:rsid w:val="00993BED"/>
    <w:rsid w:val="009963FB"/>
    <w:rsid w:val="009A067C"/>
    <w:rsid w:val="009A1D5D"/>
    <w:rsid w:val="009A2D28"/>
    <w:rsid w:val="009B17C5"/>
    <w:rsid w:val="009B2CE5"/>
    <w:rsid w:val="009B3203"/>
    <w:rsid w:val="009B38E7"/>
    <w:rsid w:val="009B7DE4"/>
    <w:rsid w:val="009C0C7F"/>
    <w:rsid w:val="009C11BB"/>
    <w:rsid w:val="009D5CE2"/>
    <w:rsid w:val="009E0B92"/>
    <w:rsid w:val="009E0CF9"/>
    <w:rsid w:val="009E42B6"/>
    <w:rsid w:val="009E457F"/>
    <w:rsid w:val="009E783A"/>
    <w:rsid w:val="009F3871"/>
    <w:rsid w:val="009F53BF"/>
    <w:rsid w:val="009F5632"/>
    <w:rsid w:val="009F6D2D"/>
    <w:rsid w:val="00A00A05"/>
    <w:rsid w:val="00A0120F"/>
    <w:rsid w:val="00A01B25"/>
    <w:rsid w:val="00A01E19"/>
    <w:rsid w:val="00A22EB7"/>
    <w:rsid w:val="00A27439"/>
    <w:rsid w:val="00A31119"/>
    <w:rsid w:val="00A40F08"/>
    <w:rsid w:val="00A52C12"/>
    <w:rsid w:val="00A57832"/>
    <w:rsid w:val="00A616A9"/>
    <w:rsid w:val="00A6347C"/>
    <w:rsid w:val="00A6679B"/>
    <w:rsid w:val="00A67F40"/>
    <w:rsid w:val="00A73EDF"/>
    <w:rsid w:val="00A75341"/>
    <w:rsid w:val="00A81F27"/>
    <w:rsid w:val="00A82DFB"/>
    <w:rsid w:val="00A85593"/>
    <w:rsid w:val="00A85B82"/>
    <w:rsid w:val="00A91ACF"/>
    <w:rsid w:val="00A91C98"/>
    <w:rsid w:val="00A94D23"/>
    <w:rsid w:val="00A9586C"/>
    <w:rsid w:val="00A9631D"/>
    <w:rsid w:val="00A96A1E"/>
    <w:rsid w:val="00AC0D69"/>
    <w:rsid w:val="00AC49DF"/>
    <w:rsid w:val="00AD0959"/>
    <w:rsid w:val="00AD4106"/>
    <w:rsid w:val="00AD51A6"/>
    <w:rsid w:val="00AD6429"/>
    <w:rsid w:val="00AE3911"/>
    <w:rsid w:val="00AE4AA5"/>
    <w:rsid w:val="00AE69E8"/>
    <w:rsid w:val="00AF253B"/>
    <w:rsid w:val="00AF38F9"/>
    <w:rsid w:val="00AF46F3"/>
    <w:rsid w:val="00B00FCB"/>
    <w:rsid w:val="00B03327"/>
    <w:rsid w:val="00B04E6C"/>
    <w:rsid w:val="00B108BB"/>
    <w:rsid w:val="00B14EAC"/>
    <w:rsid w:val="00B2188D"/>
    <w:rsid w:val="00B22173"/>
    <w:rsid w:val="00B40B7A"/>
    <w:rsid w:val="00B40DD3"/>
    <w:rsid w:val="00B449E1"/>
    <w:rsid w:val="00B44B78"/>
    <w:rsid w:val="00B55CEF"/>
    <w:rsid w:val="00B55DC9"/>
    <w:rsid w:val="00B67158"/>
    <w:rsid w:val="00B717D1"/>
    <w:rsid w:val="00B836B4"/>
    <w:rsid w:val="00B85E42"/>
    <w:rsid w:val="00B87A83"/>
    <w:rsid w:val="00B93488"/>
    <w:rsid w:val="00B9497F"/>
    <w:rsid w:val="00BA58DB"/>
    <w:rsid w:val="00BA790C"/>
    <w:rsid w:val="00BB1899"/>
    <w:rsid w:val="00BB3A83"/>
    <w:rsid w:val="00BC2524"/>
    <w:rsid w:val="00BC6A0A"/>
    <w:rsid w:val="00BC7830"/>
    <w:rsid w:val="00BD0E33"/>
    <w:rsid w:val="00BD15A0"/>
    <w:rsid w:val="00BD64EB"/>
    <w:rsid w:val="00BD7BE1"/>
    <w:rsid w:val="00BE1869"/>
    <w:rsid w:val="00BE24E1"/>
    <w:rsid w:val="00BE5008"/>
    <w:rsid w:val="00BE754B"/>
    <w:rsid w:val="00BF3AB9"/>
    <w:rsid w:val="00BF3C23"/>
    <w:rsid w:val="00BF6F97"/>
    <w:rsid w:val="00C01423"/>
    <w:rsid w:val="00C0320B"/>
    <w:rsid w:val="00C03297"/>
    <w:rsid w:val="00C053F5"/>
    <w:rsid w:val="00C06731"/>
    <w:rsid w:val="00C076C4"/>
    <w:rsid w:val="00C10FCA"/>
    <w:rsid w:val="00C1335A"/>
    <w:rsid w:val="00C237CE"/>
    <w:rsid w:val="00C25488"/>
    <w:rsid w:val="00C32AB8"/>
    <w:rsid w:val="00C4118B"/>
    <w:rsid w:val="00C54577"/>
    <w:rsid w:val="00C67694"/>
    <w:rsid w:val="00C864EE"/>
    <w:rsid w:val="00C9348C"/>
    <w:rsid w:val="00C95979"/>
    <w:rsid w:val="00C95D14"/>
    <w:rsid w:val="00CA2418"/>
    <w:rsid w:val="00CA37C0"/>
    <w:rsid w:val="00CA6BD4"/>
    <w:rsid w:val="00CB6E82"/>
    <w:rsid w:val="00CE4C91"/>
    <w:rsid w:val="00CF7125"/>
    <w:rsid w:val="00CF7422"/>
    <w:rsid w:val="00D15E77"/>
    <w:rsid w:val="00D16476"/>
    <w:rsid w:val="00D20B1E"/>
    <w:rsid w:val="00D21679"/>
    <w:rsid w:val="00D242AA"/>
    <w:rsid w:val="00D24F2A"/>
    <w:rsid w:val="00D257C4"/>
    <w:rsid w:val="00D257F6"/>
    <w:rsid w:val="00D26C8B"/>
    <w:rsid w:val="00D309F6"/>
    <w:rsid w:val="00D352C1"/>
    <w:rsid w:val="00D35C0E"/>
    <w:rsid w:val="00D36322"/>
    <w:rsid w:val="00D5251B"/>
    <w:rsid w:val="00D54CAA"/>
    <w:rsid w:val="00D56393"/>
    <w:rsid w:val="00D56DAA"/>
    <w:rsid w:val="00D62D54"/>
    <w:rsid w:val="00D656A4"/>
    <w:rsid w:val="00D665A0"/>
    <w:rsid w:val="00D73F27"/>
    <w:rsid w:val="00D74259"/>
    <w:rsid w:val="00D7477F"/>
    <w:rsid w:val="00D7785F"/>
    <w:rsid w:val="00D916BC"/>
    <w:rsid w:val="00D94638"/>
    <w:rsid w:val="00DA0813"/>
    <w:rsid w:val="00DB266B"/>
    <w:rsid w:val="00DB408B"/>
    <w:rsid w:val="00DC31BD"/>
    <w:rsid w:val="00DC406B"/>
    <w:rsid w:val="00DC4076"/>
    <w:rsid w:val="00DC411F"/>
    <w:rsid w:val="00DD21C0"/>
    <w:rsid w:val="00DE2430"/>
    <w:rsid w:val="00DE5974"/>
    <w:rsid w:val="00DF126E"/>
    <w:rsid w:val="00DF2A42"/>
    <w:rsid w:val="00E05059"/>
    <w:rsid w:val="00E0554F"/>
    <w:rsid w:val="00E07021"/>
    <w:rsid w:val="00E1065F"/>
    <w:rsid w:val="00E1453F"/>
    <w:rsid w:val="00E160F3"/>
    <w:rsid w:val="00E17890"/>
    <w:rsid w:val="00E207BA"/>
    <w:rsid w:val="00E22B03"/>
    <w:rsid w:val="00E22FC8"/>
    <w:rsid w:val="00E236F2"/>
    <w:rsid w:val="00E24AB2"/>
    <w:rsid w:val="00E31A3E"/>
    <w:rsid w:val="00E3230A"/>
    <w:rsid w:val="00E3709F"/>
    <w:rsid w:val="00E41E2F"/>
    <w:rsid w:val="00E448DE"/>
    <w:rsid w:val="00E468EC"/>
    <w:rsid w:val="00E50F0F"/>
    <w:rsid w:val="00E5141C"/>
    <w:rsid w:val="00E54B24"/>
    <w:rsid w:val="00E550A5"/>
    <w:rsid w:val="00E57ADC"/>
    <w:rsid w:val="00E60AE6"/>
    <w:rsid w:val="00E63B72"/>
    <w:rsid w:val="00E63DD0"/>
    <w:rsid w:val="00E70601"/>
    <w:rsid w:val="00E728DB"/>
    <w:rsid w:val="00E730D7"/>
    <w:rsid w:val="00E737F5"/>
    <w:rsid w:val="00E73E17"/>
    <w:rsid w:val="00E7572C"/>
    <w:rsid w:val="00E75DCB"/>
    <w:rsid w:val="00E77E87"/>
    <w:rsid w:val="00E819C7"/>
    <w:rsid w:val="00E85394"/>
    <w:rsid w:val="00E85589"/>
    <w:rsid w:val="00E85EDC"/>
    <w:rsid w:val="00E87A78"/>
    <w:rsid w:val="00EA355D"/>
    <w:rsid w:val="00EA6B12"/>
    <w:rsid w:val="00EA710F"/>
    <w:rsid w:val="00EA7AE3"/>
    <w:rsid w:val="00EC58C5"/>
    <w:rsid w:val="00ED008A"/>
    <w:rsid w:val="00ED66D3"/>
    <w:rsid w:val="00EE0214"/>
    <w:rsid w:val="00EF2DD5"/>
    <w:rsid w:val="00F00D01"/>
    <w:rsid w:val="00F01BA4"/>
    <w:rsid w:val="00F02225"/>
    <w:rsid w:val="00F05D67"/>
    <w:rsid w:val="00F111A2"/>
    <w:rsid w:val="00F14915"/>
    <w:rsid w:val="00F16858"/>
    <w:rsid w:val="00F23691"/>
    <w:rsid w:val="00F341B9"/>
    <w:rsid w:val="00F42712"/>
    <w:rsid w:val="00F42A52"/>
    <w:rsid w:val="00F42B0A"/>
    <w:rsid w:val="00F46BA3"/>
    <w:rsid w:val="00F61F6F"/>
    <w:rsid w:val="00F6655B"/>
    <w:rsid w:val="00F74A68"/>
    <w:rsid w:val="00F74BD5"/>
    <w:rsid w:val="00F857CA"/>
    <w:rsid w:val="00F926C6"/>
    <w:rsid w:val="00F933EE"/>
    <w:rsid w:val="00F93EB9"/>
    <w:rsid w:val="00FA3A0A"/>
    <w:rsid w:val="00FA74EF"/>
    <w:rsid w:val="00FB2158"/>
    <w:rsid w:val="00FB2E0F"/>
    <w:rsid w:val="00FB3030"/>
    <w:rsid w:val="00FB4E25"/>
    <w:rsid w:val="00FC34D0"/>
    <w:rsid w:val="00FC4A1C"/>
    <w:rsid w:val="00FD3DAC"/>
    <w:rsid w:val="00FD4A02"/>
    <w:rsid w:val="00FE5B93"/>
    <w:rsid w:val="00FE6B26"/>
    <w:rsid w:val="00FE7703"/>
    <w:rsid w:val="00FF5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660C7A"/>
  <w15:chartTrackingRefBased/>
  <w15:docId w15:val="{F58B4E4C-2E9A-4CEF-A397-9B648E9C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D83"/>
    <w:pPr>
      <w:spacing w:before="240" w:after="0" w:line="480" w:lineRule="auto"/>
      <w:jc w:val="both"/>
    </w:pPr>
    <w:rPr>
      <w:rFonts w:ascii="Times New Roman" w:eastAsia="Calibri" w:hAnsi="Times New Roman" w:cs="SimSun"/>
      <w:color w:val="000000"/>
      <w:kern w:val="0"/>
      <w:sz w:val="24"/>
    </w:rPr>
  </w:style>
  <w:style w:type="paragraph" w:styleId="Heading1">
    <w:name w:val="heading 1"/>
    <w:basedOn w:val="Normal"/>
    <w:next w:val="Normal"/>
    <w:link w:val="Heading1Char"/>
    <w:autoRedefine/>
    <w:uiPriority w:val="9"/>
    <w:qFormat/>
    <w:rsid w:val="00B67158"/>
    <w:pPr>
      <w:keepNext/>
      <w:keepLines/>
      <w:spacing w:before="600" w:after="120" w:line="240" w:lineRule="auto"/>
      <w:outlineLvl w:val="0"/>
    </w:pPr>
    <w:rPr>
      <w:rFonts w:eastAsia="Times New Roman" w:cs="Times New Roman"/>
      <w:b/>
      <w:color w:val="000000" w:themeColor="text1"/>
      <w:kern w:val="2"/>
      <w:sz w:val="28"/>
      <w:szCs w:val="28"/>
      <w:u w:val="single"/>
    </w:rPr>
  </w:style>
  <w:style w:type="paragraph" w:styleId="Heading2">
    <w:name w:val="heading 2"/>
    <w:basedOn w:val="Normal"/>
    <w:next w:val="Normal"/>
    <w:link w:val="Heading2Char"/>
    <w:uiPriority w:val="9"/>
    <w:semiHidden/>
    <w:unhideWhenUsed/>
    <w:qFormat/>
    <w:rsid w:val="006068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111A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719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5D8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158"/>
    <w:rPr>
      <w:rFonts w:ascii="Times New Roman" w:eastAsia="Times New Roman" w:hAnsi="Times New Roman" w:cs="Times New Roman"/>
      <w:b/>
      <w:color w:val="000000" w:themeColor="text1"/>
      <w:sz w:val="28"/>
      <w:szCs w:val="28"/>
      <w:u w:val="single"/>
    </w:rPr>
  </w:style>
  <w:style w:type="character" w:customStyle="1" w:styleId="Heading5Char">
    <w:name w:val="Heading 5 Char"/>
    <w:basedOn w:val="DefaultParagraphFont"/>
    <w:link w:val="Heading5"/>
    <w:uiPriority w:val="9"/>
    <w:rsid w:val="00055D83"/>
    <w:rPr>
      <w:rFonts w:asciiTheme="majorHAnsi" w:eastAsiaTheme="majorEastAsia" w:hAnsiTheme="majorHAnsi" w:cstheme="majorBidi"/>
      <w:color w:val="2F5496" w:themeColor="accent1" w:themeShade="BF"/>
      <w:kern w:val="0"/>
      <w:sz w:val="24"/>
    </w:rPr>
  </w:style>
  <w:style w:type="character" w:customStyle="1" w:styleId="ListParagraphChar">
    <w:name w:val="List Paragraph Char"/>
    <w:link w:val="ListParagraph"/>
    <w:uiPriority w:val="34"/>
    <w:rsid w:val="00055D83"/>
    <w:rPr>
      <w:rFonts w:ascii="Calibri" w:eastAsia="Calibri" w:hAnsi="Calibri" w:cs="Times New Roman"/>
    </w:rPr>
  </w:style>
  <w:style w:type="paragraph" w:styleId="ListParagraph">
    <w:name w:val="List Paragraph"/>
    <w:basedOn w:val="Normal"/>
    <w:link w:val="ListParagraphChar"/>
    <w:uiPriority w:val="34"/>
    <w:qFormat/>
    <w:rsid w:val="00055D83"/>
    <w:pPr>
      <w:spacing w:before="120" w:after="200"/>
      <w:ind w:left="720"/>
      <w:contextualSpacing/>
    </w:pPr>
    <w:rPr>
      <w:rFonts w:ascii="Calibri" w:hAnsi="Calibri" w:cs="Times New Roman"/>
      <w:color w:val="auto"/>
      <w:kern w:val="2"/>
      <w:sz w:val="22"/>
    </w:rPr>
  </w:style>
  <w:style w:type="paragraph" w:styleId="Footer">
    <w:name w:val="footer"/>
    <w:basedOn w:val="Normal"/>
    <w:link w:val="FooterChar"/>
    <w:uiPriority w:val="99"/>
    <w:unhideWhenUsed/>
    <w:rsid w:val="00055D8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55D83"/>
    <w:rPr>
      <w:rFonts w:ascii="Times New Roman" w:eastAsia="Calibri" w:hAnsi="Times New Roman" w:cs="SimSun"/>
      <w:color w:val="000000"/>
      <w:kern w:val="0"/>
      <w:sz w:val="24"/>
    </w:rPr>
  </w:style>
  <w:style w:type="paragraph" w:styleId="BodyText">
    <w:name w:val="Body Text"/>
    <w:basedOn w:val="Normal"/>
    <w:link w:val="BodyTextChar"/>
    <w:uiPriority w:val="1"/>
    <w:qFormat/>
    <w:rsid w:val="00055D83"/>
    <w:pPr>
      <w:widowControl w:val="0"/>
      <w:autoSpaceDE w:val="0"/>
      <w:autoSpaceDN w:val="0"/>
      <w:spacing w:before="0" w:line="240" w:lineRule="auto"/>
      <w:jc w:val="left"/>
    </w:pPr>
    <w:rPr>
      <w:rFonts w:eastAsia="Times New Roman" w:cs="Times New Roman"/>
      <w:color w:val="auto"/>
      <w:szCs w:val="24"/>
      <w:lang w:val="en-GB"/>
      <w14:ligatures w14:val="none"/>
    </w:rPr>
  </w:style>
  <w:style w:type="character" w:customStyle="1" w:styleId="BodyTextChar">
    <w:name w:val="Body Text Char"/>
    <w:basedOn w:val="DefaultParagraphFont"/>
    <w:link w:val="BodyText"/>
    <w:uiPriority w:val="1"/>
    <w:rsid w:val="00055D83"/>
    <w:rPr>
      <w:rFonts w:ascii="Times New Roman" w:eastAsia="Times New Roman" w:hAnsi="Times New Roman" w:cs="Times New Roman"/>
      <w:kern w:val="0"/>
      <w:sz w:val="24"/>
      <w:szCs w:val="24"/>
      <w:lang w:val="en-GB"/>
      <w14:ligatures w14:val="none"/>
    </w:rPr>
  </w:style>
  <w:style w:type="paragraph" w:customStyle="1" w:styleId="Default">
    <w:name w:val="Default"/>
    <w:rsid w:val="00055D83"/>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character" w:customStyle="1" w:styleId="apple-converted-space">
    <w:name w:val="apple-converted-space"/>
    <w:basedOn w:val="DefaultParagraphFont"/>
    <w:rsid w:val="007F1318"/>
  </w:style>
  <w:style w:type="paragraph" w:customStyle="1" w:styleId="TableParagraph">
    <w:name w:val="Table Paragraph"/>
    <w:basedOn w:val="Normal"/>
    <w:uiPriority w:val="1"/>
    <w:qFormat/>
    <w:rsid w:val="00A6679B"/>
    <w:pPr>
      <w:widowControl w:val="0"/>
      <w:autoSpaceDE w:val="0"/>
      <w:autoSpaceDN w:val="0"/>
      <w:spacing w:before="0" w:line="240" w:lineRule="auto"/>
      <w:jc w:val="left"/>
    </w:pPr>
    <w:rPr>
      <w:rFonts w:eastAsia="Times New Roman" w:cs="Times New Roman"/>
      <w:color w:val="auto"/>
      <w:sz w:val="22"/>
      <w14:ligatures w14:val="none"/>
    </w:rPr>
  </w:style>
  <w:style w:type="character" w:customStyle="1" w:styleId="Heading2Char">
    <w:name w:val="Heading 2 Char"/>
    <w:basedOn w:val="DefaultParagraphFont"/>
    <w:link w:val="Heading2"/>
    <w:uiPriority w:val="9"/>
    <w:semiHidden/>
    <w:rsid w:val="0060683F"/>
    <w:rPr>
      <w:rFonts w:asciiTheme="majorHAnsi" w:eastAsiaTheme="majorEastAsia" w:hAnsiTheme="majorHAnsi" w:cstheme="majorBidi"/>
      <w:color w:val="2F5496" w:themeColor="accent1" w:themeShade="BF"/>
      <w:kern w:val="0"/>
      <w:sz w:val="26"/>
      <w:szCs w:val="26"/>
    </w:rPr>
  </w:style>
  <w:style w:type="character" w:customStyle="1" w:styleId="Heading4Char">
    <w:name w:val="Heading 4 Char"/>
    <w:basedOn w:val="DefaultParagraphFont"/>
    <w:link w:val="Heading4"/>
    <w:uiPriority w:val="9"/>
    <w:rsid w:val="003D7198"/>
    <w:rPr>
      <w:rFonts w:asciiTheme="majorHAnsi" w:eastAsiaTheme="majorEastAsia" w:hAnsiTheme="majorHAnsi" w:cstheme="majorBidi"/>
      <w:i/>
      <w:iCs/>
      <w:color w:val="2F5496" w:themeColor="accent1" w:themeShade="BF"/>
      <w:kern w:val="0"/>
      <w:sz w:val="24"/>
    </w:rPr>
  </w:style>
  <w:style w:type="character" w:styleId="Emphasis">
    <w:name w:val="Emphasis"/>
    <w:qFormat/>
    <w:rsid w:val="00E1453F"/>
    <w:rPr>
      <w:i/>
      <w:iCs/>
    </w:rPr>
  </w:style>
  <w:style w:type="character" w:customStyle="1" w:styleId="Heading3Char">
    <w:name w:val="Heading 3 Char"/>
    <w:basedOn w:val="DefaultParagraphFont"/>
    <w:link w:val="Heading3"/>
    <w:uiPriority w:val="9"/>
    <w:qFormat/>
    <w:rsid w:val="00F111A2"/>
    <w:rPr>
      <w:rFonts w:asciiTheme="majorHAnsi" w:eastAsiaTheme="majorEastAsia" w:hAnsiTheme="majorHAnsi" w:cstheme="majorBidi"/>
      <w:color w:val="1F3763" w:themeColor="accent1" w:themeShade="7F"/>
      <w:kern w:val="0"/>
      <w:sz w:val="24"/>
      <w:szCs w:val="24"/>
    </w:rPr>
  </w:style>
  <w:style w:type="paragraph" w:styleId="NoSpacing">
    <w:name w:val="No Spacing"/>
    <w:uiPriority w:val="1"/>
    <w:qFormat/>
    <w:rsid w:val="00BB3A83"/>
    <w:pPr>
      <w:spacing w:after="0" w:line="240" w:lineRule="auto"/>
      <w:jc w:val="center"/>
    </w:pPr>
    <w:rPr>
      <w:rFonts w:ascii="Times New Roman" w:hAnsi="Times New Roman"/>
      <w:b/>
      <w:i/>
      <w:color w:val="000000" w:themeColor="text1"/>
      <w:kern w:val="0"/>
      <w:sz w:val="24"/>
      <w14:ligatures w14:val="none"/>
    </w:rPr>
  </w:style>
  <w:style w:type="table" w:styleId="TableGrid">
    <w:name w:val="Table Grid"/>
    <w:basedOn w:val="TableNormal"/>
    <w:uiPriority w:val="59"/>
    <w:qFormat/>
    <w:rsid w:val="00BB3A83"/>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BB3A83"/>
    <w:pPr>
      <w:spacing w:before="0" w:after="200" w:line="240" w:lineRule="auto"/>
    </w:pPr>
    <w:rPr>
      <w:rFonts w:eastAsia="Times New Roman" w:cs="Times New Roman"/>
      <w:b/>
      <w:bCs/>
      <w:color w:val="4472C4" w:themeColor="accent1"/>
      <w:sz w:val="18"/>
      <w:szCs w:val="18"/>
      <w14:ligatures w14:val="none"/>
    </w:rPr>
  </w:style>
  <w:style w:type="character" w:customStyle="1" w:styleId="markedcontent">
    <w:name w:val="markedcontent"/>
    <w:basedOn w:val="DefaultParagraphFont"/>
    <w:rsid w:val="002D7340"/>
  </w:style>
  <w:style w:type="paragraph" w:customStyle="1" w:styleId="Tables">
    <w:name w:val="Tables"/>
    <w:basedOn w:val="Normal"/>
    <w:link w:val="TablesChar"/>
    <w:qFormat/>
    <w:rsid w:val="00076BA5"/>
    <w:pPr>
      <w:spacing w:before="0" w:line="240" w:lineRule="auto"/>
      <w:jc w:val="left"/>
    </w:pPr>
    <w:rPr>
      <w:rFonts w:eastAsiaTheme="minorHAnsi" w:cs="Times New Roman"/>
      <w:b/>
      <w:color w:val="auto"/>
      <w:szCs w:val="24"/>
      <w14:ligatures w14:val="none"/>
    </w:rPr>
  </w:style>
  <w:style w:type="character" w:customStyle="1" w:styleId="TablesChar">
    <w:name w:val="Tables Char"/>
    <w:basedOn w:val="DefaultParagraphFont"/>
    <w:link w:val="Tables"/>
    <w:rsid w:val="00076BA5"/>
    <w:rPr>
      <w:rFonts w:ascii="Times New Roman" w:hAnsi="Times New Roman" w:cs="Times New Roman"/>
      <w:b/>
      <w:kern w:val="0"/>
      <w:sz w:val="24"/>
      <w:szCs w:val="24"/>
      <w14:ligatures w14:val="none"/>
    </w:rPr>
  </w:style>
  <w:style w:type="character" w:styleId="Hyperlink">
    <w:name w:val="Hyperlink"/>
    <w:basedOn w:val="DefaultParagraphFont"/>
    <w:uiPriority w:val="99"/>
    <w:unhideWhenUsed/>
    <w:rsid w:val="001E649F"/>
    <w:rPr>
      <w:color w:val="0563C1" w:themeColor="hyperlink"/>
      <w:u w:val="single"/>
    </w:rPr>
  </w:style>
  <w:style w:type="character" w:customStyle="1" w:styleId="UnresolvedMention1">
    <w:name w:val="Unresolved Mention1"/>
    <w:basedOn w:val="DefaultParagraphFont"/>
    <w:uiPriority w:val="99"/>
    <w:semiHidden/>
    <w:unhideWhenUsed/>
    <w:rsid w:val="001E649F"/>
    <w:rPr>
      <w:color w:val="605E5C"/>
      <w:shd w:val="clear" w:color="auto" w:fill="E1DFDD"/>
    </w:rPr>
  </w:style>
  <w:style w:type="paragraph" w:styleId="NormalWeb">
    <w:name w:val="Normal (Web)"/>
    <w:basedOn w:val="Normal"/>
    <w:uiPriority w:val="99"/>
    <w:unhideWhenUsed/>
    <w:rsid w:val="00D16476"/>
    <w:pPr>
      <w:spacing w:before="100" w:beforeAutospacing="1" w:after="100" w:afterAutospacing="1" w:line="240" w:lineRule="auto"/>
      <w:jc w:val="left"/>
    </w:pPr>
    <w:rPr>
      <w:rFonts w:eastAsia="Times New Roman" w:cs="Times New Roman"/>
      <w:color w:val="auto"/>
      <w:szCs w:val="24"/>
      <w14:ligatures w14:val="none"/>
    </w:rPr>
  </w:style>
  <w:style w:type="paragraph" w:customStyle="1" w:styleId="TABLES0">
    <w:name w:val="TABLES"/>
    <w:basedOn w:val="Normal"/>
    <w:qFormat/>
    <w:rsid w:val="00437393"/>
    <w:pPr>
      <w:spacing w:before="120" w:after="120"/>
    </w:pPr>
    <w:rPr>
      <w:rFonts w:cs="Times New Roman"/>
      <w:b/>
      <w:color w:val="auto"/>
      <w14:ligatures w14:val="none"/>
    </w:rPr>
  </w:style>
  <w:style w:type="table" w:styleId="PlainTable5">
    <w:name w:val="Plain Table 5"/>
    <w:basedOn w:val="TableNormal"/>
    <w:uiPriority w:val="45"/>
    <w:rsid w:val="00C053F5"/>
    <w:pPr>
      <w:spacing w:after="0" w:line="240" w:lineRule="auto"/>
      <w:jc w:val="both"/>
    </w:pPr>
    <w:rPr>
      <w:kern w:val="0"/>
      <w14:ligatures w14:val="none"/>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ofTables">
    <w:name w:val="List of Tables"/>
    <w:basedOn w:val="Caption"/>
    <w:next w:val="Caption"/>
    <w:qFormat/>
    <w:rsid w:val="00860F17"/>
    <w:pPr>
      <w:keepNext/>
      <w:jc w:val="left"/>
    </w:pPr>
    <w:rPr>
      <w:rFonts w:eastAsia="Calibri"/>
      <w:color w:val="auto"/>
      <w:kern w:val="2"/>
      <w:sz w:val="24"/>
      <w:szCs w:val="24"/>
      <w14:ligatures w14:val="standardContextual"/>
    </w:rPr>
  </w:style>
  <w:style w:type="character" w:customStyle="1" w:styleId="UnresolvedMention2">
    <w:name w:val="Unresolved Mention2"/>
    <w:basedOn w:val="DefaultParagraphFont"/>
    <w:uiPriority w:val="99"/>
    <w:semiHidden/>
    <w:unhideWhenUsed/>
    <w:rsid w:val="00790BF9"/>
    <w:rPr>
      <w:color w:val="605E5C"/>
      <w:shd w:val="clear" w:color="auto" w:fill="E1DFDD"/>
    </w:rPr>
  </w:style>
  <w:style w:type="character" w:styleId="Strong">
    <w:name w:val="Strong"/>
    <w:basedOn w:val="DefaultParagraphFont"/>
    <w:uiPriority w:val="22"/>
    <w:qFormat/>
    <w:rsid w:val="001F51C1"/>
    <w:rPr>
      <w:b/>
      <w:bCs/>
    </w:rPr>
  </w:style>
  <w:style w:type="table" w:customStyle="1" w:styleId="TableGrid1">
    <w:name w:val="Table Grid1"/>
    <w:basedOn w:val="TableNormal"/>
    <w:next w:val="TableGrid"/>
    <w:uiPriority w:val="39"/>
    <w:qFormat/>
    <w:rsid w:val="007E3458"/>
    <w:pPr>
      <w:spacing w:after="0" w:line="240" w:lineRule="auto"/>
    </w:pPr>
    <w:rPr>
      <w:rFonts w:ascii="Calibri" w:eastAsia="Times New Roman"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2">
    <w:name w:val="Plain Table 2"/>
    <w:basedOn w:val="TableNormal"/>
    <w:uiPriority w:val="42"/>
    <w:rsid w:val="00D916BC"/>
    <w:pPr>
      <w:widowControl w:val="0"/>
      <w:autoSpaceDE w:val="0"/>
      <w:autoSpaceDN w:val="0"/>
      <w:spacing w:after="0" w:line="240" w:lineRule="auto"/>
    </w:pPr>
    <w:rPr>
      <w:kern w:val="0"/>
      <w14:ligatures w14:val="non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D916BC"/>
    <w:pPr>
      <w:spacing w:after="0" w:line="240" w:lineRule="auto"/>
    </w:pPr>
    <w:rPr>
      <w:rFonts w:ascii="Calibri" w:eastAsia="Calibri" w:hAnsi="Calibri" w:cs="SimSun"/>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pagerange">
    <w:name w:val="page_range"/>
    <w:basedOn w:val="DefaultParagraphFont"/>
    <w:rsid w:val="009E42B6"/>
  </w:style>
  <w:style w:type="character" w:customStyle="1" w:styleId="UnresolvedMention">
    <w:name w:val="Unresolved Mention"/>
    <w:basedOn w:val="DefaultParagraphFont"/>
    <w:uiPriority w:val="99"/>
    <w:semiHidden/>
    <w:unhideWhenUsed/>
    <w:rsid w:val="00ED66D3"/>
    <w:rPr>
      <w:color w:val="605E5C"/>
      <w:shd w:val="clear" w:color="auto" w:fill="E1DFDD"/>
    </w:rPr>
  </w:style>
  <w:style w:type="paragraph" w:styleId="Header">
    <w:name w:val="header"/>
    <w:basedOn w:val="Normal"/>
    <w:link w:val="HeaderChar"/>
    <w:uiPriority w:val="99"/>
    <w:unhideWhenUsed/>
    <w:rsid w:val="009F53BF"/>
    <w:pPr>
      <w:tabs>
        <w:tab w:val="center" w:pos="4680"/>
        <w:tab w:val="right" w:pos="9360"/>
      </w:tabs>
      <w:spacing w:before="0" w:line="240" w:lineRule="auto"/>
    </w:pPr>
  </w:style>
  <w:style w:type="character" w:customStyle="1" w:styleId="HeaderChar">
    <w:name w:val="Header Char"/>
    <w:basedOn w:val="DefaultParagraphFont"/>
    <w:link w:val="Header"/>
    <w:uiPriority w:val="99"/>
    <w:rsid w:val="009F53BF"/>
    <w:rPr>
      <w:rFonts w:ascii="Times New Roman" w:eastAsia="Calibri" w:hAnsi="Times New Roman" w:cs="SimSun"/>
      <w:color w:val="000000"/>
      <w:kern w:val="0"/>
      <w:sz w:val="24"/>
    </w:rPr>
  </w:style>
  <w:style w:type="character" w:styleId="CommentReference">
    <w:name w:val="annotation reference"/>
    <w:basedOn w:val="DefaultParagraphFont"/>
    <w:uiPriority w:val="99"/>
    <w:semiHidden/>
    <w:unhideWhenUsed/>
    <w:rsid w:val="00087B6D"/>
    <w:rPr>
      <w:sz w:val="16"/>
      <w:szCs w:val="16"/>
    </w:rPr>
  </w:style>
  <w:style w:type="paragraph" w:styleId="CommentText">
    <w:name w:val="annotation text"/>
    <w:basedOn w:val="Normal"/>
    <w:link w:val="CommentTextChar"/>
    <w:uiPriority w:val="99"/>
    <w:semiHidden/>
    <w:unhideWhenUsed/>
    <w:rsid w:val="00087B6D"/>
    <w:pPr>
      <w:spacing w:line="240" w:lineRule="auto"/>
    </w:pPr>
    <w:rPr>
      <w:sz w:val="20"/>
      <w:szCs w:val="20"/>
    </w:rPr>
  </w:style>
  <w:style w:type="character" w:customStyle="1" w:styleId="CommentTextChar">
    <w:name w:val="Comment Text Char"/>
    <w:basedOn w:val="DefaultParagraphFont"/>
    <w:link w:val="CommentText"/>
    <w:uiPriority w:val="99"/>
    <w:semiHidden/>
    <w:rsid w:val="00087B6D"/>
    <w:rPr>
      <w:rFonts w:ascii="Times New Roman" w:eastAsia="Calibri" w:hAnsi="Times New Roman" w:cs="SimSun"/>
      <w:color w:val="000000"/>
      <w:kern w:val="0"/>
      <w:sz w:val="20"/>
      <w:szCs w:val="20"/>
    </w:rPr>
  </w:style>
  <w:style w:type="paragraph" w:styleId="CommentSubject">
    <w:name w:val="annotation subject"/>
    <w:basedOn w:val="CommentText"/>
    <w:next w:val="CommentText"/>
    <w:link w:val="CommentSubjectChar"/>
    <w:uiPriority w:val="99"/>
    <w:semiHidden/>
    <w:unhideWhenUsed/>
    <w:rsid w:val="00087B6D"/>
    <w:rPr>
      <w:b/>
      <w:bCs/>
    </w:rPr>
  </w:style>
  <w:style w:type="character" w:customStyle="1" w:styleId="CommentSubjectChar">
    <w:name w:val="Comment Subject Char"/>
    <w:basedOn w:val="CommentTextChar"/>
    <w:link w:val="CommentSubject"/>
    <w:uiPriority w:val="99"/>
    <w:semiHidden/>
    <w:rsid w:val="00087B6D"/>
    <w:rPr>
      <w:rFonts w:ascii="Times New Roman" w:eastAsia="Calibri" w:hAnsi="Times New Roman" w:cs="SimSun"/>
      <w:b/>
      <w:bCs/>
      <w:color w:val="000000"/>
      <w:kern w:val="0"/>
      <w:sz w:val="20"/>
      <w:szCs w:val="20"/>
    </w:rPr>
  </w:style>
  <w:style w:type="paragraph" w:styleId="BalloonText">
    <w:name w:val="Balloon Text"/>
    <w:basedOn w:val="Normal"/>
    <w:link w:val="BalloonTextChar"/>
    <w:uiPriority w:val="99"/>
    <w:semiHidden/>
    <w:unhideWhenUsed/>
    <w:rsid w:val="00087B6D"/>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B6D"/>
    <w:rPr>
      <w:rFonts w:ascii="Segoe UI" w:eastAsia="Calibri" w:hAnsi="Segoe UI" w:cs="Segoe U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949357">
      <w:bodyDiv w:val="1"/>
      <w:marLeft w:val="0"/>
      <w:marRight w:val="0"/>
      <w:marTop w:val="0"/>
      <w:marBottom w:val="0"/>
      <w:divBdr>
        <w:top w:val="none" w:sz="0" w:space="0" w:color="auto"/>
        <w:left w:val="none" w:sz="0" w:space="0" w:color="auto"/>
        <w:bottom w:val="none" w:sz="0" w:space="0" w:color="auto"/>
        <w:right w:val="none" w:sz="0" w:space="0" w:color="auto"/>
      </w:divBdr>
    </w:div>
    <w:div w:id="340470004">
      <w:bodyDiv w:val="1"/>
      <w:marLeft w:val="0"/>
      <w:marRight w:val="0"/>
      <w:marTop w:val="0"/>
      <w:marBottom w:val="0"/>
      <w:divBdr>
        <w:top w:val="none" w:sz="0" w:space="0" w:color="auto"/>
        <w:left w:val="none" w:sz="0" w:space="0" w:color="auto"/>
        <w:bottom w:val="none" w:sz="0" w:space="0" w:color="auto"/>
        <w:right w:val="none" w:sz="0" w:space="0" w:color="auto"/>
      </w:divBdr>
    </w:div>
    <w:div w:id="385884447">
      <w:bodyDiv w:val="1"/>
      <w:marLeft w:val="0"/>
      <w:marRight w:val="0"/>
      <w:marTop w:val="0"/>
      <w:marBottom w:val="0"/>
      <w:divBdr>
        <w:top w:val="none" w:sz="0" w:space="0" w:color="auto"/>
        <w:left w:val="none" w:sz="0" w:space="0" w:color="auto"/>
        <w:bottom w:val="none" w:sz="0" w:space="0" w:color="auto"/>
        <w:right w:val="none" w:sz="0" w:space="0" w:color="auto"/>
      </w:divBdr>
    </w:div>
    <w:div w:id="566765604">
      <w:bodyDiv w:val="1"/>
      <w:marLeft w:val="0"/>
      <w:marRight w:val="0"/>
      <w:marTop w:val="0"/>
      <w:marBottom w:val="0"/>
      <w:divBdr>
        <w:top w:val="none" w:sz="0" w:space="0" w:color="auto"/>
        <w:left w:val="none" w:sz="0" w:space="0" w:color="auto"/>
        <w:bottom w:val="none" w:sz="0" w:space="0" w:color="auto"/>
        <w:right w:val="none" w:sz="0" w:space="0" w:color="auto"/>
      </w:divBdr>
    </w:div>
    <w:div w:id="583222418">
      <w:bodyDiv w:val="1"/>
      <w:marLeft w:val="0"/>
      <w:marRight w:val="0"/>
      <w:marTop w:val="0"/>
      <w:marBottom w:val="0"/>
      <w:divBdr>
        <w:top w:val="none" w:sz="0" w:space="0" w:color="auto"/>
        <w:left w:val="none" w:sz="0" w:space="0" w:color="auto"/>
        <w:bottom w:val="none" w:sz="0" w:space="0" w:color="auto"/>
        <w:right w:val="none" w:sz="0" w:space="0" w:color="auto"/>
      </w:divBdr>
    </w:div>
    <w:div w:id="618725703">
      <w:bodyDiv w:val="1"/>
      <w:marLeft w:val="0"/>
      <w:marRight w:val="0"/>
      <w:marTop w:val="0"/>
      <w:marBottom w:val="0"/>
      <w:divBdr>
        <w:top w:val="none" w:sz="0" w:space="0" w:color="auto"/>
        <w:left w:val="none" w:sz="0" w:space="0" w:color="auto"/>
        <w:bottom w:val="none" w:sz="0" w:space="0" w:color="auto"/>
        <w:right w:val="none" w:sz="0" w:space="0" w:color="auto"/>
      </w:divBdr>
    </w:div>
    <w:div w:id="947202476">
      <w:bodyDiv w:val="1"/>
      <w:marLeft w:val="0"/>
      <w:marRight w:val="0"/>
      <w:marTop w:val="0"/>
      <w:marBottom w:val="0"/>
      <w:divBdr>
        <w:top w:val="none" w:sz="0" w:space="0" w:color="auto"/>
        <w:left w:val="none" w:sz="0" w:space="0" w:color="auto"/>
        <w:bottom w:val="none" w:sz="0" w:space="0" w:color="auto"/>
        <w:right w:val="none" w:sz="0" w:space="0" w:color="auto"/>
      </w:divBdr>
    </w:div>
    <w:div w:id="1041175574">
      <w:bodyDiv w:val="1"/>
      <w:marLeft w:val="0"/>
      <w:marRight w:val="0"/>
      <w:marTop w:val="0"/>
      <w:marBottom w:val="0"/>
      <w:divBdr>
        <w:top w:val="none" w:sz="0" w:space="0" w:color="auto"/>
        <w:left w:val="none" w:sz="0" w:space="0" w:color="auto"/>
        <w:bottom w:val="none" w:sz="0" w:space="0" w:color="auto"/>
        <w:right w:val="none" w:sz="0" w:space="0" w:color="auto"/>
      </w:divBdr>
    </w:div>
    <w:div w:id="1208760504">
      <w:bodyDiv w:val="1"/>
      <w:marLeft w:val="0"/>
      <w:marRight w:val="0"/>
      <w:marTop w:val="0"/>
      <w:marBottom w:val="0"/>
      <w:divBdr>
        <w:top w:val="none" w:sz="0" w:space="0" w:color="auto"/>
        <w:left w:val="none" w:sz="0" w:space="0" w:color="auto"/>
        <w:bottom w:val="none" w:sz="0" w:space="0" w:color="auto"/>
        <w:right w:val="none" w:sz="0" w:space="0" w:color="auto"/>
      </w:divBdr>
    </w:div>
    <w:div w:id="1240483030">
      <w:bodyDiv w:val="1"/>
      <w:marLeft w:val="0"/>
      <w:marRight w:val="0"/>
      <w:marTop w:val="0"/>
      <w:marBottom w:val="0"/>
      <w:divBdr>
        <w:top w:val="none" w:sz="0" w:space="0" w:color="auto"/>
        <w:left w:val="none" w:sz="0" w:space="0" w:color="auto"/>
        <w:bottom w:val="none" w:sz="0" w:space="0" w:color="auto"/>
        <w:right w:val="none" w:sz="0" w:space="0" w:color="auto"/>
      </w:divBdr>
    </w:div>
    <w:div w:id="1380744296">
      <w:bodyDiv w:val="1"/>
      <w:marLeft w:val="0"/>
      <w:marRight w:val="0"/>
      <w:marTop w:val="0"/>
      <w:marBottom w:val="0"/>
      <w:divBdr>
        <w:top w:val="none" w:sz="0" w:space="0" w:color="auto"/>
        <w:left w:val="none" w:sz="0" w:space="0" w:color="auto"/>
        <w:bottom w:val="none" w:sz="0" w:space="0" w:color="auto"/>
        <w:right w:val="none" w:sz="0" w:space="0" w:color="auto"/>
      </w:divBdr>
    </w:div>
    <w:div w:id="1746954200">
      <w:bodyDiv w:val="1"/>
      <w:marLeft w:val="0"/>
      <w:marRight w:val="0"/>
      <w:marTop w:val="0"/>
      <w:marBottom w:val="0"/>
      <w:divBdr>
        <w:top w:val="none" w:sz="0" w:space="0" w:color="auto"/>
        <w:left w:val="none" w:sz="0" w:space="0" w:color="auto"/>
        <w:bottom w:val="none" w:sz="0" w:space="0" w:color="auto"/>
        <w:right w:val="none" w:sz="0" w:space="0" w:color="auto"/>
      </w:divBdr>
    </w:div>
    <w:div w:id="1806503340">
      <w:bodyDiv w:val="1"/>
      <w:marLeft w:val="0"/>
      <w:marRight w:val="0"/>
      <w:marTop w:val="0"/>
      <w:marBottom w:val="0"/>
      <w:divBdr>
        <w:top w:val="none" w:sz="0" w:space="0" w:color="auto"/>
        <w:left w:val="none" w:sz="0" w:space="0" w:color="auto"/>
        <w:bottom w:val="none" w:sz="0" w:space="0" w:color="auto"/>
        <w:right w:val="none" w:sz="0" w:space="0" w:color="auto"/>
      </w:divBdr>
    </w:div>
    <w:div w:id="183024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21</Pages>
  <Words>9166</Words>
  <Characters>52250</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WUCHERERIA BANCROFTI</dc:creator>
  <cp:keywords/>
  <dc:description/>
  <cp:lastModifiedBy>Microsoft account</cp:lastModifiedBy>
  <cp:revision>18</cp:revision>
  <dcterms:created xsi:type="dcterms:W3CDTF">2025-11-05T13:32:00Z</dcterms:created>
  <dcterms:modified xsi:type="dcterms:W3CDTF">2025-11-07T13:29:00Z</dcterms:modified>
</cp:coreProperties>
</file>