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97533" w14:textId="77777777" w:rsidR="003D0EB0" w:rsidRPr="001D709A" w:rsidRDefault="003D0EB0">
      <w:pPr>
        <w:spacing w:before="1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3D0EB0" w:rsidRPr="001D709A" w14:paraId="3389DECC" w14:textId="77777777">
        <w:trPr>
          <w:trHeight w:val="290"/>
        </w:trPr>
        <w:tc>
          <w:tcPr>
            <w:tcW w:w="5168" w:type="dxa"/>
          </w:tcPr>
          <w:p w14:paraId="2431ECC9" w14:textId="77777777" w:rsidR="003D0EB0" w:rsidRPr="001D709A" w:rsidRDefault="008A6F21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D709A">
              <w:rPr>
                <w:rFonts w:ascii="Arial" w:hAnsi="Arial" w:cs="Arial"/>
                <w:sz w:val="20"/>
                <w:szCs w:val="20"/>
              </w:rPr>
              <w:t>Journal</w:t>
            </w:r>
            <w:r w:rsidRPr="001D709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14:paraId="2A55AAE5" w14:textId="77777777" w:rsidR="003D0EB0" w:rsidRPr="001D709A" w:rsidRDefault="008A6F21">
            <w:pPr>
              <w:pStyle w:val="TableParagraph"/>
              <w:spacing w:before="31"/>
              <w:ind w:left="107"/>
              <w:rPr>
                <w:rFonts w:ascii="Arial" w:hAnsi="Arial" w:cs="Arial"/>
                <w:sz w:val="20"/>
                <w:szCs w:val="20"/>
              </w:rPr>
            </w:pPr>
            <w:hyperlink r:id="rId7">
              <w:r w:rsidRPr="001D709A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Pr="001D709A">
                <w:rPr>
                  <w:rFonts w:ascii="Arial" w:hAnsi="Arial" w:cs="Arial"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1D709A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Basic</w:t>
              </w:r>
              <w:r w:rsidRPr="001D709A">
                <w:rPr>
                  <w:rFonts w:ascii="Arial" w:hAnsi="Arial" w:cs="Arial"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1D709A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Pr="001D709A">
                <w:rPr>
                  <w:rFonts w:ascii="Arial" w:hAnsi="Arial" w:cs="Arial"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1D709A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Applied</w:t>
              </w:r>
              <w:r w:rsidRPr="001D709A">
                <w:rPr>
                  <w:rFonts w:ascii="Arial" w:hAnsi="Arial" w:cs="Arial"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1D709A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Pr="001D709A">
                <w:rPr>
                  <w:rFonts w:ascii="Arial" w:hAnsi="Arial" w:cs="Arial"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Pr="001D709A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>Journal</w:t>
              </w:r>
            </w:hyperlink>
          </w:p>
        </w:tc>
      </w:tr>
      <w:tr w:rsidR="003D0EB0" w:rsidRPr="001D709A" w14:paraId="6401963B" w14:textId="77777777">
        <w:trPr>
          <w:trHeight w:val="290"/>
        </w:trPr>
        <w:tc>
          <w:tcPr>
            <w:tcW w:w="5168" w:type="dxa"/>
          </w:tcPr>
          <w:p w14:paraId="4B34F626" w14:textId="77777777" w:rsidR="003D0EB0" w:rsidRPr="001D709A" w:rsidRDefault="008A6F21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D709A">
              <w:rPr>
                <w:rFonts w:ascii="Arial" w:hAnsi="Arial" w:cs="Arial"/>
                <w:sz w:val="20"/>
                <w:szCs w:val="20"/>
              </w:rPr>
              <w:t>Manuscript</w:t>
            </w:r>
            <w:r w:rsidRPr="001D709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14:paraId="49D3F8EE" w14:textId="77777777" w:rsidR="003D0EB0" w:rsidRPr="001D709A" w:rsidRDefault="008A6F21">
            <w:pPr>
              <w:pStyle w:val="TableParagraph"/>
              <w:spacing w:before="31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1D709A">
              <w:rPr>
                <w:rFonts w:ascii="Arial" w:hAnsi="Arial" w:cs="Arial"/>
                <w:b/>
                <w:spacing w:val="-2"/>
                <w:sz w:val="20"/>
                <w:szCs w:val="20"/>
              </w:rPr>
              <w:t>Ms_ABAARJ_2203</w:t>
            </w:r>
          </w:p>
        </w:tc>
      </w:tr>
      <w:tr w:rsidR="003D0EB0" w:rsidRPr="001D709A" w14:paraId="70A310AD" w14:textId="77777777">
        <w:trPr>
          <w:trHeight w:val="650"/>
        </w:trPr>
        <w:tc>
          <w:tcPr>
            <w:tcW w:w="5168" w:type="dxa"/>
          </w:tcPr>
          <w:p w14:paraId="2BED321F" w14:textId="77777777" w:rsidR="003D0EB0" w:rsidRPr="001D709A" w:rsidRDefault="008A6F21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D709A">
              <w:rPr>
                <w:rFonts w:ascii="Arial" w:hAnsi="Arial" w:cs="Arial"/>
                <w:sz w:val="20"/>
                <w:szCs w:val="20"/>
              </w:rPr>
              <w:t>Title</w:t>
            </w:r>
            <w:r w:rsidRPr="001D709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of</w:t>
            </w:r>
            <w:r w:rsidRPr="001D709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the</w:t>
            </w:r>
            <w:r w:rsidRPr="001D709A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5770" w:type="dxa"/>
          </w:tcPr>
          <w:p w14:paraId="45A89D30" w14:textId="77777777" w:rsidR="003D0EB0" w:rsidRPr="001D709A" w:rsidRDefault="008A6F21">
            <w:pPr>
              <w:pStyle w:val="TableParagraph"/>
              <w:spacing w:before="211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1D709A">
              <w:rPr>
                <w:rFonts w:ascii="Arial" w:hAnsi="Arial" w:cs="Arial"/>
                <w:b/>
                <w:sz w:val="20"/>
                <w:szCs w:val="20"/>
              </w:rPr>
              <w:t>ECONOMIC</w:t>
            </w:r>
            <w:r w:rsidRPr="001D709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D709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b/>
                <w:sz w:val="20"/>
                <w:szCs w:val="20"/>
              </w:rPr>
              <w:t>ENVIRONMENTAL</w:t>
            </w:r>
            <w:r w:rsidRPr="001D709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b/>
                <w:sz w:val="20"/>
                <w:szCs w:val="20"/>
              </w:rPr>
              <w:t>RELATIONSHIP</w:t>
            </w:r>
            <w:r w:rsidRPr="001D709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D709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b/>
                <w:sz w:val="20"/>
                <w:szCs w:val="20"/>
              </w:rPr>
              <w:t>EAST</w:t>
            </w:r>
            <w:r w:rsidRPr="001D709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b/>
                <w:spacing w:val="-2"/>
                <w:sz w:val="20"/>
                <w:szCs w:val="20"/>
              </w:rPr>
              <w:t>KALIMANTAN</w:t>
            </w:r>
          </w:p>
        </w:tc>
      </w:tr>
      <w:tr w:rsidR="003D0EB0" w:rsidRPr="001D709A" w14:paraId="5D6FCEFE" w14:textId="77777777">
        <w:trPr>
          <w:trHeight w:val="333"/>
        </w:trPr>
        <w:tc>
          <w:tcPr>
            <w:tcW w:w="5168" w:type="dxa"/>
          </w:tcPr>
          <w:p w14:paraId="3AC3BFAC" w14:textId="77777777" w:rsidR="003D0EB0" w:rsidRPr="001D709A" w:rsidRDefault="008A6F21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D709A">
              <w:rPr>
                <w:rFonts w:ascii="Arial" w:hAnsi="Arial" w:cs="Arial"/>
                <w:sz w:val="20"/>
                <w:szCs w:val="20"/>
              </w:rPr>
              <w:t>Type</w:t>
            </w:r>
            <w:r w:rsidRPr="001D709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of</w:t>
            </w:r>
            <w:r w:rsidRPr="001D709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the</w:t>
            </w:r>
            <w:r w:rsidRPr="001D709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14:paraId="029D0906" w14:textId="77777777" w:rsidR="003D0EB0" w:rsidRPr="001D709A" w:rsidRDefault="003D0EB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64DFBD" w14:textId="77777777" w:rsidR="003D0EB0" w:rsidRPr="001D709A" w:rsidRDefault="003D0EB0">
      <w:pPr>
        <w:rPr>
          <w:rFonts w:ascii="Arial" w:hAnsi="Arial" w:cs="Arial"/>
          <w:sz w:val="20"/>
          <w:szCs w:val="20"/>
        </w:rPr>
      </w:pPr>
    </w:p>
    <w:p w14:paraId="29E80AA3" w14:textId="77777777" w:rsidR="003D0EB0" w:rsidRPr="001D709A" w:rsidRDefault="003D0EB0">
      <w:pPr>
        <w:spacing w:before="229"/>
        <w:rPr>
          <w:rFonts w:ascii="Arial" w:hAnsi="Arial" w:cs="Arial"/>
          <w:sz w:val="20"/>
          <w:szCs w:val="20"/>
        </w:rPr>
      </w:pPr>
    </w:p>
    <w:p w14:paraId="45ECD2CD" w14:textId="77777777" w:rsidR="003D0EB0" w:rsidRPr="001D709A" w:rsidRDefault="003D0EB0">
      <w:pPr>
        <w:spacing w:before="1"/>
        <w:ind w:left="165" w:right="13050"/>
        <w:rPr>
          <w:rFonts w:ascii="Arial" w:hAnsi="Arial" w:cs="Arial"/>
          <w:sz w:val="20"/>
          <w:szCs w:val="20"/>
        </w:rPr>
      </w:pPr>
    </w:p>
    <w:p w14:paraId="295FD62B" w14:textId="77777777" w:rsidR="003D0EB0" w:rsidRPr="001D709A" w:rsidRDefault="003D0EB0">
      <w:pPr>
        <w:rPr>
          <w:rFonts w:ascii="Arial" w:hAnsi="Arial" w:cs="Arial"/>
          <w:sz w:val="20"/>
          <w:szCs w:val="20"/>
        </w:rPr>
        <w:sectPr w:rsidR="003D0EB0" w:rsidRPr="001D709A">
          <w:footerReference w:type="default" r:id="rId8"/>
          <w:type w:val="continuous"/>
          <w:pgSz w:w="23820" w:h="16840" w:orient="landscape"/>
          <w:pgMar w:top="1920" w:right="0" w:bottom="880" w:left="1275" w:header="0" w:footer="694" w:gutter="0"/>
          <w:pgNumType w:start="1"/>
          <w:cols w:space="720"/>
        </w:sectPr>
      </w:pPr>
    </w:p>
    <w:p w14:paraId="5CA80556" w14:textId="77777777" w:rsidR="003D0EB0" w:rsidRPr="001D709A" w:rsidRDefault="003D0EB0">
      <w:pPr>
        <w:spacing w:before="2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3D0EB0" w:rsidRPr="001D709A" w14:paraId="50A95889" w14:textId="77777777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14:paraId="34E1ACA7" w14:textId="77777777" w:rsidR="003D0EB0" w:rsidRPr="001D709A" w:rsidRDefault="008A6F21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1D709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1D709A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1D709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1D709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3D0EB0" w:rsidRPr="001D709A" w14:paraId="4F49172F" w14:textId="77777777">
        <w:trPr>
          <w:trHeight w:val="918"/>
        </w:trPr>
        <w:tc>
          <w:tcPr>
            <w:tcW w:w="5352" w:type="dxa"/>
          </w:tcPr>
          <w:p w14:paraId="0BB65FC2" w14:textId="77777777" w:rsidR="003D0EB0" w:rsidRPr="001D709A" w:rsidRDefault="003D0EB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14:paraId="6E843CBD" w14:textId="77777777" w:rsidR="003D0EB0" w:rsidRPr="001D709A" w:rsidRDefault="008A6F21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1D709A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1D709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621AFF64" w14:textId="77777777" w:rsidR="003D0EB0" w:rsidRPr="001D709A" w:rsidRDefault="008A6F21">
            <w:pPr>
              <w:pStyle w:val="TableParagraph"/>
              <w:ind w:left="108" w:right="154"/>
              <w:rPr>
                <w:rFonts w:ascii="Arial" w:hAnsi="Arial" w:cs="Arial"/>
                <w:b/>
                <w:sz w:val="20"/>
                <w:szCs w:val="20"/>
              </w:rPr>
            </w:pPr>
            <w:r w:rsidRPr="001D709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1D709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D709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1D709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D709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1D709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D709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1D709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D709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1D709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D709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1D709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D709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1D709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D709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1D709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D709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1D709A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1D709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1D709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D709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1D709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D709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1D709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D709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1D709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14:paraId="40C48C59" w14:textId="77777777" w:rsidR="003D0EB0" w:rsidRPr="001D709A" w:rsidRDefault="008A6F21">
            <w:pPr>
              <w:pStyle w:val="TableParagraph"/>
              <w:ind w:left="108" w:right="735"/>
              <w:rPr>
                <w:rFonts w:ascii="Arial" w:hAnsi="Arial" w:cs="Arial"/>
                <w:sz w:val="20"/>
                <w:szCs w:val="20"/>
              </w:rPr>
            </w:pPr>
            <w:r w:rsidRPr="001D709A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1D709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1D709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(It</w:t>
            </w:r>
            <w:r w:rsidRPr="001D709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is</w:t>
            </w:r>
            <w:r w:rsidRPr="001D709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mandatory</w:t>
            </w:r>
            <w:r w:rsidRPr="001D709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that</w:t>
            </w:r>
            <w:r w:rsidRPr="001D709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authors</w:t>
            </w:r>
            <w:r w:rsidRPr="001D709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should</w:t>
            </w:r>
            <w:r w:rsidRPr="001D709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write</w:t>
            </w:r>
            <w:r w:rsidRPr="001D709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3D0EB0" w:rsidRPr="001D709A" w14:paraId="48B89DDD" w14:textId="77777777">
        <w:trPr>
          <w:trHeight w:val="1264"/>
        </w:trPr>
        <w:tc>
          <w:tcPr>
            <w:tcW w:w="5352" w:type="dxa"/>
          </w:tcPr>
          <w:p w14:paraId="420B52A5" w14:textId="77777777" w:rsidR="003D0EB0" w:rsidRPr="001D709A" w:rsidRDefault="008A6F21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1D709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D709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1D709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D709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1D709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1D709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1D709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D709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1D709A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14:paraId="476E6559" w14:textId="77777777" w:rsidR="003D0EB0" w:rsidRPr="001D709A" w:rsidRDefault="008A6F21">
            <w:pPr>
              <w:pStyle w:val="TableParagraph"/>
              <w:ind w:left="108" w:right="154"/>
              <w:rPr>
                <w:rFonts w:ascii="Arial" w:hAnsi="Arial" w:cs="Arial"/>
                <w:sz w:val="20"/>
                <w:szCs w:val="20"/>
              </w:rPr>
            </w:pPr>
            <w:r w:rsidRPr="001D709A">
              <w:rPr>
                <w:rFonts w:ascii="Arial" w:hAnsi="Arial" w:cs="Arial"/>
                <w:sz w:val="20"/>
                <w:szCs w:val="20"/>
              </w:rPr>
              <w:t>This</w:t>
            </w:r>
            <w:r w:rsidRPr="001D709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manuscript</w:t>
            </w:r>
            <w:r w:rsidRPr="001D709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enhances</w:t>
            </w:r>
            <w:r w:rsidRPr="001D709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comprehension</w:t>
            </w:r>
            <w:r w:rsidRPr="001D709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of</w:t>
            </w:r>
            <w:r w:rsidRPr="001D709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the</w:t>
            </w:r>
            <w:r w:rsidRPr="001D709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relationship</w:t>
            </w:r>
            <w:r w:rsidRPr="001D709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between</w:t>
            </w:r>
            <w:r w:rsidRPr="001D709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economic</w:t>
            </w:r>
            <w:r w:rsidRPr="001D709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development</w:t>
            </w:r>
            <w:r w:rsidRPr="001D709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and</w:t>
            </w:r>
            <w:r w:rsidRPr="001D709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environmental factors in East Kalimantan by presenting a conceptual framework for internalizing environmental costs. It emphasizes the necessity of incorporating ecological constraints into development policy and provides substantive recommendations</w:t>
            </w:r>
            <w:r w:rsidRPr="001D709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for sustainable resource governance in regions experiencing rapid transformation.</w:t>
            </w:r>
          </w:p>
        </w:tc>
        <w:tc>
          <w:tcPr>
            <w:tcW w:w="6445" w:type="dxa"/>
          </w:tcPr>
          <w:p w14:paraId="7132E643" w14:textId="77777777" w:rsidR="003D0EB0" w:rsidRPr="001D709A" w:rsidRDefault="003D0EB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B0" w:rsidRPr="001D709A" w14:paraId="002E0EC0" w14:textId="77777777">
        <w:trPr>
          <w:trHeight w:val="1262"/>
        </w:trPr>
        <w:tc>
          <w:tcPr>
            <w:tcW w:w="5352" w:type="dxa"/>
          </w:tcPr>
          <w:p w14:paraId="6D8CF522" w14:textId="77777777" w:rsidR="003D0EB0" w:rsidRPr="001D709A" w:rsidRDefault="008A6F21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D709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D709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D709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1D709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D709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D709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D709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53A50EFD" w14:textId="77777777" w:rsidR="003D0EB0" w:rsidRPr="001D709A" w:rsidRDefault="008A6F21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D709A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1D709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1D709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D709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1D709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1D709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1D709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14:paraId="7E3CE0A4" w14:textId="77777777" w:rsidR="003D0EB0" w:rsidRPr="001D709A" w:rsidRDefault="008A6F21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1D709A">
              <w:rPr>
                <w:rFonts w:ascii="Arial" w:hAnsi="Arial" w:cs="Arial"/>
                <w:sz w:val="20"/>
                <w:szCs w:val="20"/>
              </w:rPr>
              <w:t>The</w:t>
            </w:r>
            <w:r w:rsidRPr="001D709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current</w:t>
            </w:r>
            <w:r w:rsidRPr="001D709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title</w:t>
            </w:r>
            <w:r w:rsidRPr="001D709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is</w:t>
            </w:r>
            <w:r w:rsidRPr="001D709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clear</w:t>
            </w:r>
            <w:r w:rsidRPr="001D709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and</w:t>
            </w:r>
            <w:r w:rsidRPr="001D709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accurately</w:t>
            </w:r>
            <w:r w:rsidRPr="001D709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reflects</w:t>
            </w:r>
            <w:r w:rsidRPr="001D709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the</w:t>
            </w:r>
            <w:r w:rsidRPr="001D709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article’s</w:t>
            </w:r>
            <w:r w:rsidRPr="001D709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regional</w:t>
            </w:r>
            <w:r w:rsidRPr="001D709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focus</w:t>
            </w:r>
            <w:r w:rsidRPr="001D709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and</w:t>
            </w:r>
            <w:r w:rsidRPr="001D709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thematic</w:t>
            </w:r>
            <w:r w:rsidRPr="001D709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concern. Suggested Alternative Titles:</w:t>
            </w:r>
          </w:p>
          <w:p w14:paraId="0082E087" w14:textId="77777777" w:rsidR="003D0EB0" w:rsidRPr="001D709A" w:rsidRDefault="008A6F21">
            <w:pPr>
              <w:pStyle w:val="TableParagraph"/>
              <w:spacing w:before="1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1D709A">
              <w:rPr>
                <w:rFonts w:ascii="Arial" w:hAnsi="Arial" w:cs="Arial"/>
                <w:sz w:val="20"/>
                <w:szCs w:val="20"/>
              </w:rPr>
              <w:t>“Balancing</w:t>
            </w:r>
            <w:r w:rsidRPr="001D709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Growth</w:t>
            </w:r>
            <w:r w:rsidRPr="001D709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and</w:t>
            </w:r>
            <w:r w:rsidRPr="001D709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Sustainability:</w:t>
            </w:r>
            <w:r w:rsidRPr="001D709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Economic-Environmental</w:t>
            </w:r>
            <w:r w:rsidRPr="001D709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Interdependence</w:t>
            </w:r>
            <w:r w:rsidRPr="001D709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in</w:t>
            </w:r>
            <w:r w:rsidRPr="001D709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East</w:t>
            </w:r>
            <w:r w:rsidRPr="001D709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pacing w:val="-2"/>
                <w:sz w:val="20"/>
                <w:szCs w:val="20"/>
              </w:rPr>
              <w:t>Kalimantan”</w:t>
            </w:r>
          </w:p>
        </w:tc>
        <w:tc>
          <w:tcPr>
            <w:tcW w:w="6445" w:type="dxa"/>
          </w:tcPr>
          <w:p w14:paraId="37EC52B7" w14:textId="77777777" w:rsidR="003D0EB0" w:rsidRPr="001D709A" w:rsidRDefault="003D0EB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B0" w:rsidRPr="001D709A" w14:paraId="21525813" w14:textId="77777777">
        <w:trPr>
          <w:trHeight w:val="1262"/>
        </w:trPr>
        <w:tc>
          <w:tcPr>
            <w:tcW w:w="5352" w:type="dxa"/>
          </w:tcPr>
          <w:p w14:paraId="01F899A5" w14:textId="77777777" w:rsidR="003D0EB0" w:rsidRPr="001D709A" w:rsidRDefault="008A6F21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1D709A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1D709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D709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1D709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1D709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1D709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D709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1D709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1D709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D709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14:paraId="392B03C5" w14:textId="77777777" w:rsidR="003D0EB0" w:rsidRPr="001D709A" w:rsidRDefault="008A6F21">
            <w:pPr>
              <w:pStyle w:val="TableParagraph"/>
              <w:ind w:left="108" w:right="154"/>
              <w:rPr>
                <w:rFonts w:ascii="Arial" w:hAnsi="Arial" w:cs="Arial"/>
                <w:sz w:val="20"/>
                <w:szCs w:val="20"/>
              </w:rPr>
            </w:pPr>
            <w:r w:rsidRPr="001D709A">
              <w:rPr>
                <w:rFonts w:ascii="Arial" w:hAnsi="Arial" w:cs="Arial"/>
                <w:sz w:val="20"/>
                <w:szCs w:val="20"/>
              </w:rPr>
              <w:t>The abstract presents the central concepts; however, it lacks details regarding the methodology and principal results.</w:t>
            </w:r>
            <w:r w:rsidRPr="001D709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Including</w:t>
            </w:r>
            <w:r w:rsidRPr="001D709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a</w:t>
            </w:r>
            <w:r w:rsidRPr="001D709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summary</w:t>
            </w:r>
            <w:r w:rsidRPr="001D709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of</w:t>
            </w:r>
            <w:r w:rsidRPr="001D709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the</w:t>
            </w:r>
            <w:r w:rsidRPr="001D709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qualitative</w:t>
            </w:r>
            <w:r w:rsidRPr="001D709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literature</w:t>
            </w:r>
            <w:r w:rsidRPr="001D709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review</w:t>
            </w:r>
            <w:r w:rsidRPr="001D709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method,</w:t>
            </w:r>
            <w:r w:rsidRPr="001D709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relevant</w:t>
            </w:r>
            <w:r w:rsidRPr="001D709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theoretical</w:t>
            </w:r>
            <w:r w:rsidRPr="001D709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frameworks</w:t>
            </w:r>
            <w:r w:rsidRPr="001D709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such</w:t>
            </w:r>
            <w:r w:rsidRPr="001D709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as externalities and internalization, and the main policy implications would improve clarity, methodological rigor, and the overall scholarly value.</w:t>
            </w:r>
          </w:p>
        </w:tc>
        <w:tc>
          <w:tcPr>
            <w:tcW w:w="6445" w:type="dxa"/>
          </w:tcPr>
          <w:p w14:paraId="423C6097" w14:textId="77777777" w:rsidR="003D0EB0" w:rsidRPr="001D709A" w:rsidRDefault="003D0EB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B0" w:rsidRPr="001D709A" w14:paraId="6E5645D8" w14:textId="77777777">
        <w:trPr>
          <w:trHeight w:val="705"/>
        </w:trPr>
        <w:tc>
          <w:tcPr>
            <w:tcW w:w="5352" w:type="dxa"/>
          </w:tcPr>
          <w:p w14:paraId="6F0994DC" w14:textId="77777777" w:rsidR="003D0EB0" w:rsidRPr="001D709A" w:rsidRDefault="008A6F21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1D709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D709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D709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1D709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1D709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1D709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D709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1D709A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14:paraId="5DA0B275" w14:textId="77777777" w:rsidR="003D0EB0" w:rsidRPr="001D709A" w:rsidRDefault="008A6F21">
            <w:pPr>
              <w:pStyle w:val="TableParagraph"/>
              <w:spacing w:line="230" w:lineRule="atLeas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1D709A">
              <w:rPr>
                <w:rFonts w:ascii="Arial" w:hAnsi="Arial" w:cs="Arial"/>
                <w:sz w:val="20"/>
                <w:szCs w:val="20"/>
              </w:rPr>
              <w:t>The</w:t>
            </w:r>
            <w:r w:rsidRPr="001D709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manuscript</w:t>
            </w:r>
            <w:r w:rsidRPr="001D709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demonstrates</w:t>
            </w:r>
            <w:r w:rsidRPr="001D709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scientific</w:t>
            </w:r>
            <w:r w:rsidRPr="001D709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accuracy</w:t>
            </w:r>
            <w:r w:rsidRPr="001D709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in</w:t>
            </w:r>
            <w:r w:rsidRPr="001D709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its</w:t>
            </w:r>
            <w:r w:rsidRPr="001D709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conceptual</w:t>
            </w:r>
            <w:r w:rsidRPr="001D709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framing</w:t>
            </w:r>
            <w:r w:rsidRPr="001D709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of</w:t>
            </w:r>
            <w:r w:rsidRPr="001D709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environmental</w:t>
            </w:r>
            <w:r w:rsidRPr="001D709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economics</w:t>
            </w:r>
            <w:r w:rsidRPr="001D709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and sustainability. However, it lacks empirical validation, contains minor inaccuracies such as the treatment of secondhand goods, and requires enhanced methodological rigor to meet established scientific standards.</w:t>
            </w:r>
          </w:p>
        </w:tc>
        <w:tc>
          <w:tcPr>
            <w:tcW w:w="6445" w:type="dxa"/>
          </w:tcPr>
          <w:p w14:paraId="78EB1A20" w14:textId="77777777" w:rsidR="003D0EB0" w:rsidRPr="001D709A" w:rsidRDefault="003D0EB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B0" w:rsidRPr="001D709A" w14:paraId="744821F6" w14:textId="77777777">
        <w:trPr>
          <w:trHeight w:val="919"/>
        </w:trPr>
        <w:tc>
          <w:tcPr>
            <w:tcW w:w="5352" w:type="dxa"/>
          </w:tcPr>
          <w:p w14:paraId="7EC251FF" w14:textId="77777777" w:rsidR="003D0EB0" w:rsidRPr="001D709A" w:rsidRDefault="008A6F21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1D709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D709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D709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1D709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1D709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D709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1D709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1D709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1D709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14:paraId="7FD09E71" w14:textId="77777777" w:rsidR="003D0EB0" w:rsidRPr="001D709A" w:rsidRDefault="008A6F21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1D709A">
              <w:rPr>
                <w:rFonts w:ascii="Arial" w:hAnsi="Arial" w:cs="Arial"/>
                <w:sz w:val="20"/>
                <w:szCs w:val="20"/>
              </w:rPr>
              <w:t>The references cited are relevant; however, a significant proportion of key sources were published before 2020. Credibility would be enhanced by incorporating additional studies published after 2020, particularly those addressing</w:t>
            </w:r>
            <w:r w:rsidRPr="001D709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environmental</w:t>
            </w:r>
            <w:r w:rsidRPr="001D709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economics,</w:t>
            </w:r>
            <w:r w:rsidRPr="001D709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internalization</w:t>
            </w:r>
            <w:r w:rsidRPr="001D709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mechanisms,</w:t>
            </w:r>
            <w:r w:rsidRPr="001D709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and</w:t>
            </w:r>
            <w:r w:rsidRPr="001D709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East</w:t>
            </w:r>
            <w:r w:rsidRPr="001D709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Kalimantan-specific</w:t>
            </w:r>
            <w:r w:rsidRPr="001D709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data</w:t>
            </w:r>
            <w:r w:rsidRPr="001D709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from</w:t>
            </w:r>
            <w:r w:rsidRPr="001D709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peer-</w:t>
            </w:r>
          </w:p>
          <w:p w14:paraId="015B4A2B" w14:textId="77777777" w:rsidR="003D0EB0" w:rsidRPr="001D709A" w:rsidRDefault="008A6F21">
            <w:pPr>
              <w:pStyle w:val="TableParagraph"/>
              <w:spacing w:line="209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1D709A">
              <w:rPr>
                <w:rFonts w:ascii="Arial" w:hAnsi="Arial" w:cs="Arial"/>
                <w:sz w:val="20"/>
                <w:szCs w:val="20"/>
              </w:rPr>
              <w:t>reviewed</w:t>
            </w:r>
            <w:r w:rsidRPr="001D709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pacing w:val="-2"/>
                <w:sz w:val="20"/>
                <w:szCs w:val="20"/>
              </w:rPr>
              <w:t>journals.</w:t>
            </w:r>
          </w:p>
        </w:tc>
        <w:tc>
          <w:tcPr>
            <w:tcW w:w="6445" w:type="dxa"/>
          </w:tcPr>
          <w:p w14:paraId="26390381" w14:textId="77777777" w:rsidR="003D0EB0" w:rsidRPr="001D709A" w:rsidRDefault="003D0EB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B0" w:rsidRPr="001D709A" w14:paraId="3AE76384" w14:textId="77777777">
        <w:trPr>
          <w:trHeight w:val="2529"/>
        </w:trPr>
        <w:tc>
          <w:tcPr>
            <w:tcW w:w="5352" w:type="dxa"/>
          </w:tcPr>
          <w:p w14:paraId="0E4BC541" w14:textId="77777777" w:rsidR="003D0EB0" w:rsidRPr="001D709A" w:rsidRDefault="008A6F21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1D709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D709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D709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1D709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1D709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D709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D709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D709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14:paraId="0BDB199F" w14:textId="77777777" w:rsidR="003D0EB0" w:rsidRPr="001D709A" w:rsidRDefault="008A6F21">
            <w:pPr>
              <w:pStyle w:val="TableParagraph"/>
              <w:ind w:left="108" w:right="154"/>
              <w:rPr>
                <w:rFonts w:ascii="Arial" w:hAnsi="Arial" w:cs="Arial"/>
                <w:sz w:val="20"/>
                <w:szCs w:val="20"/>
              </w:rPr>
            </w:pPr>
            <w:r w:rsidRPr="001D709A">
              <w:rPr>
                <w:rFonts w:ascii="Arial" w:hAnsi="Arial" w:cs="Arial"/>
                <w:sz w:val="20"/>
                <w:szCs w:val="20"/>
              </w:rPr>
              <w:t>The</w:t>
            </w:r>
            <w:r w:rsidRPr="001D709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English</w:t>
            </w:r>
            <w:r w:rsidRPr="001D709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language</w:t>
            </w:r>
            <w:r w:rsidRPr="001D709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quality</w:t>
            </w:r>
            <w:r w:rsidRPr="001D709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of</w:t>
            </w:r>
            <w:r w:rsidRPr="001D709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the</w:t>
            </w:r>
            <w:r w:rsidRPr="001D709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article</w:t>
            </w:r>
            <w:r w:rsidRPr="001D709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is generally</w:t>
            </w:r>
            <w:r w:rsidRPr="001D709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suitable</w:t>
            </w:r>
            <w:r w:rsidRPr="001D709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for</w:t>
            </w:r>
            <w:r w:rsidRPr="001D709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scholarly</w:t>
            </w:r>
            <w:r w:rsidRPr="001D709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communication</w:t>
            </w:r>
            <w:r w:rsidRPr="001D709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but</w:t>
            </w:r>
            <w:r w:rsidRPr="001D709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requires moderate revision to meet standard academic conventions. While the core ideas are understandable, the manuscript exhibits recurring issues that affect clarity and professionalism:</w:t>
            </w:r>
          </w:p>
          <w:p w14:paraId="6F72956B" w14:textId="77777777" w:rsidR="003D0EB0" w:rsidRPr="001D709A" w:rsidRDefault="008A6F21">
            <w:pPr>
              <w:pStyle w:val="TableParagraph"/>
              <w:numPr>
                <w:ilvl w:val="0"/>
                <w:numId w:val="1"/>
              </w:numPr>
              <w:tabs>
                <w:tab w:val="left" w:pos="225"/>
              </w:tabs>
              <w:spacing w:before="1"/>
              <w:ind w:right="308" w:firstLine="0"/>
              <w:rPr>
                <w:rFonts w:ascii="Arial" w:hAnsi="Arial" w:cs="Arial"/>
                <w:sz w:val="20"/>
                <w:szCs w:val="20"/>
              </w:rPr>
            </w:pPr>
            <w:r w:rsidRPr="001D709A">
              <w:rPr>
                <w:rFonts w:ascii="Arial" w:hAnsi="Arial" w:cs="Arial"/>
                <w:sz w:val="20"/>
                <w:szCs w:val="20"/>
              </w:rPr>
              <w:t>Grammatical</w:t>
            </w:r>
            <w:r w:rsidRPr="001D709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errors:</w:t>
            </w:r>
            <w:r w:rsidRPr="001D709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e.g.,</w:t>
            </w:r>
            <w:r w:rsidRPr="001D709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“secondhand</w:t>
            </w:r>
            <w:r w:rsidRPr="001D709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goods”</w:t>
            </w:r>
            <w:r w:rsidRPr="001D709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(likely</w:t>
            </w:r>
            <w:r w:rsidRPr="001D709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meant</w:t>
            </w:r>
            <w:r w:rsidRPr="001D709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“non-market”</w:t>
            </w:r>
            <w:r w:rsidRPr="001D709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or</w:t>
            </w:r>
            <w:r w:rsidRPr="001D709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“intangible”</w:t>
            </w:r>
            <w:r w:rsidRPr="001D709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goods),</w:t>
            </w:r>
            <w:r w:rsidRPr="001D709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“</w:t>
            </w:r>
            <w:proofErr w:type="spellStart"/>
            <w:r w:rsidRPr="001D709A">
              <w:rPr>
                <w:rFonts w:ascii="Arial" w:hAnsi="Arial" w:cs="Arial"/>
                <w:sz w:val="20"/>
                <w:szCs w:val="20"/>
              </w:rPr>
              <w:t>countires</w:t>
            </w:r>
            <w:proofErr w:type="spellEnd"/>
            <w:r w:rsidRPr="001D709A">
              <w:rPr>
                <w:rFonts w:ascii="Arial" w:hAnsi="Arial" w:cs="Arial"/>
                <w:sz w:val="20"/>
                <w:szCs w:val="20"/>
              </w:rPr>
              <w:t>” (typo for “countries”), “</w:t>
            </w:r>
            <w:proofErr w:type="spellStart"/>
            <w:r w:rsidRPr="001D709A">
              <w:rPr>
                <w:rFonts w:ascii="Arial" w:hAnsi="Arial" w:cs="Arial"/>
                <w:sz w:val="20"/>
                <w:szCs w:val="20"/>
              </w:rPr>
              <w:t>Analysios</w:t>
            </w:r>
            <w:proofErr w:type="spellEnd"/>
            <w:r w:rsidRPr="001D709A">
              <w:rPr>
                <w:rFonts w:ascii="Arial" w:hAnsi="Arial" w:cs="Arial"/>
                <w:sz w:val="20"/>
                <w:szCs w:val="20"/>
              </w:rPr>
              <w:t>” (for “Analysis”).</w:t>
            </w:r>
          </w:p>
          <w:p w14:paraId="19DB0D9A" w14:textId="77777777" w:rsidR="003D0EB0" w:rsidRPr="001D709A" w:rsidRDefault="008A6F21">
            <w:pPr>
              <w:pStyle w:val="TableParagraph"/>
              <w:numPr>
                <w:ilvl w:val="0"/>
                <w:numId w:val="1"/>
              </w:numPr>
              <w:tabs>
                <w:tab w:val="left" w:pos="225"/>
              </w:tabs>
              <w:ind w:right="944" w:firstLine="0"/>
              <w:rPr>
                <w:rFonts w:ascii="Arial" w:hAnsi="Arial" w:cs="Arial"/>
                <w:sz w:val="20"/>
                <w:szCs w:val="20"/>
              </w:rPr>
            </w:pPr>
            <w:r w:rsidRPr="001D709A">
              <w:rPr>
                <w:rFonts w:ascii="Arial" w:hAnsi="Arial" w:cs="Arial"/>
                <w:sz w:val="20"/>
                <w:szCs w:val="20"/>
              </w:rPr>
              <w:t>Awkward</w:t>
            </w:r>
            <w:r w:rsidRPr="001D709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phrasing:</w:t>
            </w:r>
            <w:r w:rsidRPr="001D709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Some</w:t>
            </w:r>
            <w:r w:rsidRPr="001D709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sentences</w:t>
            </w:r>
            <w:r w:rsidRPr="001D709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are</w:t>
            </w:r>
            <w:r w:rsidRPr="001D709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verbose</w:t>
            </w:r>
            <w:r w:rsidRPr="001D709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or</w:t>
            </w:r>
            <w:r w:rsidRPr="001D709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structurally</w:t>
            </w:r>
            <w:r w:rsidRPr="001D709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unclear</w:t>
            </w:r>
            <w:r w:rsidRPr="001D709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(e.g.,</w:t>
            </w:r>
            <w:r w:rsidRPr="001D709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“The</w:t>
            </w:r>
            <w:r w:rsidRPr="001D709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Role</w:t>
            </w:r>
            <w:r w:rsidRPr="001D709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of</w:t>
            </w:r>
            <w:r w:rsidRPr="001D709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the</w:t>
            </w:r>
            <w:r w:rsidRPr="001D709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Natural Environment A simple definition…” lacks punctuation and flow).</w:t>
            </w:r>
          </w:p>
          <w:p w14:paraId="03A59DCC" w14:textId="77777777" w:rsidR="003D0EB0" w:rsidRPr="001D709A" w:rsidRDefault="008A6F21">
            <w:pPr>
              <w:pStyle w:val="TableParagraph"/>
              <w:numPr>
                <w:ilvl w:val="0"/>
                <w:numId w:val="1"/>
              </w:numPr>
              <w:tabs>
                <w:tab w:val="left" w:pos="225"/>
              </w:tabs>
              <w:ind w:left="225" w:hanging="117"/>
              <w:rPr>
                <w:rFonts w:ascii="Arial" w:hAnsi="Arial" w:cs="Arial"/>
                <w:sz w:val="20"/>
                <w:szCs w:val="20"/>
              </w:rPr>
            </w:pPr>
            <w:r w:rsidRPr="001D709A">
              <w:rPr>
                <w:rFonts w:ascii="Arial" w:hAnsi="Arial" w:cs="Arial"/>
                <w:sz w:val="20"/>
                <w:szCs w:val="20"/>
              </w:rPr>
              <w:t>Repetition:</w:t>
            </w:r>
            <w:r w:rsidRPr="001D709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Sections</w:t>
            </w:r>
            <w:r w:rsidRPr="001D709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like</w:t>
            </w:r>
            <w:r w:rsidRPr="001D709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“Economics</w:t>
            </w:r>
            <w:r w:rsidRPr="001D709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as</w:t>
            </w:r>
            <w:r w:rsidRPr="001D709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an</w:t>
            </w:r>
            <w:r w:rsidRPr="001D709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Instrument…”</w:t>
            </w:r>
            <w:r w:rsidRPr="001D709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appear</w:t>
            </w:r>
            <w:r w:rsidRPr="001D709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nearly</w:t>
            </w:r>
            <w:r w:rsidRPr="001D709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verbatim</w:t>
            </w:r>
            <w:r w:rsidRPr="001D709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pacing w:val="-2"/>
                <w:sz w:val="20"/>
                <w:szCs w:val="20"/>
              </w:rPr>
              <w:t>twice.</w:t>
            </w:r>
          </w:p>
          <w:p w14:paraId="03A34E37" w14:textId="77777777" w:rsidR="003D0EB0" w:rsidRPr="001D709A" w:rsidRDefault="008A6F21">
            <w:pPr>
              <w:pStyle w:val="TableParagraph"/>
              <w:numPr>
                <w:ilvl w:val="0"/>
                <w:numId w:val="1"/>
              </w:numPr>
              <w:tabs>
                <w:tab w:val="left" w:pos="225"/>
              </w:tabs>
              <w:spacing w:line="229" w:lineRule="exact"/>
              <w:ind w:left="225" w:hanging="117"/>
              <w:rPr>
                <w:rFonts w:ascii="Arial" w:hAnsi="Arial" w:cs="Arial"/>
                <w:sz w:val="20"/>
                <w:szCs w:val="20"/>
              </w:rPr>
            </w:pPr>
            <w:r w:rsidRPr="001D709A">
              <w:rPr>
                <w:rFonts w:ascii="Arial" w:hAnsi="Arial" w:cs="Arial"/>
                <w:sz w:val="20"/>
                <w:szCs w:val="20"/>
              </w:rPr>
              <w:t>Inconsistent</w:t>
            </w:r>
            <w:r w:rsidRPr="001D709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capitalization</w:t>
            </w:r>
            <w:r w:rsidRPr="001D709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and</w:t>
            </w:r>
            <w:r w:rsidRPr="001D709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spacing:</w:t>
            </w:r>
            <w:r w:rsidRPr="001D709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e.g.,</w:t>
            </w:r>
            <w:r w:rsidRPr="001D709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“</w:t>
            </w:r>
            <w:proofErr w:type="spellStart"/>
            <w:r w:rsidRPr="001D709A">
              <w:rPr>
                <w:rFonts w:ascii="Arial" w:hAnsi="Arial" w:cs="Arial"/>
                <w:sz w:val="20"/>
                <w:szCs w:val="20"/>
              </w:rPr>
              <w:t>T</w:t>
            </w:r>
            <w:r w:rsidRPr="001D709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he</w:t>
            </w:r>
            <w:proofErr w:type="spellEnd"/>
            <w:r w:rsidRPr="001D709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use</w:t>
            </w:r>
            <w:r w:rsidRPr="001D709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of</w:t>
            </w:r>
            <w:r w:rsidRPr="001D709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a</w:t>
            </w:r>
            <w:r w:rsidRPr="001D709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good…”,</w:t>
            </w:r>
            <w:r w:rsidRPr="001D709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“</w:t>
            </w:r>
            <w:proofErr w:type="spellStart"/>
            <w:r w:rsidRPr="001D709A">
              <w:rPr>
                <w:rFonts w:ascii="Arial" w:hAnsi="Arial" w:cs="Arial"/>
                <w:sz w:val="20"/>
                <w:szCs w:val="20"/>
              </w:rPr>
              <w:t>Diakses</w:t>
            </w:r>
            <w:proofErr w:type="spellEnd"/>
            <w:r w:rsidRPr="001D709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pada</w:t>
            </w:r>
            <w:r w:rsidRPr="001D709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19</w:t>
            </w:r>
            <w:r w:rsidRPr="001D709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D709A">
              <w:rPr>
                <w:rFonts w:ascii="Arial" w:hAnsi="Arial" w:cs="Arial"/>
                <w:sz w:val="20"/>
                <w:szCs w:val="20"/>
              </w:rPr>
              <w:t>Desember</w:t>
            </w:r>
            <w:proofErr w:type="spellEnd"/>
            <w:r w:rsidRPr="001D709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pacing w:val="-2"/>
                <w:sz w:val="20"/>
                <w:szCs w:val="20"/>
              </w:rPr>
              <w:t>2013”.</w:t>
            </w:r>
          </w:p>
          <w:p w14:paraId="2AFC42D0" w14:textId="77777777" w:rsidR="003D0EB0" w:rsidRPr="001D709A" w:rsidRDefault="008A6F21">
            <w:pPr>
              <w:pStyle w:val="TableParagraph"/>
              <w:spacing w:line="23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1D709A">
              <w:rPr>
                <w:rFonts w:ascii="Arial" w:hAnsi="Arial" w:cs="Arial"/>
                <w:sz w:val="20"/>
                <w:szCs w:val="20"/>
              </w:rPr>
              <w:t>These</w:t>
            </w:r>
            <w:r w:rsidRPr="001D709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issues</w:t>
            </w:r>
            <w:r w:rsidRPr="001D709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do</w:t>
            </w:r>
            <w:r w:rsidRPr="001D709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not</w:t>
            </w:r>
            <w:r w:rsidRPr="001D709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obscure</w:t>
            </w:r>
            <w:r w:rsidRPr="001D709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the</w:t>
            </w:r>
            <w:r w:rsidRPr="001D709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main</w:t>
            </w:r>
            <w:r w:rsidRPr="001D709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arguments</w:t>
            </w:r>
            <w:r w:rsidRPr="001D709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but diminish</w:t>
            </w:r>
            <w:r w:rsidRPr="001D709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readability</w:t>
            </w:r>
            <w:r w:rsidRPr="001D709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and</w:t>
            </w:r>
            <w:r w:rsidRPr="001D709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scholarly</w:t>
            </w:r>
            <w:r w:rsidRPr="001D709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tone.</w:t>
            </w:r>
            <w:r w:rsidRPr="001D709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A</w:t>
            </w:r>
            <w:r w:rsidRPr="001D709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thorough</w:t>
            </w:r>
            <w:r w:rsidRPr="001D709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language edit by a native or professional academic editor is recommended before publication.</w:t>
            </w:r>
          </w:p>
        </w:tc>
        <w:tc>
          <w:tcPr>
            <w:tcW w:w="6445" w:type="dxa"/>
          </w:tcPr>
          <w:p w14:paraId="2A9BED32" w14:textId="77777777" w:rsidR="003D0EB0" w:rsidRPr="001D709A" w:rsidRDefault="003D0EB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B0" w:rsidRPr="001D709A" w14:paraId="65478918" w14:textId="77777777">
        <w:trPr>
          <w:trHeight w:val="1177"/>
        </w:trPr>
        <w:tc>
          <w:tcPr>
            <w:tcW w:w="5352" w:type="dxa"/>
          </w:tcPr>
          <w:p w14:paraId="59E19C50" w14:textId="77777777" w:rsidR="003D0EB0" w:rsidRPr="001D709A" w:rsidRDefault="008A6F21">
            <w:pPr>
              <w:pStyle w:val="TableParagraph"/>
              <w:spacing w:line="230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1D709A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1D709A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14:paraId="3F368F57" w14:textId="77777777" w:rsidR="003D0EB0" w:rsidRPr="001D709A" w:rsidRDefault="008A6F21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1D709A">
              <w:rPr>
                <w:rFonts w:ascii="Arial" w:hAnsi="Arial" w:cs="Arial"/>
                <w:sz w:val="20"/>
                <w:szCs w:val="20"/>
              </w:rPr>
              <w:t>The manuscript presents a pertinent conceptual analysis; however, it requires improved structural coherence, empirical</w:t>
            </w:r>
            <w:r w:rsidRPr="001D709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evidence</w:t>
            </w:r>
            <w:r w:rsidRPr="001D709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from</w:t>
            </w:r>
            <w:r w:rsidRPr="001D709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East</w:t>
            </w:r>
            <w:r w:rsidRPr="001D709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Kalimantan,</w:t>
            </w:r>
            <w:r w:rsidRPr="001D709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standardized</w:t>
            </w:r>
            <w:r w:rsidRPr="001D709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terminology,</w:t>
            </w:r>
            <w:r w:rsidRPr="001D709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and</w:t>
            </w:r>
            <w:r w:rsidRPr="001D709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comprehensive</w:t>
            </w:r>
            <w:r w:rsidRPr="001D709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language</w:t>
            </w:r>
            <w:r w:rsidRPr="001D709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revision</w:t>
            </w:r>
            <w:r w:rsidRPr="001D709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to achieve scholarly publication standards.</w:t>
            </w:r>
          </w:p>
        </w:tc>
        <w:tc>
          <w:tcPr>
            <w:tcW w:w="6445" w:type="dxa"/>
          </w:tcPr>
          <w:p w14:paraId="2B25D420" w14:textId="77777777" w:rsidR="003D0EB0" w:rsidRPr="001D709A" w:rsidRDefault="003D0EB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6343C6" w14:textId="77777777" w:rsidR="003D0EB0" w:rsidRPr="001D709A" w:rsidRDefault="003D0EB0">
      <w:pPr>
        <w:pStyle w:val="TableParagraph"/>
        <w:rPr>
          <w:rFonts w:ascii="Arial" w:hAnsi="Arial" w:cs="Arial"/>
          <w:sz w:val="20"/>
          <w:szCs w:val="20"/>
        </w:rPr>
        <w:sectPr w:rsidR="003D0EB0" w:rsidRPr="001D709A">
          <w:pgSz w:w="23820" w:h="16840" w:orient="landscape"/>
          <w:pgMar w:top="1920" w:right="0" w:bottom="880" w:left="1275" w:header="0" w:footer="694" w:gutter="0"/>
          <w:cols w:space="720"/>
        </w:sectPr>
      </w:pPr>
    </w:p>
    <w:p w14:paraId="6F2BC58A" w14:textId="77777777" w:rsidR="003D0EB0" w:rsidRPr="001D709A" w:rsidRDefault="003D0EB0">
      <w:pPr>
        <w:spacing w:before="128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3D0EB0" w:rsidRPr="001D709A" w14:paraId="07F91A73" w14:textId="77777777">
        <w:trPr>
          <w:trHeight w:val="450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14:paraId="7D462B53" w14:textId="77777777" w:rsidR="003D0EB0" w:rsidRPr="001D709A" w:rsidRDefault="008A6F21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1D709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1D709A">
              <w:rPr>
                <w:rFonts w:ascii="Arial" w:hAnsi="Arial" w:cs="Arial"/>
                <w:b/>
                <w:color w:val="000000"/>
                <w:spacing w:val="44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1D709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3D0EB0" w:rsidRPr="001D709A" w14:paraId="5106079F" w14:textId="77777777">
        <w:trPr>
          <w:trHeight w:val="933"/>
        </w:trPr>
        <w:tc>
          <w:tcPr>
            <w:tcW w:w="6831" w:type="dxa"/>
          </w:tcPr>
          <w:p w14:paraId="7A7854A9" w14:textId="77777777" w:rsidR="003D0EB0" w:rsidRPr="001D709A" w:rsidRDefault="003D0EB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3" w:type="dxa"/>
          </w:tcPr>
          <w:p w14:paraId="7554E202" w14:textId="77777777" w:rsidR="003D0EB0" w:rsidRPr="001D709A" w:rsidRDefault="008A6F21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1D709A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1D709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8" w:type="dxa"/>
          </w:tcPr>
          <w:p w14:paraId="546F686D" w14:textId="77777777" w:rsidR="003D0EB0" w:rsidRPr="001D709A" w:rsidRDefault="008A6F21">
            <w:pPr>
              <w:pStyle w:val="TableParagraph"/>
              <w:ind w:left="5" w:right="72"/>
              <w:rPr>
                <w:rFonts w:ascii="Arial" w:hAnsi="Arial" w:cs="Arial"/>
                <w:sz w:val="20"/>
                <w:szCs w:val="20"/>
              </w:rPr>
            </w:pPr>
            <w:r w:rsidRPr="001D709A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1D709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1D709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(It</w:t>
            </w:r>
            <w:r w:rsidRPr="001D709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is</w:t>
            </w:r>
            <w:r w:rsidRPr="001D709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mandatory</w:t>
            </w:r>
            <w:r w:rsidRPr="001D709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that</w:t>
            </w:r>
            <w:r w:rsidRPr="001D709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authors</w:t>
            </w:r>
            <w:r w:rsidRPr="001D709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should</w:t>
            </w:r>
            <w:r w:rsidRPr="001D709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write</w:t>
            </w:r>
            <w:r w:rsidRPr="001D709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3D0EB0" w:rsidRPr="001D709A" w14:paraId="1871A3C0" w14:textId="77777777">
        <w:trPr>
          <w:trHeight w:val="921"/>
        </w:trPr>
        <w:tc>
          <w:tcPr>
            <w:tcW w:w="6831" w:type="dxa"/>
          </w:tcPr>
          <w:p w14:paraId="6F5F396C" w14:textId="77777777" w:rsidR="003D0EB0" w:rsidRPr="001D709A" w:rsidRDefault="003D0EB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332ADC32" w14:textId="77777777" w:rsidR="003D0EB0" w:rsidRPr="001D709A" w:rsidRDefault="008A6F21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1D709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D709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1D709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1D709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1D709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D709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1D709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3" w:type="dxa"/>
          </w:tcPr>
          <w:p w14:paraId="0E4E3CAA" w14:textId="77777777" w:rsidR="003D0EB0" w:rsidRPr="001D709A" w:rsidRDefault="008A6F21">
            <w:pPr>
              <w:pStyle w:val="TableParagraph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1D709A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1D709A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1D709A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1D709A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proofErr w:type="gramStart"/>
            <w:r w:rsidRPr="001D709A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1D709A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1D709A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1D709A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1D709A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1D709A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1D709A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1D709A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1D709A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1D709A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1D709A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1D709A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1D709A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1D709A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1D709A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1D709A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1D709A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1D709A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1D709A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14:paraId="6A79F8B5" w14:textId="77777777" w:rsidR="003D0EB0" w:rsidRPr="001D709A" w:rsidRDefault="008A6F21">
            <w:pPr>
              <w:pStyle w:val="TableParagraph"/>
              <w:spacing w:before="211" w:line="230" w:lineRule="atLeast"/>
              <w:ind w:left="108" w:right="124"/>
              <w:rPr>
                <w:rFonts w:ascii="Arial" w:hAnsi="Arial" w:cs="Arial"/>
                <w:sz w:val="20"/>
                <w:szCs w:val="20"/>
              </w:rPr>
            </w:pPr>
            <w:r w:rsidRPr="001D709A">
              <w:rPr>
                <w:rFonts w:ascii="Arial" w:hAnsi="Arial" w:cs="Arial"/>
                <w:sz w:val="20"/>
                <w:szCs w:val="20"/>
              </w:rPr>
              <w:t>No</w:t>
            </w:r>
            <w:r w:rsidRPr="001D709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ethical</w:t>
            </w:r>
            <w:r w:rsidRPr="001D709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issues</w:t>
            </w:r>
            <w:r w:rsidRPr="001D709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are</w:t>
            </w:r>
            <w:r w:rsidRPr="001D709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709A">
              <w:rPr>
                <w:rFonts w:ascii="Arial" w:hAnsi="Arial" w:cs="Arial"/>
                <w:sz w:val="20"/>
                <w:szCs w:val="20"/>
              </w:rPr>
              <w:t>evident;</w:t>
            </w:r>
            <w:r w:rsidRPr="001D709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5678" w:type="dxa"/>
          </w:tcPr>
          <w:p w14:paraId="6447255F" w14:textId="77777777" w:rsidR="003D0EB0" w:rsidRPr="001D709A" w:rsidRDefault="003D0EB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89DC11" w14:textId="77777777" w:rsidR="001D709A" w:rsidRPr="008B76B9" w:rsidRDefault="001D709A" w:rsidP="001D709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B76B9">
        <w:rPr>
          <w:rFonts w:ascii="Arial" w:hAnsi="Arial" w:cs="Arial"/>
          <w:b/>
          <w:u w:val="single"/>
        </w:rPr>
        <w:t>Reviewer details:</w:t>
      </w:r>
    </w:p>
    <w:p w14:paraId="32CC3F5C" w14:textId="77777777" w:rsidR="001D709A" w:rsidRPr="008B76B9" w:rsidRDefault="001D709A" w:rsidP="001D709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8B76B9">
        <w:rPr>
          <w:rFonts w:ascii="Arial" w:hAnsi="Arial" w:cs="Arial"/>
          <w:b/>
          <w:color w:val="000000"/>
        </w:rPr>
        <w:t>Saortua</w:t>
      </w:r>
      <w:proofErr w:type="spellEnd"/>
      <w:r w:rsidRPr="008B76B9">
        <w:rPr>
          <w:rFonts w:ascii="Arial" w:hAnsi="Arial" w:cs="Arial"/>
          <w:b/>
          <w:color w:val="000000"/>
        </w:rPr>
        <w:t xml:space="preserve"> </w:t>
      </w:r>
      <w:proofErr w:type="spellStart"/>
      <w:r w:rsidRPr="008B76B9">
        <w:rPr>
          <w:rFonts w:ascii="Arial" w:hAnsi="Arial" w:cs="Arial"/>
          <w:b/>
          <w:color w:val="000000"/>
        </w:rPr>
        <w:t>Marbun</w:t>
      </w:r>
      <w:proofErr w:type="spellEnd"/>
      <w:r w:rsidRPr="008B76B9">
        <w:rPr>
          <w:rFonts w:ascii="Arial" w:hAnsi="Arial" w:cs="Arial"/>
          <w:b/>
          <w:color w:val="000000"/>
        </w:rPr>
        <w:t>, Indonesia</w:t>
      </w:r>
    </w:p>
    <w:p w14:paraId="60A77553" w14:textId="77777777" w:rsidR="001D709A" w:rsidRPr="008B76B9" w:rsidRDefault="001D709A" w:rsidP="001D709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134CE73E" w14:textId="77777777" w:rsidR="001D709A" w:rsidRPr="008B76B9" w:rsidRDefault="001D709A" w:rsidP="001D709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5AA3C85A" w14:textId="77777777" w:rsidR="008A6F21" w:rsidRPr="001D709A" w:rsidRDefault="008A6F21">
      <w:pPr>
        <w:rPr>
          <w:rFonts w:ascii="Arial" w:hAnsi="Arial" w:cs="Arial"/>
          <w:sz w:val="20"/>
          <w:szCs w:val="20"/>
        </w:rPr>
      </w:pPr>
    </w:p>
    <w:sectPr w:rsidR="008A6F21" w:rsidRPr="001D709A">
      <w:pgSz w:w="23820" w:h="16840" w:orient="landscape"/>
      <w:pgMar w:top="1920" w:right="0" w:bottom="880" w:left="1275" w:header="0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B82B7" w14:textId="77777777" w:rsidR="005E204F" w:rsidRDefault="005E204F">
      <w:r>
        <w:separator/>
      </w:r>
    </w:p>
  </w:endnote>
  <w:endnote w:type="continuationSeparator" w:id="0">
    <w:p w14:paraId="2967A1AC" w14:textId="77777777" w:rsidR="005E204F" w:rsidRDefault="005E2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3949A" w14:textId="77777777" w:rsidR="003D0EB0" w:rsidRDefault="008A6F21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7BB37741" wp14:editId="2EF2F7FE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5976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7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7AA765" w14:textId="77777777" w:rsidR="003D0EB0" w:rsidRDefault="008A6F2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EA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B3774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96.2pt;width:51.95pt;height:10.9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weckwEAABoDAAAOAAAAZHJzL2Uyb0RvYy54bWysUsFu2zAMvRfYPwi6L3Y6NGuNOMXWYkWB&#10;oi3Q7QMUWYqNWaJKKrHz96MUJxm227ALRUnU43uPWt6Orhc7g9SBr+V8VkphvIam85ta/vj+7eO1&#10;FBSVb1QP3tRyb0jerj5cLIdQmUtooW8MCgbxVA2hlm2MoSoK0q1ximYQjOdLC+hU5C1uigbVwOiu&#10;Ly7LclEMgE1A0IaIT+8Pl3KV8a01Or5YSyaKvpbMLeaIOa5TLFZLVW1QhbbTEw31Dyyc6jw3PUHd&#10;q6jEFru/oFynEQhsnGlwBVjbaZM1sJp5+Yeat1YFk7WwORRONtH/g9XPu7fwiiKOX2HkAWYRFJ5A&#10;/yT2phgCVVNN8pQq4uokdLTo0soSBD9kb/cnP80YhebDxdXN58WVFJqv5p9uSs4T5vlxQIoPBpxI&#10;SS2Rx5UJqN0TxUPpsWTicmifiMRxPXJJStfQ7FnDwGOsJb1vFRop+kfPPqWZHxM8JutjgrG/g/wz&#10;khQPX7YRbJc7n3GnzjyAzH36LGnCv+9z1flLr34BAAD//wMAUEsDBBQABgAIAAAAIQCy39Y64QAA&#10;AA0BAAAPAAAAZHJzL2Rvd25yZXYueG1sTI9BT4NAEIXvJv6HzZh4s0uREkGWpjF6MjFSPHhc2CmQ&#10;srPIblv8944nvc2beXnzvWK72FGccfaDIwXrVQQCqXVmoE7BR/1y9wDCB01Gj45QwTd62JbXV4XO&#10;jbtQhed96ASHkM+1gj6EKZfStz1a7VduQuLbwc1WB5ZzJ82sLxxuRxlHUSqtHog/9HrCpx7b4/5k&#10;Few+qXoevt6a9+pQDXWdRfSaHpW6vVl2jyACLuHPDL/4jA4lMzXuRMaLkXUSc5fAwyaLExBsiZNN&#10;BqLhVbpO7kGWhfzfovwBAAD//wMAUEsBAi0AFAAGAAgAAAAhALaDOJL+AAAA4QEAABMAAAAAAAAA&#10;AAAAAAAAAAAAAFtDb250ZW50X1R5cGVzXS54bWxQSwECLQAUAAYACAAAACEAOP0h/9YAAACUAQAA&#10;CwAAAAAAAAAAAAAAAAAvAQAAX3JlbHMvLnJlbHNQSwECLQAUAAYACAAAACEAKbMHnJMBAAAaAwAA&#10;DgAAAAAAAAAAAAAAAAAuAgAAZHJzL2Uyb0RvYy54bWxQSwECLQAUAAYACAAAACEAst/WOuEAAAAN&#10;AQAADwAAAAAAAAAAAAAAAADtAwAAZHJzL2Rvd25yZXYueG1sUEsFBgAAAAAEAAQA8wAAAPsEAAAA&#10;AA==&#10;" filled="f" stroked="f">
              <v:textbox inset="0,0,0,0">
                <w:txbxContent>
                  <w:p w14:paraId="567AA765" w14:textId="77777777" w:rsidR="003D0EB0" w:rsidRDefault="008A6F21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EA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A209D05" wp14:editId="1034A92D">
              <wp:simplePos x="0" y="0"/>
              <wp:positionH relativeFrom="page">
                <wp:posOffset>2634742</wp:posOffset>
              </wp:positionH>
              <wp:positionV relativeFrom="page">
                <wp:posOffset>10111682</wp:posOffset>
              </wp:positionV>
              <wp:extent cx="71437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43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C72180" w14:textId="77777777" w:rsidR="003D0EB0" w:rsidRDefault="008A6F2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209D05" id="Textbox 2" o:spid="_x0000_s1027" type="#_x0000_t202" style="position:absolute;margin-left:207.45pt;margin-top:796.2pt;width:56.25pt;height:10.9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XZRmAEAACEDAAAOAAAAZHJzL2Uyb0RvYy54bWysUsGO0zAQvSPxD5bvNOkuuwtR0xWwAiGt&#10;WKSFD3Adu7GIPWbGbdK/Z+ymLYIb4mKPPePn997M6n7yg9gbJAehlctFLYUJGjoXtq38/u3jqzdS&#10;UFKhUwME08qDIXm/fvliNcbGXEEPQ2dQMEigZoyt7FOKTVWR7o1XtIBoAictoFeJj7itOlQjo/uh&#10;uqrr22oE7CKCNkR8+3BMynXBt9bo9GQtmSSGVjK3VFYs6yav1Xqlmi2q2Ds901D/wMIrF/jTM9SD&#10;Skrs0P0F5Z1GILBpocFXYK3TpmhgNcv6DzXPvYqmaGFzKJ5tov8Hq7/sn+NXFGl6DxM3sIig+Aj6&#10;B7E31RipmWuyp9QQV2ehk0Wfd5Yg+CF7ezj7aaYkNF/eLV9f391IoTm1vH5b395kv6vL44iUPhnw&#10;IgetRG5XIaD2j5SOpaeSmcvx+0wkTZtJuC5z5sp8s4HuwFJG7mYr6edOoZFi+BzYrtz6U4CnYHMK&#10;MA0foAxIVhTg3S6BdYXABXcmwH0oEuaZyY3+/VyqLpO9/gUAAP//AwBQSwMEFAAGAAgAAAAhALgg&#10;W3XiAAAADQEAAA8AAABkcnMvZG93bnJldi54bWxMj0FPhDAQhe8m/odmTLy5BWRRkLLZGD2ZmGXx&#10;4LHQLjRLp0i7u/jvHU96m5n38uZ75WaxIzvr2RuHAuJVBExj55TBXsBH83r3CMwHiUqODrWAb+1h&#10;U11flbJQ7oK1Pu9DzygEfSEFDCFMBee+G7SVfuUmjaQd3GxloHXuuZrlhcLtyJMoyriVBunDICf9&#10;POjuuD9ZAdtPrF/M13u7qw+1aZo8wrfsKMTtzbJ9Ahb0Ev7M8ItP6FARU+tOqDwbBaRxmpOVhHWe&#10;pMDIsk4eaGjplMXpPfCq5P9bVD8AAAD//wMAUEsBAi0AFAAGAAgAAAAhALaDOJL+AAAA4QEAABMA&#10;AAAAAAAAAAAAAAAAAAAAAFtDb250ZW50X1R5cGVzXS54bWxQSwECLQAUAAYACAAAACEAOP0h/9YA&#10;AACUAQAACwAAAAAAAAAAAAAAAAAvAQAAX3JlbHMvLnJlbHNQSwECLQAUAAYACAAAACEAshV2UZgB&#10;AAAhAwAADgAAAAAAAAAAAAAAAAAuAgAAZHJzL2Uyb0RvYy54bWxQSwECLQAUAAYACAAAACEAuCBb&#10;deIAAAANAQAADwAAAAAAAAAAAAAAAADyAwAAZHJzL2Rvd25yZXYueG1sUEsFBgAAAAAEAAQA8wAA&#10;AAEFAAAAAA==&#10;" filled="f" stroked="f">
              <v:textbox inset="0,0,0,0">
                <w:txbxContent>
                  <w:p w14:paraId="2AC72180" w14:textId="77777777" w:rsidR="003D0EB0" w:rsidRDefault="008A6F21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F4AED73" wp14:editId="08844745">
              <wp:simplePos x="0" y="0"/>
              <wp:positionH relativeFrom="page">
                <wp:posOffset>4468495</wp:posOffset>
              </wp:positionH>
              <wp:positionV relativeFrom="page">
                <wp:posOffset>10111682</wp:posOffset>
              </wp:positionV>
              <wp:extent cx="81470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47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4FFE11" w14:textId="77777777" w:rsidR="003D0EB0" w:rsidRDefault="008A6F2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CEO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4AED73" id="Textbox 3" o:spid="_x0000_s1028" type="#_x0000_t202" style="position:absolute;margin-left:351.85pt;margin-top:796.2pt;width:64.15pt;height:10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W7nmAEAACEDAAAOAAAAZHJzL2Uyb0RvYy54bWysUsGO0zAQvSPxD5bvNGlhlyVqugJWIKQV&#10;IC18gOvYjUXsMTNuk/49YzdtEdwQl/F4PH5+743X95MfxMEgOQitXC5qKUzQ0Lmwa+X3bx9e3ElB&#10;SYVODRBMK4+G5P3m+bP1GBuzgh6GzqBgkEDNGFvZpxSbqiLdG69oAdEEPrSAXiXe4q7qUI2M7odq&#10;Vde31QjYRQRtiLj6cDqUm4JvrdHpi7VkkhhaydxSiVjiNsdqs1bNDlXsnZ5pqH9g4ZUL/OgF6kEl&#10;Jfbo/oLyTiMQ2LTQ4Cuw1mlTNLCaZf2HmqdeRVO0sDkULzbR/4PVnw9P8SuKNL2DiQdYRFB8BP2D&#10;2JtqjNTMPdlTaoi7s9DJos8rSxB8kb09Xvw0UxKai3fLV6/rGyk0Hy1fvqlvb7Lf1fVyREofDXiR&#10;k1Yij6sQUIdHSqfWc8vM5fR8JpKm7SRc18pVBs2VLXRHljLyNFtJP/cKjRTDp8B25dGfEzwn23OC&#10;aXgP5YNkRQHe7hNYVwhccWcCPIciYf4zedC/70vX9WdvfgEAAP//AwBQSwMEFAAGAAgAAAAhANMu&#10;RiLiAAAADQEAAA8AAABkcnMvZG93bnJldi54bWxMj8FOwzAQRO9I/IO1lbhRp0lJ2zROVSE4ISHS&#10;cODoxG5iNV6H2G3D37OcynFnnmZn8t1ke3bRozcOBSzmETCNjVMGWwGf1evjGpgPEpXsHWoBP9rD&#10;rri/y2Wm3BVLfTmEllEI+kwK6EIYMs5902kr/dwNGsk7utHKQOfYcjXKK4XbnsdRlHIrDdKHTg76&#10;udPN6XC2AvZfWL6Y7/f6ozyWpqo2Eb6lJyEeZtN+CyzoKdxg+KtP1aGgTrU7o/KsF7CKkhWhZDxt&#10;4iUwQtZJTPNqktLFMgFe5Pz/iuIXAAD//wMAUEsBAi0AFAAGAAgAAAAhALaDOJL+AAAA4QEAABMA&#10;AAAAAAAAAAAAAAAAAAAAAFtDb250ZW50X1R5cGVzXS54bWxQSwECLQAUAAYACAAAACEAOP0h/9YA&#10;AACUAQAACwAAAAAAAAAAAAAAAAAvAQAAX3JlbHMvLnJlbHNQSwECLQAUAAYACAAAACEAyylu55gB&#10;AAAhAwAADgAAAAAAAAAAAAAAAAAuAgAAZHJzL2Uyb0RvYy54bWxQSwECLQAUAAYACAAAACEA0y5G&#10;IuIAAAANAQAADwAAAAAAAAAAAAAAAADyAwAAZHJzL2Rvd25yZXYueG1sUEsFBgAAAAAEAAQA8wAA&#10;AAEFAAAAAA==&#10;" filled="f" stroked="f">
              <v:textbox inset="0,0,0,0">
                <w:txbxContent>
                  <w:p w14:paraId="6B4FFE11" w14:textId="77777777" w:rsidR="003D0EB0" w:rsidRDefault="008A6F21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CEO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5AEEA85" wp14:editId="3267E2F5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99568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56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1AB03D" w14:textId="77777777" w:rsidR="003D0EB0" w:rsidRDefault="008A6F2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3(07-07-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AEEA85" id="Textbox 4" o:spid="_x0000_s1029" type="#_x0000_t202" style="position:absolute;margin-left:539.05pt;margin-top:796.2pt;width:78.4pt;height:10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ld8mAEAACEDAAAOAAAAZHJzL2Uyb0RvYy54bWysUsFuGyEQvUfqPyDuNetEseKV11HaqFWl&#10;KImU9gMwC17UhaEM9q7/vgNe21V7q3KBYWZ4vPeG1f3oerbXES34hs9nFWfaK2it3zb8x/cvH+84&#10;wyR9K3vwuuEHjfx+/eFqNYRaX0MHfasjIxCP9RAa3qUUaiFQddpJnEHQnooGopOJjnEr2igHQne9&#10;uK6qhRggtiGC0oiUfTwW+brgG6NVejEGdWJ9w4lbKmss6yavYr2S9TbK0Fk10ZD/wcJJ6+nRM9Sj&#10;TJLtov0HylkVAcGkmQInwBirdNFAaubVX2reOhl00ULmYDjbhO8Hq573b+E1sjR+gpEGWERgeAL1&#10;E8kbMQSsp57sKdZI3VnoaKLLO0lgdJG8PZz91GNiipLL5e3ijiqKSvObZbW4zX6Ly+UQMX3V4FgO&#10;Gh5pXIWA3D9hOraeWiYux+czkTRuRmbbht9k0JzZQHsgKQNNs+H4ayej5qz/5smuPPpTEE/B5hTE&#10;1H+G8kGyIg8PuwTGFgIX3IkAzaFImP5MHvSf59J1+dnr3wAAAP//AwBQSwMEFAAGAAgAAAAhAENN&#10;HxnjAAAADwEAAA8AAABkcnMvZG93bnJldi54bWxMj8FugzAQRO+V+g/WRuqtMRBKA8FEUdWeKlUh&#10;9NCjAQes4DXFTkL/vptTe5vRPs3O5NvZDOyiJqctCgiXATCFjW01dgI+q7fHNTDnJbZysKgE/CgH&#10;2+L+LpdZa69YqsvBd4xC0GVSQO/9mHHuml4Z6ZZ2VEi3o52M9GSnjreTvFK4GXgUBAk3UiN96OWo&#10;XnrVnA5nI2D3heWr/v6o9+Wx1FWVBvienIR4WMy7DTCvZv8Hw60+VYeCOtX2jK1jA/ngeR0SS+op&#10;jWJgNyZaxSmwmlQSxivgRc7/7yh+AQAA//8DAFBLAQItABQABgAIAAAAIQC2gziS/gAAAOEBAAAT&#10;AAAAAAAAAAAAAAAAAAAAAABbQ29udGVudF9UeXBlc10ueG1sUEsBAi0AFAAGAAgAAAAhADj9If/W&#10;AAAAlAEAAAsAAAAAAAAAAAAAAAAALwEAAF9yZWxzLy5yZWxzUEsBAi0AFAAGAAgAAAAhAKYSV3yY&#10;AQAAIQMAAA4AAAAAAAAAAAAAAAAALgIAAGRycy9lMm9Eb2MueG1sUEsBAi0AFAAGAAgAAAAhAENN&#10;HxnjAAAADwEAAA8AAAAAAAAAAAAAAAAA8gMAAGRycy9kb3ducmV2LnhtbFBLBQYAAAAABAAEAPMA&#10;AAACBQAAAAA=&#10;" filled="f" stroked="f">
              <v:textbox inset="0,0,0,0">
                <w:txbxContent>
                  <w:p w14:paraId="0D1AB03D" w14:textId="77777777" w:rsidR="003D0EB0" w:rsidRDefault="008A6F21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Version:</w:t>
                    </w:r>
                    <w:r>
                      <w:rPr>
                        <w:spacing w:val="19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3(07-07-</w:t>
                    </w:r>
                    <w:r>
                      <w:rPr>
                        <w:spacing w:val="-4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698AD" w14:textId="77777777" w:rsidR="005E204F" w:rsidRDefault="005E204F">
      <w:r>
        <w:separator/>
      </w:r>
    </w:p>
  </w:footnote>
  <w:footnote w:type="continuationSeparator" w:id="0">
    <w:p w14:paraId="60176C1D" w14:textId="77777777" w:rsidR="005E204F" w:rsidRDefault="005E2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7C50"/>
    <w:multiLevelType w:val="hybridMultilevel"/>
    <w:tmpl w:val="C394A78C"/>
    <w:lvl w:ilvl="0" w:tplc="26A266BC">
      <w:numFmt w:val="bullet"/>
      <w:lvlText w:val="-"/>
      <w:lvlJc w:val="left"/>
      <w:pPr>
        <w:ind w:left="108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418313C">
      <w:numFmt w:val="bullet"/>
      <w:lvlText w:val="•"/>
      <w:lvlJc w:val="left"/>
      <w:pPr>
        <w:ind w:left="1024" w:hanging="118"/>
      </w:pPr>
      <w:rPr>
        <w:rFonts w:hint="default"/>
        <w:lang w:val="en-US" w:eastAsia="en-US" w:bidi="ar-SA"/>
      </w:rPr>
    </w:lvl>
    <w:lvl w:ilvl="2" w:tplc="5C0247CE">
      <w:numFmt w:val="bullet"/>
      <w:lvlText w:val="•"/>
      <w:lvlJc w:val="left"/>
      <w:pPr>
        <w:ind w:left="1949" w:hanging="118"/>
      </w:pPr>
      <w:rPr>
        <w:rFonts w:hint="default"/>
        <w:lang w:val="en-US" w:eastAsia="en-US" w:bidi="ar-SA"/>
      </w:rPr>
    </w:lvl>
    <w:lvl w:ilvl="3" w:tplc="27321112">
      <w:numFmt w:val="bullet"/>
      <w:lvlText w:val="•"/>
      <w:lvlJc w:val="left"/>
      <w:pPr>
        <w:ind w:left="2873" w:hanging="118"/>
      </w:pPr>
      <w:rPr>
        <w:rFonts w:hint="default"/>
        <w:lang w:val="en-US" w:eastAsia="en-US" w:bidi="ar-SA"/>
      </w:rPr>
    </w:lvl>
    <w:lvl w:ilvl="4" w:tplc="2DBE3632">
      <w:numFmt w:val="bullet"/>
      <w:lvlText w:val="•"/>
      <w:lvlJc w:val="left"/>
      <w:pPr>
        <w:ind w:left="3798" w:hanging="118"/>
      </w:pPr>
      <w:rPr>
        <w:rFonts w:hint="default"/>
        <w:lang w:val="en-US" w:eastAsia="en-US" w:bidi="ar-SA"/>
      </w:rPr>
    </w:lvl>
    <w:lvl w:ilvl="5" w:tplc="65E6833A">
      <w:numFmt w:val="bullet"/>
      <w:lvlText w:val="•"/>
      <w:lvlJc w:val="left"/>
      <w:pPr>
        <w:ind w:left="4723" w:hanging="118"/>
      </w:pPr>
      <w:rPr>
        <w:rFonts w:hint="default"/>
        <w:lang w:val="en-US" w:eastAsia="en-US" w:bidi="ar-SA"/>
      </w:rPr>
    </w:lvl>
    <w:lvl w:ilvl="6" w:tplc="F062A830">
      <w:numFmt w:val="bullet"/>
      <w:lvlText w:val="•"/>
      <w:lvlJc w:val="left"/>
      <w:pPr>
        <w:ind w:left="5647" w:hanging="118"/>
      </w:pPr>
      <w:rPr>
        <w:rFonts w:hint="default"/>
        <w:lang w:val="en-US" w:eastAsia="en-US" w:bidi="ar-SA"/>
      </w:rPr>
    </w:lvl>
    <w:lvl w:ilvl="7" w:tplc="B20E2F3E">
      <w:numFmt w:val="bullet"/>
      <w:lvlText w:val="•"/>
      <w:lvlJc w:val="left"/>
      <w:pPr>
        <w:ind w:left="6572" w:hanging="118"/>
      </w:pPr>
      <w:rPr>
        <w:rFonts w:hint="default"/>
        <w:lang w:val="en-US" w:eastAsia="en-US" w:bidi="ar-SA"/>
      </w:rPr>
    </w:lvl>
    <w:lvl w:ilvl="8" w:tplc="CEE6E2FE">
      <w:numFmt w:val="bullet"/>
      <w:lvlText w:val="•"/>
      <w:lvlJc w:val="left"/>
      <w:pPr>
        <w:ind w:left="7496" w:hanging="118"/>
      </w:pPr>
      <w:rPr>
        <w:rFonts w:hint="default"/>
        <w:lang w:val="en-US" w:eastAsia="en-US" w:bidi="ar-SA"/>
      </w:rPr>
    </w:lvl>
  </w:abstractNum>
  <w:num w:numId="1" w16cid:durableId="1266033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0EB0"/>
    <w:rsid w:val="001D709A"/>
    <w:rsid w:val="00284428"/>
    <w:rsid w:val="002D3E8A"/>
    <w:rsid w:val="00325DE8"/>
    <w:rsid w:val="003D0EB0"/>
    <w:rsid w:val="00551131"/>
    <w:rsid w:val="005E204F"/>
    <w:rsid w:val="008A6F21"/>
    <w:rsid w:val="009D3D90"/>
    <w:rsid w:val="00A34E5B"/>
    <w:rsid w:val="00BE70D5"/>
    <w:rsid w:val="00D40D06"/>
    <w:rsid w:val="00DB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0B76E"/>
  <w15:docId w15:val="{FF1AAD9B-64C9-4D79-BDAC-7D27B0AB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A34E5B"/>
    <w:rPr>
      <w:color w:val="0000FF"/>
      <w:u w:val="single"/>
    </w:rPr>
  </w:style>
  <w:style w:type="paragraph" w:customStyle="1" w:styleId="Affiliation">
    <w:name w:val="Affiliation"/>
    <w:basedOn w:val="Normal"/>
    <w:rsid w:val="001D709A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jofresearch.com/index.php/ABAAR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667</Words>
  <Characters>3803</Characters>
  <Application>Microsoft Office Word</Application>
  <DocSecurity>0</DocSecurity>
  <Lines>31</Lines>
  <Paragraphs>8</Paragraphs>
  <ScaleCrop>false</ScaleCrop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15</cp:revision>
  <dcterms:created xsi:type="dcterms:W3CDTF">2025-10-22T11:25:00Z</dcterms:created>
  <dcterms:modified xsi:type="dcterms:W3CDTF">2025-10-31T10:42:00Z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2025-10-22T00:00:00Z</vt:filetime>
  </property>
  <property fmtid="{D5CDD505-2E9C-101B-9397-08002B2CF9AE}" pid="5" name="Producer">
    <vt:lpwstr>Microsoft® Word 2021</vt:lpwstr>
  </property>
</Properties>
</file>