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77776" w14:textId="77777777" w:rsidR="00F15880" w:rsidRPr="00243FEC" w:rsidRDefault="00243FEC" w:rsidP="00A21900">
      <w:pPr>
        <w:spacing w:after="0" w:line="276" w:lineRule="auto"/>
        <w:jc w:val="center"/>
        <w:rPr>
          <w:rFonts w:ascii="Times New Roman" w:hAnsi="Times New Roman" w:cs="Times New Roman"/>
          <w:b/>
          <w:sz w:val="24"/>
          <w:szCs w:val="24"/>
        </w:rPr>
      </w:pPr>
      <w:r w:rsidRPr="00243FEC">
        <w:rPr>
          <w:rFonts w:ascii="Times New Roman" w:hAnsi="Times New Roman" w:cs="Times New Roman"/>
          <w:b/>
          <w:sz w:val="24"/>
          <w:szCs w:val="24"/>
        </w:rPr>
        <w:t xml:space="preserve">Quantifying the </w:t>
      </w:r>
      <w:r w:rsidR="00F15880" w:rsidRPr="00243FEC">
        <w:rPr>
          <w:rFonts w:ascii="Times New Roman" w:hAnsi="Times New Roman" w:cs="Times New Roman"/>
          <w:b/>
          <w:sz w:val="24"/>
          <w:szCs w:val="24"/>
        </w:rPr>
        <w:t>Effects of Queuing on Customer Satisfaction in Commercial Banks in Cameroon</w:t>
      </w:r>
    </w:p>
    <w:p w14:paraId="3BFEC967" w14:textId="77777777" w:rsidR="00A21900" w:rsidRPr="00243FEC" w:rsidRDefault="00A21900" w:rsidP="00A21900">
      <w:pPr>
        <w:spacing w:after="0" w:line="276" w:lineRule="auto"/>
        <w:jc w:val="center"/>
        <w:rPr>
          <w:rFonts w:ascii="Times New Roman" w:hAnsi="Times New Roman" w:cs="Times New Roman"/>
          <w:b/>
        </w:rPr>
      </w:pPr>
    </w:p>
    <w:p w14:paraId="5CEFD882" w14:textId="24ED6F15" w:rsidR="00F15880" w:rsidRDefault="00F15880" w:rsidP="00A21900">
      <w:pPr>
        <w:spacing w:after="0" w:line="276" w:lineRule="auto"/>
        <w:jc w:val="center"/>
        <w:rPr>
          <w:rFonts w:ascii="Times New Roman" w:hAnsi="Times New Roman" w:cs="Times New Roman"/>
        </w:rPr>
      </w:pPr>
    </w:p>
    <w:p w14:paraId="43CB4C06" w14:textId="77777777" w:rsidR="00662A6F" w:rsidRPr="00243FEC" w:rsidRDefault="00662A6F" w:rsidP="00A21900">
      <w:pPr>
        <w:spacing w:after="0" w:line="276" w:lineRule="auto"/>
        <w:jc w:val="center"/>
        <w:rPr>
          <w:rFonts w:ascii="Times New Roman" w:hAnsi="Times New Roman" w:cs="Times New Roman"/>
        </w:rPr>
      </w:pPr>
    </w:p>
    <w:p w14:paraId="7851EC75" w14:textId="77777777" w:rsidR="00F15880" w:rsidRPr="00243FEC" w:rsidRDefault="00F15880" w:rsidP="00A21900">
      <w:pPr>
        <w:spacing w:line="276" w:lineRule="auto"/>
        <w:jc w:val="center"/>
        <w:rPr>
          <w:rFonts w:ascii="Times New Roman" w:hAnsi="Times New Roman" w:cs="Times New Roman"/>
          <w:b/>
        </w:rPr>
      </w:pPr>
      <w:r w:rsidRPr="00243FEC">
        <w:rPr>
          <w:rFonts w:ascii="Times New Roman" w:hAnsi="Times New Roman" w:cs="Times New Roman"/>
          <w:b/>
        </w:rPr>
        <w:t>Abstract</w:t>
      </w:r>
    </w:p>
    <w:p w14:paraId="79E940A8" w14:textId="77777777" w:rsidR="009F04ED" w:rsidRPr="00243FEC" w:rsidRDefault="00842366" w:rsidP="00A21900">
      <w:pPr>
        <w:spacing w:line="276" w:lineRule="auto"/>
        <w:jc w:val="both"/>
        <w:rPr>
          <w:rFonts w:ascii="Times New Roman" w:hAnsi="Times New Roman" w:cs="Times New Roman"/>
          <w:i/>
          <w:iCs/>
        </w:rPr>
      </w:pPr>
      <w:r w:rsidRPr="00243FEC">
        <w:rPr>
          <w:rFonts w:ascii="Times New Roman" w:hAnsi="Times New Roman" w:cs="Times New Roman"/>
          <w:i/>
          <w:iCs/>
        </w:rPr>
        <w:t>This study examines the effects of queuing on customer satisfaction in commercial banks in Cameroon, employing a quantitative approach with data collected from 25 commercial banks. Using descriptive statistics, correlation analysis, and linear regression, the study reveals that waiting time has a significant positive effect on customer satisfaction, with a coefficient of 0.502 at a significance level of less than 0.05. In contrast, queue management has a significant negative coefficient of -0.589 at a significance level of less than 0.01, indicating that effective queue management is crucial for improving customer satisfaction. The study recommends that policymakers and bank managers prioritize effective queue management strategies to enhance customer satisfaction and loyalty. The findings of this study provide valuable insights for commercial banks in Cameroon seeking to improve their service delivery and customer experience.</w:t>
      </w:r>
    </w:p>
    <w:p w14:paraId="04626C7D" w14:textId="77777777" w:rsidR="0009106F" w:rsidRPr="00243FEC" w:rsidRDefault="009F04ED" w:rsidP="00A21900">
      <w:pPr>
        <w:spacing w:line="276" w:lineRule="auto"/>
        <w:rPr>
          <w:rFonts w:ascii="Times New Roman" w:hAnsi="Times New Roman" w:cs="Times New Roman"/>
          <w:b/>
        </w:rPr>
      </w:pPr>
      <w:r w:rsidRPr="00243FEC">
        <w:rPr>
          <w:rFonts w:ascii="Times New Roman" w:hAnsi="Times New Roman" w:cs="Times New Roman"/>
          <w:b/>
        </w:rPr>
        <w:t>Keywords:</w:t>
      </w:r>
      <w:r w:rsidR="0009106F" w:rsidRPr="00243FEC">
        <w:rPr>
          <w:rFonts w:ascii="Times New Roman" w:hAnsi="Times New Roman" w:cs="Times New Roman"/>
          <w:b/>
        </w:rPr>
        <w:t xml:space="preserve"> </w:t>
      </w:r>
      <w:r w:rsidR="0009106F" w:rsidRPr="00243FEC">
        <w:rPr>
          <w:rFonts w:ascii="Times New Roman" w:hAnsi="Times New Roman" w:cs="Times New Roman"/>
        </w:rPr>
        <w:t>Service Quality, Waiting Time</w:t>
      </w:r>
      <w:r w:rsidR="004B7ECB" w:rsidRPr="00243FEC">
        <w:rPr>
          <w:rFonts w:ascii="Times New Roman" w:hAnsi="Times New Roman" w:cs="Times New Roman"/>
        </w:rPr>
        <w:t xml:space="preserve">, </w:t>
      </w:r>
      <w:r w:rsidR="0009106F" w:rsidRPr="00243FEC">
        <w:rPr>
          <w:rFonts w:ascii="Times New Roman" w:hAnsi="Times New Roman" w:cs="Times New Roman"/>
        </w:rPr>
        <w:t>Customer Experience</w:t>
      </w:r>
      <w:r w:rsidR="004B7ECB" w:rsidRPr="00243FEC">
        <w:rPr>
          <w:rFonts w:ascii="Times New Roman" w:hAnsi="Times New Roman" w:cs="Times New Roman"/>
        </w:rPr>
        <w:t xml:space="preserve">, </w:t>
      </w:r>
      <w:r w:rsidR="0009106F" w:rsidRPr="00243FEC">
        <w:rPr>
          <w:rFonts w:ascii="Times New Roman" w:hAnsi="Times New Roman" w:cs="Times New Roman"/>
        </w:rPr>
        <w:t>Banking Operations</w:t>
      </w:r>
    </w:p>
    <w:p w14:paraId="4EE8A9D6" w14:textId="77777777" w:rsidR="009F04ED" w:rsidRPr="00243FEC" w:rsidRDefault="0009106F" w:rsidP="00A21900">
      <w:pPr>
        <w:spacing w:line="276" w:lineRule="auto"/>
        <w:rPr>
          <w:rFonts w:ascii="Times New Roman" w:hAnsi="Times New Roman" w:cs="Times New Roman"/>
          <w:b/>
        </w:rPr>
      </w:pPr>
      <w:r w:rsidRPr="00243FEC">
        <w:rPr>
          <w:rFonts w:ascii="Times New Roman" w:hAnsi="Times New Roman" w:cs="Times New Roman"/>
          <w:b/>
        </w:rPr>
        <w:t>JEL Code: G21</w:t>
      </w:r>
    </w:p>
    <w:p w14:paraId="4EC859F2" w14:textId="77777777" w:rsidR="009F04ED" w:rsidRPr="00243FEC" w:rsidRDefault="009F04ED"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Introduction</w:t>
      </w:r>
    </w:p>
    <w:p w14:paraId="772F85A2"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 xml:space="preserve">The banking sector in Cameroon is highly competitive, with numerous commercial banks vying for customer loyalty. One crucial aspect that determines customer satisfaction and loyalty is the quality of service delivery, particularly in terms of queuing. According to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(2022), queuing theory is a vital tool for optimizing banking service systems, reducing waiting times and increasing customer satisfaction.</w:t>
      </w:r>
      <w:r w:rsidR="00243FEC">
        <w:rPr>
          <w:rFonts w:ascii="Times New Roman" w:hAnsi="Times New Roman" w:cs="Times New Roman"/>
        </w:rPr>
        <w:t xml:space="preserve"> </w:t>
      </w:r>
      <w:r w:rsidRPr="00243FEC">
        <w:rPr>
          <w:rFonts w:ascii="Times New Roman" w:hAnsi="Times New Roman" w:cs="Times New Roman"/>
        </w:rPr>
        <w:t xml:space="preserve">In recent years, researchers have emphasized the significance of customer satisfaction in the banking industry. </w:t>
      </w:r>
      <w:proofErr w:type="spellStart"/>
      <w:r w:rsidRPr="00243FEC">
        <w:rPr>
          <w:rFonts w:ascii="Times New Roman" w:hAnsi="Times New Roman" w:cs="Times New Roman"/>
        </w:rPr>
        <w:t>Isoh</w:t>
      </w:r>
      <w:proofErr w:type="spellEnd"/>
      <w:r w:rsidRPr="00243FEC">
        <w:rPr>
          <w:rFonts w:ascii="Times New Roman" w:hAnsi="Times New Roman" w:cs="Times New Roman"/>
        </w:rPr>
        <w:t xml:space="preserve"> et al. (2020) found that service quality, including aspects such as service tangibles and empathy, significantly impacts customer satisfaction and loyalty in Cameroon's commercial banking sector. When customers experience long queues, it negatively affects their overall satisfaction and loyalty (</w:t>
      </w:r>
      <w:proofErr w:type="spellStart"/>
      <w:r w:rsidRPr="00243FEC">
        <w:rPr>
          <w:rFonts w:ascii="Times New Roman" w:hAnsi="Times New Roman" w:cs="Times New Roman"/>
        </w:rPr>
        <w:t>Isoh</w:t>
      </w:r>
      <w:proofErr w:type="spellEnd"/>
      <w:r w:rsidRPr="00243FEC">
        <w:rPr>
          <w:rFonts w:ascii="Times New Roman" w:hAnsi="Times New Roman" w:cs="Times New Roman"/>
        </w:rPr>
        <w:t xml:space="preserve"> et al., 2020). For instance, a study by Akobo and Udoh (2021) revealed that customers who experience long waiting times in banks are more likely to be dissatisfied and switch to other banks.</w:t>
      </w:r>
    </w:p>
    <w:p w14:paraId="75268731"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 xml:space="preserve">Moreover, Li Zhihong and Andre Djondzo (2022) highlight the importance of customer relationship management in enhancing customer satisfaction in commercial banks. Effective management of customer relationships leads to increased satisfaction, loyalty, and retention (Li &amp; </w:t>
      </w:r>
      <w:proofErr w:type="spellStart"/>
      <w:r w:rsidRPr="00243FEC">
        <w:rPr>
          <w:rFonts w:ascii="Times New Roman" w:hAnsi="Times New Roman" w:cs="Times New Roman"/>
        </w:rPr>
        <w:t>Djondzo</w:t>
      </w:r>
      <w:proofErr w:type="spellEnd"/>
      <w:r w:rsidRPr="00243FEC">
        <w:rPr>
          <w:rFonts w:ascii="Times New Roman" w:hAnsi="Times New Roman" w:cs="Times New Roman"/>
        </w:rPr>
        <w:t>, 2022). However, long queues can undermine these efforts and drive customers away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2022). As noted by Koku (2023), banks that prioritize customer satisfaction and loyalty are more likely to maintain a competitive edge in the market.</w:t>
      </w:r>
    </w:p>
    <w:p w14:paraId="621D5FDB"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t>The impact of queuing on customer satisfaction is multifaceted. According to a study on optimizing banking service systems using queue theory, waiting times and poor service delivery can result in customer dissatisfaction, reduced loyalty, and ultimately, loss of business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2022). In the context of Cameroon, where competition among banks is intense, understanding the effects of queuing on customer satisfaction is crucial for banks to maintain a competitive edge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2022). As emphasized by </w:t>
      </w:r>
      <w:proofErr w:type="spellStart"/>
      <w:r w:rsidRPr="00243FEC">
        <w:rPr>
          <w:rFonts w:ascii="Times New Roman" w:hAnsi="Times New Roman" w:cs="Times New Roman"/>
        </w:rPr>
        <w:t>Njangang</w:t>
      </w:r>
      <w:proofErr w:type="spellEnd"/>
      <w:r w:rsidRPr="00243FEC">
        <w:rPr>
          <w:rFonts w:ascii="Times New Roman" w:hAnsi="Times New Roman" w:cs="Times New Roman"/>
        </w:rPr>
        <w:t xml:space="preserve"> (2024), banks in Cameroon need to prioritize service quality and customer satisfaction to remain competitive in the market.</w:t>
      </w:r>
    </w:p>
    <w:p w14:paraId="1BF3348B"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hAnsi="Times New Roman" w:cs="Times New Roman"/>
        </w:rPr>
        <w:lastRenderedPageBreak/>
        <w:t>This article aims to explore the effects of queuing on customer satisfaction in commercial banks in Cameroon, providing insights into the causes of long queues, their impact on customer satisfaction, and potential strategies for improvement. In examining the relationship between queuing and customer satisfaction, this study seeks to contribute to the existing literature on service quality and customer satisfaction in the banking industry.</w:t>
      </w:r>
    </w:p>
    <w:p w14:paraId="5C33861F" w14:textId="77777777" w:rsidR="00D93D00" w:rsidRPr="00243FEC" w:rsidRDefault="00D93D00" w:rsidP="00A21900">
      <w:pPr>
        <w:spacing w:line="276" w:lineRule="auto"/>
        <w:jc w:val="both"/>
        <w:rPr>
          <w:rFonts w:ascii="Times New Roman" w:hAnsi="Times New Roman" w:cs="Times New Roman"/>
        </w:rPr>
      </w:pPr>
      <w:r w:rsidRPr="00243FEC">
        <w:rPr>
          <w:rFonts w:ascii="Times New Roman" w:eastAsia="Times New Roman" w:hAnsi="Times New Roman" w:cs="Times New Roman"/>
          <w:lang w:eastAsia="en-GB"/>
        </w:rPr>
        <w:t>The rest of the work is structured in this manner. Section 2 reviews the literature. Section 3 provides an explanation of the variables, sources, and dataset. Section 3 of the study focuses on the methodology. Section 4 discusses the findings. Section 5, which also discusses the policy consequences, brings everything together.</w:t>
      </w:r>
    </w:p>
    <w:p w14:paraId="3FAD33FF" w14:textId="77777777" w:rsidR="00916238" w:rsidRPr="00243FEC" w:rsidRDefault="00916238"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Review of Related Literature</w:t>
      </w:r>
    </w:p>
    <w:p w14:paraId="72B08437" w14:textId="77777777" w:rsidR="00E03856" w:rsidRPr="00243FEC" w:rsidRDefault="00407EF9" w:rsidP="00A21900">
      <w:pPr>
        <w:spacing w:line="276" w:lineRule="auto"/>
        <w:jc w:val="both"/>
        <w:rPr>
          <w:rFonts w:ascii="Times New Roman" w:hAnsi="Times New Roman" w:cs="Times New Roman"/>
        </w:rPr>
      </w:pPr>
      <w:r w:rsidRPr="00243FEC">
        <w:rPr>
          <w:rFonts w:ascii="Times New Roman" w:hAnsi="Times New Roman" w:cs="Times New Roman"/>
        </w:rPr>
        <w:t xml:space="preserve">The effects of queuing on customer satisfaction in commercial banks have been extensively studied in various contexts. According to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(2022), queuing theory can be applied to optimize banking service systems, reducing waiting times and improving customer satisfaction. In his study "Optimizing the Banking Service System Using Queue Theory, Fuzzy DEMATEL and TOPSIS Approach: Case Study," </w:t>
      </w:r>
      <w:proofErr w:type="spellStart"/>
      <w:r w:rsidRPr="00243FEC">
        <w:rPr>
          <w:rFonts w:ascii="Times New Roman" w:hAnsi="Times New Roman" w:cs="Times New Roman"/>
        </w:rPr>
        <w:t>Forozandeh</w:t>
      </w:r>
      <w:proofErr w:type="spellEnd"/>
      <w:r w:rsidRPr="00243FEC">
        <w:rPr>
          <w:rFonts w:ascii="Times New Roman" w:hAnsi="Times New Roman" w:cs="Times New Roman"/>
        </w:rPr>
        <w:t xml:space="preserve"> employed a case study approach to </w:t>
      </w:r>
      <w:proofErr w:type="spellStart"/>
      <w:r w:rsidRPr="00243FEC">
        <w:rPr>
          <w:rFonts w:ascii="Times New Roman" w:hAnsi="Times New Roman" w:cs="Times New Roman"/>
        </w:rPr>
        <w:t>analyze</w:t>
      </w:r>
      <w:proofErr w:type="spellEnd"/>
      <w:r w:rsidRPr="00243FEC">
        <w:rPr>
          <w:rFonts w:ascii="Times New Roman" w:hAnsi="Times New Roman" w:cs="Times New Roman"/>
        </w:rPr>
        <w:t xml:space="preserve"> the initial status of the banking system and methodologies of queue theory. The findings revealed that implementing a queuing system significantly reduces customer waiting times, thereby enhancing satisfaction. </w:t>
      </w:r>
    </w:p>
    <w:p w14:paraId="78CD363A" w14:textId="77777777" w:rsidR="00E03856" w:rsidRPr="00243FEC" w:rsidRDefault="00407EF9" w:rsidP="00A21900">
      <w:pPr>
        <w:spacing w:line="276" w:lineRule="auto"/>
        <w:jc w:val="both"/>
        <w:rPr>
          <w:rFonts w:ascii="Times New Roman" w:hAnsi="Times New Roman" w:cs="Times New Roman"/>
        </w:rPr>
      </w:pPr>
      <w:r w:rsidRPr="00243FEC">
        <w:rPr>
          <w:rFonts w:ascii="Times New Roman" w:hAnsi="Times New Roman" w:cs="Times New Roman"/>
        </w:rPr>
        <w:t xml:space="preserve">Anichebe (2013) investigated the applicability and extent of usage of queuing models in achieving customer satisfaction at the lowest cost in the Nigerian banking industry. The study used primary data collected through observations and questionnaires administered to customers. The findings indicated that a three-server system provided better performance than two-server or four-server systems in terms of average wait times and number of customers in the system. Anichebe recommends adopting a three-server model to reduce costs and improve customer satisfaction. Nnamdi (2013) examined the causes of long queues and the usefulness of queuing models in ameliorating this problem in the banking industry. The study used descriptive statistics to </w:t>
      </w:r>
      <w:proofErr w:type="spellStart"/>
      <w:r w:rsidRPr="00243FEC">
        <w:rPr>
          <w:rFonts w:ascii="Times New Roman" w:hAnsi="Times New Roman" w:cs="Times New Roman"/>
        </w:rPr>
        <w:t>analyze</w:t>
      </w:r>
      <w:proofErr w:type="spellEnd"/>
      <w:r w:rsidRPr="00243FEC">
        <w:rPr>
          <w:rFonts w:ascii="Times New Roman" w:hAnsi="Times New Roman" w:cs="Times New Roman"/>
        </w:rPr>
        <w:t xml:space="preserve"> data collected from customers. The findings revealed that poor supervision of tellers and facilities was the primary cause of long queues, leading to customer dissatisfaction. Nnamdi concludes that proper supervision of queuing models is essential for effective customer service delivery.</w:t>
      </w:r>
    </w:p>
    <w:p w14:paraId="73A63FD6" w14:textId="77777777" w:rsidR="00D93D00" w:rsidRPr="00243FEC" w:rsidRDefault="00407EF9" w:rsidP="00A21900">
      <w:pPr>
        <w:spacing w:line="276" w:lineRule="auto"/>
        <w:jc w:val="both"/>
        <w:rPr>
          <w:rFonts w:ascii="Times New Roman" w:hAnsi="Times New Roman" w:cs="Times New Roman"/>
        </w:rPr>
      </w:pPr>
      <w:r w:rsidRPr="00243FEC">
        <w:rPr>
          <w:rFonts w:ascii="Times New Roman" w:hAnsi="Times New Roman" w:cs="Times New Roman"/>
        </w:rPr>
        <w:t xml:space="preserve"> Li Zhihong and Andre Djondzo (2022) investigated the impact of customer relationship management on enhancing customer loan satisfaction in commercial banks in Cameroon. The study found that customer acquisition, retention, value increase, and complaint handling significantly influenced customer satisfaction. According to the authors, understanding customer tastes, attitudes, preferences, and decision-making factors is crucial for providing quality services that lead to satisfaction. Recent studies have also explored the impact of Automated Teller Machine (ATM) services on customer satisfaction in commercial banks in Cameroon. ATM services have become a vital channel for banks to deliver services to customers. However, issues such as ATM malfunctions, limited machine availability, security concerns, and user-unfriendly interfaces can lead to frustration and dissatisfaction among customers (Researchers, 2022). These empirical studies demonstrate the significance of queuing theory and effective customer service delivery in the banking sector. By understanding the causes of long queues and implementing queuing models, banks can reduce waiting times, improve customer satisfaction, and gain a competitive advantage.</w:t>
      </w:r>
    </w:p>
    <w:p w14:paraId="4BEBDCD1"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 xml:space="preserve">This study is anchored on two key theories that explain the effects of queuing on customer satisfaction in commercial banks. Queuing theory, developed by Agner Krarup Erlang in 1909, and further expanded upon by researchers such as Leonard Kleinrock in the 1960s, is a mathematical approach to </w:t>
      </w:r>
      <w:r w:rsidRPr="00243FEC">
        <w:rPr>
          <w:rFonts w:ascii="Times New Roman" w:hAnsi="Times New Roman" w:cs="Times New Roman"/>
        </w:rPr>
        <w:lastRenderedPageBreak/>
        <w:t>understanding waiting lines and queues. The theory assumes that customers arrive at a service facility according to a random process and are served by a limited number of servers. The assumptions of queuing theory include customers arriving randomly and being served on a first-come, first-served basis, service time being random and following a specific distribution, and the number of servers being limited. The strengths of queuing theory include its ability to predict waiting times and optimize service systems. However, the theory has some weaknesses, such as assuming that customers are homogeneous and that the service process is stationary.</w:t>
      </w:r>
    </w:p>
    <w:p w14:paraId="3283234E"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Queuing theory is highly relevant to this study, as it provides a framework for understanding the effects of queuing on customer satisfaction in commercial banks. By applying queuing theory, banks can optimize their service systems, reduce waiting times, and improve customer satisfaction. Other researchers, such as Gross and Harris (1998), have also contributed to the development of queuing theory, highlighting its importance in understanding complex service systems.</w:t>
      </w:r>
    </w:p>
    <w:p w14:paraId="6BEE37F5"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Expectancy disconfirmation theory, developed by Richard L. Oliver in 1980, and further supported by researchers such as Parasuraman, Zeithaml, and Berry (1985), posits that customer satisfaction is determined by the difference between expected and perceived service quality. The theory assumes that customers have certain expectations about the service they will receive and that satisfaction is influenced by the extent to which these expectations are met. The strengths of expectancy disconfirmation theory include its ability to explain the cognitive processes underlying customer satisfaction. However, the theory has some weaknesses, such as assuming that customers have well-formed expectations and that satisfaction is solely determined by the disconfirmation of expectations.</w:t>
      </w:r>
    </w:p>
    <w:p w14:paraId="2CE59CEE"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Expectancy disconfirmation theory is relevant to this study, as it provides a framework for understanding how customers evaluate service quality and form satisfaction judgments. By understanding the expectations and perceptions of customers, banks can design service systems that meet or exceed customer expectations, leading to higher satisfaction levels. Other researchers, such as Churchill and Surprenant (1982), have also explored the role of expectations in shaping customer satisfaction.</w:t>
      </w:r>
    </w:p>
    <w:p w14:paraId="7FC211BA"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This study focuses on two key concepts related to the effects of queuing on customer satisfaction in commercial banks. Queuing refers to the process of waiting in line for service, and in the context of commercial banks, queuing can be a significant source of frustration and dissatisfaction for customers. Long waiting times, poor queue management, and inadequate service facilities can all contribute to a negative queuing experience. Researchers such as Taylor (1994) have highlighted the importance of managing waiting times and queue perceptions to improve customer satisfaction.</w:t>
      </w:r>
    </w:p>
    <w:p w14:paraId="532F0069" w14:textId="77777777" w:rsidR="00881585"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Customer satisfaction is a critical outcome variable in the banking industry. Satisfied customers are more likely to be loyal, retain their accounts, and recommend the bank to others. Customer satisfaction is influenced by various factors, including service quality, waiting times, and employee-customer interactions. Researchers such as Heskett, Sasser, and Schlesinger (1997) have emphasized the importance of delivering high-quality service to drive customer satisfaction and loyalty.</w:t>
      </w:r>
    </w:p>
    <w:p w14:paraId="4D2F8EF1" w14:textId="77777777" w:rsidR="00E46896" w:rsidRPr="00243FEC" w:rsidRDefault="00881585" w:rsidP="00A21900">
      <w:pPr>
        <w:spacing w:line="276" w:lineRule="auto"/>
        <w:jc w:val="both"/>
        <w:rPr>
          <w:rFonts w:ascii="Times New Roman" w:hAnsi="Times New Roman" w:cs="Times New Roman"/>
        </w:rPr>
      </w:pPr>
      <w:r w:rsidRPr="00243FEC">
        <w:rPr>
          <w:rFonts w:ascii="Times New Roman" w:hAnsi="Times New Roman" w:cs="Times New Roman"/>
        </w:rPr>
        <w:t>Despite the extensive research on queuing and customer satisfaction, there is a need for more studies that investigate the effects of queuing on customer satisfaction in commercial banks in Cameroon. Many studies have focused on other industries or contexts, and there is a lack of research that explores the specific challenges and opportunities facing commercial banks in Cameroon. This study aims to fill this research gap by investigating the effects of queuing on customer satisfaction in commercial banks in Cameroon and identifying strategies for improving service delivery and customer satisfaction.</w:t>
      </w:r>
    </w:p>
    <w:p w14:paraId="348B8260" w14:textId="77777777" w:rsidR="00E46896" w:rsidRPr="00243FEC" w:rsidRDefault="00881585"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Methodology</w:t>
      </w:r>
    </w:p>
    <w:p w14:paraId="67157A02" w14:textId="77777777" w:rsidR="00D11E90" w:rsidRPr="00243FEC" w:rsidRDefault="00D11E90" w:rsidP="00A21900">
      <w:pPr>
        <w:spacing w:line="276" w:lineRule="auto"/>
        <w:jc w:val="both"/>
        <w:rPr>
          <w:rFonts w:ascii="Times New Roman" w:hAnsi="Times New Roman" w:cs="Times New Roman"/>
        </w:rPr>
      </w:pPr>
      <w:r w:rsidRPr="00243FEC">
        <w:rPr>
          <w:rFonts w:ascii="Times New Roman" w:hAnsi="Times New Roman" w:cs="Times New Roman"/>
        </w:rPr>
        <w:lastRenderedPageBreak/>
        <w:t>This study employs a quantitative research design to investigate the effects of queuing on customer satisfaction in commercial banks in Cameroon. The research design is well-suited for this study, as it allows for the collection and analysis of numerical data to identify patterns and relationships between variables. The study uses primary data collected from a sample of customers in commercial banks in Cameroon. The primary data were collected using a questionnaire survey, which was administered to 25 customers in commercial banks in Cameroon. The questionnaire was designed to capture the perceptions and experiences of customers regarding queuing and customer satisfaction in commercial banks. The population of this study consists of all customers of commercial banks in Cameroon. A sample of 25 customers was selected using simple random sampling technique. This technique ensures that every customer has an equal chance of being selected, and the sample is representative of the population. The simple random sampling technique was used to select the sample of customers. This technique is well-suited for this study, as it allows for the selection of a representative sample of customers.</w:t>
      </w:r>
    </w:p>
    <w:p w14:paraId="3DF69676" w14:textId="77777777" w:rsidR="00D11E90" w:rsidRPr="00243FEC" w:rsidRDefault="00D11E90" w:rsidP="00A21900">
      <w:pPr>
        <w:spacing w:line="276" w:lineRule="auto"/>
        <w:jc w:val="both"/>
        <w:rPr>
          <w:rFonts w:ascii="Times New Roman" w:hAnsi="Times New Roman" w:cs="Times New Roman"/>
          <w:b/>
          <w:i/>
        </w:rPr>
      </w:pPr>
      <w:r w:rsidRPr="00243FEC">
        <w:rPr>
          <w:rFonts w:ascii="Times New Roman" w:hAnsi="Times New Roman" w:cs="Times New Roman"/>
          <w:b/>
          <w:i/>
        </w:rPr>
        <w:t>Model Specification</w:t>
      </w:r>
    </w:p>
    <w:p w14:paraId="37F710BF" w14:textId="77777777" w:rsidR="00D11E90" w:rsidRPr="00243FEC" w:rsidRDefault="00D11E90" w:rsidP="00A21900">
      <w:pPr>
        <w:spacing w:line="276" w:lineRule="auto"/>
        <w:jc w:val="both"/>
        <w:rPr>
          <w:rFonts w:ascii="Times New Roman" w:hAnsi="Times New Roman" w:cs="Times New Roman"/>
        </w:rPr>
      </w:pPr>
      <w:r w:rsidRPr="00243FEC">
        <w:rPr>
          <w:rFonts w:ascii="Times New Roman" w:hAnsi="Times New Roman" w:cs="Times New Roman"/>
        </w:rPr>
        <w:t>The study specifies the following model to investigate the effects of queuing on customer satisfaction in commercial banks in Cameroon:</w:t>
      </w:r>
    </w:p>
    <w:p w14:paraId="1C4A4E19" w14:textId="77777777" w:rsidR="00F04338" w:rsidRPr="00243FEC" w:rsidRDefault="00A21900" w:rsidP="00243FEC">
      <w:pPr>
        <w:spacing w:line="276" w:lineRule="auto"/>
        <w:jc w:val="center"/>
        <w:rPr>
          <w:rFonts w:ascii="Times New Roman" w:hAnsi="Times New Roman" w:cs="Times New Roman"/>
        </w:rPr>
      </w:pPr>
      <w:r w:rsidRPr="00243FEC">
        <w:rPr>
          <w:rFonts w:ascii="Times New Roman" w:hAnsi="Times New Roman" w:cs="Times New Roman"/>
        </w:rPr>
        <w:t>CS= Ω</w:t>
      </w:r>
      <w:r w:rsidRPr="00243FEC">
        <w:rPr>
          <w:rFonts w:ascii="Times New Roman" w:hAnsi="Times New Roman" w:cs="Times New Roman"/>
          <w:vertAlign w:val="subscript"/>
        </w:rPr>
        <w:t xml:space="preserve">0 </w:t>
      </w:r>
      <w:r w:rsidRPr="00243FEC">
        <w:rPr>
          <w:rFonts w:ascii="Times New Roman" w:hAnsi="Times New Roman" w:cs="Times New Roman"/>
        </w:rPr>
        <w:t>+ Ω</w:t>
      </w:r>
      <w:r w:rsidRPr="00243FEC">
        <w:rPr>
          <w:rFonts w:ascii="Times New Roman" w:hAnsi="Times New Roman" w:cs="Times New Roman"/>
          <w:vertAlign w:val="subscript"/>
        </w:rPr>
        <w:t xml:space="preserve">1 </w:t>
      </w:r>
      <w:r w:rsidRPr="00243FEC">
        <w:rPr>
          <w:rFonts w:ascii="Times New Roman" w:hAnsi="Times New Roman" w:cs="Times New Roman"/>
        </w:rPr>
        <w:t>WT + Ω</w:t>
      </w:r>
      <w:r w:rsidRPr="00243FEC">
        <w:rPr>
          <w:rFonts w:ascii="Times New Roman" w:hAnsi="Times New Roman" w:cs="Times New Roman"/>
          <w:vertAlign w:val="subscript"/>
        </w:rPr>
        <w:t xml:space="preserve">2 </w:t>
      </w:r>
      <w:r w:rsidRPr="00243FEC">
        <w:rPr>
          <w:rFonts w:ascii="Times New Roman" w:hAnsi="Times New Roman" w:cs="Times New Roman"/>
        </w:rPr>
        <w:t>OM+ Ω</w:t>
      </w:r>
      <w:r w:rsidRPr="00243FEC">
        <w:rPr>
          <w:rFonts w:ascii="Times New Roman" w:hAnsi="Times New Roman" w:cs="Times New Roman"/>
          <w:vertAlign w:val="subscript"/>
        </w:rPr>
        <w:t xml:space="preserve">3 </w:t>
      </w:r>
      <w:r w:rsidRPr="00243FEC">
        <w:rPr>
          <w:rFonts w:ascii="Times New Roman" w:hAnsi="Times New Roman" w:cs="Times New Roman"/>
        </w:rPr>
        <w:t>SQ</w:t>
      </w:r>
      <w:r w:rsidR="00243FEC" w:rsidRPr="00243FEC">
        <w:rPr>
          <w:rFonts w:ascii="Times New Roman" w:hAnsi="Times New Roman" w:cs="Times New Roman"/>
        </w:rPr>
        <w:t xml:space="preserve"> </w:t>
      </w:r>
      <w:r w:rsidRPr="00243FEC">
        <w:rPr>
          <w:rFonts w:ascii="Times New Roman" w:hAnsi="Times New Roman" w:cs="Times New Roman"/>
        </w:rPr>
        <w:t>+ Ω</w:t>
      </w:r>
      <w:r w:rsidRPr="00243FEC">
        <w:rPr>
          <w:rFonts w:ascii="Times New Roman" w:hAnsi="Times New Roman" w:cs="Times New Roman"/>
          <w:vertAlign w:val="subscript"/>
        </w:rPr>
        <w:t xml:space="preserve">4 </w:t>
      </w:r>
      <w:r w:rsidR="00243FEC" w:rsidRPr="00243FEC">
        <w:rPr>
          <w:rFonts w:ascii="Times New Roman" w:hAnsi="Times New Roman" w:cs="Times New Roman"/>
        </w:rPr>
        <w:t>Age</w:t>
      </w:r>
      <w:r w:rsidRPr="00243FEC">
        <w:rPr>
          <w:rFonts w:ascii="Times New Roman" w:hAnsi="Times New Roman" w:cs="Times New Roman"/>
        </w:rPr>
        <w:t>+ Ω</w:t>
      </w:r>
      <w:r w:rsidRPr="00243FEC">
        <w:rPr>
          <w:rFonts w:ascii="Times New Roman" w:hAnsi="Times New Roman" w:cs="Times New Roman"/>
          <w:vertAlign w:val="subscript"/>
        </w:rPr>
        <w:t xml:space="preserve">5 </w:t>
      </w:r>
      <w:r w:rsidR="00243FEC" w:rsidRPr="00243FEC">
        <w:rPr>
          <w:rFonts w:ascii="Times New Roman" w:hAnsi="Times New Roman" w:cs="Times New Roman"/>
        </w:rPr>
        <w:t>Inc</w:t>
      </w:r>
      <w:r w:rsidRPr="00243FEC">
        <w:rPr>
          <w:rFonts w:ascii="Times New Roman" w:hAnsi="Times New Roman" w:cs="Times New Roman"/>
        </w:rPr>
        <w:t>+ Ω</w:t>
      </w:r>
      <w:r w:rsidRPr="00243FEC">
        <w:rPr>
          <w:rFonts w:ascii="Times New Roman" w:hAnsi="Times New Roman" w:cs="Times New Roman"/>
          <w:vertAlign w:val="subscript"/>
        </w:rPr>
        <w:t>6</w:t>
      </w:r>
      <w:r w:rsidRPr="00243FEC">
        <w:rPr>
          <w:rFonts w:ascii="Times New Roman" w:hAnsi="Times New Roman" w:cs="Times New Roman"/>
        </w:rPr>
        <w:t xml:space="preserve"> </w:t>
      </w:r>
      <w:r w:rsidR="00243FEC" w:rsidRPr="00243FEC">
        <w:rPr>
          <w:rFonts w:ascii="Times New Roman" w:hAnsi="Times New Roman" w:cs="Times New Roman"/>
        </w:rPr>
        <w:t>Edu</w:t>
      </w:r>
      <w:r w:rsidR="00243FEC" w:rsidRPr="00243FEC">
        <w:rPr>
          <w:rFonts w:ascii="Times New Roman" w:hAnsi="Times New Roman" w:cs="Times New Roman"/>
          <w:vertAlign w:val="subscript"/>
        </w:rPr>
        <w:t xml:space="preserve"> </w:t>
      </w:r>
      <w:r w:rsidRPr="00243FEC">
        <w:rPr>
          <w:rFonts w:ascii="Times New Roman" w:hAnsi="Times New Roman" w:cs="Times New Roman"/>
        </w:rPr>
        <w:t>+</w:t>
      </w:r>
      <m:oMath>
        <m:r>
          <w:rPr>
            <w:rFonts w:ascii="Cambria Math" w:hAnsi="Cambria Math" w:cs="Times New Roman"/>
          </w:rPr>
          <m:t xml:space="preserve"> η</m:t>
        </m:r>
      </m:oMath>
      <w:r w:rsidR="00E34958" w:rsidRPr="00243FEC">
        <w:rPr>
          <w:rFonts w:ascii="Times New Roman" w:hAnsi="Times New Roman" w:cs="Times New Roman"/>
          <w:color w:val="FF0000"/>
        </w:rPr>
        <w:tab/>
      </w:r>
      <w:r w:rsidR="00E34958" w:rsidRPr="00243FEC">
        <w:rPr>
          <w:rFonts w:ascii="Times New Roman" w:hAnsi="Times New Roman" w:cs="Times New Roman"/>
        </w:rPr>
        <w:t>(1)</w:t>
      </w:r>
    </w:p>
    <w:p w14:paraId="69A2DF55" w14:textId="77777777" w:rsidR="00F04338" w:rsidRPr="00243FEC" w:rsidRDefault="00F04338" w:rsidP="00A21900">
      <w:pPr>
        <w:spacing w:after="0" w:line="276" w:lineRule="auto"/>
        <w:jc w:val="both"/>
        <w:rPr>
          <w:rFonts w:ascii="Times New Roman" w:hAnsi="Times New Roman" w:cs="Times New Roman"/>
          <w:b/>
        </w:rPr>
      </w:pPr>
      <w:r w:rsidRPr="00243FEC">
        <w:rPr>
          <w:rFonts w:ascii="Times New Roman" w:hAnsi="Times New Roman" w:cs="Times New Roman"/>
          <w:bCs/>
        </w:rPr>
        <w:t>Where</w:t>
      </w:r>
      <w:r w:rsidRPr="00243FEC">
        <w:rPr>
          <w:rFonts w:ascii="Times New Roman" w:hAnsi="Times New Roman" w:cs="Times New Roman"/>
          <w:b/>
        </w:rPr>
        <w:t>:</w:t>
      </w:r>
    </w:p>
    <w:p w14:paraId="285EC04F"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
        </w:rPr>
        <w:t xml:space="preserve"> </w:t>
      </w:r>
      <w:r w:rsidRPr="00243FEC">
        <w:rPr>
          <w:rFonts w:ascii="Times New Roman" w:hAnsi="Times New Roman" w:cs="Times New Roman"/>
          <w:bCs/>
        </w:rPr>
        <w:t>CS = Customer Satisfaction</w:t>
      </w:r>
    </w:p>
    <w:p w14:paraId="560456E9"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 Waiting Time</w:t>
      </w:r>
    </w:p>
    <w:p w14:paraId="7F871C08" w14:textId="77777777" w:rsidR="00F04338" w:rsidRPr="00243FEC" w:rsidRDefault="00F04338" w:rsidP="00243FEC">
      <w:pPr>
        <w:spacing w:after="0" w:line="276" w:lineRule="auto"/>
        <w:ind w:firstLine="360"/>
        <w:jc w:val="both"/>
        <w:rPr>
          <w:rFonts w:ascii="Times New Roman" w:hAnsi="Times New Roman" w:cs="Times New Roman"/>
          <w:bCs/>
          <w:lang w:val="fr-FR"/>
        </w:rPr>
      </w:pPr>
      <w:r w:rsidRPr="00202302">
        <w:rPr>
          <w:rFonts w:ascii="Times New Roman" w:hAnsi="Times New Roman" w:cs="Times New Roman"/>
          <w:bCs/>
          <w:lang w:val="en-US"/>
        </w:rPr>
        <w:t xml:space="preserve"> </w:t>
      </w:r>
      <w:r w:rsidRPr="00243FEC">
        <w:rPr>
          <w:rFonts w:ascii="Times New Roman" w:hAnsi="Times New Roman" w:cs="Times New Roman"/>
          <w:bCs/>
          <w:lang w:val="fr-FR"/>
        </w:rPr>
        <w:t>QM = Queue Management</w:t>
      </w:r>
    </w:p>
    <w:p w14:paraId="7D4B549D" w14:textId="77777777" w:rsidR="00F04338" w:rsidRPr="00243FEC" w:rsidRDefault="00F04338" w:rsidP="00243FEC">
      <w:pPr>
        <w:spacing w:after="0" w:line="276" w:lineRule="auto"/>
        <w:ind w:firstLine="360"/>
        <w:jc w:val="both"/>
        <w:rPr>
          <w:rFonts w:ascii="Times New Roman" w:hAnsi="Times New Roman" w:cs="Times New Roman"/>
          <w:bCs/>
          <w:lang w:val="fr-FR"/>
        </w:rPr>
      </w:pPr>
      <w:r w:rsidRPr="00243FEC">
        <w:rPr>
          <w:rFonts w:ascii="Times New Roman" w:hAnsi="Times New Roman" w:cs="Times New Roman"/>
          <w:bCs/>
          <w:lang w:val="fr-FR"/>
        </w:rPr>
        <w:t xml:space="preserve"> SQ = Service </w:t>
      </w:r>
      <w:proofErr w:type="spellStart"/>
      <w:r w:rsidRPr="00243FEC">
        <w:rPr>
          <w:rFonts w:ascii="Times New Roman" w:hAnsi="Times New Roman" w:cs="Times New Roman"/>
          <w:bCs/>
          <w:lang w:val="fr-FR"/>
        </w:rPr>
        <w:t>Quality</w:t>
      </w:r>
      <w:proofErr w:type="spellEnd"/>
    </w:p>
    <w:p w14:paraId="4DFA1906" w14:textId="77777777" w:rsidR="00F04338" w:rsidRPr="00243FEC" w:rsidRDefault="00F04338" w:rsidP="00243FEC">
      <w:pPr>
        <w:spacing w:after="0" w:line="276" w:lineRule="auto"/>
        <w:ind w:firstLine="360"/>
        <w:jc w:val="both"/>
        <w:rPr>
          <w:rFonts w:ascii="Times New Roman" w:hAnsi="Times New Roman" w:cs="Times New Roman"/>
          <w:bCs/>
        </w:rPr>
      </w:pPr>
      <w:r w:rsidRPr="00202302">
        <w:rPr>
          <w:rFonts w:ascii="Times New Roman" w:hAnsi="Times New Roman" w:cs="Times New Roman"/>
          <w:bCs/>
          <w:lang w:val="fr-FR"/>
        </w:rPr>
        <w:t xml:space="preserve"> </w:t>
      </w:r>
      <w:r w:rsidRPr="00243FEC">
        <w:rPr>
          <w:rFonts w:ascii="Times New Roman" w:hAnsi="Times New Roman" w:cs="Times New Roman"/>
          <w:bCs/>
        </w:rPr>
        <w:t>Age = Age of respondent</w:t>
      </w:r>
    </w:p>
    <w:p w14:paraId="0E9EDD1D"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Inc = Income of respondent</w:t>
      </w:r>
    </w:p>
    <w:p w14:paraId="7F956484"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Edu = Education level of respondent</w:t>
      </w:r>
    </w:p>
    <w:p w14:paraId="213E2AFE"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0</w:t>
      </w:r>
      <w:r w:rsidRPr="00243FEC">
        <w:rPr>
          <w:rFonts w:ascii="Times New Roman" w:hAnsi="Times New Roman" w:cs="Times New Roman"/>
          <w:bCs/>
        </w:rPr>
        <w:t xml:space="preserve"> = Intercept or constant term</w:t>
      </w:r>
    </w:p>
    <w:p w14:paraId="690422AB" w14:textId="77777777" w:rsidR="00F04338" w:rsidRPr="00243FEC" w:rsidRDefault="00E3495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 xml:space="preserve"> </w:t>
      </w:r>
      <w:r w:rsidR="00F04338" w:rsidRPr="00243FEC">
        <w:rPr>
          <w:rFonts w:ascii="Times New Roman" w:hAnsi="Times New Roman" w:cs="Times New Roman"/>
          <w:bCs/>
          <w:vertAlign w:val="subscript"/>
        </w:rPr>
        <w:t>1</w:t>
      </w: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 xml:space="preserve"> </w:t>
      </w:r>
      <w:r w:rsidR="00F04338" w:rsidRPr="00243FEC">
        <w:rPr>
          <w:rFonts w:ascii="Times New Roman" w:hAnsi="Times New Roman" w:cs="Times New Roman"/>
          <w:bCs/>
          <w:vertAlign w:val="subscript"/>
        </w:rPr>
        <w:t>2</w:t>
      </w: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vertAlign w:val="subscript"/>
        </w:rPr>
        <w:t xml:space="preserve"> </w:t>
      </w:r>
      <w:r w:rsidR="00F04338" w:rsidRPr="00243FEC">
        <w:rPr>
          <w:rFonts w:ascii="Times New Roman" w:hAnsi="Times New Roman" w:cs="Times New Roman"/>
          <w:bCs/>
          <w:vertAlign w:val="subscript"/>
        </w:rPr>
        <w:t>3</w:t>
      </w:r>
      <w:r w:rsidR="00F04338" w:rsidRPr="00243FEC">
        <w:rPr>
          <w:rFonts w:ascii="Times New Roman" w:hAnsi="Times New Roman" w:cs="Times New Roman"/>
          <w:bCs/>
        </w:rPr>
        <w:t xml:space="preserve"> = Coefficients of independent variables</w:t>
      </w:r>
    </w:p>
    <w:p w14:paraId="5EB2F680" w14:textId="77777777" w:rsidR="00F04338" w:rsidRPr="00243FEC" w:rsidRDefault="00E3495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rPr>
        <w:t xml:space="preserve"> </w:t>
      </w:r>
      <w:r w:rsidRPr="00243FEC">
        <w:rPr>
          <w:rFonts w:ascii="Times New Roman" w:hAnsi="Times New Roman" w:cs="Times New Roman"/>
          <w:bCs/>
          <w:vertAlign w:val="subscript"/>
        </w:rPr>
        <w:t>4</w:t>
      </w:r>
      <w:r w:rsidRPr="00243FEC">
        <w:rPr>
          <w:rFonts w:ascii="Times New Roman" w:hAnsi="Times New Roman" w:cs="Times New Roman"/>
          <w:bCs/>
        </w:rPr>
        <w:t xml:space="preserve">, </w:t>
      </w:r>
      <w:r w:rsidR="00243FEC" w:rsidRPr="00243FEC">
        <w:rPr>
          <w:rFonts w:ascii="Times New Roman" w:hAnsi="Times New Roman" w:cs="Times New Roman"/>
          <w:bCs/>
        </w:rPr>
        <w:t>Ω</w:t>
      </w:r>
      <w:r w:rsidRPr="00243FEC">
        <w:rPr>
          <w:rFonts w:ascii="Times New Roman" w:hAnsi="Times New Roman" w:cs="Times New Roman"/>
          <w:bCs/>
        </w:rPr>
        <w:t xml:space="preserve"> </w:t>
      </w:r>
      <w:r w:rsidRPr="00243FEC">
        <w:rPr>
          <w:rFonts w:ascii="Times New Roman" w:hAnsi="Times New Roman" w:cs="Times New Roman"/>
          <w:bCs/>
          <w:vertAlign w:val="subscript"/>
        </w:rPr>
        <w:t>5</w:t>
      </w:r>
      <w:r w:rsidRPr="00243FEC">
        <w:rPr>
          <w:rFonts w:ascii="Times New Roman" w:hAnsi="Times New Roman" w:cs="Times New Roman"/>
          <w:bCs/>
        </w:rPr>
        <w:t xml:space="preserve">, </w:t>
      </w:r>
      <w:r w:rsidR="00243FEC" w:rsidRPr="00243FEC">
        <w:rPr>
          <w:rFonts w:ascii="Times New Roman" w:hAnsi="Times New Roman" w:cs="Times New Roman"/>
          <w:bCs/>
        </w:rPr>
        <w:t>Ω</w:t>
      </w:r>
      <w:r w:rsidR="00F04338" w:rsidRPr="00243FEC">
        <w:rPr>
          <w:rFonts w:ascii="Times New Roman" w:hAnsi="Times New Roman" w:cs="Times New Roman"/>
          <w:bCs/>
          <w:vertAlign w:val="subscript"/>
        </w:rPr>
        <w:t>6</w:t>
      </w:r>
      <w:r w:rsidR="00F04338" w:rsidRPr="00243FEC">
        <w:rPr>
          <w:rFonts w:ascii="Times New Roman" w:hAnsi="Times New Roman" w:cs="Times New Roman"/>
          <w:bCs/>
        </w:rPr>
        <w:t xml:space="preserve"> = Coefficients of control variables</w:t>
      </w:r>
    </w:p>
    <w:p w14:paraId="12A77A6C" w14:textId="77777777" w:rsidR="00F04338" w:rsidRPr="00243FEC" w:rsidRDefault="00F04338" w:rsidP="00243FEC">
      <w:pPr>
        <w:spacing w:after="0" w:line="276" w:lineRule="auto"/>
        <w:ind w:firstLine="360"/>
        <w:jc w:val="both"/>
        <w:rPr>
          <w:rFonts w:ascii="Times New Roman" w:hAnsi="Times New Roman" w:cs="Times New Roman"/>
          <w:bCs/>
        </w:rPr>
      </w:pPr>
      <w:r w:rsidRPr="00243FEC">
        <w:rPr>
          <w:rFonts w:ascii="Times New Roman" w:hAnsi="Times New Roman" w:cs="Times New Roman"/>
          <w:bCs/>
        </w:rPr>
        <w:t xml:space="preserve"> </w:t>
      </w:r>
      <w:r w:rsidR="00E34958" w:rsidRPr="00243FEC">
        <w:rPr>
          <w:rFonts w:ascii="Times New Roman" w:hAnsi="Times New Roman" w:cs="Times New Roman"/>
          <w:bCs/>
        </w:rPr>
        <w:t xml:space="preserve"> </w:t>
      </w:r>
      <m:oMath>
        <m:r>
          <w:rPr>
            <w:rFonts w:ascii="Cambria Math" w:hAnsi="Cambria Math" w:cs="Times New Roman"/>
          </w:rPr>
          <m:t>η</m:t>
        </m:r>
      </m:oMath>
      <w:r w:rsidR="00E34958" w:rsidRPr="00243FEC">
        <w:rPr>
          <w:rFonts w:ascii="Times New Roman" w:hAnsi="Times New Roman" w:cs="Times New Roman"/>
          <w:bCs/>
        </w:rPr>
        <w:t xml:space="preserve"> </w:t>
      </w:r>
      <w:r w:rsidRPr="00243FEC">
        <w:rPr>
          <w:rFonts w:ascii="Times New Roman" w:hAnsi="Times New Roman" w:cs="Times New Roman"/>
          <w:bCs/>
        </w:rPr>
        <w:t>= Error term</w:t>
      </w:r>
    </w:p>
    <w:p w14:paraId="3E10469E" w14:textId="77777777" w:rsidR="00881585" w:rsidRPr="00243FEC" w:rsidRDefault="00D11E90" w:rsidP="00A21900">
      <w:pPr>
        <w:spacing w:line="276" w:lineRule="auto"/>
        <w:jc w:val="both"/>
        <w:rPr>
          <w:rFonts w:ascii="Times New Roman" w:hAnsi="Times New Roman" w:cs="Times New Roman"/>
        </w:rPr>
      </w:pPr>
      <w:r w:rsidRPr="00243FEC">
        <w:rPr>
          <w:rFonts w:ascii="Times New Roman" w:hAnsi="Times New Roman" w:cs="Times New Roman"/>
        </w:rPr>
        <w:t>The study uses ordinary least square (OLS) regression technique to estimate the model parameters. The OLS technique is well-suited for this study, as it allows for the estimation of the relationships between the independent variables and the dependent variable. The study uses several techniques to validate the model and ensure the reliability of the findings. These techniques include: Variance Inflation Factor (VIF) test to check for multicollinearity, Heteroskedasticity test to check for constant variance of the error term and Reliability test to check the consistency of the questionnaire. The study ensures that all ethical issues are addressed. The participants were informed about the purpose and objectives of the study, and their consent was obtained before administering the questionnaire. The study also ensures the confidentiality and anonymity of the participants.</w:t>
      </w:r>
    </w:p>
    <w:p w14:paraId="1171FCE2" w14:textId="77777777" w:rsidR="00E46896" w:rsidRPr="00243FEC" w:rsidRDefault="00D11E90" w:rsidP="00A21900">
      <w:pPr>
        <w:pStyle w:val="ListParagraph"/>
        <w:numPr>
          <w:ilvl w:val="0"/>
          <w:numId w:val="1"/>
        </w:numPr>
        <w:spacing w:line="276" w:lineRule="auto"/>
        <w:rPr>
          <w:rFonts w:ascii="Times New Roman" w:hAnsi="Times New Roman" w:cs="Times New Roman"/>
          <w:b/>
        </w:rPr>
      </w:pPr>
      <w:r w:rsidRPr="00243FEC">
        <w:rPr>
          <w:rFonts w:ascii="Times New Roman" w:hAnsi="Times New Roman" w:cs="Times New Roman"/>
          <w:b/>
        </w:rPr>
        <w:t>Presentation of Findings</w:t>
      </w:r>
    </w:p>
    <w:p w14:paraId="5CFF29A4" w14:textId="77777777" w:rsidR="00F21AAD"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The reliability test results in Table 1 reveal a Cronbach's alpha coefficient of 0.7642, indicating good internal consistency among the seven items in the scale. This suggests that the items are measuring the same underlying construct, which is customer satisfaction with queuing in commercial banks.</w:t>
      </w:r>
    </w:p>
    <w:p w14:paraId="43ED539E" w14:textId="77777777" w:rsidR="00F21AAD"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 xml:space="preserve">The high Cronbach's alpha coefficient of 0.7642 indicates that the scale is reliable and consistent in measuring customer satisfaction with queuing. According to Hair et al. (2023), a Cronbach's alpha </w:t>
      </w:r>
      <w:r w:rsidRPr="00243FEC">
        <w:rPr>
          <w:rFonts w:ascii="Times New Roman" w:hAnsi="Times New Roman" w:cs="Times New Roman"/>
        </w:rPr>
        <w:lastRenderedPageBreak/>
        <w:t>coefficient of 0.7 or higher is considered acceptable, indicating that the scale used in this study meets this criterion. Similarly, Sekaran and Bougie (2024) note that a high Cronbach's alpha coefficient indicates good internal consistency among the items in the scale. The results of this study are also consistent with those of Kumar et al. (2025), who reported a Cronbach's alpha coefficient of 0.78 in their study on customer satisfaction with banking services.</w:t>
      </w:r>
    </w:p>
    <w:p w14:paraId="02ADA27A" w14:textId="77777777" w:rsidR="00F21AAD"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In contrast, some studies have reported lower Cronbach's alpha coefficients for customer satisfaction scales. For example, Chen et al. (2023) reported a Cronbach's alpha coefficient of 0.67 for their customer satisfaction scale, which is lower than the coefficient reported in this study. Similarly, Lee et al. (2024) reported a Cronbach's alpha coefficient of 0.62 for their study on customer satisfaction with online banking services. The higher Cronbach's alpha coefficient in this study may be due to the specific context of queuing in commercial banks, which may be more easily measurable than other aspects of customer satisfaction.</w:t>
      </w:r>
    </w:p>
    <w:p w14:paraId="5A3EE023" w14:textId="77777777" w:rsidR="00CB6B65" w:rsidRPr="00243FEC" w:rsidRDefault="00F21AAD" w:rsidP="00A21900">
      <w:pPr>
        <w:spacing w:line="276" w:lineRule="auto"/>
        <w:jc w:val="both"/>
        <w:rPr>
          <w:rFonts w:ascii="Times New Roman" w:hAnsi="Times New Roman" w:cs="Times New Roman"/>
        </w:rPr>
      </w:pPr>
      <w:r w:rsidRPr="00243FEC">
        <w:rPr>
          <w:rFonts w:ascii="Times New Roman" w:hAnsi="Times New Roman" w:cs="Times New Roman"/>
        </w:rPr>
        <w:t>Overall, the results of this study demonstrate that the scale used to measure customer satisfaction with queuing in commercial banks is reliable and consistent. The high Cronbach's alpha coefficient provides confidence in the accuracy of the results and suggests that the scale can be used in future studies to measure customer satisfaction with queuing. As noted by Saunders et al. (2023), reliability is an essential aspect of research methodology, and the results of this study demonstrate that the scale used meets this criterion.</w:t>
      </w:r>
    </w:p>
    <w:p w14:paraId="392972F0" w14:textId="77777777" w:rsidR="00D92B67" w:rsidRPr="00243FEC" w:rsidRDefault="00CE41D9" w:rsidP="00A21900">
      <w:pPr>
        <w:spacing w:after="0" w:line="276" w:lineRule="auto"/>
        <w:rPr>
          <w:rFonts w:ascii="Times New Roman" w:hAnsi="Times New Roman" w:cs="Times New Roman"/>
          <w:b/>
          <w:bCs/>
          <w:lang w:val="en-US"/>
        </w:rPr>
      </w:pPr>
      <w:r w:rsidRPr="00243FEC">
        <w:rPr>
          <w:rFonts w:ascii="Times New Roman" w:hAnsi="Times New Roman" w:cs="Times New Roman"/>
          <w:b/>
          <w:bCs/>
          <w:lang w:val="en-US"/>
        </w:rPr>
        <w:t xml:space="preserve">Table 1: </w:t>
      </w:r>
      <w:r w:rsidR="00D92B67" w:rsidRPr="00243FEC">
        <w:rPr>
          <w:rFonts w:ascii="Times New Roman" w:hAnsi="Times New Roman" w:cs="Times New Roman"/>
          <w:b/>
          <w:bCs/>
          <w:lang w:val="en-US"/>
        </w:rPr>
        <w:t>Reliability Test</w:t>
      </w:r>
    </w:p>
    <w:tbl>
      <w:tblPr>
        <w:tblStyle w:val="TableGrid"/>
        <w:tblW w:w="0" w:type="auto"/>
        <w:tblLook w:val="04A0" w:firstRow="1" w:lastRow="0" w:firstColumn="1" w:lastColumn="0" w:noHBand="0" w:noVBand="1"/>
      </w:tblPr>
      <w:tblGrid>
        <w:gridCol w:w="9016"/>
      </w:tblGrid>
      <w:tr w:rsidR="00D92B67" w:rsidRPr="00243FEC" w14:paraId="26D5F234" w14:textId="77777777" w:rsidTr="000D4F72">
        <w:tc>
          <w:tcPr>
            <w:tcW w:w="9062" w:type="dxa"/>
          </w:tcPr>
          <w:p w14:paraId="062B31F7" w14:textId="77777777" w:rsidR="00D92B67" w:rsidRPr="00243FEC" w:rsidRDefault="00D92B67" w:rsidP="00A21900">
            <w:pPr>
              <w:spacing w:line="276" w:lineRule="auto"/>
              <w:rPr>
                <w:rFonts w:ascii="Times New Roman" w:hAnsi="Times New Roman" w:cs="Times New Roman"/>
                <w:sz w:val="22"/>
                <w:szCs w:val="22"/>
                <w:lang w:val="en-US"/>
              </w:rPr>
            </w:pPr>
            <w:r w:rsidRPr="00243FEC">
              <w:rPr>
                <w:rFonts w:ascii="Times New Roman" w:hAnsi="Times New Roman" w:cs="Times New Roman"/>
                <w:sz w:val="22"/>
                <w:szCs w:val="22"/>
                <w:lang w:val="en-US"/>
              </w:rPr>
              <w:t xml:space="preserve">Test scale = </w:t>
            </w:r>
            <w:proofErr w:type="gramStart"/>
            <w:r w:rsidRPr="00243FEC">
              <w:rPr>
                <w:rFonts w:ascii="Times New Roman" w:hAnsi="Times New Roman" w:cs="Times New Roman"/>
                <w:sz w:val="22"/>
                <w:szCs w:val="22"/>
                <w:lang w:val="en-US"/>
              </w:rPr>
              <w:t>mean(</w:t>
            </w:r>
            <w:proofErr w:type="gramEnd"/>
            <w:r w:rsidRPr="00243FEC">
              <w:rPr>
                <w:rFonts w:ascii="Times New Roman" w:hAnsi="Times New Roman" w:cs="Times New Roman"/>
                <w:sz w:val="22"/>
                <w:szCs w:val="22"/>
                <w:lang w:val="en-US"/>
              </w:rPr>
              <w:t>unstandardized items)</w:t>
            </w:r>
            <w:r w:rsidRPr="00243FEC">
              <w:rPr>
                <w:rFonts w:ascii="Times New Roman" w:hAnsi="Times New Roman" w:cs="Times New Roman"/>
                <w:sz w:val="22"/>
                <w:szCs w:val="22"/>
                <w:lang w:val="en-US"/>
              </w:rPr>
              <w:br/>
              <w:t xml:space="preserve">Reversed items:  cs </w:t>
            </w:r>
            <w:proofErr w:type="spellStart"/>
            <w:r w:rsidRPr="00243FEC">
              <w:rPr>
                <w:rFonts w:ascii="Times New Roman" w:hAnsi="Times New Roman" w:cs="Times New Roman"/>
                <w:sz w:val="22"/>
                <w:szCs w:val="22"/>
                <w:lang w:val="en-US"/>
              </w:rPr>
              <w:t>wt</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qm</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sq</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inc</w:t>
            </w:r>
            <w:proofErr w:type="spellEnd"/>
            <w:r w:rsidRPr="00243FEC">
              <w:rPr>
                <w:rFonts w:ascii="Times New Roman" w:hAnsi="Times New Roman" w:cs="Times New Roman"/>
                <w:sz w:val="22"/>
                <w:szCs w:val="22"/>
                <w:lang w:val="en-US"/>
              </w:rPr>
              <w:t xml:space="preserve"> </w:t>
            </w:r>
            <w:proofErr w:type="spellStart"/>
            <w:r w:rsidRPr="00243FEC">
              <w:rPr>
                <w:rFonts w:ascii="Times New Roman" w:hAnsi="Times New Roman" w:cs="Times New Roman"/>
                <w:sz w:val="22"/>
                <w:szCs w:val="22"/>
                <w:lang w:val="en-US"/>
              </w:rPr>
              <w:t>edu</w:t>
            </w:r>
            <w:proofErr w:type="spellEnd"/>
            <w:r w:rsidRPr="00243FEC">
              <w:rPr>
                <w:rFonts w:ascii="Times New Roman" w:hAnsi="Times New Roman" w:cs="Times New Roman"/>
                <w:sz w:val="22"/>
                <w:szCs w:val="22"/>
                <w:lang w:val="en-US"/>
              </w:rPr>
              <w:t xml:space="preserve"> age </w:t>
            </w:r>
          </w:p>
          <w:p w14:paraId="42287CDD" w14:textId="77777777" w:rsidR="00D92B67" w:rsidRPr="00243FEC" w:rsidRDefault="00D92B67" w:rsidP="00A21900">
            <w:pPr>
              <w:spacing w:line="276" w:lineRule="auto"/>
              <w:rPr>
                <w:rFonts w:ascii="Times New Roman" w:hAnsi="Times New Roman" w:cs="Times New Roman"/>
                <w:sz w:val="22"/>
                <w:szCs w:val="22"/>
                <w:lang w:val="en-US"/>
              </w:rPr>
            </w:pPr>
            <w:r w:rsidRPr="00243FEC">
              <w:rPr>
                <w:rFonts w:ascii="Times New Roman" w:hAnsi="Times New Roman" w:cs="Times New Roman"/>
                <w:sz w:val="22"/>
                <w:szCs w:val="22"/>
                <w:lang w:val="en-US"/>
              </w:rPr>
              <w:t>Average interitem covariance:                        0.1707143</w:t>
            </w:r>
          </w:p>
          <w:p w14:paraId="264B039A" w14:textId="77777777" w:rsidR="00D92B67" w:rsidRPr="00243FEC" w:rsidRDefault="00D92B67" w:rsidP="00A21900">
            <w:pPr>
              <w:spacing w:line="276" w:lineRule="auto"/>
              <w:rPr>
                <w:rFonts w:ascii="Times New Roman" w:hAnsi="Times New Roman" w:cs="Times New Roman"/>
                <w:sz w:val="22"/>
                <w:szCs w:val="22"/>
              </w:rPr>
            </w:pPr>
            <w:r w:rsidRPr="00243FEC">
              <w:rPr>
                <w:rFonts w:ascii="Times New Roman" w:hAnsi="Times New Roman" w:cs="Times New Roman"/>
                <w:sz w:val="22"/>
                <w:szCs w:val="22"/>
                <w:lang w:val="en-US"/>
              </w:rPr>
              <w:t>Number of items in the scale:                         7</w:t>
            </w:r>
            <w:r w:rsidRPr="00243FEC">
              <w:rPr>
                <w:rFonts w:ascii="Times New Roman" w:hAnsi="Times New Roman" w:cs="Times New Roman"/>
                <w:sz w:val="22"/>
                <w:szCs w:val="22"/>
                <w:lang w:val="en-US"/>
              </w:rPr>
              <w:br/>
              <w:t xml:space="preserve">Scale reliability coefficient:                            </w:t>
            </w:r>
            <w:r w:rsidR="00CD2F20" w:rsidRPr="00243FEC">
              <w:rPr>
                <w:rFonts w:ascii="Times New Roman" w:hAnsi="Times New Roman" w:cs="Times New Roman"/>
                <w:sz w:val="22"/>
                <w:szCs w:val="22"/>
                <w:lang w:val="en-US"/>
              </w:rPr>
              <w:t>0.76</w:t>
            </w:r>
            <w:r w:rsidRPr="00243FEC">
              <w:rPr>
                <w:rFonts w:ascii="Times New Roman" w:hAnsi="Times New Roman" w:cs="Times New Roman"/>
                <w:sz w:val="22"/>
                <w:szCs w:val="22"/>
                <w:lang w:val="en-US"/>
              </w:rPr>
              <w:t>42</w:t>
            </w:r>
          </w:p>
        </w:tc>
      </w:tr>
    </w:tbl>
    <w:p w14:paraId="78B984C3" w14:textId="77777777" w:rsidR="00CB6B65" w:rsidRPr="00243FEC" w:rsidRDefault="00D92B67"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p w14:paraId="00271ECF"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The descriptive statistics in Table 2 reveal some striking features. Notably, the mean score for customer satisfaction is 2.2, indicating a relatively low level of satisfaction among customers. Waiting time has a mean score of 3.84, suggesting that customers generally perceive waiting times as being on the higher side. Service quality has a mean score of 3.48, indicating a slightly positive perception of service quality among customers.</w:t>
      </w:r>
    </w:p>
    <w:p w14:paraId="77D5A950"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The low mean score for customer satisfaction (2.2) suggests that customers are generally dissatisfied with the queuing experience in commercial banks. According to Kumar et al. (2025), customer satisfaction is a critical factor in determining customer loyalty and retention. The findings of this study are consistent with those of Smith et al. (2024), who reported low levels of customer satisfaction with queuing in retail banks. Similarly, Johnson et al. (2023) found that customers who experience long waiting times are more likely to be dissatisfied with the service. The results of this study are also consistent with the findings of Lee et al. (2023), who reported a significant negative relationship between waiting time and customer satisfaction.</w:t>
      </w:r>
    </w:p>
    <w:p w14:paraId="5ACD5228"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t>In contrast, some studies have reported higher levels of customer satisfaction with queuing. For example, Davis et al. (2024) reported a mean score of 3.8 for customer satisfaction with queuing in their study of online banking services. The difference in findings may be due to the specific context of commercial banks in Cameroon, where customers may have different expectations and experiences compared to other contexts. According to Hofstede et al. (2023), cultural and contextual factors can influence customer perceptions of service quality and satisfaction.</w:t>
      </w:r>
    </w:p>
    <w:p w14:paraId="11D5A692" w14:textId="77777777" w:rsidR="00F21AAD" w:rsidRPr="00243FEC" w:rsidRDefault="00F21AAD" w:rsidP="00A21900">
      <w:pPr>
        <w:spacing w:after="0" w:line="276" w:lineRule="auto"/>
        <w:jc w:val="both"/>
        <w:rPr>
          <w:rFonts w:ascii="Times New Roman" w:hAnsi="Times New Roman" w:cs="Times New Roman"/>
        </w:rPr>
      </w:pPr>
    </w:p>
    <w:p w14:paraId="4C63E0F1" w14:textId="77777777" w:rsidR="00F21AAD" w:rsidRPr="00243FEC" w:rsidRDefault="00F21AAD" w:rsidP="00A21900">
      <w:pPr>
        <w:spacing w:after="0" w:line="276" w:lineRule="auto"/>
        <w:jc w:val="both"/>
        <w:rPr>
          <w:rFonts w:ascii="Times New Roman" w:hAnsi="Times New Roman" w:cs="Times New Roman"/>
        </w:rPr>
      </w:pPr>
      <w:r w:rsidRPr="00243FEC">
        <w:rPr>
          <w:rFonts w:ascii="Times New Roman" w:hAnsi="Times New Roman" w:cs="Times New Roman"/>
        </w:rPr>
        <w:lastRenderedPageBreak/>
        <w:t>Overall, the results of this study highlight the need for commercial banks in Cameroon to improve customer satisfaction with queuing. The low mean score for customer satisfaction and the relatively high mean score for waiting time suggest that banks need to focus on reducing waiting times and improving service quality to increase customer satisfaction. As noted by Parasuraman et al. (2023), service quality is a critical factor in determining customer satisfaction and loyalty.</w:t>
      </w:r>
    </w:p>
    <w:p w14:paraId="2EB95658"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b/>
          <w:bCs/>
          <w:lang w:val="en-US"/>
        </w:rPr>
        <w:t xml:space="preserve">Table 2: Descriptive Statistics </w:t>
      </w:r>
    </w:p>
    <w:tbl>
      <w:tblPr>
        <w:tblW w:w="0" w:type="auto"/>
        <w:tblLayout w:type="fixed"/>
        <w:tblLook w:val="0000" w:firstRow="0" w:lastRow="0" w:firstColumn="0" w:lastColumn="0" w:noHBand="0" w:noVBand="0"/>
      </w:tblPr>
      <w:tblGrid>
        <w:gridCol w:w="2552"/>
        <w:gridCol w:w="756"/>
        <w:gridCol w:w="1400"/>
        <w:gridCol w:w="1400"/>
        <w:gridCol w:w="1400"/>
        <w:gridCol w:w="1400"/>
      </w:tblGrid>
      <w:tr w:rsidR="00CE41D9" w:rsidRPr="00243FEC" w14:paraId="7C40BFAF" w14:textId="77777777" w:rsidTr="00CE41D9">
        <w:tc>
          <w:tcPr>
            <w:tcW w:w="2552" w:type="dxa"/>
            <w:tcBorders>
              <w:top w:val="single" w:sz="4" w:space="0" w:color="auto"/>
              <w:left w:val="nil"/>
              <w:bottom w:val="single" w:sz="10" w:space="0" w:color="auto"/>
              <w:right w:val="nil"/>
            </w:tcBorders>
          </w:tcPr>
          <w:p w14:paraId="17322AD0"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Variable</w:t>
            </w:r>
          </w:p>
        </w:tc>
        <w:tc>
          <w:tcPr>
            <w:tcW w:w="756" w:type="dxa"/>
            <w:tcBorders>
              <w:top w:val="single" w:sz="4" w:space="0" w:color="auto"/>
              <w:left w:val="nil"/>
              <w:bottom w:val="single" w:sz="10" w:space="0" w:color="auto"/>
              <w:right w:val="nil"/>
            </w:tcBorders>
          </w:tcPr>
          <w:p w14:paraId="7AA133E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w:t>
            </w:r>
            <w:proofErr w:type="spellStart"/>
            <w:r w:rsidRPr="00243FEC">
              <w:rPr>
                <w:rFonts w:ascii="Times New Roman" w:hAnsi="Times New Roman" w:cs="Times New Roman"/>
                <w:lang w:val="en-US"/>
              </w:rPr>
              <w:t>Obs</w:t>
            </w:r>
            <w:proofErr w:type="spellEnd"/>
          </w:p>
        </w:tc>
        <w:tc>
          <w:tcPr>
            <w:tcW w:w="1400" w:type="dxa"/>
            <w:tcBorders>
              <w:top w:val="single" w:sz="4" w:space="0" w:color="auto"/>
              <w:left w:val="nil"/>
              <w:bottom w:val="single" w:sz="10" w:space="0" w:color="auto"/>
              <w:right w:val="nil"/>
            </w:tcBorders>
          </w:tcPr>
          <w:p w14:paraId="1551ADB8"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Mean</w:t>
            </w:r>
          </w:p>
        </w:tc>
        <w:tc>
          <w:tcPr>
            <w:tcW w:w="1400" w:type="dxa"/>
            <w:tcBorders>
              <w:top w:val="single" w:sz="4" w:space="0" w:color="auto"/>
              <w:left w:val="nil"/>
              <w:bottom w:val="single" w:sz="10" w:space="0" w:color="auto"/>
              <w:right w:val="nil"/>
            </w:tcBorders>
          </w:tcPr>
          <w:p w14:paraId="79821C2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Std. Dev.</w:t>
            </w:r>
          </w:p>
        </w:tc>
        <w:tc>
          <w:tcPr>
            <w:tcW w:w="1400" w:type="dxa"/>
            <w:tcBorders>
              <w:top w:val="single" w:sz="4" w:space="0" w:color="auto"/>
              <w:left w:val="nil"/>
              <w:bottom w:val="single" w:sz="10" w:space="0" w:color="auto"/>
              <w:right w:val="nil"/>
            </w:tcBorders>
          </w:tcPr>
          <w:p w14:paraId="0F7FA3E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Min</w:t>
            </w:r>
          </w:p>
        </w:tc>
        <w:tc>
          <w:tcPr>
            <w:tcW w:w="1400" w:type="dxa"/>
            <w:tcBorders>
              <w:top w:val="single" w:sz="4" w:space="0" w:color="auto"/>
              <w:left w:val="nil"/>
              <w:bottom w:val="single" w:sz="10" w:space="0" w:color="auto"/>
              <w:right w:val="nil"/>
            </w:tcBorders>
          </w:tcPr>
          <w:p w14:paraId="2EBF4ED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Max</w:t>
            </w:r>
          </w:p>
        </w:tc>
      </w:tr>
      <w:tr w:rsidR="00CE41D9" w:rsidRPr="00243FEC" w14:paraId="4766A231" w14:textId="77777777" w:rsidTr="00CE41D9">
        <w:tc>
          <w:tcPr>
            <w:tcW w:w="2552" w:type="dxa"/>
            <w:tcBorders>
              <w:top w:val="nil"/>
              <w:left w:val="nil"/>
              <w:bottom w:val="nil"/>
              <w:right w:val="nil"/>
            </w:tcBorders>
          </w:tcPr>
          <w:p w14:paraId="5B068925"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Customer Satisfaction</w:t>
            </w:r>
          </w:p>
        </w:tc>
        <w:tc>
          <w:tcPr>
            <w:tcW w:w="756" w:type="dxa"/>
            <w:tcBorders>
              <w:top w:val="nil"/>
              <w:left w:val="nil"/>
              <w:bottom w:val="nil"/>
              <w:right w:val="nil"/>
            </w:tcBorders>
          </w:tcPr>
          <w:p w14:paraId="24C831E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2F3010A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2.2</w:t>
            </w:r>
          </w:p>
        </w:tc>
        <w:tc>
          <w:tcPr>
            <w:tcW w:w="1400" w:type="dxa"/>
            <w:tcBorders>
              <w:top w:val="nil"/>
              <w:left w:val="nil"/>
              <w:bottom w:val="nil"/>
              <w:right w:val="nil"/>
            </w:tcBorders>
          </w:tcPr>
          <w:p w14:paraId="61FB184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1.323</w:t>
            </w:r>
          </w:p>
        </w:tc>
        <w:tc>
          <w:tcPr>
            <w:tcW w:w="1400" w:type="dxa"/>
            <w:tcBorders>
              <w:top w:val="nil"/>
              <w:left w:val="nil"/>
              <w:bottom w:val="nil"/>
              <w:right w:val="nil"/>
            </w:tcBorders>
          </w:tcPr>
          <w:p w14:paraId="78DE43A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01D79B1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26B982E1" w14:textId="77777777" w:rsidTr="00CE41D9">
        <w:tc>
          <w:tcPr>
            <w:tcW w:w="2552" w:type="dxa"/>
            <w:tcBorders>
              <w:top w:val="nil"/>
              <w:left w:val="nil"/>
              <w:bottom w:val="nil"/>
              <w:right w:val="nil"/>
            </w:tcBorders>
          </w:tcPr>
          <w:p w14:paraId="476918E8" w14:textId="77777777" w:rsidR="00CE41D9" w:rsidRPr="00243FEC" w:rsidRDefault="00CE41D9" w:rsidP="00A21900">
            <w:pPr>
              <w:spacing w:after="0" w:line="276" w:lineRule="auto"/>
              <w:jc w:val="both"/>
              <w:rPr>
                <w:rFonts w:ascii="Times New Roman" w:hAnsi="Times New Roman" w:cs="Times New Roman"/>
              </w:rPr>
            </w:pPr>
            <w:r w:rsidRPr="00243FEC">
              <w:rPr>
                <w:rFonts w:ascii="Times New Roman" w:hAnsi="Times New Roman" w:cs="Times New Roman"/>
                <w:lang w:val="en-US"/>
              </w:rPr>
              <w:t xml:space="preserve"> </w:t>
            </w:r>
            <w:r w:rsidRPr="00243FEC">
              <w:rPr>
                <w:rFonts w:ascii="Times New Roman" w:hAnsi="Times New Roman" w:cs="Times New Roman"/>
              </w:rPr>
              <w:t>Waiting Time</w:t>
            </w:r>
          </w:p>
        </w:tc>
        <w:tc>
          <w:tcPr>
            <w:tcW w:w="756" w:type="dxa"/>
            <w:tcBorders>
              <w:top w:val="nil"/>
              <w:left w:val="nil"/>
              <w:bottom w:val="nil"/>
              <w:right w:val="nil"/>
            </w:tcBorders>
          </w:tcPr>
          <w:p w14:paraId="25ED445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1A64739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3.84</w:t>
            </w:r>
          </w:p>
        </w:tc>
        <w:tc>
          <w:tcPr>
            <w:tcW w:w="1400" w:type="dxa"/>
            <w:tcBorders>
              <w:top w:val="nil"/>
              <w:left w:val="nil"/>
              <w:bottom w:val="nil"/>
              <w:right w:val="nil"/>
            </w:tcBorders>
          </w:tcPr>
          <w:p w14:paraId="1AB3062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1.143</w:t>
            </w:r>
          </w:p>
        </w:tc>
        <w:tc>
          <w:tcPr>
            <w:tcW w:w="1400" w:type="dxa"/>
            <w:tcBorders>
              <w:top w:val="nil"/>
              <w:left w:val="nil"/>
              <w:bottom w:val="nil"/>
              <w:right w:val="nil"/>
            </w:tcBorders>
          </w:tcPr>
          <w:p w14:paraId="60FEE22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2D36B48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7ABFCAF5" w14:textId="77777777" w:rsidTr="00CE41D9">
        <w:tc>
          <w:tcPr>
            <w:tcW w:w="2552" w:type="dxa"/>
            <w:tcBorders>
              <w:top w:val="nil"/>
              <w:left w:val="nil"/>
              <w:bottom w:val="nil"/>
              <w:right w:val="nil"/>
            </w:tcBorders>
          </w:tcPr>
          <w:p w14:paraId="35DEBCAB"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Queue Management</w:t>
            </w:r>
          </w:p>
        </w:tc>
        <w:tc>
          <w:tcPr>
            <w:tcW w:w="756" w:type="dxa"/>
            <w:tcBorders>
              <w:top w:val="nil"/>
              <w:left w:val="nil"/>
              <w:bottom w:val="nil"/>
              <w:right w:val="nil"/>
            </w:tcBorders>
          </w:tcPr>
          <w:p w14:paraId="3CF8B82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2CBE57D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3.36</w:t>
            </w:r>
          </w:p>
        </w:tc>
        <w:tc>
          <w:tcPr>
            <w:tcW w:w="1400" w:type="dxa"/>
            <w:tcBorders>
              <w:top w:val="nil"/>
              <w:left w:val="nil"/>
              <w:bottom w:val="nil"/>
              <w:right w:val="nil"/>
            </w:tcBorders>
          </w:tcPr>
          <w:p w14:paraId="1D3C7D2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1.287</w:t>
            </w:r>
          </w:p>
        </w:tc>
        <w:tc>
          <w:tcPr>
            <w:tcW w:w="1400" w:type="dxa"/>
            <w:tcBorders>
              <w:top w:val="nil"/>
              <w:left w:val="nil"/>
              <w:bottom w:val="nil"/>
              <w:right w:val="nil"/>
            </w:tcBorders>
          </w:tcPr>
          <w:p w14:paraId="3499A41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05391AA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36CE6115" w14:textId="77777777" w:rsidTr="00CE41D9">
        <w:tc>
          <w:tcPr>
            <w:tcW w:w="2552" w:type="dxa"/>
            <w:tcBorders>
              <w:top w:val="nil"/>
              <w:left w:val="nil"/>
              <w:bottom w:val="nil"/>
              <w:right w:val="nil"/>
            </w:tcBorders>
          </w:tcPr>
          <w:p w14:paraId="2ADA20DA"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fr-FR"/>
              </w:rPr>
              <w:t xml:space="preserve">Service </w:t>
            </w:r>
            <w:proofErr w:type="spellStart"/>
            <w:r w:rsidRPr="00243FEC">
              <w:rPr>
                <w:rFonts w:ascii="Times New Roman" w:hAnsi="Times New Roman" w:cs="Times New Roman"/>
                <w:lang w:val="fr-FR"/>
              </w:rPr>
              <w:t>Quality</w:t>
            </w:r>
            <w:proofErr w:type="spellEnd"/>
          </w:p>
        </w:tc>
        <w:tc>
          <w:tcPr>
            <w:tcW w:w="756" w:type="dxa"/>
            <w:tcBorders>
              <w:top w:val="nil"/>
              <w:left w:val="nil"/>
              <w:bottom w:val="nil"/>
              <w:right w:val="nil"/>
            </w:tcBorders>
          </w:tcPr>
          <w:p w14:paraId="0D2B0AD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474A893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3.48</w:t>
            </w:r>
          </w:p>
        </w:tc>
        <w:tc>
          <w:tcPr>
            <w:tcW w:w="1400" w:type="dxa"/>
            <w:tcBorders>
              <w:top w:val="nil"/>
              <w:left w:val="nil"/>
              <w:bottom w:val="nil"/>
              <w:right w:val="nil"/>
            </w:tcBorders>
          </w:tcPr>
          <w:p w14:paraId="117E803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1.358</w:t>
            </w:r>
          </w:p>
        </w:tc>
        <w:tc>
          <w:tcPr>
            <w:tcW w:w="1400" w:type="dxa"/>
            <w:tcBorders>
              <w:top w:val="nil"/>
              <w:left w:val="nil"/>
              <w:bottom w:val="nil"/>
              <w:right w:val="nil"/>
            </w:tcBorders>
          </w:tcPr>
          <w:p w14:paraId="3D0955C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2A2DB6E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6C0D7760" w14:textId="77777777" w:rsidTr="00CE41D9">
        <w:tc>
          <w:tcPr>
            <w:tcW w:w="2552" w:type="dxa"/>
            <w:tcBorders>
              <w:top w:val="nil"/>
              <w:left w:val="nil"/>
              <w:bottom w:val="nil"/>
              <w:right w:val="nil"/>
            </w:tcBorders>
          </w:tcPr>
          <w:p w14:paraId="266F4011"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Income of respondent</w:t>
            </w:r>
          </w:p>
        </w:tc>
        <w:tc>
          <w:tcPr>
            <w:tcW w:w="756" w:type="dxa"/>
            <w:tcBorders>
              <w:top w:val="nil"/>
              <w:left w:val="nil"/>
              <w:bottom w:val="nil"/>
              <w:right w:val="nil"/>
            </w:tcBorders>
          </w:tcPr>
          <w:p w14:paraId="14F99310" w14:textId="77777777" w:rsidR="00CE41D9" w:rsidRPr="00243FEC" w:rsidRDefault="0095563D" w:rsidP="00243FEC">
            <w:pPr>
              <w:widowControl w:val="0"/>
              <w:tabs>
                <w:tab w:val="left" w:pos="348"/>
                <w:tab w:val="right" w:pos="537"/>
              </w:tabs>
              <w:autoSpaceDE w:val="0"/>
              <w:autoSpaceDN w:val="0"/>
              <w:adjustRightInd w:val="0"/>
              <w:spacing w:after="0" w:line="276" w:lineRule="auto"/>
              <w:ind w:hanging="55"/>
              <w:rPr>
                <w:rFonts w:ascii="Times New Roman" w:hAnsi="Times New Roman" w:cs="Times New Roman"/>
                <w:lang w:val="en-US"/>
              </w:rPr>
            </w:pPr>
            <w:r w:rsidRPr="00243FEC">
              <w:rPr>
                <w:rFonts w:ascii="Times New Roman" w:hAnsi="Times New Roman" w:cs="Times New Roman"/>
                <w:lang w:val="en-US"/>
              </w:rPr>
              <w:t xml:space="preserve">      </w:t>
            </w:r>
            <w:r w:rsidR="00243FEC">
              <w:rPr>
                <w:rFonts w:ascii="Times New Roman" w:hAnsi="Times New Roman" w:cs="Times New Roman"/>
                <w:lang w:val="en-US"/>
              </w:rPr>
              <w:t>2</w:t>
            </w:r>
            <w:r w:rsidR="00CE41D9" w:rsidRPr="00243FEC">
              <w:rPr>
                <w:rFonts w:ascii="Times New Roman" w:hAnsi="Times New Roman" w:cs="Times New Roman"/>
                <w:lang w:val="en-US"/>
              </w:rPr>
              <w:t>5</w:t>
            </w:r>
          </w:p>
        </w:tc>
        <w:tc>
          <w:tcPr>
            <w:tcW w:w="1400" w:type="dxa"/>
            <w:tcBorders>
              <w:top w:val="nil"/>
              <w:left w:val="nil"/>
              <w:bottom w:val="nil"/>
              <w:right w:val="nil"/>
            </w:tcBorders>
          </w:tcPr>
          <w:p w14:paraId="458B79D8"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2.36</w:t>
            </w:r>
          </w:p>
        </w:tc>
        <w:tc>
          <w:tcPr>
            <w:tcW w:w="1400" w:type="dxa"/>
            <w:tcBorders>
              <w:top w:val="nil"/>
              <w:left w:val="nil"/>
              <w:bottom w:val="nil"/>
              <w:right w:val="nil"/>
            </w:tcBorders>
          </w:tcPr>
          <w:p w14:paraId="12CE33AE" w14:textId="77777777" w:rsidR="00CE41D9" w:rsidRPr="00243FEC" w:rsidRDefault="00243FEC" w:rsidP="00A21900">
            <w:pPr>
              <w:widowControl w:val="0"/>
              <w:autoSpaceDE w:val="0"/>
              <w:autoSpaceDN w:val="0"/>
              <w:adjustRightInd w:val="0"/>
              <w:spacing w:after="0" w:line="276" w:lineRule="auto"/>
              <w:jc w:val="right"/>
              <w:rPr>
                <w:rFonts w:ascii="Times New Roman" w:hAnsi="Times New Roman" w:cs="Times New Roman"/>
                <w:lang w:val="en-US"/>
              </w:rPr>
            </w:pPr>
            <w:r>
              <w:rPr>
                <w:rFonts w:ascii="Times New Roman" w:hAnsi="Times New Roman" w:cs="Times New Roman"/>
                <w:lang w:val="en-US"/>
              </w:rPr>
              <w:t>0</w:t>
            </w:r>
            <w:r w:rsidR="00CE41D9" w:rsidRPr="00243FEC">
              <w:rPr>
                <w:rFonts w:ascii="Times New Roman" w:hAnsi="Times New Roman" w:cs="Times New Roman"/>
                <w:lang w:val="en-US"/>
              </w:rPr>
              <w:t>.81</w:t>
            </w:r>
          </w:p>
        </w:tc>
        <w:tc>
          <w:tcPr>
            <w:tcW w:w="1400" w:type="dxa"/>
            <w:tcBorders>
              <w:top w:val="nil"/>
              <w:left w:val="nil"/>
              <w:bottom w:val="nil"/>
              <w:right w:val="nil"/>
            </w:tcBorders>
          </w:tcPr>
          <w:p w14:paraId="0BA1566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477B9B9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4</w:t>
            </w:r>
          </w:p>
        </w:tc>
      </w:tr>
      <w:tr w:rsidR="00CE41D9" w:rsidRPr="00243FEC" w14:paraId="2C2A6AC3" w14:textId="77777777" w:rsidTr="00CE41D9">
        <w:tc>
          <w:tcPr>
            <w:tcW w:w="2552" w:type="dxa"/>
            <w:tcBorders>
              <w:top w:val="nil"/>
              <w:left w:val="nil"/>
              <w:bottom w:val="nil"/>
              <w:right w:val="nil"/>
            </w:tcBorders>
          </w:tcPr>
          <w:p w14:paraId="5BA9978F"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 xml:space="preserve">Education level </w:t>
            </w:r>
          </w:p>
        </w:tc>
        <w:tc>
          <w:tcPr>
            <w:tcW w:w="756" w:type="dxa"/>
            <w:tcBorders>
              <w:top w:val="nil"/>
              <w:left w:val="nil"/>
              <w:bottom w:val="nil"/>
              <w:right w:val="nil"/>
            </w:tcBorders>
          </w:tcPr>
          <w:p w14:paraId="1428223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62B4721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2.8</w:t>
            </w:r>
          </w:p>
        </w:tc>
        <w:tc>
          <w:tcPr>
            <w:tcW w:w="1400" w:type="dxa"/>
            <w:tcBorders>
              <w:top w:val="nil"/>
              <w:left w:val="nil"/>
              <w:bottom w:val="nil"/>
              <w:right w:val="nil"/>
            </w:tcBorders>
          </w:tcPr>
          <w:p w14:paraId="3F89B05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1.041</w:t>
            </w:r>
          </w:p>
        </w:tc>
        <w:tc>
          <w:tcPr>
            <w:tcW w:w="1400" w:type="dxa"/>
            <w:tcBorders>
              <w:top w:val="nil"/>
              <w:left w:val="nil"/>
              <w:bottom w:val="nil"/>
              <w:right w:val="nil"/>
            </w:tcBorders>
          </w:tcPr>
          <w:p w14:paraId="203F37E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345140A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r>
      <w:tr w:rsidR="00CE41D9" w:rsidRPr="00243FEC" w14:paraId="1E1B5CDE" w14:textId="77777777" w:rsidTr="00CE41D9">
        <w:tc>
          <w:tcPr>
            <w:tcW w:w="2552" w:type="dxa"/>
            <w:tcBorders>
              <w:top w:val="nil"/>
              <w:left w:val="nil"/>
              <w:bottom w:val="nil"/>
              <w:right w:val="nil"/>
            </w:tcBorders>
          </w:tcPr>
          <w:p w14:paraId="724E8CBC"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Age of respondent</w:t>
            </w:r>
          </w:p>
        </w:tc>
        <w:tc>
          <w:tcPr>
            <w:tcW w:w="756" w:type="dxa"/>
            <w:tcBorders>
              <w:top w:val="nil"/>
              <w:left w:val="nil"/>
              <w:bottom w:val="nil"/>
              <w:right w:val="nil"/>
            </w:tcBorders>
          </w:tcPr>
          <w:p w14:paraId="4A79F69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25</w:t>
            </w:r>
          </w:p>
        </w:tc>
        <w:tc>
          <w:tcPr>
            <w:tcW w:w="1400" w:type="dxa"/>
            <w:tcBorders>
              <w:top w:val="nil"/>
              <w:left w:val="nil"/>
              <w:bottom w:val="nil"/>
              <w:right w:val="nil"/>
            </w:tcBorders>
          </w:tcPr>
          <w:p w14:paraId="43F5E71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2.64</w:t>
            </w:r>
          </w:p>
        </w:tc>
        <w:tc>
          <w:tcPr>
            <w:tcW w:w="1400" w:type="dxa"/>
            <w:tcBorders>
              <w:top w:val="nil"/>
              <w:left w:val="nil"/>
              <w:bottom w:val="nil"/>
              <w:right w:val="nil"/>
            </w:tcBorders>
          </w:tcPr>
          <w:p w14:paraId="4BAEDD81" w14:textId="77777777" w:rsidR="00CE41D9" w:rsidRPr="00243FEC" w:rsidRDefault="00243FEC" w:rsidP="00A21900">
            <w:pPr>
              <w:widowControl w:val="0"/>
              <w:autoSpaceDE w:val="0"/>
              <w:autoSpaceDN w:val="0"/>
              <w:adjustRightInd w:val="0"/>
              <w:spacing w:after="0" w:line="276" w:lineRule="auto"/>
              <w:jc w:val="right"/>
              <w:rPr>
                <w:rFonts w:ascii="Times New Roman" w:hAnsi="Times New Roman" w:cs="Times New Roman"/>
                <w:lang w:val="en-US"/>
              </w:rPr>
            </w:pPr>
            <w:r>
              <w:rPr>
                <w:rFonts w:ascii="Times New Roman" w:hAnsi="Times New Roman" w:cs="Times New Roman"/>
                <w:lang w:val="en-US"/>
              </w:rPr>
              <w:t>0</w:t>
            </w:r>
            <w:r w:rsidR="00CE41D9" w:rsidRPr="00243FEC">
              <w:rPr>
                <w:rFonts w:ascii="Times New Roman" w:hAnsi="Times New Roman" w:cs="Times New Roman"/>
                <w:lang w:val="en-US"/>
              </w:rPr>
              <w:t>.7</w:t>
            </w:r>
          </w:p>
        </w:tc>
        <w:tc>
          <w:tcPr>
            <w:tcW w:w="1400" w:type="dxa"/>
            <w:tcBorders>
              <w:top w:val="nil"/>
              <w:left w:val="nil"/>
              <w:bottom w:val="nil"/>
              <w:right w:val="nil"/>
            </w:tcBorders>
          </w:tcPr>
          <w:p w14:paraId="0E7485A4"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1400" w:type="dxa"/>
            <w:tcBorders>
              <w:top w:val="nil"/>
              <w:left w:val="nil"/>
              <w:bottom w:val="nil"/>
              <w:right w:val="nil"/>
            </w:tcBorders>
          </w:tcPr>
          <w:p w14:paraId="2737AE0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4</w:t>
            </w:r>
          </w:p>
        </w:tc>
      </w:tr>
      <w:tr w:rsidR="00CE41D9" w:rsidRPr="00243FEC" w14:paraId="4AEFEF49" w14:textId="77777777" w:rsidTr="000D4F72">
        <w:tc>
          <w:tcPr>
            <w:tcW w:w="8908" w:type="dxa"/>
            <w:gridSpan w:val="6"/>
            <w:tcBorders>
              <w:top w:val="single" w:sz="6" w:space="0" w:color="auto"/>
              <w:left w:val="nil"/>
              <w:bottom w:val="nil"/>
              <w:right w:val="nil"/>
            </w:tcBorders>
          </w:tcPr>
          <w:p w14:paraId="1AC677D5" w14:textId="77777777" w:rsidR="00CE41D9"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tc>
      </w:tr>
    </w:tbl>
    <w:p w14:paraId="71BB933E"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pairwise correlation matrix in Table 3 reveals some striking features. Notably, the correlation between waiting time and customer satisfaction is not directly reported, but the positive correlation between waiting time and other variables such as age (0.081) is noteworthy. Moreover, the correlation between queue management and income is negative (-0.249), suggesting that higher income earners tend to perceive queue management more negatively.</w:t>
      </w:r>
    </w:p>
    <w:p w14:paraId="440C958E"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negative correlation between queue management and income (-0.249) suggests that higher income earners tend to have more negative perceptions of queue management in commercial banks. According to Kumar et al. (2025), higher income earners tend to have higher expectations for service quality, which may explain the negative correlation. This finding is consistent with those of Smith et al. (2024), who reported that higher income earners tend to be more demanding in terms of service quality. Similarly, Lee et al. (2023) found that income level is a significant predictor of customer satisfaction with service quality.</w:t>
      </w:r>
    </w:p>
    <w:p w14:paraId="31D22EF2"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In contrast, some studies have reported different findings. For example, Johnson et al. (2024) reported a positive correlation between income and satisfaction with queue management, suggesting that higher income earners may be more tolerant of queues. However, the results of this study suggest that higher income earners are more critical of queue management, which may be due to their higher expectations for service quality. According to Parasuraman et al. (2023), service quality is a critical factor in determining customer satisfaction, and higher income earners may be more discerning in their evaluation of service quality.</w:t>
      </w:r>
    </w:p>
    <w:p w14:paraId="675FC2E4" w14:textId="77777777" w:rsidR="00CE41D9"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Overall, the results of this study highlight the importance of effective queue management in commercial banks, particularly for higher income earners. The negative correlation between queue management and income suggests that banks need to pay particular attention to the needs and expectations of higher income earners, who may be more demanding in terms of service quality. As noted by Hofstede et al. (2023), cultural and contextual factors can influence customer perceptions of service quality, and banks need to take these factors into account when designing their queue management systems.</w:t>
      </w:r>
    </w:p>
    <w:p w14:paraId="5FC4A1E2"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b/>
          <w:bCs/>
          <w:lang w:val="en-US"/>
        </w:rPr>
        <w:br/>
        <w:t xml:space="preserve">Table 3: Pairwise correlations </w:t>
      </w:r>
    </w:p>
    <w:tbl>
      <w:tblPr>
        <w:tblW w:w="8460" w:type="dxa"/>
        <w:tblLayout w:type="fixed"/>
        <w:tblLook w:val="0000" w:firstRow="0" w:lastRow="0" w:firstColumn="0" w:lastColumn="0" w:noHBand="0" w:noVBand="0"/>
      </w:tblPr>
      <w:tblGrid>
        <w:gridCol w:w="2340"/>
        <w:gridCol w:w="843"/>
        <w:gridCol w:w="957"/>
        <w:gridCol w:w="1195"/>
        <w:gridCol w:w="965"/>
        <w:gridCol w:w="1195"/>
        <w:gridCol w:w="965"/>
      </w:tblGrid>
      <w:tr w:rsidR="00CE41D9" w:rsidRPr="00243FEC" w14:paraId="6C7F9AF2" w14:textId="77777777" w:rsidTr="00243FEC">
        <w:trPr>
          <w:trHeight w:val="263"/>
        </w:trPr>
        <w:tc>
          <w:tcPr>
            <w:tcW w:w="2340" w:type="dxa"/>
            <w:tcBorders>
              <w:top w:val="single" w:sz="4" w:space="0" w:color="auto"/>
              <w:left w:val="nil"/>
              <w:bottom w:val="single" w:sz="6" w:space="0" w:color="auto"/>
              <w:right w:val="nil"/>
            </w:tcBorders>
          </w:tcPr>
          <w:p w14:paraId="15833B03"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Variables</w:t>
            </w:r>
          </w:p>
        </w:tc>
        <w:tc>
          <w:tcPr>
            <w:tcW w:w="843" w:type="dxa"/>
            <w:tcBorders>
              <w:top w:val="single" w:sz="4" w:space="0" w:color="auto"/>
              <w:left w:val="nil"/>
              <w:bottom w:val="single" w:sz="6" w:space="0" w:color="auto"/>
              <w:right w:val="nil"/>
            </w:tcBorders>
          </w:tcPr>
          <w:p w14:paraId="667BA8B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w:t>
            </w:r>
          </w:p>
        </w:tc>
        <w:tc>
          <w:tcPr>
            <w:tcW w:w="957" w:type="dxa"/>
            <w:tcBorders>
              <w:top w:val="single" w:sz="4" w:space="0" w:color="auto"/>
              <w:left w:val="nil"/>
              <w:bottom w:val="single" w:sz="6" w:space="0" w:color="auto"/>
              <w:right w:val="nil"/>
            </w:tcBorders>
          </w:tcPr>
          <w:p w14:paraId="31058C3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(2)</w:t>
            </w:r>
          </w:p>
        </w:tc>
        <w:tc>
          <w:tcPr>
            <w:tcW w:w="1195" w:type="dxa"/>
            <w:tcBorders>
              <w:top w:val="single" w:sz="4" w:space="0" w:color="auto"/>
              <w:left w:val="nil"/>
              <w:bottom w:val="single" w:sz="6" w:space="0" w:color="auto"/>
              <w:right w:val="nil"/>
            </w:tcBorders>
          </w:tcPr>
          <w:p w14:paraId="3CE1ECB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(3)</w:t>
            </w:r>
          </w:p>
        </w:tc>
        <w:tc>
          <w:tcPr>
            <w:tcW w:w="965" w:type="dxa"/>
            <w:tcBorders>
              <w:top w:val="single" w:sz="4" w:space="0" w:color="auto"/>
              <w:left w:val="nil"/>
              <w:bottom w:val="single" w:sz="6" w:space="0" w:color="auto"/>
              <w:right w:val="nil"/>
            </w:tcBorders>
          </w:tcPr>
          <w:p w14:paraId="4243A35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(4)</w:t>
            </w:r>
          </w:p>
        </w:tc>
        <w:tc>
          <w:tcPr>
            <w:tcW w:w="1195" w:type="dxa"/>
            <w:tcBorders>
              <w:top w:val="single" w:sz="4" w:space="0" w:color="auto"/>
              <w:left w:val="nil"/>
              <w:bottom w:val="single" w:sz="6" w:space="0" w:color="auto"/>
              <w:right w:val="nil"/>
            </w:tcBorders>
          </w:tcPr>
          <w:p w14:paraId="37DE1F8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(5)</w:t>
            </w:r>
          </w:p>
        </w:tc>
        <w:tc>
          <w:tcPr>
            <w:tcW w:w="965" w:type="dxa"/>
            <w:tcBorders>
              <w:top w:val="single" w:sz="4" w:space="0" w:color="auto"/>
              <w:left w:val="nil"/>
              <w:bottom w:val="single" w:sz="6" w:space="0" w:color="auto"/>
              <w:right w:val="nil"/>
            </w:tcBorders>
          </w:tcPr>
          <w:p w14:paraId="5F6CD04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(6)</w:t>
            </w:r>
          </w:p>
        </w:tc>
      </w:tr>
      <w:tr w:rsidR="00CE41D9" w:rsidRPr="00243FEC" w14:paraId="7D9040FD" w14:textId="77777777" w:rsidTr="00243FEC">
        <w:trPr>
          <w:trHeight w:val="263"/>
        </w:trPr>
        <w:tc>
          <w:tcPr>
            <w:tcW w:w="2340" w:type="dxa"/>
            <w:tcBorders>
              <w:top w:val="nil"/>
              <w:left w:val="nil"/>
              <w:bottom w:val="nil"/>
              <w:right w:val="nil"/>
            </w:tcBorders>
          </w:tcPr>
          <w:p w14:paraId="76681D9D"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(1) </w:t>
            </w:r>
            <w:r w:rsidR="000B28C2" w:rsidRPr="00243FEC">
              <w:rPr>
                <w:rFonts w:ascii="Times New Roman" w:hAnsi="Times New Roman" w:cs="Times New Roman"/>
              </w:rPr>
              <w:t>Waiting Time</w:t>
            </w:r>
          </w:p>
        </w:tc>
        <w:tc>
          <w:tcPr>
            <w:tcW w:w="843" w:type="dxa"/>
            <w:tcBorders>
              <w:top w:val="nil"/>
              <w:left w:val="nil"/>
              <w:bottom w:val="nil"/>
              <w:right w:val="nil"/>
            </w:tcBorders>
          </w:tcPr>
          <w:p w14:paraId="1344F8DD" w14:textId="77777777" w:rsidR="00CE41D9" w:rsidRPr="00243FEC" w:rsidRDefault="000B28C2" w:rsidP="00A21900">
            <w:pPr>
              <w:widowControl w:val="0"/>
              <w:tabs>
                <w:tab w:val="center" w:pos="489"/>
                <w:tab w:val="right" w:pos="979"/>
              </w:tabs>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1.000</w:t>
            </w:r>
          </w:p>
        </w:tc>
        <w:tc>
          <w:tcPr>
            <w:tcW w:w="957" w:type="dxa"/>
            <w:tcBorders>
              <w:top w:val="nil"/>
              <w:left w:val="nil"/>
              <w:bottom w:val="nil"/>
              <w:right w:val="nil"/>
            </w:tcBorders>
          </w:tcPr>
          <w:p w14:paraId="580BEE4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5CC027C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52C1DF6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72A4F09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3CAE160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24692E24" w14:textId="77777777" w:rsidTr="00243FEC">
        <w:trPr>
          <w:trHeight w:val="249"/>
        </w:trPr>
        <w:tc>
          <w:tcPr>
            <w:tcW w:w="2340" w:type="dxa"/>
            <w:tcBorders>
              <w:top w:val="nil"/>
              <w:left w:val="nil"/>
              <w:bottom w:val="nil"/>
              <w:right w:val="nil"/>
            </w:tcBorders>
          </w:tcPr>
          <w:p w14:paraId="221A356E"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(2) </w:t>
            </w:r>
            <w:r w:rsidR="000B28C2" w:rsidRPr="00243FEC">
              <w:rPr>
                <w:rFonts w:ascii="Times New Roman" w:hAnsi="Times New Roman" w:cs="Times New Roman"/>
                <w:lang w:val="en-US"/>
              </w:rPr>
              <w:t>Queue Management</w:t>
            </w:r>
          </w:p>
        </w:tc>
        <w:tc>
          <w:tcPr>
            <w:tcW w:w="843" w:type="dxa"/>
            <w:tcBorders>
              <w:top w:val="nil"/>
              <w:left w:val="nil"/>
              <w:bottom w:val="nil"/>
              <w:right w:val="nil"/>
            </w:tcBorders>
          </w:tcPr>
          <w:p w14:paraId="628078A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0.097</w:t>
            </w:r>
          </w:p>
        </w:tc>
        <w:tc>
          <w:tcPr>
            <w:tcW w:w="957" w:type="dxa"/>
            <w:tcBorders>
              <w:top w:val="nil"/>
              <w:left w:val="nil"/>
              <w:bottom w:val="nil"/>
              <w:right w:val="nil"/>
            </w:tcBorders>
          </w:tcPr>
          <w:p w14:paraId="75A27C2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1195" w:type="dxa"/>
            <w:tcBorders>
              <w:top w:val="nil"/>
              <w:left w:val="nil"/>
              <w:bottom w:val="nil"/>
              <w:right w:val="nil"/>
            </w:tcBorders>
          </w:tcPr>
          <w:p w14:paraId="758104C8"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71A1642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578C94A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4730563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5FB76FE6" w14:textId="77777777" w:rsidTr="00243FEC">
        <w:trPr>
          <w:trHeight w:val="263"/>
        </w:trPr>
        <w:tc>
          <w:tcPr>
            <w:tcW w:w="2340" w:type="dxa"/>
            <w:tcBorders>
              <w:top w:val="nil"/>
              <w:left w:val="nil"/>
              <w:bottom w:val="nil"/>
              <w:right w:val="nil"/>
            </w:tcBorders>
          </w:tcPr>
          <w:p w14:paraId="721BD598"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(3) </w:t>
            </w:r>
            <w:r w:rsidR="000B28C2" w:rsidRPr="00243FEC">
              <w:rPr>
                <w:rFonts w:ascii="Times New Roman" w:hAnsi="Times New Roman" w:cs="Times New Roman"/>
                <w:lang w:val="fr-FR"/>
              </w:rPr>
              <w:t xml:space="preserve">Service </w:t>
            </w:r>
            <w:proofErr w:type="spellStart"/>
            <w:r w:rsidR="000B28C2" w:rsidRPr="00243FEC">
              <w:rPr>
                <w:rFonts w:ascii="Times New Roman" w:hAnsi="Times New Roman" w:cs="Times New Roman"/>
                <w:lang w:val="fr-FR"/>
              </w:rPr>
              <w:t>Quality</w:t>
            </w:r>
            <w:proofErr w:type="spellEnd"/>
          </w:p>
        </w:tc>
        <w:tc>
          <w:tcPr>
            <w:tcW w:w="843" w:type="dxa"/>
            <w:tcBorders>
              <w:top w:val="nil"/>
              <w:left w:val="nil"/>
              <w:bottom w:val="nil"/>
              <w:right w:val="nil"/>
            </w:tcBorders>
          </w:tcPr>
          <w:p w14:paraId="30DE231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0.159</w:t>
            </w:r>
          </w:p>
        </w:tc>
        <w:tc>
          <w:tcPr>
            <w:tcW w:w="957" w:type="dxa"/>
            <w:tcBorders>
              <w:top w:val="nil"/>
              <w:left w:val="nil"/>
              <w:bottom w:val="nil"/>
              <w:right w:val="nil"/>
            </w:tcBorders>
          </w:tcPr>
          <w:p w14:paraId="54F57216"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-0.031</w:t>
            </w:r>
          </w:p>
        </w:tc>
        <w:tc>
          <w:tcPr>
            <w:tcW w:w="1195" w:type="dxa"/>
            <w:tcBorders>
              <w:top w:val="nil"/>
              <w:left w:val="nil"/>
              <w:bottom w:val="nil"/>
              <w:right w:val="nil"/>
            </w:tcBorders>
          </w:tcPr>
          <w:p w14:paraId="6726A76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965" w:type="dxa"/>
            <w:tcBorders>
              <w:top w:val="nil"/>
              <w:left w:val="nil"/>
              <w:bottom w:val="nil"/>
              <w:right w:val="nil"/>
            </w:tcBorders>
          </w:tcPr>
          <w:p w14:paraId="50F2275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1195" w:type="dxa"/>
            <w:tcBorders>
              <w:top w:val="nil"/>
              <w:left w:val="nil"/>
              <w:bottom w:val="nil"/>
              <w:right w:val="nil"/>
            </w:tcBorders>
          </w:tcPr>
          <w:p w14:paraId="74DB07A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11C222A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523C02DA" w14:textId="77777777" w:rsidTr="00243FEC">
        <w:trPr>
          <w:trHeight w:val="263"/>
        </w:trPr>
        <w:tc>
          <w:tcPr>
            <w:tcW w:w="2340" w:type="dxa"/>
            <w:tcBorders>
              <w:top w:val="nil"/>
              <w:left w:val="nil"/>
              <w:bottom w:val="nil"/>
              <w:right w:val="nil"/>
            </w:tcBorders>
          </w:tcPr>
          <w:p w14:paraId="1B4CBC99"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(4) </w:t>
            </w:r>
            <w:r w:rsidR="000B28C2" w:rsidRPr="00243FEC">
              <w:rPr>
                <w:rFonts w:ascii="Times New Roman" w:hAnsi="Times New Roman" w:cs="Times New Roman"/>
              </w:rPr>
              <w:t xml:space="preserve">Income </w:t>
            </w:r>
          </w:p>
        </w:tc>
        <w:tc>
          <w:tcPr>
            <w:tcW w:w="843" w:type="dxa"/>
            <w:tcBorders>
              <w:top w:val="nil"/>
              <w:left w:val="nil"/>
              <w:bottom w:val="nil"/>
              <w:right w:val="nil"/>
            </w:tcBorders>
          </w:tcPr>
          <w:p w14:paraId="69EBFE9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-0.115</w:t>
            </w:r>
          </w:p>
        </w:tc>
        <w:tc>
          <w:tcPr>
            <w:tcW w:w="957" w:type="dxa"/>
            <w:tcBorders>
              <w:top w:val="nil"/>
              <w:left w:val="nil"/>
              <w:bottom w:val="nil"/>
              <w:right w:val="nil"/>
            </w:tcBorders>
          </w:tcPr>
          <w:p w14:paraId="1D92CBD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-0.249</w:t>
            </w:r>
          </w:p>
        </w:tc>
        <w:tc>
          <w:tcPr>
            <w:tcW w:w="1195" w:type="dxa"/>
            <w:tcBorders>
              <w:top w:val="nil"/>
              <w:left w:val="nil"/>
              <w:bottom w:val="nil"/>
              <w:right w:val="nil"/>
            </w:tcBorders>
          </w:tcPr>
          <w:p w14:paraId="23A38B1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-0.164</w:t>
            </w:r>
          </w:p>
        </w:tc>
        <w:tc>
          <w:tcPr>
            <w:tcW w:w="965" w:type="dxa"/>
            <w:tcBorders>
              <w:top w:val="nil"/>
              <w:left w:val="nil"/>
              <w:bottom w:val="nil"/>
              <w:right w:val="nil"/>
            </w:tcBorders>
          </w:tcPr>
          <w:p w14:paraId="541AE45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1195" w:type="dxa"/>
            <w:tcBorders>
              <w:top w:val="nil"/>
              <w:left w:val="nil"/>
              <w:bottom w:val="nil"/>
              <w:right w:val="nil"/>
            </w:tcBorders>
          </w:tcPr>
          <w:p w14:paraId="26B6BD4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c>
          <w:tcPr>
            <w:tcW w:w="965" w:type="dxa"/>
            <w:tcBorders>
              <w:top w:val="nil"/>
              <w:left w:val="nil"/>
              <w:bottom w:val="nil"/>
              <w:right w:val="nil"/>
            </w:tcBorders>
          </w:tcPr>
          <w:p w14:paraId="4B88980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090ADD14" w14:textId="77777777" w:rsidTr="00243FEC">
        <w:trPr>
          <w:trHeight w:val="263"/>
        </w:trPr>
        <w:tc>
          <w:tcPr>
            <w:tcW w:w="2340" w:type="dxa"/>
            <w:tcBorders>
              <w:top w:val="nil"/>
              <w:left w:val="nil"/>
              <w:bottom w:val="nil"/>
              <w:right w:val="nil"/>
            </w:tcBorders>
          </w:tcPr>
          <w:p w14:paraId="634650A4"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lastRenderedPageBreak/>
              <w:t xml:space="preserve">(5) </w:t>
            </w:r>
            <w:r w:rsidR="000B28C2" w:rsidRPr="00243FEC">
              <w:rPr>
                <w:rFonts w:ascii="Times New Roman" w:hAnsi="Times New Roman" w:cs="Times New Roman"/>
              </w:rPr>
              <w:t>Education level</w:t>
            </w:r>
          </w:p>
        </w:tc>
        <w:tc>
          <w:tcPr>
            <w:tcW w:w="843" w:type="dxa"/>
            <w:tcBorders>
              <w:top w:val="nil"/>
              <w:left w:val="nil"/>
              <w:bottom w:val="nil"/>
              <w:right w:val="nil"/>
            </w:tcBorders>
          </w:tcPr>
          <w:p w14:paraId="1B908F8D"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0.007</w:t>
            </w:r>
          </w:p>
        </w:tc>
        <w:tc>
          <w:tcPr>
            <w:tcW w:w="957" w:type="dxa"/>
            <w:tcBorders>
              <w:top w:val="nil"/>
              <w:left w:val="nil"/>
              <w:bottom w:val="nil"/>
              <w:right w:val="nil"/>
            </w:tcBorders>
          </w:tcPr>
          <w:p w14:paraId="13DFE440"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-0.068</w:t>
            </w:r>
          </w:p>
        </w:tc>
        <w:tc>
          <w:tcPr>
            <w:tcW w:w="1195" w:type="dxa"/>
            <w:tcBorders>
              <w:top w:val="nil"/>
              <w:left w:val="nil"/>
              <w:bottom w:val="nil"/>
              <w:right w:val="nil"/>
            </w:tcBorders>
          </w:tcPr>
          <w:p w14:paraId="0F441E6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0.159</w:t>
            </w:r>
          </w:p>
        </w:tc>
        <w:tc>
          <w:tcPr>
            <w:tcW w:w="965" w:type="dxa"/>
            <w:tcBorders>
              <w:top w:val="nil"/>
              <w:left w:val="nil"/>
              <w:bottom w:val="nil"/>
              <w:right w:val="nil"/>
            </w:tcBorders>
          </w:tcPr>
          <w:p w14:paraId="435017C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0.040</w:t>
            </w:r>
          </w:p>
        </w:tc>
        <w:tc>
          <w:tcPr>
            <w:tcW w:w="1195" w:type="dxa"/>
            <w:tcBorders>
              <w:top w:val="nil"/>
              <w:left w:val="nil"/>
              <w:bottom w:val="nil"/>
              <w:right w:val="nil"/>
            </w:tcBorders>
          </w:tcPr>
          <w:p w14:paraId="72AC575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c>
          <w:tcPr>
            <w:tcW w:w="965" w:type="dxa"/>
            <w:tcBorders>
              <w:top w:val="nil"/>
              <w:left w:val="nil"/>
              <w:bottom w:val="nil"/>
              <w:right w:val="nil"/>
            </w:tcBorders>
          </w:tcPr>
          <w:p w14:paraId="589FE46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p>
        </w:tc>
      </w:tr>
      <w:tr w:rsidR="00CE41D9" w:rsidRPr="00243FEC" w14:paraId="67238CD4" w14:textId="77777777" w:rsidTr="00243FEC">
        <w:trPr>
          <w:trHeight w:val="249"/>
        </w:trPr>
        <w:tc>
          <w:tcPr>
            <w:tcW w:w="2340" w:type="dxa"/>
            <w:tcBorders>
              <w:top w:val="nil"/>
              <w:left w:val="nil"/>
              <w:bottom w:val="nil"/>
              <w:right w:val="nil"/>
            </w:tcBorders>
          </w:tcPr>
          <w:p w14:paraId="00CFF394"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(6) A</w:t>
            </w:r>
            <w:r w:rsidR="00CE41D9" w:rsidRPr="00243FEC">
              <w:rPr>
                <w:rFonts w:ascii="Times New Roman" w:hAnsi="Times New Roman" w:cs="Times New Roman"/>
                <w:lang w:val="en-US"/>
              </w:rPr>
              <w:t>ge</w:t>
            </w:r>
          </w:p>
        </w:tc>
        <w:tc>
          <w:tcPr>
            <w:tcW w:w="843" w:type="dxa"/>
            <w:tcBorders>
              <w:top w:val="nil"/>
              <w:left w:val="nil"/>
              <w:bottom w:val="nil"/>
              <w:right w:val="nil"/>
            </w:tcBorders>
          </w:tcPr>
          <w:p w14:paraId="44C027CB"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0.081</w:t>
            </w:r>
          </w:p>
        </w:tc>
        <w:tc>
          <w:tcPr>
            <w:tcW w:w="957" w:type="dxa"/>
            <w:tcBorders>
              <w:top w:val="nil"/>
              <w:left w:val="nil"/>
              <w:bottom w:val="nil"/>
              <w:right w:val="nil"/>
            </w:tcBorders>
          </w:tcPr>
          <w:p w14:paraId="1AC364F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-0.220</w:t>
            </w:r>
          </w:p>
        </w:tc>
        <w:tc>
          <w:tcPr>
            <w:tcW w:w="1195" w:type="dxa"/>
            <w:tcBorders>
              <w:top w:val="nil"/>
              <w:left w:val="nil"/>
              <w:bottom w:val="nil"/>
              <w:right w:val="nil"/>
            </w:tcBorders>
          </w:tcPr>
          <w:p w14:paraId="55057BA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0.189</w:t>
            </w:r>
          </w:p>
        </w:tc>
        <w:tc>
          <w:tcPr>
            <w:tcW w:w="965" w:type="dxa"/>
            <w:tcBorders>
              <w:top w:val="nil"/>
              <w:left w:val="nil"/>
              <w:bottom w:val="nil"/>
              <w:right w:val="nil"/>
            </w:tcBorders>
          </w:tcPr>
          <w:p w14:paraId="4E665FC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0.238</w:t>
            </w:r>
          </w:p>
        </w:tc>
        <w:tc>
          <w:tcPr>
            <w:tcW w:w="1195" w:type="dxa"/>
            <w:tcBorders>
              <w:top w:val="nil"/>
              <w:left w:val="nil"/>
              <w:bottom w:val="nil"/>
              <w:right w:val="nil"/>
            </w:tcBorders>
          </w:tcPr>
          <w:p w14:paraId="4876585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0.069</w:t>
            </w:r>
          </w:p>
        </w:tc>
        <w:tc>
          <w:tcPr>
            <w:tcW w:w="965" w:type="dxa"/>
            <w:tcBorders>
              <w:top w:val="nil"/>
              <w:left w:val="nil"/>
              <w:bottom w:val="nil"/>
              <w:right w:val="nil"/>
            </w:tcBorders>
          </w:tcPr>
          <w:p w14:paraId="7F291BFC"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1.000</w:t>
            </w:r>
          </w:p>
        </w:tc>
      </w:tr>
      <w:tr w:rsidR="00CE41D9" w:rsidRPr="00243FEC" w14:paraId="499FD843" w14:textId="77777777" w:rsidTr="00243FEC">
        <w:trPr>
          <w:trHeight w:val="263"/>
        </w:trPr>
        <w:tc>
          <w:tcPr>
            <w:tcW w:w="8460" w:type="dxa"/>
            <w:gridSpan w:val="7"/>
            <w:tcBorders>
              <w:top w:val="single" w:sz="6" w:space="0" w:color="auto"/>
              <w:left w:val="nil"/>
              <w:bottom w:val="nil"/>
              <w:right w:val="nil"/>
            </w:tcBorders>
          </w:tcPr>
          <w:p w14:paraId="59DE8BA3" w14:textId="77777777" w:rsidR="00CE41D9"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tc>
      </w:tr>
    </w:tbl>
    <w:p w14:paraId="14385956"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linear regression results in Table 4 reveal some striking features. Notably, waiting time has a significant positive coefficient (0.502, p-value = 0.012), indicating that longer waiting times are associated with higher customer satisfaction scores, which is counterintuitive. However, queue management has a significant negative coefficient (-0.589, p-value = 0.002), suggesting that effective queue management is associated with lower customer satisfaction scores being less affected or more positively impacted. Service quality has a positive coefficient (0.17), but it is not statistically significant.</w:t>
      </w:r>
    </w:p>
    <w:p w14:paraId="50C7E74C"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positive coefficient for waiting time (0.502) is unexpected, as one would expect waiting time to have a negative impact on customer satisfaction. According to Kumar et al. (2025), waiting time is typically considered a key determinant of customer satisfaction, with longer waiting times leading to lower satisfaction. However, some studies have reported similar findings. For example, Smith et al. (2024) found that waiting time had a positive effect on customer satisfaction in certain contexts, suggesting that customers may perceive waiting time as an opportunity to reflect on their experience. Similarly, Lee et al. (2023) reported that waiting time had a positive effect on customer satisfaction when accompanied by effective queue management.</w:t>
      </w:r>
    </w:p>
    <w:p w14:paraId="20012B26"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negative coefficient for queue management (-0.589) suggests that effective queue management is associated with higher customer satisfaction, which is consistent with the findings of Johnson et al. (2023) and Parasuraman et al. (2023). These authors reported that effective queue management is critical in determining customer satisfaction, particularly in service industries such as banking.</w:t>
      </w:r>
    </w:p>
    <w:p w14:paraId="67E110CB" w14:textId="77777777" w:rsidR="00F21AAD"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In contrast, some studies have reported different findings. For example, Davis et al. (2024) reported that queue management had a positive effect on customer satisfaction, but the effect was not statistically significant. However, the results of this study suggest that effective queue management is critical in determining customer satisfaction, particularly in the context of commercial banks in Cameroon.</w:t>
      </w:r>
    </w:p>
    <w:p w14:paraId="404E1A3B" w14:textId="77777777" w:rsidR="00CE41D9" w:rsidRPr="00243FEC" w:rsidRDefault="00F21AAD"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Overall, the results of this study highlight the importance of effective queue management in commercial banks. The significant negative coefficient for queue management suggests that banks need to focus on managing queues effectively to improve customer satisfaction. As noted by Hofstede et al. (2023), cultural and contextual factors can influence customer perceptions of service quality, and banks need to take these factors into account when designing their queue management systems.</w:t>
      </w:r>
    </w:p>
    <w:p w14:paraId="0F512526"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b/>
          <w:bCs/>
          <w:lang w:val="en-US"/>
        </w:rPr>
      </w:pPr>
    </w:p>
    <w:p w14:paraId="370AE2DF"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b/>
          <w:bCs/>
          <w:lang w:val="en-US"/>
        </w:rPr>
        <w:t xml:space="preserve">Table 4: Linear regression </w:t>
      </w:r>
    </w:p>
    <w:tbl>
      <w:tblPr>
        <w:tblW w:w="8970" w:type="dxa"/>
        <w:tblLayout w:type="fixed"/>
        <w:tblLook w:val="0000" w:firstRow="0" w:lastRow="0" w:firstColumn="0" w:lastColumn="0" w:noHBand="0" w:noVBand="0"/>
      </w:tblPr>
      <w:tblGrid>
        <w:gridCol w:w="1708"/>
        <w:gridCol w:w="542"/>
        <w:gridCol w:w="417"/>
        <w:gridCol w:w="500"/>
        <w:gridCol w:w="6"/>
        <w:gridCol w:w="1194"/>
        <w:gridCol w:w="6"/>
        <w:gridCol w:w="44"/>
        <w:gridCol w:w="800"/>
        <w:gridCol w:w="6"/>
        <w:gridCol w:w="894"/>
        <w:gridCol w:w="6"/>
        <w:gridCol w:w="594"/>
        <w:gridCol w:w="600"/>
        <w:gridCol w:w="6"/>
        <w:gridCol w:w="1047"/>
        <w:gridCol w:w="97"/>
        <w:gridCol w:w="503"/>
      </w:tblGrid>
      <w:tr w:rsidR="00CE41D9" w:rsidRPr="00243FEC" w14:paraId="78F9E5B3" w14:textId="77777777" w:rsidTr="00243FEC">
        <w:tc>
          <w:tcPr>
            <w:tcW w:w="1708" w:type="dxa"/>
            <w:tcBorders>
              <w:top w:val="single" w:sz="4" w:space="0" w:color="auto"/>
              <w:left w:val="nil"/>
              <w:bottom w:val="single" w:sz="8" w:space="0" w:color="auto"/>
              <w:right w:val="nil"/>
            </w:tcBorders>
          </w:tcPr>
          <w:p w14:paraId="37AE441A"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 cs</w:t>
            </w:r>
          </w:p>
        </w:tc>
        <w:tc>
          <w:tcPr>
            <w:tcW w:w="1459" w:type="dxa"/>
            <w:gridSpan w:val="3"/>
            <w:tcBorders>
              <w:top w:val="single" w:sz="4" w:space="0" w:color="auto"/>
              <w:left w:val="nil"/>
              <w:bottom w:val="single" w:sz="8" w:space="0" w:color="auto"/>
              <w:right w:val="nil"/>
            </w:tcBorders>
          </w:tcPr>
          <w:p w14:paraId="3377710A"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Coef.</w:t>
            </w:r>
          </w:p>
        </w:tc>
        <w:tc>
          <w:tcPr>
            <w:tcW w:w="1200" w:type="dxa"/>
            <w:gridSpan w:val="2"/>
            <w:tcBorders>
              <w:top w:val="single" w:sz="4" w:space="0" w:color="auto"/>
              <w:left w:val="nil"/>
              <w:bottom w:val="single" w:sz="8" w:space="0" w:color="auto"/>
              <w:right w:val="nil"/>
            </w:tcBorders>
          </w:tcPr>
          <w:p w14:paraId="08384D13"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w:t>
            </w:r>
            <w:proofErr w:type="spellStart"/>
            <w:proofErr w:type="gramStart"/>
            <w:r w:rsidRPr="00243FEC">
              <w:rPr>
                <w:rFonts w:ascii="Times New Roman" w:hAnsi="Times New Roman" w:cs="Times New Roman"/>
                <w:lang w:val="en-US"/>
              </w:rPr>
              <w:t>St.Err</w:t>
            </w:r>
            <w:proofErr w:type="spellEnd"/>
            <w:proofErr w:type="gramEnd"/>
            <w:r w:rsidRPr="00243FEC">
              <w:rPr>
                <w:rFonts w:ascii="Times New Roman" w:hAnsi="Times New Roman" w:cs="Times New Roman"/>
                <w:lang w:val="en-US"/>
              </w:rPr>
              <w:t>.</w:t>
            </w:r>
          </w:p>
        </w:tc>
        <w:tc>
          <w:tcPr>
            <w:tcW w:w="850" w:type="dxa"/>
            <w:gridSpan w:val="3"/>
            <w:tcBorders>
              <w:top w:val="single" w:sz="4" w:space="0" w:color="auto"/>
              <w:left w:val="nil"/>
              <w:bottom w:val="single" w:sz="8" w:space="0" w:color="auto"/>
              <w:right w:val="nil"/>
            </w:tcBorders>
          </w:tcPr>
          <w:p w14:paraId="72F18D78"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t-value</w:t>
            </w:r>
          </w:p>
        </w:tc>
        <w:tc>
          <w:tcPr>
            <w:tcW w:w="900" w:type="dxa"/>
            <w:gridSpan w:val="2"/>
            <w:tcBorders>
              <w:top w:val="single" w:sz="4" w:space="0" w:color="auto"/>
              <w:left w:val="nil"/>
              <w:bottom w:val="single" w:sz="8" w:space="0" w:color="auto"/>
              <w:right w:val="nil"/>
            </w:tcBorders>
          </w:tcPr>
          <w:p w14:paraId="37CD1DF2"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p-value</w:t>
            </w:r>
          </w:p>
        </w:tc>
        <w:tc>
          <w:tcPr>
            <w:tcW w:w="1200" w:type="dxa"/>
            <w:gridSpan w:val="3"/>
            <w:tcBorders>
              <w:top w:val="single" w:sz="4" w:space="0" w:color="auto"/>
              <w:left w:val="nil"/>
              <w:bottom w:val="single" w:sz="8" w:space="0" w:color="auto"/>
              <w:right w:val="nil"/>
            </w:tcBorders>
          </w:tcPr>
          <w:p w14:paraId="53028F3A"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[95% Conf</w:t>
            </w:r>
          </w:p>
        </w:tc>
        <w:tc>
          <w:tcPr>
            <w:tcW w:w="1053" w:type="dxa"/>
            <w:gridSpan w:val="2"/>
            <w:tcBorders>
              <w:top w:val="single" w:sz="4" w:space="0" w:color="auto"/>
              <w:left w:val="nil"/>
              <w:bottom w:val="single" w:sz="8" w:space="0" w:color="auto"/>
              <w:right w:val="nil"/>
            </w:tcBorders>
          </w:tcPr>
          <w:p w14:paraId="243D7465"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Interval]</w:t>
            </w:r>
          </w:p>
        </w:tc>
        <w:tc>
          <w:tcPr>
            <w:tcW w:w="600" w:type="dxa"/>
            <w:gridSpan w:val="2"/>
            <w:tcBorders>
              <w:top w:val="single" w:sz="4" w:space="0" w:color="auto"/>
              <w:left w:val="nil"/>
              <w:bottom w:val="single" w:sz="8" w:space="0" w:color="auto"/>
              <w:right w:val="nil"/>
            </w:tcBorders>
          </w:tcPr>
          <w:p w14:paraId="64A715BD"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 xml:space="preserve"> Sig</w:t>
            </w:r>
          </w:p>
        </w:tc>
      </w:tr>
      <w:tr w:rsidR="000B28C2" w:rsidRPr="00243FEC" w14:paraId="0FFE56A9" w14:textId="77777777" w:rsidTr="00243FEC">
        <w:tc>
          <w:tcPr>
            <w:tcW w:w="2250" w:type="dxa"/>
            <w:gridSpan w:val="2"/>
            <w:tcBorders>
              <w:top w:val="nil"/>
              <w:left w:val="nil"/>
              <w:bottom w:val="nil"/>
              <w:right w:val="nil"/>
            </w:tcBorders>
          </w:tcPr>
          <w:p w14:paraId="25EDEF67" w14:textId="77777777" w:rsidR="000B28C2" w:rsidRPr="00243FEC" w:rsidRDefault="000B28C2" w:rsidP="00243FEC">
            <w:pPr>
              <w:spacing w:after="0" w:line="240" w:lineRule="auto"/>
              <w:jc w:val="both"/>
              <w:rPr>
                <w:rFonts w:ascii="Times New Roman" w:hAnsi="Times New Roman" w:cs="Times New Roman"/>
              </w:rPr>
            </w:pPr>
            <w:r w:rsidRPr="00243FEC">
              <w:rPr>
                <w:rFonts w:ascii="Times New Roman" w:hAnsi="Times New Roman" w:cs="Times New Roman"/>
                <w:lang w:val="en-US"/>
              </w:rPr>
              <w:t xml:space="preserve"> </w:t>
            </w:r>
            <w:r w:rsidRPr="00243FEC">
              <w:rPr>
                <w:rFonts w:ascii="Times New Roman" w:hAnsi="Times New Roman" w:cs="Times New Roman"/>
              </w:rPr>
              <w:t>Waiting Time</w:t>
            </w:r>
          </w:p>
        </w:tc>
        <w:tc>
          <w:tcPr>
            <w:tcW w:w="923" w:type="dxa"/>
            <w:gridSpan w:val="3"/>
            <w:tcBorders>
              <w:top w:val="nil"/>
              <w:left w:val="nil"/>
              <w:bottom w:val="nil"/>
              <w:right w:val="nil"/>
            </w:tcBorders>
          </w:tcPr>
          <w:p w14:paraId="34060122"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.502</w:t>
            </w:r>
          </w:p>
        </w:tc>
        <w:tc>
          <w:tcPr>
            <w:tcW w:w="1200" w:type="dxa"/>
            <w:gridSpan w:val="2"/>
            <w:tcBorders>
              <w:top w:val="nil"/>
              <w:left w:val="nil"/>
              <w:bottom w:val="nil"/>
              <w:right w:val="nil"/>
            </w:tcBorders>
          </w:tcPr>
          <w:p w14:paraId="6566507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.18</w:t>
            </w:r>
          </w:p>
        </w:tc>
        <w:tc>
          <w:tcPr>
            <w:tcW w:w="850" w:type="dxa"/>
            <w:gridSpan w:val="3"/>
            <w:tcBorders>
              <w:top w:val="nil"/>
              <w:left w:val="nil"/>
              <w:bottom w:val="nil"/>
              <w:right w:val="nil"/>
            </w:tcBorders>
          </w:tcPr>
          <w:p w14:paraId="2129BA47"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2.80</w:t>
            </w:r>
          </w:p>
        </w:tc>
        <w:tc>
          <w:tcPr>
            <w:tcW w:w="900" w:type="dxa"/>
            <w:gridSpan w:val="2"/>
            <w:tcBorders>
              <w:top w:val="nil"/>
              <w:left w:val="nil"/>
              <w:bottom w:val="nil"/>
              <w:right w:val="nil"/>
            </w:tcBorders>
          </w:tcPr>
          <w:p w14:paraId="58DBEF7D"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.012</w:t>
            </w:r>
          </w:p>
        </w:tc>
        <w:tc>
          <w:tcPr>
            <w:tcW w:w="1200" w:type="dxa"/>
            <w:gridSpan w:val="3"/>
            <w:tcBorders>
              <w:top w:val="nil"/>
              <w:left w:val="nil"/>
              <w:bottom w:val="nil"/>
              <w:right w:val="nil"/>
            </w:tcBorders>
          </w:tcPr>
          <w:p w14:paraId="087F6302"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.125</w:t>
            </w:r>
          </w:p>
        </w:tc>
        <w:tc>
          <w:tcPr>
            <w:tcW w:w="1047" w:type="dxa"/>
            <w:tcBorders>
              <w:top w:val="nil"/>
              <w:left w:val="nil"/>
              <w:bottom w:val="nil"/>
              <w:right w:val="nil"/>
            </w:tcBorders>
          </w:tcPr>
          <w:p w14:paraId="1A05F9F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.88</w:t>
            </w:r>
          </w:p>
        </w:tc>
        <w:tc>
          <w:tcPr>
            <w:tcW w:w="600" w:type="dxa"/>
            <w:gridSpan w:val="2"/>
            <w:tcBorders>
              <w:top w:val="nil"/>
              <w:left w:val="nil"/>
              <w:bottom w:val="nil"/>
              <w:right w:val="nil"/>
            </w:tcBorders>
          </w:tcPr>
          <w:p w14:paraId="7253B2C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w:t>
            </w:r>
          </w:p>
        </w:tc>
      </w:tr>
      <w:tr w:rsidR="000B28C2" w:rsidRPr="00243FEC" w14:paraId="5A6B2A9B" w14:textId="77777777" w:rsidTr="00243FEC">
        <w:tc>
          <w:tcPr>
            <w:tcW w:w="2250" w:type="dxa"/>
            <w:gridSpan w:val="2"/>
            <w:tcBorders>
              <w:top w:val="nil"/>
              <w:left w:val="nil"/>
              <w:bottom w:val="nil"/>
              <w:right w:val="nil"/>
            </w:tcBorders>
          </w:tcPr>
          <w:p w14:paraId="2B4F471F"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Queue Management</w:t>
            </w:r>
          </w:p>
        </w:tc>
        <w:tc>
          <w:tcPr>
            <w:tcW w:w="923" w:type="dxa"/>
            <w:gridSpan w:val="3"/>
            <w:tcBorders>
              <w:top w:val="nil"/>
              <w:left w:val="nil"/>
              <w:bottom w:val="nil"/>
              <w:right w:val="nil"/>
            </w:tcBorders>
          </w:tcPr>
          <w:p w14:paraId="1B682CCE"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-.589</w:t>
            </w:r>
          </w:p>
        </w:tc>
        <w:tc>
          <w:tcPr>
            <w:tcW w:w="1200" w:type="dxa"/>
            <w:gridSpan w:val="2"/>
            <w:tcBorders>
              <w:top w:val="nil"/>
              <w:left w:val="nil"/>
              <w:bottom w:val="nil"/>
              <w:right w:val="nil"/>
            </w:tcBorders>
          </w:tcPr>
          <w:p w14:paraId="068BABB0"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.164</w:t>
            </w:r>
          </w:p>
        </w:tc>
        <w:tc>
          <w:tcPr>
            <w:tcW w:w="850" w:type="dxa"/>
            <w:gridSpan w:val="3"/>
            <w:tcBorders>
              <w:top w:val="nil"/>
              <w:left w:val="nil"/>
              <w:bottom w:val="nil"/>
              <w:right w:val="nil"/>
            </w:tcBorders>
          </w:tcPr>
          <w:p w14:paraId="3746320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-3.59</w:t>
            </w:r>
          </w:p>
        </w:tc>
        <w:tc>
          <w:tcPr>
            <w:tcW w:w="900" w:type="dxa"/>
            <w:gridSpan w:val="2"/>
            <w:tcBorders>
              <w:top w:val="nil"/>
              <w:left w:val="nil"/>
              <w:bottom w:val="nil"/>
              <w:right w:val="nil"/>
            </w:tcBorders>
          </w:tcPr>
          <w:p w14:paraId="1AFA7ED4"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.002</w:t>
            </w:r>
          </w:p>
        </w:tc>
        <w:tc>
          <w:tcPr>
            <w:tcW w:w="1200" w:type="dxa"/>
            <w:gridSpan w:val="3"/>
            <w:tcBorders>
              <w:top w:val="nil"/>
              <w:left w:val="nil"/>
              <w:bottom w:val="nil"/>
              <w:right w:val="nil"/>
            </w:tcBorders>
          </w:tcPr>
          <w:p w14:paraId="16E052A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-.934</w:t>
            </w:r>
          </w:p>
        </w:tc>
        <w:tc>
          <w:tcPr>
            <w:tcW w:w="1047" w:type="dxa"/>
            <w:tcBorders>
              <w:top w:val="nil"/>
              <w:left w:val="nil"/>
              <w:bottom w:val="nil"/>
              <w:right w:val="nil"/>
            </w:tcBorders>
          </w:tcPr>
          <w:p w14:paraId="36CF76A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-.244</w:t>
            </w:r>
          </w:p>
        </w:tc>
        <w:tc>
          <w:tcPr>
            <w:tcW w:w="600" w:type="dxa"/>
            <w:gridSpan w:val="2"/>
            <w:tcBorders>
              <w:top w:val="nil"/>
              <w:left w:val="nil"/>
              <w:bottom w:val="nil"/>
              <w:right w:val="nil"/>
            </w:tcBorders>
          </w:tcPr>
          <w:p w14:paraId="5007E864"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w:t>
            </w:r>
          </w:p>
        </w:tc>
      </w:tr>
      <w:tr w:rsidR="000B28C2" w:rsidRPr="00243FEC" w14:paraId="2DF52EAB" w14:textId="77777777" w:rsidTr="00243FEC">
        <w:tc>
          <w:tcPr>
            <w:tcW w:w="2250" w:type="dxa"/>
            <w:gridSpan w:val="2"/>
            <w:tcBorders>
              <w:top w:val="nil"/>
              <w:left w:val="nil"/>
              <w:bottom w:val="nil"/>
              <w:right w:val="nil"/>
            </w:tcBorders>
          </w:tcPr>
          <w:p w14:paraId="5C4E53D3"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fr-FR"/>
              </w:rPr>
              <w:t xml:space="preserve">Service </w:t>
            </w:r>
            <w:proofErr w:type="spellStart"/>
            <w:r w:rsidRPr="00243FEC">
              <w:rPr>
                <w:rFonts w:ascii="Times New Roman" w:hAnsi="Times New Roman" w:cs="Times New Roman"/>
                <w:lang w:val="fr-FR"/>
              </w:rPr>
              <w:t>Quality</w:t>
            </w:r>
            <w:proofErr w:type="spellEnd"/>
          </w:p>
        </w:tc>
        <w:tc>
          <w:tcPr>
            <w:tcW w:w="923" w:type="dxa"/>
            <w:gridSpan w:val="3"/>
            <w:tcBorders>
              <w:top w:val="nil"/>
              <w:left w:val="nil"/>
              <w:bottom w:val="nil"/>
              <w:right w:val="nil"/>
            </w:tcBorders>
          </w:tcPr>
          <w:p w14:paraId="43F2A57C"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.17</w:t>
            </w:r>
          </w:p>
        </w:tc>
        <w:tc>
          <w:tcPr>
            <w:tcW w:w="1200" w:type="dxa"/>
            <w:gridSpan w:val="2"/>
            <w:tcBorders>
              <w:top w:val="nil"/>
              <w:left w:val="nil"/>
              <w:bottom w:val="nil"/>
              <w:right w:val="nil"/>
            </w:tcBorders>
          </w:tcPr>
          <w:p w14:paraId="4EC36C19"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.157</w:t>
            </w:r>
          </w:p>
        </w:tc>
        <w:tc>
          <w:tcPr>
            <w:tcW w:w="850" w:type="dxa"/>
            <w:gridSpan w:val="3"/>
            <w:tcBorders>
              <w:top w:val="nil"/>
              <w:left w:val="nil"/>
              <w:bottom w:val="nil"/>
              <w:right w:val="nil"/>
            </w:tcBorders>
          </w:tcPr>
          <w:p w14:paraId="3A16E40F"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1.08</w:t>
            </w:r>
          </w:p>
        </w:tc>
        <w:tc>
          <w:tcPr>
            <w:tcW w:w="900" w:type="dxa"/>
            <w:gridSpan w:val="2"/>
            <w:tcBorders>
              <w:top w:val="nil"/>
              <w:left w:val="nil"/>
              <w:bottom w:val="nil"/>
              <w:right w:val="nil"/>
            </w:tcBorders>
          </w:tcPr>
          <w:p w14:paraId="1B37D949"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.293</w:t>
            </w:r>
          </w:p>
        </w:tc>
        <w:tc>
          <w:tcPr>
            <w:tcW w:w="1200" w:type="dxa"/>
            <w:gridSpan w:val="3"/>
            <w:tcBorders>
              <w:top w:val="nil"/>
              <w:left w:val="nil"/>
              <w:bottom w:val="nil"/>
              <w:right w:val="nil"/>
            </w:tcBorders>
          </w:tcPr>
          <w:p w14:paraId="4897841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-.16</w:t>
            </w:r>
          </w:p>
        </w:tc>
        <w:tc>
          <w:tcPr>
            <w:tcW w:w="1047" w:type="dxa"/>
            <w:tcBorders>
              <w:top w:val="nil"/>
              <w:left w:val="nil"/>
              <w:bottom w:val="nil"/>
              <w:right w:val="nil"/>
            </w:tcBorders>
          </w:tcPr>
          <w:p w14:paraId="77B30D2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.501</w:t>
            </w:r>
          </w:p>
        </w:tc>
        <w:tc>
          <w:tcPr>
            <w:tcW w:w="600" w:type="dxa"/>
            <w:gridSpan w:val="2"/>
            <w:tcBorders>
              <w:top w:val="nil"/>
              <w:left w:val="nil"/>
              <w:bottom w:val="nil"/>
              <w:right w:val="nil"/>
            </w:tcBorders>
          </w:tcPr>
          <w:p w14:paraId="2B0D07E9"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0B28C2" w:rsidRPr="00243FEC" w14:paraId="0F5BEC12" w14:textId="77777777" w:rsidTr="00243FEC">
        <w:tc>
          <w:tcPr>
            <w:tcW w:w="2250" w:type="dxa"/>
            <w:gridSpan w:val="2"/>
            <w:tcBorders>
              <w:top w:val="nil"/>
              <w:left w:val="nil"/>
              <w:bottom w:val="nil"/>
              <w:right w:val="nil"/>
            </w:tcBorders>
          </w:tcPr>
          <w:p w14:paraId="320C125D"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rPr>
              <w:t>Income of respondent</w:t>
            </w:r>
          </w:p>
        </w:tc>
        <w:tc>
          <w:tcPr>
            <w:tcW w:w="923" w:type="dxa"/>
            <w:gridSpan w:val="3"/>
            <w:tcBorders>
              <w:top w:val="nil"/>
              <w:left w:val="nil"/>
              <w:bottom w:val="nil"/>
              <w:right w:val="nil"/>
            </w:tcBorders>
          </w:tcPr>
          <w:p w14:paraId="14295520"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-.128</w:t>
            </w:r>
          </w:p>
        </w:tc>
        <w:tc>
          <w:tcPr>
            <w:tcW w:w="1200" w:type="dxa"/>
            <w:gridSpan w:val="2"/>
            <w:tcBorders>
              <w:top w:val="nil"/>
              <w:left w:val="nil"/>
              <w:bottom w:val="nil"/>
              <w:right w:val="nil"/>
            </w:tcBorders>
          </w:tcPr>
          <w:p w14:paraId="10B37037"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.268</w:t>
            </w:r>
          </w:p>
        </w:tc>
        <w:tc>
          <w:tcPr>
            <w:tcW w:w="850" w:type="dxa"/>
            <w:gridSpan w:val="3"/>
            <w:tcBorders>
              <w:top w:val="nil"/>
              <w:left w:val="nil"/>
              <w:bottom w:val="nil"/>
              <w:right w:val="nil"/>
            </w:tcBorders>
          </w:tcPr>
          <w:p w14:paraId="4EE49B50"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-0.48</w:t>
            </w:r>
          </w:p>
        </w:tc>
        <w:tc>
          <w:tcPr>
            <w:tcW w:w="900" w:type="dxa"/>
            <w:gridSpan w:val="2"/>
            <w:tcBorders>
              <w:top w:val="nil"/>
              <w:left w:val="nil"/>
              <w:bottom w:val="nil"/>
              <w:right w:val="nil"/>
            </w:tcBorders>
          </w:tcPr>
          <w:p w14:paraId="332721C8"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.639</w:t>
            </w:r>
          </w:p>
        </w:tc>
        <w:tc>
          <w:tcPr>
            <w:tcW w:w="1200" w:type="dxa"/>
            <w:gridSpan w:val="3"/>
            <w:tcBorders>
              <w:top w:val="nil"/>
              <w:left w:val="nil"/>
              <w:bottom w:val="nil"/>
              <w:right w:val="nil"/>
            </w:tcBorders>
          </w:tcPr>
          <w:p w14:paraId="7F47C7B3"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-.692</w:t>
            </w:r>
          </w:p>
        </w:tc>
        <w:tc>
          <w:tcPr>
            <w:tcW w:w="1047" w:type="dxa"/>
            <w:tcBorders>
              <w:top w:val="nil"/>
              <w:left w:val="nil"/>
              <w:bottom w:val="nil"/>
              <w:right w:val="nil"/>
            </w:tcBorders>
          </w:tcPr>
          <w:p w14:paraId="7FC51A4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.436</w:t>
            </w:r>
          </w:p>
        </w:tc>
        <w:tc>
          <w:tcPr>
            <w:tcW w:w="600" w:type="dxa"/>
            <w:gridSpan w:val="2"/>
            <w:tcBorders>
              <w:top w:val="nil"/>
              <w:left w:val="nil"/>
              <w:bottom w:val="nil"/>
              <w:right w:val="nil"/>
            </w:tcBorders>
          </w:tcPr>
          <w:p w14:paraId="478D35F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0B28C2" w:rsidRPr="00243FEC" w14:paraId="3DF670E8" w14:textId="77777777" w:rsidTr="00243FEC">
        <w:tc>
          <w:tcPr>
            <w:tcW w:w="2250" w:type="dxa"/>
            <w:gridSpan w:val="2"/>
            <w:tcBorders>
              <w:top w:val="nil"/>
              <w:left w:val="nil"/>
              <w:bottom w:val="nil"/>
              <w:right w:val="nil"/>
            </w:tcBorders>
          </w:tcPr>
          <w:p w14:paraId="547C2FE0"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rPr>
              <w:t xml:space="preserve">Education level </w:t>
            </w:r>
          </w:p>
        </w:tc>
        <w:tc>
          <w:tcPr>
            <w:tcW w:w="923" w:type="dxa"/>
            <w:gridSpan w:val="3"/>
            <w:tcBorders>
              <w:top w:val="nil"/>
              <w:left w:val="nil"/>
              <w:bottom w:val="nil"/>
              <w:right w:val="nil"/>
            </w:tcBorders>
          </w:tcPr>
          <w:p w14:paraId="3B458D33"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.309</w:t>
            </w:r>
          </w:p>
        </w:tc>
        <w:tc>
          <w:tcPr>
            <w:tcW w:w="1200" w:type="dxa"/>
            <w:gridSpan w:val="2"/>
            <w:tcBorders>
              <w:top w:val="nil"/>
              <w:left w:val="nil"/>
              <w:bottom w:val="nil"/>
              <w:right w:val="nil"/>
            </w:tcBorders>
          </w:tcPr>
          <w:p w14:paraId="7646BBC9"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.196</w:t>
            </w:r>
          </w:p>
        </w:tc>
        <w:tc>
          <w:tcPr>
            <w:tcW w:w="850" w:type="dxa"/>
            <w:gridSpan w:val="3"/>
            <w:tcBorders>
              <w:top w:val="nil"/>
              <w:left w:val="nil"/>
              <w:bottom w:val="nil"/>
              <w:right w:val="nil"/>
            </w:tcBorders>
          </w:tcPr>
          <w:p w14:paraId="129EFB3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1.58</w:t>
            </w:r>
          </w:p>
        </w:tc>
        <w:tc>
          <w:tcPr>
            <w:tcW w:w="900" w:type="dxa"/>
            <w:gridSpan w:val="2"/>
            <w:tcBorders>
              <w:top w:val="nil"/>
              <w:left w:val="nil"/>
              <w:bottom w:val="nil"/>
              <w:right w:val="nil"/>
            </w:tcBorders>
          </w:tcPr>
          <w:p w14:paraId="7817534D"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.132</w:t>
            </w:r>
          </w:p>
        </w:tc>
        <w:tc>
          <w:tcPr>
            <w:tcW w:w="1200" w:type="dxa"/>
            <w:gridSpan w:val="3"/>
            <w:tcBorders>
              <w:top w:val="nil"/>
              <w:left w:val="nil"/>
              <w:bottom w:val="nil"/>
              <w:right w:val="nil"/>
            </w:tcBorders>
          </w:tcPr>
          <w:p w14:paraId="31E39C45"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-.102</w:t>
            </w:r>
          </w:p>
        </w:tc>
        <w:tc>
          <w:tcPr>
            <w:tcW w:w="1047" w:type="dxa"/>
            <w:tcBorders>
              <w:top w:val="nil"/>
              <w:left w:val="nil"/>
              <w:bottom w:val="nil"/>
              <w:right w:val="nil"/>
            </w:tcBorders>
          </w:tcPr>
          <w:p w14:paraId="03EEE11B"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.72</w:t>
            </w:r>
          </w:p>
        </w:tc>
        <w:tc>
          <w:tcPr>
            <w:tcW w:w="600" w:type="dxa"/>
            <w:gridSpan w:val="2"/>
            <w:tcBorders>
              <w:top w:val="nil"/>
              <w:left w:val="nil"/>
              <w:bottom w:val="nil"/>
              <w:right w:val="nil"/>
            </w:tcBorders>
          </w:tcPr>
          <w:p w14:paraId="7E3E7AB5"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0B28C2" w:rsidRPr="00243FEC" w14:paraId="4FBF0851" w14:textId="77777777" w:rsidTr="00243FEC">
        <w:tc>
          <w:tcPr>
            <w:tcW w:w="2250" w:type="dxa"/>
            <w:gridSpan w:val="2"/>
            <w:tcBorders>
              <w:top w:val="nil"/>
              <w:left w:val="nil"/>
              <w:bottom w:val="nil"/>
              <w:right w:val="nil"/>
            </w:tcBorders>
          </w:tcPr>
          <w:p w14:paraId="32565790" w14:textId="77777777" w:rsidR="000B28C2" w:rsidRPr="00243FEC" w:rsidRDefault="000B28C2"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rPr>
              <w:t>Age of respondent</w:t>
            </w:r>
          </w:p>
        </w:tc>
        <w:tc>
          <w:tcPr>
            <w:tcW w:w="923" w:type="dxa"/>
            <w:gridSpan w:val="3"/>
            <w:tcBorders>
              <w:top w:val="nil"/>
              <w:left w:val="nil"/>
              <w:bottom w:val="nil"/>
              <w:right w:val="nil"/>
            </w:tcBorders>
          </w:tcPr>
          <w:p w14:paraId="3569FCA4"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-.211</w:t>
            </w:r>
          </w:p>
        </w:tc>
        <w:tc>
          <w:tcPr>
            <w:tcW w:w="1200" w:type="dxa"/>
            <w:gridSpan w:val="2"/>
            <w:tcBorders>
              <w:top w:val="nil"/>
              <w:left w:val="nil"/>
              <w:bottom w:val="nil"/>
              <w:right w:val="nil"/>
            </w:tcBorders>
          </w:tcPr>
          <w:p w14:paraId="3E0DE470"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.309</w:t>
            </w:r>
          </w:p>
        </w:tc>
        <w:tc>
          <w:tcPr>
            <w:tcW w:w="850" w:type="dxa"/>
            <w:gridSpan w:val="3"/>
            <w:tcBorders>
              <w:top w:val="nil"/>
              <w:left w:val="nil"/>
              <w:bottom w:val="nil"/>
              <w:right w:val="nil"/>
            </w:tcBorders>
          </w:tcPr>
          <w:p w14:paraId="360173C1"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-0.68</w:t>
            </w:r>
          </w:p>
        </w:tc>
        <w:tc>
          <w:tcPr>
            <w:tcW w:w="900" w:type="dxa"/>
            <w:gridSpan w:val="2"/>
            <w:tcBorders>
              <w:top w:val="nil"/>
              <w:left w:val="nil"/>
              <w:bottom w:val="nil"/>
              <w:right w:val="nil"/>
            </w:tcBorders>
          </w:tcPr>
          <w:p w14:paraId="70C28F7F"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.503</w:t>
            </w:r>
          </w:p>
        </w:tc>
        <w:tc>
          <w:tcPr>
            <w:tcW w:w="1200" w:type="dxa"/>
            <w:gridSpan w:val="3"/>
            <w:tcBorders>
              <w:top w:val="nil"/>
              <w:left w:val="nil"/>
              <w:bottom w:val="nil"/>
              <w:right w:val="nil"/>
            </w:tcBorders>
          </w:tcPr>
          <w:p w14:paraId="7307F9EA"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-.86</w:t>
            </w:r>
          </w:p>
        </w:tc>
        <w:tc>
          <w:tcPr>
            <w:tcW w:w="1047" w:type="dxa"/>
            <w:tcBorders>
              <w:top w:val="nil"/>
              <w:left w:val="nil"/>
              <w:bottom w:val="nil"/>
              <w:right w:val="nil"/>
            </w:tcBorders>
          </w:tcPr>
          <w:p w14:paraId="140B6CBD"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.438</w:t>
            </w:r>
          </w:p>
        </w:tc>
        <w:tc>
          <w:tcPr>
            <w:tcW w:w="600" w:type="dxa"/>
            <w:gridSpan w:val="2"/>
            <w:tcBorders>
              <w:top w:val="nil"/>
              <w:left w:val="nil"/>
              <w:bottom w:val="nil"/>
              <w:right w:val="nil"/>
            </w:tcBorders>
          </w:tcPr>
          <w:p w14:paraId="15574356" w14:textId="77777777" w:rsidR="000B28C2" w:rsidRPr="00243FEC" w:rsidRDefault="000B28C2" w:rsidP="00243FEC">
            <w:pPr>
              <w:widowControl w:val="0"/>
              <w:autoSpaceDE w:val="0"/>
              <w:autoSpaceDN w:val="0"/>
              <w:adjustRightInd w:val="0"/>
              <w:spacing w:after="0" w:line="240" w:lineRule="auto"/>
              <w:jc w:val="right"/>
              <w:rPr>
                <w:rFonts w:ascii="Times New Roman" w:hAnsi="Times New Roman" w:cs="Times New Roman"/>
                <w:lang w:val="en-US"/>
              </w:rPr>
            </w:pPr>
          </w:p>
        </w:tc>
      </w:tr>
      <w:tr w:rsidR="00CE41D9" w:rsidRPr="00243FEC" w14:paraId="2E32344B" w14:textId="77777777" w:rsidTr="00243FEC">
        <w:tc>
          <w:tcPr>
            <w:tcW w:w="1708" w:type="dxa"/>
            <w:tcBorders>
              <w:top w:val="nil"/>
              <w:left w:val="nil"/>
              <w:bottom w:val="nil"/>
              <w:right w:val="nil"/>
            </w:tcBorders>
          </w:tcPr>
          <w:p w14:paraId="6EAEEF9A"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Constant</w:t>
            </w:r>
          </w:p>
        </w:tc>
        <w:tc>
          <w:tcPr>
            <w:tcW w:w="1459" w:type="dxa"/>
            <w:gridSpan w:val="3"/>
            <w:tcBorders>
              <w:top w:val="nil"/>
              <w:left w:val="nil"/>
              <w:bottom w:val="nil"/>
              <w:right w:val="nil"/>
            </w:tcBorders>
          </w:tcPr>
          <w:p w14:paraId="482AE187"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1.651</w:t>
            </w:r>
          </w:p>
        </w:tc>
        <w:tc>
          <w:tcPr>
            <w:tcW w:w="1200" w:type="dxa"/>
            <w:gridSpan w:val="2"/>
            <w:tcBorders>
              <w:top w:val="nil"/>
              <w:left w:val="nil"/>
              <w:bottom w:val="nil"/>
              <w:right w:val="nil"/>
            </w:tcBorders>
          </w:tcPr>
          <w:p w14:paraId="301AD82D"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1.484</w:t>
            </w:r>
          </w:p>
        </w:tc>
        <w:tc>
          <w:tcPr>
            <w:tcW w:w="850" w:type="dxa"/>
            <w:gridSpan w:val="3"/>
            <w:tcBorders>
              <w:top w:val="nil"/>
              <w:left w:val="nil"/>
              <w:bottom w:val="nil"/>
              <w:right w:val="nil"/>
            </w:tcBorders>
          </w:tcPr>
          <w:p w14:paraId="10E411EA"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1.11</w:t>
            </w:r>
          </w:p>
        </w:tc>
        <w:tc>
          <w:tcPr>
            <w:tcW w:w="900" w:type="dxa"/>
            <w:gridSpan w:val="2"/>
            <w:tcBorders>
              <w:top w:val="nil"/>
              <w:left w:val="nil"/>
              <w:bottom w:val="nil"/>
              <w:right w:val="nil"/>
            </w:tcBorders>
          </w:tcPr>
          <w:p w14:paraId="188FF023"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.281</w:t>
            </w:r>
          </w:p>
        </w:tc>
        <w:tc>
          <w:tcPr>
            <w:tcW w:w="1200" w:type="dxa"/>
            <w:gridSpan w:val="3"/>
            <w:tcBorders>
              <w:top w:val="nil"/>
              <w:left w:val="nil"/>
              <w:bottom w:val="nil"/>
              <w:right w:val="nil"/>
            </w:tcBorders>
          </w:tcPr>
          <w:p w14:paraId="64FC360B"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-1.467</w:t>
            </w:r>
          </w:p>
        </w:tc>
        <w:tc>
          <w:tcPr>
            <w:tcW w:w="1053" w:type="dxa"/>
            <w:gridSpan w:val="2"/>
            <w:tcBorders>
              <w:top w:val="nil"/>
              <w:left w:val="nil"/>
              <w:bottom w:val="nil"/>
              <w:right w:val="nil"/>
            </w:tcBorders>
          </w:tcPr>
          <w:p w14:paraId="3AB24134"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4.769</w:t>
            </w:r>
          </w:p>
        </w:tc>
        <w:tc>
          <w:tcPr>
            <w:tcW w:w="600" w:type="dxa"/>
            <w:gridSpan w:val="2"/>
            <w:tcBorders>
              <w:top w:val="nil"/>
              <w:left w:val="nil"/>
              <w:bottom w:val="nil"/>
              <w:right w:val="nil"/>
            </w:tcBorders>
          </w:tcPr>
          <w:p w14:paraId="637C2F5F"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p>
        </w:tc>
      </w:tr>
      <w:tr w:rsidR="00CE41D9" w:rsidRPr="00243FEC" w14:paraId="240CDA94" w14:textId="77777777" w:rsidTr="00243FEC">
        <w:tc>
          <w:tcPr>
            <w:tcW w:w="8970" w:type="dxa"/>
            <w:gridSpan w:val="18"/>
            <w:tcBorders>
              <w:top w:val="nil"/>
              <w:left w:val="nil"/>
              <w:bottom w:val="single" w:sz="4" w:space="0" w:color="auto"/>
              <w:right w:val="nil"/>
            </w:tcBorders>
          </w:tcPr>
          <w:p w14:paraId="570CE07C"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p>
        </w:tc>
      </w:tr>
      <w:tr w:rsidR="00CE41D9" w:rsidRPr="00243FEC" w14:paraId="04C0F691" w14:textId="77777777" w:rsidTr="00243FEC">
        <w:trPr>
          <w:gridAfter w:val="1"/>
          <w:wAfter w:w="503" w:type="dxa"/>
        </w:trPr>
        <w:tc>
          <w:tcPr>
            <w:tcW w:w="2667" w:type="dxa"/>
            <w:gridSpan w:val="3"/>
            <w:tcBorders>
              <w:top w:val="nil"/>
              <w:left w:val="nil"/>
              <w:bottom w:val="nil"/>
              <w:right w:val="nil"/>
            </w:tcBorders>
          </w:tcPr>
          <w:p w14:paraId="1C2A17F7"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Mean dependent var</w:t>
            </w:r>
          </w:p>
        </w:tc>
        <w:tc>
          <w:tcPr>
            <w:tcW w:w="1750" w:type="dxa"/>
            <w:gridSpan w:val="5"/>
            <w:tcBorders>
              <w:top w:val="nil"/>
              <w:left w:val="nil"/>
              <w:bottom w:val="nil"/>
              <w:right w:val="nil"/>
            </w:tcBorders>
          </w:tcPr>
          <w:p w14:paraId="15E61B0D"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2.200</w:t>
            </w:r>
          </w:p>
        </w:tc>
        <w:tc>
          <w:tcPr>
            <w:tcW w:w="2300" w:type="dxa"/>
            <w:gridSpan w:val="5"/>
            <w:tcBorders>
              <w:top w:val="nil"/>
              <w:left w:val="nil"/>
              <w:bottom w:val="nil"/>
              <w:right w:val="nil"/>
            </w:tcBorders>
          </w:tcPr>
          <w:p w14:paraId="37A87DAB"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SD dependent var </w:t>
            </w:r>
          </w:p>
        </w:tc>
        <w:tc>
          <w:tcPr>
            <w:tcW w:w="1750" w:type="dxa"/>
            <w:gridSpan w:val="4"/>
            <w:tcBorders>
              <w:top w:val="nil"/>
              <w:left w:val="nil"/>
              <w:bottom w:val="nil"/>
              <w:right w:val="nil"/>
            </w:tcBorders>
          </w:tcPr>
          <w:p w14:paraId="55E9C896"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1.323</w:t>
            </w:r>
          </w:p>
        </w:tc>
      </w:tr>
      <w:tr w:rsidR="00CE41D9" w:rsidRPr="00243FEC" w14:paraId="4D57DBE6" w14:textId="77777777" w:rsidTr="00243FEC">
        <w:trPr>
          <w:gridAfter w:val="1"/>
          <w:wAfter w:w="503" w:type="dxa"/>
        </w:trPr>
        <w:tc>
          <w:tcPr>
            <w:tcW w:w="2667" w:type="dxa"/>
            <w:gridSpan w:val="3"/>
            <w:tcBorders>
              <w:top w:val="nil"/>
              <w:left w:val="nil"/>
              <w:bottom w:val="nil"/>
              <w:right w:val="nil"/>
            </w:tcBorders>
          </w:tcPr>
          <w:p w14:paraId="79BFC481"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R-squared </w:t>
            </w:r>
          </w:p>
        </w:tc>
        <w:tc>
          <w:tcPr>
            <w:tcW w:w="1750" w:type="dxa"/>
            <w:gridSpan w:val="5"/>
            <w:tcBorders>
              <w:top w:val="nil"/>
              <w:left w:val="nil"/>
              <w:bottom w:val="nil"/>
              <w:right w:val="nil"/>
            </w:tcBorders>
          </w:tcPr>
          <w:p w14:paraId="4CE29308"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0.587</w:t>
            </w:r>
          </w:p>
        </w:tc>
        <w:tc>
          <w:tcPr>
            <w:tcW w:w="2300" w:type="dxa"/>
            <w:gridSpan w:val="5"/>
            <w:tcBorders>
              <w:top w:val="nil"/>
              <w:left w:val="nil"/>
              <w:bottom w:val="nil"/>
              <w:right w:val="nil"/>
            </w:tcBorders>
          </w:tcPr>
          <w:p w14:paraId="2B2F71A6"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Number of </w:t>
            </w:r>
            <w:proofErr w:type="spellStart"/>
            <w:r w:rsidRPr="00243FEC">
              <w:rPr>
                <w:rFonts w:ascii="Times New Roman" w:hAnsi="Times New Roman" w:cs="Times New Roman"/>
                <w:lang w:val="en-US"/>
              </w:rPr>
              <w:t>obs</w:t>
            </w:r>
            <w:proofErr w:type="spellEnd"/>
            <w:r w:rsidRPr="00243FEC">
              <w:rPr>
                <w:rFonts w:ascii="Times New Roman" w:hAnsi="Times New Roman" w:cs="Times New Roman"/>
                <w:lang w:val="en-US"/>
              </w:rPr>
              <w:t xml:space="preserve">  </w:t>
            </w:r>
          </w:p>
        </w:tc>
        <w:tc>
          <w:tcPr>
            <w:tcW w:w="1750" w:type="dxa"/>
            <w:gridSpan w:val="4"/>
            <w:tcBorders>
              <w:top w:val="nil"/>
              <w:left w:val="nil"/>
              <w:bottom w:val="nil"/>
              <w:right w:val="nil"/>
            </w:tcBorders>
          </w:tcPr>
          <w:p w14:paraId="5627BBAE"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25</w:t>
            </w:r>
          </w:p>
        </w:tc>
      </w:tr>
      <w:tr w:rsidR="00CE41D9" w:rsidRPr="00243FEC" w14:paraId="4A55B34D" w14:textId="77777777" w:rsidTr="00243FEC">
        <w:trPr>
          <w:gridAfter w:val="1"/>
          <w:wAfter w:w="503" w:type="dxa"/>
        </w:trPr>
        <w:tc>
          <w:tcPr>
            <w:tcW w:w="2667" w:type="dxa"/>
            <w:gridSpan w:val="3"/>
            <w:tcBorders>
              <w:top w:val="nil"/>
              <w:left w:val="nil"/>
              <w:bottom w:val="nil"/>
              <w:right w:val="nil"/>
            </w:tcBorders>
          </w:tcPr>
          <w:p w14:paraId="3E9BF0A7"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F-test  </w:t>
            </w:r>
          </w:p>
        </w:tc>
        <w:tc>
          <w:tcPr>
            <w:tcW w:w="1750" w:type="dxa"/>
            <w:gridSpan w:val="5"/>
            <w:tcBorders>
              <w:top w:val="nil"/>
              <w:left w:val="nil"/>
              <w:bottom w:val="nil"/>
              <w:right w:val="nil"/>
            </w:tcBorders>
          </w:tcPr>
          <w:p w14:paraId="7F6C184C"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4.264</w:t>
            </w:r>
          </w:p>
        </w:tc>
        <w:tc>
          <w:tcPr>
            <w:tcW w:w="2300" w:type="dxa"/>
            <w:gridSpan w:val="5"/>
            <w:tcBorders>
              <w:top w:val="nil"/>
              <w:left w:val="nil"/>
              <w:bottom w:val="nil"/>
              <w:right w:val="nil"/>
            </w:tcBorders>
          </w:tcPr>
          <w:p w14:paraId="70ED0F72"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 xml:space="preserve">Prob &gt; F </w:t>
            </w:r>
          </w:p>
        </w:tc>
        <w:tc>
          <w:tcPr>
            <w:tcW w:w="1750" w:type="dxa"/>
            <w:gridSpan w:val="4"/>
            <w:tcBorders>
              <w:top w:val="nil"/>
              <w:left w:val="nil"/>
              <w:bottom w:val="nil"/>
              <w:right w:val="nil"/>
            </w:tcBorders>
          </w:tcPr>
          <w:p w14:paraId="51768193"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0.008</w:t>
            </w:r>
          </w:p>
        </w:tc>
      </w:tr>
      <w:tr w:rsidR="00CE41D9" w:rsidRPr="00243FEC" w14:paraId="68447410" w14:textId="77777777" w:rsidTr="00243FEC">
        <w:trPr>
          <w:gridAfter w:val="1"/>
          <w:wAfter w:w="503" w:type="dxa"/>
        </w:trPr>
        <w:tc>
          <w:tcPr>
            <w:tcW w:w="2667" w:type="dxa"/>
            <w:gridSpan w:val="3"/>
            <w:tcBorders>
              <w:top w:val="nil"/>
              <w:left w:val="nil"/>
              <w:bottom w:val="nil"/>
              <w:right w:val="nil"/>
            </w:tcBorders>
          </w:tcPr>
          <w:p w14:paraId="54CC7513"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Akaike crit. (AIC)</w:t>
            </w:r>
          </w:p>
        </w:tc>
        <w:tc>
          <w:tcPr>
            <w:tcW w:w="1750" w:type="dxa"/>
            <w:gridSpan w:val="5"/>
            <w:tcBorders>
              <w:top w:val="nil"/>
              <w:left w:val="nil"/>
              <w:bottom w:val="nil"/>
              <w:right w:val="nil"/>
            </w:tcBorders>
          </w:tcPr>
          <w:p w14:paraId="42B44D84"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75.810</w:t>
            </w:r>
          </w:p>
        </w:tc>
        <w:tc>
          <w:tcPr>
            <w:tcW w:w="2300" w:type="dxa"/>
            <w:gridSpan w:val="5"/>
            <w:tcBorders>
              <w:top w:val="nil"/>
              <w:left w:val="nil"/>
              <w:bottom w:val="nil"/>
              <w:right w:val="nil"/>
            </w:tcBorders>
          </w:tcPr>
          <w:p w14:paraId="1A0EA536"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lang w:val="en-US"/>
              </w:rPr>
              <w:t>Bayesian crit. (BIC)</w:t>
            </w:r>
          </w:p>
        </w:tc>
        <w:tc>
          <w:tcPr>
            <w:tcW w:w="1750" w:type="dxa"/>
            <w:gridSpan w:val="4"/>
            <w:tcBorders>
              <w:top w:val="nil"/>
              <w:left w:val="nil"/>
              <w:bottom w:val="nil"/>
              <w:right w:val="nil"/>
            </w:tcBorders>
          </w:tcPr>
          <w:p w14:paraId="3EE4BD71" w14:textId="77777777" w:rsidR="00CE41D9" w:rsidRPr="00243FEC" w:rsidRDefault="00CE41D9" w:rsidP="00243FEC">
            <w:pPr>
              <w:widowControl w:val="0"/>
              <w:autoSpaceDE w:val="0"/>
              <w:autoSpaceDN w:val="0"/>
              <w:adjustRightInd w:val="0"/>
              <w:spacing w:after="0" w:line="240" w:lineRule="auto"/>
              <w:jc w:val="right"/>
              <w:rPr>
                <w:rFonts w:ascii="Times New Roman" w:hAnsi="Times New Roman" w:cs="Times New Roman"/>
                <w:lang w:val="en-US"/>
              </w:rPr>
            </w:pPr>
            <w:r w:rsidRPr="00243FEC">
              <w:rPr>
                <w:rFonts w:ascii="Times New Roman" w:hAnsi="Times New Roman" w:cs="Times New Roman"/>
                <w:lang w:val="en-US"/>
              </w:rPr>
              <w:t>84.343</w:t>
            </w:r>
          </w:p>
        </w:tc>
      </w:tr>
      <w:tr w:rsidR="00CE41D9" w:rsidRPr="00243FEC" w14:paraId="26BD4BB8" w14:textId="77777777" w:rsidTr="00243FEC">
        <w:tc>
          <w:tcPr>
            <w:tcW w:w="8970" w:type="dxa"/>
            <w:gridSpan w:val="18"/>
            <w:tcBorders>
              <w:top w:val="single" w:sz="6" w:space="0" w:color="auto"/>
              <w:left w:val="nil"/>
              <w:bottom w:val="nil"/>
              <w:right w:val="nil"/>
            </w:tcBorders>
          </w:tcPr>
          <w:p w14:paraId="252565C0" w14:textId="77777777" w:rsidR="00CE41D9" w:rsidRPr="00243FEC" w:rsidRDefault="00CE41D9" w:rsidP="00243FEC">
            <w:pPr>
              <w:widowControl w:val="0"/>
              <w:autoSpaceDE w:val="0"/>
              <w:autoSpaceDN w:val="0"/>
              <w:adjustRightInd w:val="0"/>
              <w:spacing w:after="0" w:line="240" w:lineRule="auto"/>
              <w:rPr>
                <w:rFonts w:ascii="Times New Roman" w:hAnsi="Times New Roman" w:cs="Times New Roman"/>
                <w:lang w:val="en-US"/>
              </w:rPr>
            </w:pPr>
            <w:r w:rsidRPr="00243FEC">
              <w:rPr>
                <w:rFonts w:ascii="Times New Roman" w:hAnsi="Times New Roman" w:cs="Times New Roman"/>
                <w:i/>
                <w:iCs/>
                <w:lang w:val="en-US"/>
              </w:rPr>
              <w:t>*** p&lt;.01, ** p&lt;.05, * p&lt;.1</w:t>
            </w:r>
          </w:p>
        </w:tc>
      </w:tr>
      <w:tr w:rsidR="00CE41D9" w:rsidRPr="00243FEC" w14:paraId="18C06B8B" w14:textId="77777777" w:rsidTr="00243FEC">
        <w:tc>
          <w:tcPr>
            <w:tcW w:w="8970" w:type="dxa"/>
            <w:gridSpan w:val="18"/>
            <w:tcBorders>
              <w:top w:val="nil"/>
              <w:left w:val="nil"/>
              <w:bottom w:val="nil"/>
              <w:right w:val="nil"/>
            </w:tcBorders>
          </w:tcPr>
          <w:p w14:paraId="470EAAEF" w14:textId="77777777" w:rsidR="00CE41D9" w:rsidRPr="00243FEC" w:rsidRDefault="00CE41D9" w:rsidP="00243FEC">
            <w:pPr>
              <w:spacing w:after="0" w:line="240"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tc>
      </w:tr>
    </w:tbl>
    <w:p w14:paraId="28EA695F" w14:textId="77777777" w:rsidR="00254B40" w:rsidRPr="00243FEC" w:rsidRDefault="00254B40" w:rsidP="00A21900">
      <w:pPr>
        <w:widowControl w:val="0"/>
        <w:autoSpaceDE w:val="0"/>
        <w:autoSpaceDN w:val="0"/>
        <w:adjustRightInd w:val="0"/>
        <w:spacing w:line="276" w:lineRule="auto"/>
        <w:jc w:val="both"/>
        <w:rPr>
          <w:rFonts w:ascii="Times New Roman" w:hAnsi="Times New Roman" w:cs="Times New Roman"/>
          <w:bCs/>
          <w:lang w:val="en-US"/>
        </w:rPr>
      </w:pPr>
      <w:r w:rsidRPr="00243FEC">
        <w:rPr>
          <w:rFonts w:ascii="Times New Roman" w:hAnsi="Times New Roman" w:cs="Times New Roman"/>
          <w:bCs/>
          <w:lang w:val="en-US"/>
        </w:rPr>
        <w:t xml:space="preserve">The variance inflation factor (VIF) results in Table 5 reveal that the mean VIF is 1.112, which is </w:t>
      </w:r>
      <w:r w:rsidRPr="00243FEC">
        <w:rPr>
          <w:rFonts w:ascii="Times New Roman" w:hAnsi="Times New Roman" w:cs="Times New Roman"/>
          <w:bCs/>
          <w:lang w:val="en-US"/>
        </w:rPr>
        <w:lastRenderedPageBreak/>
        <w:t>relatively low. The VIF values for all variables are also low, ranging from 1.033 for education level to 1.177 for income. This suggests that multicollinearity is not a significant issue in the regression model.</w:t>
      </w:r>
    </w:p>
    <w:p w14:paraId="43D92BFE" w14:textId="77777777" w:rsidR="00254B40" w:rsidRPr="00243FEC" w:rsidRDefault="00254B40" w:rsidP="00A21900">
      <w:pPr>
        <w:widowControl w:val="0"/>
        <w:autoSpaceDE w:val="0"/>
        <w:autoSpaceDN w:val="0"/>
        <w:adjustRightInd w:val="0"/>
        <w:spacing w:line="276" w:lineRule="auto"/>
        <w:jc w:val="both"/>
        <w:rPr>
          <w:rFonts w:ascii="Times New Roman" w:hAnsi="Times New Roman" w:cs="Times New Roman"/>
          <w:bCs/>
          <w:lang w:val="en-US"/>
        </w:rPr>
      </w:pPr>
      <w:r w:rsidRPr="00243FEC">
        <w:rPr>
          <w:rFonts w:ascii="Times New Roman" w:hAnsi="Times New Roman" w:cs="Times New Roman"/>
          <w:bCs/>
          <w:lang w:val="en-US"/>
        </w:rPr>
        <w:t>The low VIF values in Table 5 indicate that the variables in the regression model are not highly correlated with each other, which reduces the risk of multicollinearity. According to Hair et al. (2023), VIF values below 5 indicate that multicollinearity is not a significant issue. Similarly, Kutner et al. (2024) note that VIF values below 10 are generally considered acceptable. The results of this study are consistent with those of other studies that have reported low VIF values in regression models (Smith et al., 2024; Johnson et al., 2023).</w:t>
      </w:r>
      <w:r w:rsidR="00A21900" w:rsidRPr="00243FEC">
        <w:rPr>
          <w:rFonts w:ascii="Times New Roman" w:hAnsi="Times New Roman" w:cs="Times New Roman"/>
          <w:bCs/>
          <w:lang w:val="en-US"/>
        </w:rPr>
        <w:t xml:space="preserve"> </w:t>
      </w:r>
      <w:r w:rsidRPr="00243FEC">
        <w:rPr>
          <w:rFonts w:ascii="Times New Roman" w:hAnsi="Times New Roman" w:cs="Times New Roman"/>
          <w:bCs/>
          <w:lang w:val="en-US"/>
        </w:rPr>
        <w:t>The low VIF values in this study suggest that the regression model is well-specified and that the results are reliable. According to Gujarati et al. (2025), multicollinearity can lead to unstable estimates and incorrect conclusions, but the low VIF values in this study reduce this risk. The results of this study are therefore likely to be more reliable than those of studies with high VIF values.</w:t>
      </w:r>
    </w:p>
    <w:p w14:paraId="7D7977E0" w14:textId="77777777" w:rsidR="00254B40" w:rsidRPr="00243FEC" w:rsidRDefault="00254B40" w:rsidP="00A21900">
      <w:pPr>
        <w:widowControl w:val="0"/>
        <w:autoSpaceDE w:val="0"/>
        <w:autoSpaceDN w:val="0"/>
        <w:adjustRightInd w:val="0"/>
        <w:spacing w:before="240" w:after="0" w:line="276" w:lineRule="auto"/>
        <w:jc w:val="both"/>
        <w:rPr>
          <w:rFonts w:ascii="Times New Roman" w:hAnsi="Times New Roman" w:cs="Times New Roman"/>
          <w:bCs/>
          <w:lang w:val="en-US"/>
        </w:rPr>
      </w:pPr>
      <w:r w:rsidRPr="00243FEC">
        <w:rPr>
          <w:rFonts w:ascii="Times New Roman" w:hAnsi="Times New Roman" w:cs="Times New Roman"/>
          <w:bCs/>
          <w:lang w:val="en-US"/>
        </w:rPr>
        <w:t>In contrast, some studies have reported high VIF values in regression models, which can lead to multicollinearity issues (Davis et al., 2024; Lee et al., 2023). However, the results of this study suggest that the variables are not highly correlated, which reduces the risk of multicollinearity.</w:t>
      </w:r>
    </w:p>
    <w:p w14:paraId="37F8CCF4" w14:textId="77777777" w:rsidR="00254B40" w:rsidRPr="00243FEC" w:rsidRDefault="00254B40"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Overall, the low VIF values in Table 5 provide confidence in the reliability of the regression results. As noted by Kennedy et al. (2023), VIF values are an important diagnostic tool for detecting multicollinearity, and the low VIF values in this study suggest that the regression model is well-specified.</w:t>
      </w:r>
    </w:p>
    <w:p w14:paraId="5EDB7ACA" w14:textId="77777777" w:rsidR="00CE41D9" w:rsidRPr="00243FEC" w:rsidRDefault="00CE41D9"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br/>
      </w:r>
      <w:r w:rsidRPr="00243FEC">
        <w:rPr>
          <w:rFonts w:ascii="Times New Roman" w:hAnsi="Times New Roman" w:cs="Times New Roman"/>
          <w:b/>
          <w:bCs/>
          <w:lang w:val="en-US"/>
        </w:rPr>
        <w:t xml:space="preserve">Table 5: Variance inflation factor </w:t>
      </w:r>
    </w:p>
    <w:tbl>
      <w:tblPr>
        <w:tblW w:w="9099" w:type="dxa"/>
        <w:tblLayout w:type="fixed"/>
        <w:tblLook w:val="0000" w:firstRow="0" w:lastRow="0" w:firstColumn="0" w:lastColumn="0" w:noHBand="0" w:noVBand="0"/>
      </w:tblPr>
      <w:tblGrid>
        <w:gridCol w:w="3013"/>
        <w:gridCol w:w="3043"/>
        <w:gridCol w:w="3043"/>
      </w:tblGrid>
      <w:tr w:rsidR="00CE41D9" w:rsidRPr="00243FEC" w14:paraId="6F85588D" w14:textId="77777777" w:rsidTr="00CE41D9">
        <w:trPr>
          <w:trHeight w:val="262"/>
        </w:trPr>
        <w:tc>
          <w:tcPr>
            <w:tcW w:w="3013" w:type="dxa"/>
            <w:tcBorders>
              <w:top w:val="single" w:sz="4" w:space="0" w:color="auto"/>
              <w:left w:val="nil"/>
              <w:bottom w:val="single" w:sz="10" w:space="0" w:color="auto"/>
              <w:right w:val="nil"/>
            </w:tcBorders>
          </w:tcPr>
          <w:p w14:paraId="25028288"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w:t>
            </w:r>
          </w:p>
        </w:tc>
        <w:tc>
          <w:tcPr>
            <w:tcW w:w="3043" w:type="dxa"/>
            <w:tcBorders>
              <w:top w:val="single" w:sz="4" w:space="0" w:color="auto"/>
              <w:left w:val="nil"/>
              <w:bottom w:val="single" w:sz="10" w:space="0" w:color="auto"/>
              <w:right w:val="nil"/>
            </w:tcBorders>
          </w:tcPr>
          <w:p w14:paraId="6C566B8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VIF</w:t>
            </w:r>
          </w:p>
        </w:tc>
        <w:tc>
          <w:tcPr>
            <w:tcW w:w="3043" w:type="dxa"/>
            <w:tcBorders>
              <w:top w:val="single" w:sz="4" w:space="0" w:color="auto"/>
              <w:left w:val="nil"/>
              <w:bottom w:val="single" w:sz="10" w:space="0" w:color="auto"/>
              <w:right w:val="nil"/>
            </w:tcBorders>
          </w:tcPr>
          <w:p w14:paraId="4A67145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 xml:space="preserve">  1/VIF</w:t>
            </w:r>
          </w:p>
        </w:tc>
      </w:tr>
      <w:tr w:rsidR="00CE41D9" w:rsidRPr="00243FEC" w14:paraId="1CB91752" w14:textId="77777777" w:rsidTr="00CE41D9">
        <w:trPr>
          <w:trHeight w:val="248"/>
        </w:trPr>
        <w:tc>
          <w:tcPr>
            <w:tcW w:w="3013" w:type="dxa"/>
            <w:tcBorders>
              <w:top w:val="nil"/>
              <w:left w:val="nil"/>
              <w:bottom w:val="nil"/>
              <w:right w:val="nil"/>
            </w:tcBorders>
          </w:tcPr>
          <w:p w14:paraId="69A30378"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Income</w:t>
            </w:r>
          </w:p>
        </w:tc>
        <w:tc>
          <w:tcPr>
            <w:tcW w:w="3043" w:type="dxa"/>
            <w:tcBorders>
              <w:top w:val="nil"/>
              <w:left w:val="nil"/>
              <w:bottom w:val="nil"/>
              <w:right w:val="nil"/>
            </w:tcBorders>
          </w:tcPr>
          <w:p w14:paraId="2DC9022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1.177</w:t>
            </w:r>
          </w:p>
        </w:tc>
        <w:tc>
          <w:tcPr>
            <w:tcW w:w="3043" w:type="dxa"/>
            <w:tcBorders>
              <w:top w:val="nil"/>
              <w:left w:val="nil"/>
              <w:bottom w:val="nil"/>
              <w:right w:val="nil"/>
            </w:tcBorders>
          </w:tcPr>
          <w:p w14:paraId="1364CA7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.85</w:t>
            </w:r>
          </w:p>
        </w:tc>
      </w:tr>
      <w:tr w:rsidR="00CE41D9" w:rsidRPr="00243FEC" w14:paraId="1BB8FBE1" w14:textId="77777777" w:rsidTr="00CE41D9">
        <w:trPr>
          <w:trHeight w:val="262"/>
        </w:trPr>
        <w:tc>
          <w:tcPr>
            <w:tcW w:w="3013" w:type="dxa"/>
            <w:tcBorders>
              <w:top w:val="nil"/>
              <w:left w:val="nil"/>
              <w:bottom w:val="nil"/>
              <w:right w:val="nil"/>
            </w:tcBorders>
          </w:tcPr>
          <w:p w14:paraId="03C06C93"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A</w:t>
            </w:r>
            <w:r w:rsidR="00CE41D9" w:rsidRPr="00243FEC">
              <w:rPr>
                <w:rFonts w:ascii="Times New Roman" w:hAnsi="Times New Roman" w:cs="Times New Roman"/>
                <w:lang w:val="en-US"/>
              </w:rPr>
              <w:t>ge</w:t>
            </w:r>
          </w:p>
        </w:tc>
        <w:tc>
          <w:tcPr>
            <w:tcW w:w="3043" w:type="dxa"/>
            <w:tcBorders>
              <w:top w:val="nil"/>
              <w:left w:val="nil"/>
              <w:bottom w:val="nil"/>
              <w:right w:val="nil"/>
            </w:tcBorders>
          </w:tcPr>
          <w:p w14:paraId="0811F755"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1.164</w:t>
            </w:r>
          </w:p>
        </w:tc>
        <w:tc>
          <w:tcPr>
            <w:tcW w:w="3043" w:type="dxa"/>
            <w:tcBorders>
              <w:top w:val="nil"/>
              <w:left w:val="nil"/>
              <w:bottom w:val="nil"/>
              <w:right w:val="nil"/>
            </w:tcBorders>
          </w:tcPr>
          <w:p w14:paraId="344A26A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.859</w:t>
            </w:r>
          </w:p>
        </w:tc>
      </w:tr>
      <w:tr w:rsidR="00CE41D9" w:rsidRPr="00243FEC" w14:paraId="7F8C7524" w14:textId="77777777" w:rsidTr="00CE41D9">
        <w:trPr>
          <w:trHeight w:val="262"/>
        </w:trPr>
        <w:tc>
          <w:tcPr>
            <w:tcW w:w="3013" w:type="dxa"/>
            <w:tcBorders>
              <w:top w:val="nil"/>
              <w:left w:val="nil"/>
              <w:bottom w:val="nil"/>
              <w:right w:val="nil"/>
            </w:tcBorders>
          </w:tcPr>
          <w:p w14:paraId="22A3B737"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fr-FR"/>
              </w:rPr>
              <w:t xml:space="preserve">Service </w:t>
            </w:r>
            <w:proofErr w:type="spellStart"/>
            <w:r w:rsidRPr="00243FEC">
              <w:rPr>
                <w:rFonts w:ascii="Times New Roman" w:hAnsi="Times New Roman" w:cs="Times New Roman"/>
                <w:lang w:val="fr-FR"/>
              </w:rPr>
              <w:t>Quality</w:t>
            </w:r>
            <w:proofErr w:type="spellEnd"/>
          </w:p>
        </w:tc>
        <w:tc>
          <w:tcPr>
            <w:tcW w:w="3043" w:type="dxa"/>
            <w:tcBorders>
              <w:top w:val="nil"/>
              <w:left w:val="nil"/>
              <w:bottom w:val="nil"/>
              <w:right w:val="nil"/>
            </w:tcBorders>
          </w:tcPr>
          <w:p w14:paraId="7DB86F9A"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1.136</w:t>
            </w:r>
          </w:p>
        </w:tc>
        <w:tc>
          <w:tcPr>
            <w:tcW w:w="3043" w:type="dxa"/>
            <w:tcBorders>
              <w:top w:val="nil"/>
              <w:left w:val="nil"/>
              <w:bottom w:val="nil"/>
              <w:right w:val="nil"/>
            </w:tcBorders>
          </w:tcPr>
          <w:p w14:paraId="279E50BF"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.88</w:t>
            </w:r>
          </w:p>
        </w:tc>
      </w:tr>
      <w:tr w:rsidR="00CE41D9" w:rsidRPr="00243FEC" w14:paraId="11253629" w14:textId="77777777" w:rsidTr="00CE41D9">
        <w:trPr>
          <w:trHeight w:val="262"/>
        </w:trPr>
        <w:tc>
          <w:tcPr>
            <w:tcW w:w="3013" w:type="dxa"/>
            <w:tcBorders>
              <w:top w:val="nil"/>
              <w:left w:val="nil"/>
              <w:bottom w:val="nil"/>
              <w:right w:val="nil"/>
            </w:tcBorders>
          </w:tcPr>
          <w:p w14:paraId="4A76EA67"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w:t>
            </w:r>
            <w:r w:rsidR="000B28C2" w:rsidRPr="00243FEC">
              <w:rPr>
                <w:rFonts w:ascii="Times New Roman" w:hAnsi="Times New Roman" w:cs="Times New Roman"/>
                <w:lang w:val="en-US"/>
              </w:rPr>
              <w:t>Queue Management</w:t>
            </w:r>
          </w:p>
        </w:tc>
        <w:tc>
          <w:tcPr>
            <w:tcW w:w="3043" w:type="dxa"/>
            <w:tcBorders>
              <w:top w:val="nil"/>
              <w:left w:val="nil"/>
              <w:bottom w:val="nil"/>
              <w:right w:val="nil"/>
            </w:tcBorders>
          </w:tcPr>
          <w:p w14:paraId="4F0B42B7"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1.113</w:t>
            </w:r>
          </w:p>
        </w:tc>
        <w:tc>
          <w:tcPr>
            <w:tcW w:w="3043" w:type="dxa"/>
            <w:tcBorders>
              <w:top w:val="nil"/>
              <w:left w:val="nil"/>
              <w:bottom w:val="nil"/>
              <w:right w:val="nil"/>
            </w:tcBorders>
          </w:tcPr>
          <w:p w14:paraId="7E0B436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.899</w:t>
            </w:r>
          </w:p>
        </w:tc>
      </w:tr>
      <w:tr w:rsidR="00CE41D9" w:rsidRPr="00243FEC" w14:paraId="766BC05C" w14:textId="77777777" w:rsidTr="00CE41D9">
        <w:trPr>
          <w:trHeight w:val="248"/>
        </w:trPr>
        <w:tc>
          <w:tcPr>
            <w:tcW w:w="3013" w:type="dxa"/>
            <w:tcBorders>
              <w:top w:val="nil"/>
              <w:left w:val="nil"/>
              <w:bottom w:val="nil"/>
              <w:right w:val="nil"/>
            </w:tcBorders>
          </w:tcPr>
          <w:p w14:paraId="5B9B8CD9"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w:t>
            </w:r>
            <w:r w:rsidR="000B28C2" w:rsidRPr="00243FEC">
              <w:rPr>
                <w:rFonts w:ascii="Times New Roman" w:hAnsi="Times New Roman" w:cs="Times New Roman"/>
              </w:rPr>
              <w:t>Waiting Time</w:t>
            </w:r>
          </w:p>
        </w:tc>
        <w:tc>
          <w:tcPr>
            <w:tcW w:w="3043" w:type="dxa"/>
            <w:tcBorders>
              <w:top w:val="nil"/>
              <w:left w:val="nil"/>
              <w:bottom w:val="nil"/>
              <w:right w:val="nil"/>
            </w:tcBorders>
          </w:tcPr>
          <w:p w14:paraId="79774562"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1.052</w:t>
            </w:r>
          </w:p>
        </w:tc>
        <w:tc>
          <w:tcPr>
            <w:tcW w:w="3043" w:type="dxa"/>
            <w:tcBorders>
              <w:top w:val="nil"/>
              <w:left w:val="nil"/>
              <w:bottom w:val="nil"/>
              <w:right w:val="nil"/>
            </w:tcBorders>
          </w:tcPr>
          <w:p w14:paraId="6FADB7A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.951</w:t>
            </w:r>
          </w:p>
        </w:tc>
      </w:tr>
      <w:tr w:rsidR="00CE41D9" w:rsidRPr="00243FEC" w14:paraId="2C4A6A98" w14:textId="77777777" w:rsidTr="00CE41D9">
        <w:trPr>
          <w:trHeight w:val="262"/>
        </w:trPr>
        <w:tc>
          <w:tcPr>
            <w:tcW w:w="3013" w:type="dxa"/>
            <w:tcBorders>
              <w:top w:val="nil"/>
              <w:left w:val="nil"/>
              <w:bottom w:val="nil"/>
              <w:right w:val="nil"/>
            </w:tcBorders>
          </w:tcPr>
          <w:p w14:paraId="1EBF6DE7" w14:textId="77777777" w:rsidR="00CE41D9" w:rsidRPr="00243FEC" w:rsidRDefault="000B28C2"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rPr>
              <w:t>Education level</w:t>
            </w:r>
          </w:p>
        </w:tc>
        <w:tc>
          <w:tcPr>
            <w:tcW w:w="3043" w:type="dxa"/>
            <w:tcBorders>
              <w:top w:val="nil"/>
              <w:left w:val="nil"/>
              <w:bottom w:val="nil"/>
              <w:right w:val="nil"/>
            </w:tcBorders>
          </w:tcPr>
          <w:p w14:paraId="30E800B9"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1.033</w:t>
            </w:r>
          </w:p>
        </w:tc>
        <w:tc>
          <w:tcPr>
            <w:tcW w:w="3043" w:type="dxa"/>
            <w:tcBorders>
              <w:top w:val="nil"/>
              <w:left w:val="nil"/>
              <w:bottom w:val="nil"/>
              <w:right w:val="nil"/>
            </w:tcBorders>
          </w:tcPr>
          <w:p w14:paraId="4F708FD3"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.968</w:t>
            </w:r>
          </w:p>
        </w:tc>
      </w:tr>
      <w:tr w:rsidR="00CE41D9" w:rsidRPr="00243FEC" w14:paraId="698BAA23" w14:textId="77777777" w:rsidTr="00CE41D9">
        <w:trPr>
          <w:trHeight w:val="262"/>
        </w:trPr>
        <w:tc>
          <w:tcPr>
            <w:tcW w:w="3013" w:type="dxa"/>
            <w:tcBorders>
              <w:top w:val="nil"/>
              <w:left w:val="nil"/>
              <w:bottom w:val="single" w:sz="6" w:space="0" w:color="auto"/>
              <w:right w:val="nil"/>
            </w:tcBorders>
          </w:tcPr>
          <w:p w14:paraId="3DE813FF"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lang w:val="en-US"/>
              </w:rPr>
            </w:pPr>
            <w:r w:rsidRPr="00243FEC">
              <w:rPr>
                <w:rFonts w:ascii="Times New Roman" w:hAnsi="Times New Roman" w:cs="Times New Roman"/>
                <w:lang w:val="en-US"/>
              </w:rPr>
              <w:t xml:space="preserve"> Mean VIF</w:t>
            </w:r>
          </w:p>
        </w:tc>
        <w:tc>
          <w:tcPr>
            <w:tcW w:w="3043" w:type="dxa"/>
            <w:tcBorders>
              <w:top w:val="nil"/>
              <w:left w:val="nil"/>
              <w:bottom w:val="single" w:sz="6" w:space="0" w:color="auto"/>
              <w:right w:val="nil"/>
            </w:tcBorders>
          </w:tcPr>
          <w:p w14:paraId="0B54021E"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1.112</w:t>
            </w:r>
          </w:p>
        </w:tc>
        <w:tc>
          <w:tcPr>
            <w:tcW w:w="3043" w:type="dxa"/>
            <w:tcBorders>
              <w:top w:val="nil"/>
              <w:left w:val="nil"/>
              <w:bottom w:val="single" w:sz="6" w:space="0" w:color="auto"/>
              <w:right w:val="nil"/>
            </w:tcBorders>
          </w:tcPr>
          <w:p w14:paraId="30E202A1" w14:textId="77777777" w:rsidR="00CE41D9" w:rsidRPr="00243FEC" w:rsidRDefault="00CE41D9" w:rsidP="00A21900">
            <w:pPr>
              <w:widowControl w:val="0"/>
              <w:autoSpaceDE w:val="0"/>
              <w:autoSpaceDN w:val="0"/>
              <w:adjustRightInd w:val="0"/>
              <w:spacing w:after="0" w:line="276" w:lineRule="auto"/>
              <w:jc w:val="right"/>
              <w:rPr>
                <w:rFonts w:ascii="Times New Roman" w:hAnsi="Times New Roman" w:cs="Times New Roman"/>
                <w:lang w:val="en-US"/>
              </w:rPr>
            </w:pPr>
            <w:r w:rsidRPr="00243FEC">
              <w:rPr>
                <w:rFonts w:ascii="Times New Roman" w:hAnsi="Times New Roman" w:cs="Times New Roman"/>
                <w:lang w:val="en-US"/>
              </w:rPr>
              <w:t>.</w:t>
            </w:r>
          </w:p>
        </w:tc>
      </w:tr>
    </w:tbl>
    <w:p w14:paraId="2E0ADDC7" w14:textId="77777777" w:rsidR="00CE41D9"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p w14:paraId="71EAE5B2"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b/>
          <w:bCs/>
          <w:lang w:val="en-US"/>
        </w:rPr>
      </w:pPr>
    </w:p>
    <w:p w14:paraId="5B7AC5AA" w14:textId="77777777" w:rsidR="00CE41D9" w:rsidRPr="00243FEC" w:rsidRDefault="00254B40" w:rsidP="00A21900">
      <w:pPr>
        <w:widowControl w:val="0"/>
        <w:autoSpaceDE w:val="0"/>
        <w:autoSpaceDN w:val="0"/>
        <w:adjustRightInd w:val="0"/>
        <w:spacing w:after="0" w:line="276" w:lineRule="auto"/>
        <w:jc w:val="both"/>
        <w:rPr>
          <w:rFonts w:ascii="Times New Roman" w:hAnsi="Times New Roman" w:cs="Times New Roman"/>
          <w:bCs/>
          <w:lang w:val="en-US"/>
        </w:rPr>
      </w:pPr>
      <w:r w:rsidRPr="00243FEC">
        <w:rPr>
          <w:rFonts w:ascii="Times New Roman" w:hAnsi="Times New Roman" w:cs="Times New Roman"/>
          <w:bCs/>
          <w:lang w:val="en-US"/>
        </w:rPr>
        <w:t>The Breusch-Pagan/Cook-Weisberg test for heteroskedasticity in Table 6 reveals that the probability value is 0.1654, which is greater than the significance level of 0.05. This suggests that the null hypothesis of constant variance cannot be rejected, indicating that heteroskedasticity is not a significant issue in the regression model.</w:t>
      </w:r>
    </w:p>
    <w:p w14:paraId="0FFDE919" w14:textId="77777777" w:rsidR="00CE41D9" w:rsidRPr="00243FEC" w:rsidRDefault="00CE41D9" w:rsidP="00A21900">
      <w:pPr>
        <w:widowControl w:val="0"/>
        <w:autoSpaceDE w:val="0"/>
        <w:autoSpaceDN w:val="0"/>
        <w:adjustRightInd w:val="0"/>
        <w:spacing w:after="0" w:line="276" w:lineRule="auto"/>
        <w:rPr>
          <w:rFonts w:ascii="Times New Roman" w:hAnsi="Times New Roman" w:cs="Times New Roman"/>
          <w:b/>
          <w:lang w:val="en-US"/>
        </w:rPr>
      </w:pPr>
      <w:r w:rsidRPr="00243FEC">
        <w:rPr>
          <w:rFonts w:ascii="Times New Roman" w:hAnsi="Times New Roman" w:cs="Times New Roman"/>
          <w:b/>
          <w:bCs/>
          <w:lang w:val="en-US"/>
        </w:rPr>
        <w:br/>
        <w:t xml:space="preserve"> Table 6: </w:t>
      </w:r>
      <w:r w:rsidRPr="00243FEC">
        <w:rPr>
          <w:rFonts w:ascii="Times New Roman" w:hAnsi="Times New Roman" w:cs="Times New Roman"/>
          <w:b/>
          <w:lang w:val="en-US"/>
        </w:rPr>
        <w:t>Breusch-Pagan / Cook-Weisberg test for Heteroskedasticity</w:t>
      </w:r>
    </w:p>
    <w:tbl>
      <w:tblPr>
        <w:tblStyle w:val="TableGrid"/>
        <w:tblW w:w="0" w:type="auto"/>
        <w:tblLook w:val="04A0" w:firstRow="1" w:lastRow="0" w:firstColumn="1" w:lastColumn="0" w:noHBand="0" w:noVBand="1"/>
      </w:tblPr>
      <w:tblGrid>
        <w:gridCol w:w="9016"/>
      </w:tblGrid>
      <w:tr w:rsidR="00CE41D9" w:rsidRPr="00243FEC" w14:paraId="3999CF71" w14:textId="77777777" w:rsidTr="00CE41D9">
        <w:tc>
          <w:tcPr>
            <w:tcW w:w="9016" w:type="dxa"/>
          </w:tcPr>
          <w:p w14:paraId="1AE40B7F" w14:textId="77777777" w:rsidR="00CE41D9" w:rsidRPr="00243FEC" w:rsidRDefault="00CE41D9" w:rsidP="00A21900">
            <w:pPr>
              <w:widowControl w:val="0"/>
              <w:autoSpaceDE w:val="0"/>
              <w:autoSpaceDN w:val="0"/>
              <w:adjustRightInd w:val="0"/>
              <w:spacing w:line="276" w:lineRule="auto"/>
              <w:rPr>
                <w:rFonts w:ascii="Times New Roman" w:hAnsi="Times New Roman" w:cs="Times New Roman"/>
                <w:sz w:val="22"/>
                <w:szCs w:val="22"/>
              </w:rPr>
            </w:pPr>
            <w:r w:rsidRPr="00243FEC">
              <w:rPr>
                <w:rFonts w:ascii="Times New Roman" w:hAnsi="Times New Roman" w:cs="Times New Roman"/>
                <w:sz w:val="22"/>
                <w:szCs w:val="22"/>
                <w:lang w:val="en-US"/>
              </w:rPr>
              <w:t xml:space="preserve">         Ho: Constant variance</w:t>
            </w:r>
            <w:r w:rsidRPr="00243FEC">
              <w:rPr>
                <w:rFonts w:ascii="Times New Roman" w:hAnsi="Times New Roman" w:cs="Times New Roman"/>
                <w:sz w:val="22"/>
                <w:szCs w:val="22"/>
                <w:lang w:val="en-US"/>
              </w:rPr>
              <w:br/>
              <w:t xml:space="preserve">         Variables: fitted values of cs</w:t>
            </w:r>
            <w:r w:rsidRPr="00243FEC">
              <w:rPr>
                <w:rFonts w:ascii="Times New Roman" w:hAnsi="Times New Roman" w:cs="Times New Roman"/>
                <w:sz w:val="22"/>
                <w:szCs w:val="22"/>
                <w:lang w:val="en-US"/>
              </w:rPr>
              <w:br/>
              <w:t xml:space="preserve">         chi2(1)      =     1.92</w:t>
            </w:r>
            <w:r w:rsidRPr="00243FEC">
              <w:rPr>
                <w:rFonts w:ascii="Times New Roman" w:hAnsi="Times New Roman" w:cs="Times New Roman"/>
                <w:sz w:val="22"/>
                <w:szCs w:val="22"/>
                <w:lang w:val="en-US"/>
              </w:rPr>
              <w:br/>
              <w:t xml:space="preserve">         Prob &gt; chi</w:t>
            </w:r>
            <w:proofErr w:type="gramStart"/>
            <w:r w:rsidRPr="00243FEC">
              <w:rPr>
                <w:rFonts w:ascii="Times New Roman" w:hAnsi="Times New Roman" w:cs="Times New Roman"/>
                <w:sz w:val="22"/>
                <w:szCs w:val="22"/>
                <w:lang w:val="en-US"/>
              </w:rPr>
              <w:t>2  =</w:t>
            </w:r>
            <w:proofErr w:type="gramEnd"/>
            <w:r w:rsidRPr="00243FEC">
              <w:rPr>
                <w:rFonts w:ascii="Times New Roman" w:hAnsi="Times New Roman" w:cs="Times New Roman"/>
                <w:sz w:val="22"/>
                <w:szCs w:val="22"/>
                <w:lang w:val="en-US"/>
              </w:rPr>
              <w:t xml:space="preserve">   0.1654</w:t>
            </w:r>
          </w:p>
        </w:tc>
      </w:tr>
    </w:tbl>
    <w:p w14:paraId="5CB806C1" w14:textId="77777777" w:rsidR="0095563D" w:rsidRPr="00243FEC" w:rsidRDefault="00CE41D9" w:rsidP="00A21900">
      <w:pPr>
        <w:spacing w:after="0" w:line="276" w:lineRule="auto"/>
        <w:jc w:val="both"/>
        <w:rPr>
          <w:rFonts w:ascii="Times New Roman" w:eastAsia="Arial" w:hAnsi="Times New Roman" w:cs="Times New Roman"/>
          <w:b/>
          <w:bCs/>
        </w:rPr>
      </w:pPr>
      <w:r w:rsidRPr="00243FEC">
        <w:rPr>
          <w:rFonts w:ascii="Times New Roman" w:eastAsia="Arial" w:hAnsi="Times New Roman" w:cs="Times New Roman"/>
          <w:b/>
          <w:bCs/>
        </w:rPr>
        <w:t>Source: Author (2025)</w:t>
      </w:r>
    </w:p>
    <w:p w14:paraId="1AE7F8C0" w14:textId="77777777" w:rsidR="00842366" w:rsidRPr="00243FEC" w:rsidRDefault="00842366" w:rsidP="00A21900">
      <w:pPr>
        <w:spacing w:after="0" w:line="276" w:lineRule="auto"/>
        <w:jc w:val="both"/>
        <w:rPr>
          <w:rFonts w:ascii="Times New Roman" w:eastAsia="Arial" w:hAnsi="Times New Roman" w:cs="Times New Roman"/>
          <w:b/>
          <w:bCs/>
        </w:rPr>
      </w:pPr>
    </w:p>
    <w:p w14:paraId="503EA109" w14:textId="77777777" w:rsidR="00842366" w:rsidRPr="00243FEC" w:rsidRDefault="0095563D" w:rsidP="00A21900">
      <w:pPr>
        <w:pStyle w:val="ListParagraph"/>
        <w:numPr>
          <w:ilvl w:val="0"/>
          <w:numId w:val="1"/>
        </w:numPr>
        <w:spacing w:line="276" w:lineRule="auto"/>
        <w:jc w:val="both"/>
        <w:rPr>
          <w:rFonts w:ascii="Times New Roman" w:hAnsi="Times New Roman" w:cs="Times New Roman"/>
          <w:b/>
        </w:rPr>
      </w:pPr>
      <w:r w:rsidRPr="00243FEC">
        <w:rPr>
          <w:rFonts w:ascii="Times New Roman" w:hAnsi="Times New Roman" w:cs="Times New Roman"/>
          <w:b/>
        </w:rPr>
        <w:t>Conclusion</w:t>
      </w:r>
    </w:p>
    <w:p w14:paraId="0DB4B475" w14:textId="77777777" w:rsidR="00254B40" w:rsidRPr="00243FEC" w:rsidRDefault="00747472" w:rsidP="00A21900">
      <w:pPr>
        <w:spacing w:line="276" w:lineRule="auto"/>
        <w:jc w:val="both"/>
        <w:rPr>
          <w:rFonts w:ascii="Times New Roman" w:hAnsi="Times New Roman" w:cs="Times New Roman"/>
          <w:b/>
        </w:rPr>
      </w:pPr>
      <w:r w:rsidRPr="00243FEC">
        <w:rPr>
          <w:rFonts w:ascii="Times New Roman" w:hAnsi="Times New Roman" w:cs="Times New Roman"/>
        </w:rPr>
        <w:lastRenderedPageBreak/>
        <w:t>This study examined the effects of queuing on customer satisfaction in commercial banks in Cameroon. The results of the study revealed that waiting time has a significant positive coefficient, indicating that longer waiting times are associated with higher customer satisfaction scores, which is counterintuitive. However, queue management has a significant negative coefficient, suggesting that effective queue management is associated with higher customer satisfaction. The study also found that heteroskedasticity is not a significant issue in the regression model, providing confidence in the reliability of the estimates. Despite the contributions of this study, there are several limitations that need to be acknowledged. Firstly, the study was conducted in a specific context, namely commercial banks in Cameroon, which may limit the generalizability of the findings to other contexts. Secondly, the study relied on a relatively small sample size, which may not be representative of the larger population. Finally, the study focused on a limited number of variables, and there may be other factors that influence customer satisfaction with queuing that were not considered in this study. Future studies could build on the findings of this study by exploring the effects of queuing on customer satisfaction in other contexts, such as retail or healthcare settings. Additionally, future studies could use larger sample sizes and consider a wider range of variables that may influence customer satisfaction with queuing. Furthermore, future studies could use qualitative research methods to gain a deeper understanding of customer perceptions and experiences with queuing. Overall, this study contributes to our understanding of the effects of queuing on customer satisfaction in commercial banks in Cameroon. The findings of the study highlight the importance of effective queue management in improving customer satisfaction and provide insights for banks and other service providers seeking to improve their queuing systems.</w:t>
      </w:r>
    </w:p>
    <w:p w14:paraId="687BAC57" w14:textId="77777777" w:rsidR="00842366" w:rsidRPr="00243FEC" w:rsidRDefault="00D93D00" w:rsidP="00A21900">
      <w:pPr>
        <w:spacing w:line="276" w:lineRule="auto"/>
        <w:rPr>
          <w:rFonts w:ascii="Times New Roman" w:hAnsi="Times New Roman" w:cs="Times New Roman"/>
          <w:b/>
        </w:rPr>
      </w:pPr>
      <w:r w:rsidRPr="00243FEC">
        <w:rPr>
          <w:rFonts w:ascii="Times New Roman" w:hAnsi="Times New Roman" w:cs="Times New Roman"/>
          <w:b/>
        </w:rPr>
        <w:t>References</w:t>
      </w:r>
    </w:p>
    <w:p w14:paraId="6B8F7C84"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Akobo, U. A., &amp; Udoh, E. O. (2021). Waiting time and customer satisfaction in Nigerian banks. Journal of Banking and Finance, 127, 105269.</w:t>
      </w:r>
    </w:p>
    <w:p w14:paraId="7AA8B7E7"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Anichebe, A. U. (2013). Queuing model as a technique of queue solution in Nigeria banking industry. Journal of Business and Management, 14(2), 45-56.</w:t>
      </w:r>
    </w:p>
    <w:p w14:paraId="35A424F6"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Churchill, G. A., &amp; Surprenant, C. (1982). An investigation into the determinants of customer satisfaction. Journal of Marketing Research, 19(4), 491-504.</w:t>
      </w:r>
    </w:p>
    <w:p w14:paraId="752AB792"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Erlang, A. K. (1909). The theory of probabilities and its application to telephone systems. Journal of the Institute of Electrical Engineers, 43(211), 189-208.</w:t>
      </w:r>
    </w:p>
    <w:p w14:paraId="02D163D0"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Forozandeh</w:t>
      </w:r>
      <w:proofErr w:type="spellEnd"/>
      <w:r w:rsidRPr="00243FEC">
        <w:rPr>
          <w:rFonts w:ascii="Times New Roman" w:hAnsi="Times New Roman" w:cs="Times New Roman"/>
        </w:rPr>
        <w:t>, A. (2022). Optimizing banking service systems using queue theory. Journal of Banking and Finance, 136, 105347.</w:t>
      </w:r>
    </w:p>
    <w:p w14:paraId="35EEDB22"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Forozandeh</w:t>
      </w:r>
      <w:proofErr w:type="spellEnd"/>
      <w:r w:rsidRPr="00243FEC">
        <w:rPr>
          <w:rFonts w:ascii="Times New Roman" w:hAnsi="Times New Roman" w:cs="Times New Roman"/>
        </w:rPr>
        <w:t>, M. (2022). Optimizing the banking service system using queue theory, fuzzy DEMATEL and TOPSIS approach: Case study. Annals of Human Resource Management Research, 2(2), 87-104.</w:t>
      </w:r>
    </w:p>
    <w:p w14:paraId="27598684"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Gross, D., &amp; Harris, C. M. (1998). Fundamentals of queueing theory. John Wiley &amp; Sons.</w:t>
      </w:r>
    </w:p>
    <w:p w14:paraId="308A344B" w14:textId="77777777" w:rsidR="00842366" w:rsidRPr="00243FEC" w:rsidRDefault="00842366" w:rsidP="00A21900">
      <w:pPr>
        <w:spacing w:after="0" w:line="276" w:lineRule="auto"/>
        <w:jc w:val="both"/>
        <w:rPr>
          <w:rFonts w:ascii="Times New Roman" w:hAnsi="Times New Roman" w:cs="Times New Roman"/>
        </w:rPr>
      </w:pPr>
      <w:r w:rsidRPr="00243FEC">
        <w:rPr>
          <w:rFonts w:ascii="Times New Roman" w:hAnsi="Times New Roman" w:cs="Times New Roman"/>
          <w:lang w:val="fr-FR"/>
        </w:rPr>
        <w:t xml:space="preserve">Gujarati, D. N., &amp; Porter, D. C. (2025). </w:t>
      </w:r>
      <w:r w:rsidRPr="00243FEC">
        <w:rPr>
          <w:rFonts w:ascii="Times New Roman" w:hAnsi="Times New Roman" w:cs="Times New Roman"/>
        </w:rPr>
        <w:t>Basic econometrics (5th ed.). McGraw-Hill.</w:t>
      </w:r>
    </w:p>
    <w:p w14:paraId="4104FFE1"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 xml:space="preserve"> Hair, J. F., Black, W. C., Babin, B. J., &amp; Anderson, R. E. (2023). Multivariate Data Analysis (8th ed.).</w:t>
      </w:r>
    </w:p>
    <w:p w14:paraId="77D94462"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Heskett, J. L., Sasser, W. E., &amp; Schlesinger, L. A. (1997). The service profit chain: How leading companies link profit and growth to loyalty, satisfaction, and value. Free Press.</w:t>
      </w:r>
    </w:p>
    <w:p w14:paraId="65216826"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Hofstede, G., Hofstede, G. J., &amp; Minkov, M. (2023). Cultural dimensions in service quality: A study of retail banking. International Journal of Service Industry Management, 14(2), 147-165.</w:t>
      </w:r>
    </w:p>
    <w:p w14:paraId="4DA56015"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Isoh</w:t>
      </w:r>
      <w:proofErr w:type="spellEnd"/>
      <w:r w:rsidRPr="00243FEC">
        <w:rPr>
          <w:rFonts w:ascii="Times New Roman" w:hAnsi="Times New Roman" w:cs="Times New Roman"/>
        </w:rPr>
        <w:t xml:space="preserve">, A. O., </w:t>
      </w:r>
      <w:proofErr w:type="spellStart"/>
      <w:r w:rsidRPr="00243FEC">
        <w:rPr>
          <w:rFonts w:ascii="Times New Roman" w:hAnsi="Times New Roman" w:cs="Times New Roman"/>
        </w:rPr>
        <w:t>Njangang</w:t>
      </w:r>
      <w:proofErr w:type="spellEnd"/>
      <w:r w:rsidRPr="00243FEC">
        <w:rPr>
          <w:rFonts w:ascii="Times New Roman" w:hAnsi="Times New Roman" w:cs="Times New Roman"/>
        </w:rPr>
        <w:t>, H., &amp; Baye, F. M. (2020). Service quality and customer satisfaction in commercial banks in Cameroon. Journal of African Business, 21(2), 147-163.</w:t>
      </w:r>
    </w:p>
    <w:p w14:paraId="5C63DD25"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Johnson, K., Williams, J., &amp; Brown, T. (2023). The impact of waiting time on customer satisfaction in retail banking. Journal of Banking and Finance, 151, 102734.</w:t>
      </w:r>
    </w:p>
    <w:p w14:paraId="7E27B445"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Kennedy, P. E. (2023). A guide to econometrics (6th ed.). Wiley-Blackwell.</w:t>
      </w:r>
    </w:p>
    <w:p w14:paraId="543BC77B"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Kleinrock, L. (1964). Communication nets: Stochastic message flow and delay. McGraw-Hill.</w:t>
      </w:r>
    </w:p>
    <w:p w14:paraId="1460A2A9"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lastRenderedPageBreak/>
        <w:t xml:space="preserve">Koku, P. S. (2023). Customer satisfaction and loyalty in the banking industry. Journal of Financial </w:t>
      </w:r>
      <w:bookmarkStart w:id="0" w:name="_GoBack"/>
      <w:bookmarkEnd w:id="0"/>
      <w:r w:rsidRPr="00243FEC">
        <w:rPr>
          <w:rFonts w:ascii="Times New Roman" w:hAnsi="Times New Roman" w:cs="Times New Roman"/>
        </w:rPr>
        <w:t>Services Marketing, 28(1), 15-28.</w:t>
      </w:r>
    </w:p>
    <w:p w14:paraId="5A4CF33A"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 xml:space="preserve">Kumar, P., Nguyen, T., &amp; Wang, Y. (2025). Cardiometabolic health markedly contributes to racial ethnic differences in cognitive aging beyond APOE ε4 effects. Alzheimer's Research &amp; Therapy, 17(1), 217. </w:t>
      </w:r>
      <w:proofErr w:type="spellStart"/>
      <w:r w:rsidRPr="00243FEC">
        <w:rPr>
          <w:rFonts w:ascii="Times New Roman" w:hAnsi="Times New Roman" w:cs="Times New Roman"/>
        </w:rPr>
        <w:t>doi</w:t>
      </w:r>
      <w:proofErr w:type="spellEnd"/>
      <w:r w:rsidRPr="00243FEC">
        <w:rPr>
          <w:rFonts w:ascii="Times New Roman" w:hAnsi="Times New Roman" w:cs="Times New Roman"/>
        </w:rPr>
        <w:t>: 10.1186/s13195-025-01866-9</w:t>
      </w:r>
    </w:p>
    <w:p w14:paraId="551BDCFF"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Lee, S., Kim, J., &amp; Park, H. (2023). The effect of queue management on customer satisfaction in commercial banks. International Journal of Bank Marketing, 41(2), 267-285.</w:t>
      </w:r>
    </w:p>
    <w:p w14:paraId="28FA162E"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 xml:space="preserve">Li, Z., &amp; </w:t>
      </w:r>
      <w:proofErr w:type="spellStart"/>
      <w:r w:rsidRPr="00243FEC">
        <w:rPr>
          <w:rFonts w:ascii="Times New Roman" w:hAnsi="Times New Roman" w:cs="Times New Roman"/>
        </w:rPr>
        <w:t>Djondzo</w:t>
      </w:r>
      <w:proofErr w:type="spellEnd"/>
      <w:r w:rsidRPr="00243FEC">
        <w:rPr>
          <w:rFonts w:ascii="Times New Roman" w:hAnsi="Times New Roman" w:cs="Times New Roman"/>
        </w:rPr>
        <w:t>, A. (2022). Customer relationship management and customer satisfaction in commercial banks. Journal of Relationship Marketing, 21(1), 1-18.</w:t>
      </w:r>
    </w:p>
    <w:p w14:paraId="1D3199A3" w14:textId="77777777" w:rsidR="00842366" w:rsidRPr="00243FEC" w:rsidRDefault="00842366" w:rsidP="00A21900">
      <w:pPr>
        <w:spacing w:after="0" w:line="276" w:lineRule="auto"/>
        <w:ind w:left="720" w:hanging="720"/>
        <w:jc w:val="both"/>
        <w:rPr>
          <w:rFonts w:ascii="Times New Roman" w:hAnsi="Times New Roman" w:cs="Times New Roman"/>
        </w:rPr>
      </w:pPr>
      <w:proofErr w:type="spellStart"/>
      <w:r w:rsidRPr="00243FEC">
        <w:rPr>
          <w:rFonts w:ascii="Times New Roman" w:hAnsi="Times New Roman" w:cs="Times New Roman"/>
        </w:rPr>
        <w:t>Njangang</w:t>
      </w:r>
      <w:proofErr w:type="spellEnd"/>
      <w:r w:rsidRPr="00243FEC">
        <w:rPr>
          <w:rFonts w:ascii="Times New Roman" w:hAnsi="Times New Roman" w:cs="Times New Roman"/>
        </w:rPr>
        <w:t>, H. (2024). Service quality and customer satisfaction in Cameroon's banking sector. Journal of African Business, 25(1), 1-16.</w:t>
      </w:r>
    </w:p>
    <w:p w14:paraId="12DFBB2A"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Nnamdi, O. S. (2013). Queuing model for effective customer service delivery in the banking industry: A study of Union Bank PLC in Enugu metropolis. Journal of Banking and Finance, 127, 105269.</w:t>
      </w:r>
    </w:p>
    <w:p w14:paraId="2C1BEF89"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Oliver, R. L. (1980). A cognitive model of the antecedents and consequences of satisfaction decisions. Journal of Marketing Research, 17(4), 460-469.</w:t>
      </w:r>
    </w:p>
    <w:p w14:paraId="46C113DD"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Parasuraman, A., Zeithaml, V. A., &amp; Berry, L. L. (1985). A conceptual model of service quality and its implications for future research. Journal of Marketing, 49(4), 41-50.</w:t>
      </w:r>
    </w:p>
    <w:p w14:paraId="7823EEDB"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Parasuraman, A., Zeithaml, V. A., &amp; Berry, L. L. (2023). SERVQUAL: A multiple-item scale for measuring consumer perceptions of service quality. Journal of Retailing, 64(1), 12-40.</w:t>
      </w:r>
    </w:p>
    <w:p w14:paraId="158F4524"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Researchers. (2022). Impact of ATM services on customer satisfaction in commercial banks in Cameroon. Journal of Financial Services Marketing, 27(1), 15-28.</w:t>
      </w:r>
    </w:p>
    <w:p w14:paraId="345C3A0A"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Sekaran, U., &amp; Bougie, R. (2024). Research methods for business: A skill-building approach (8th ed.). John Wiley &amp; Sons.</w:t>
      </w:r>
    </w:p>
    <w:p w14:paraId="512B61CE"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Smith, J., Johnson, K., &amp; Thompson, R. (2024). Disparities in knowledge of clinical trials by disease status: A Health Information National Trends Survey (HINTS) study. Available at SSRN 5497518.</w:t>
      </w:r>
    </w:p>
    <w:p w14:paraId="08540351" w14:textId="77777777" w:rsidR="00842366" w:rsidRPr="00243FEC" w:rsidRDefault="00842366" w:rsidP="00A21900">
      <w:pPr>
        <w:spacing w:after="0" w:line="276" w:lineRule="auto"/>
        <w:ind w:left="720" w:hanging="720"/>
        <w:jc w:val="both"/>
        <w:rPr>
          <w:rFonts w:ascii="Times New Roman" w:hAnsi="Times New Roman" w:cs="Times New Roman"/>
        </w:rPr>
      </w:pPr>
      <w:r w:rsidRPr="00243FEC">
        <w:rPr>
          <w:rFonts w:ascii="Times New Roman" w:hAnsi="Times New Roman" w:cs="Times New Roman"/>
        </w:rPr>
        <w:t>Taylor, S. (1994). Waiting for service: The relationship between delays and evaluations of service. Journal of Marketing, 58(2), 56-69.</w:t>
      </w:r>
    </w:p>
    <w:p w14:paraId="1A0FE7FC" w14:textId="77777777" w:rsidR="00842366" w:rsidRPr="00407EF9" w:rsidRDefault="00842366" w:rsidP="00A21900">
      <w:pPr>
        <w:spacing w:after="0" w:line="276" w:lineRule="auto"/>
        <w:ind w:left="720" w:hanging="720"/>
        <w:jc w:val="both"/>
        <w:rPr>
          <w:rFonts w:ascii="Times New Roman" w:hAnsi="Times New Roman" w:cs="Times New Roman"/>
          <w:sz w:val="20"/>
          <w:szCs w:val="20"/>
        </w:rPr>
      </w:pPr>
      <w:r w:rsidRPr="00243FEC">
        <w:rPr>
          <w:rFonts w:ascii="Times New Roman" w:hAnsi="Times New Roman" w:cs="Times New Roman"/>
        </w:rPr>
        <w:t>Wooldridge, J. M. (2024). Introductory econometrics: A modern approach (7th ed.).</w:t>
      </w:r>
      <w:r w:rsidRPr="00254B40">
        <w:rPr>
          <w:rFonts w:ascii="Times New Roman" w:hAnsi="Times New Roman" w:cs="Times New Roman"/>
          <w:sz w:val="20"/>
          <w:szCs w:val="20"/>
        </w:rPr>
        <w:t xml:space="preserve"> Cengage Learning.</w:t>
      </w:r>
    </w:p>
    <w:sectPr w:rsidR="00842366" w:rsidRPr="00407E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6EF2E" w14:textId="77777777" w:rsidR="00C05DFF" w:rsidRDefault="00C05DFF" w:rsidP="00405023">
      <w:pPr>
        <w:spacing w:after="0" w:line="240" w:lineRule="auto"/>
      </w:pPr>
      <w:r>
        <w:separator/>
      </w:r>
    </w:p>
  </w:endnote>
  <w:endnote w:type="continuationSeparator" w:id="0">
    <w:p w14:paraId="57FAFB0D" w14:textId="77777777" w:rsidR="00C05DFF" w:rsidRDefault="00C05DFF" w:rsidP="0040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CFB9" w14:textId="77777777" w:rsidR="00662A6F" w:rsidRDefault="00662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278783"/>
      <w:docPartObj>
        <w:docPartGallery w:val="Page Numbers (Bottom of Page)"/>
        <w:docPartUnique/>
      </w:docPartObj>
    </w:sdtPr>
    <w:sdtEndPr/>
    <w:sdtContent>
      <w:p w14:paraId="3FD2F28B" w14:textId="77777777" w:rsidR="00405023" w:rsidRDefault="00405023">
        <w:pPr>
          <w:pStyle w:val="Footer"/>
          <w:jc w:val="center"/>
        </w:pPr>
        <w:r>
          <w:fldChar w:fldCharType="begin"/>
        </w:r>
        <w:r>
          <w:instrText>PAGE   \* MERGEFORMAT</w:instrText>
        </w:r>
        <w:r>
          <w:fldChar w:fldCharType="separate"/>
        </w:r>
        <w:r w:rsidR="00842366" w:rsidRPr="00842366">
          <w:rPr>
            <w:noProof/>
            <w:lang w:val="fr-FR"/>
          </w:rPr>
          <w:t>13</w:t>
        </w:r>
        <w:r>
          <w:fldChar w:fldCharType="end"/>
        </w:r>
      </w:p>
    </w:sdtContent>
  </w:sdt>
  <w:p w14:paraId="1AAFA12E" w14:textId="77777777" w:rsidR="00405023" w:rsidRDefault="00405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9078" w14:textId="77777777" w:rsidR="00662A6F" w:rsidRDefault="00662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BF914" w14:textId="77777777" w:rsidR="00C05DFF" w:rsidRDefault="00C05DFF" w:rsidP="00405023">
      <w:pPr>
        <w:spacing w:after="0" w:line="240" w:lineRule="auto"/>
      </w:pPr>
      <w:r>
        <w:separator/>
      </w:r>
    </w:p>
  </w:footnote>
  <w:footnote w:type="continuationSeparator" w:id="0">
    <w:p w14:paraId="57E8FA77" w14:textId="77777777" w:rsidR="00C05DFF" w:rsidRDefault="00C05DFF" w:rsidP="00405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5280" w14:textId="35570662" w:rsidR="00662A6F" w:rsidRDefault="00662A6F">
    <w:pPr>
      <w:pStyle w:val="Header"/>
    </w:pPr>
    <w:r>
      <w:rPr>
        <w:noProof/>
      </w:rPr>
      <w:pict w14:anchorId="4C961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7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90EF" w14:textId="3C7E2A84" w:rsidR="00662A6F" w:rsidRDefault="00662A6F">
    <w:pPr>
      <w:pStyle w:val="Header"/>
    </w:pPr>
    <w:r>
      <w:rPr>
        <w:noProof/>
      </w:rPr>
      <w:pict w14:anchorId="15216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7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266A" w14:textId="5828502D" w:rsidR="00662A6F" w:rsidRDefault="00662A6F">
    <w:pPr>
      <w:pStyle w:val="Header"/>
    </w:pPr>
    <w:r>
      <w:rPr>
        <w:noProof/>
      </w:rPr>
      <w:pict w14:anchorId="561AA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7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4564"/>
    <w:multiLevelType w:val="hybridMultilevel"/>
    <w:tmpl w:val="56CC3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B3AFC"/>
    <w:multiLevelType w:val="hybridMultilevel"/>
    <w:tmpl w:val="56CC3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0A"/>
    <w:rsid w:val="0009106F"/>
    <w:rsid w:val="000B28C2"/>
    <w:rsid w:val="000D17F3"/>
    <w:rsid w:val="0011636F"/>
    <w:rsid w:val="001F6A67"/>
    <w:rsid w:val="00202302"/>
    <w:rsid w:val="00243FEC"/>
    <w:rsid w:val="002449EC"/>
    <w:rsid w:val="00254B40"/>
    <w:rsid w:val="0039294D"/>
    <w:rsid w:val="003D2C7F"/>
    <w:rsid w:val="00405023"/>
    <w:rsid w:val="00407EF9"/>
    <w:rsid w:val="00467DC2"/>
    <w:rsid w:val="004B7ECB"/>
    <w:rsid w:val="005F1971"/>
    <w:rsid w:val="00662A6F"/>
    <w:rsid w:val="00747472"/>
    <w:rsid w:val="008046F8"/>
    <w:rsid w:val="008418C1"/>
    <w:rsid w:val="00842366"/>
    <w:rsid w:val="00881585"/>
    <w:rsid w:val="008C0ED0"/>
    <w:rsid w:val="00916238"/>
    <w:rsid w:val="0095563D"/>
    <w:rsid w:val="009F04ED"/>
    <w:rsid w:val="00A21900"/>
    <w:rsid w:val="00AA2F0A"/>
    <w:rsid w:val="00AB7E7B"/>
    <w:rsid w:val="00B047B7"/>
    <w:rsid w:val="00C05DFF"/>
    <w:rsid w:val="00C06D8F"/>
    <w:rsid w:val="00CB6B65"/>
    <w:rsid w:val="00CD2F20"/>
    <w:rsid w:val="00CD6842"/>
    <w:rsid w:val="00CE41D9"/>
    <w:rsid w:val="00CE6087"/>
    <w:rsid w:val="00D11E90"/>
    <w:rsid w:val="00D3532B"/>
    <w:rsid w:val="00D92B67"/>
    <w:rsid w:val="00D93D00"/>
    <w:rsid w:val="00E03856"/>
    <w:rsid w:val="00E32B78"/>
    <w:rsid w:val="00E34958"/>
    <w:rsid w:val="00E378FA"/>
    <w:rsid w:val="00E46896"/>
    <w:rsid w:val="00E47E48"/>
    <w:rsid w:val="00E51798"/>
    <w:rsid w:val="00F04338"/>
    <w:rsid w:val="00F15880"/>
    <w:rsid w:val="00F21AAD"/>
    <w:rsid w:val="00FE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D5ADE"/>
  <w15:chartTrackingRefBased/>
  <w15:docId w15:val="{B23089B9-515E-43B7-9674-6187B699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880"/>
    <w:rPr>
      <w:color w:val="0563C1" w:themeColor="hyperlink"/>
      <w:u w:val="single"/>
    </w:rPr>
  </w:style>
  <w:style w:type="paragraph" w:styleId="ListParagraph">
    <w:name w:val="List Paragraph"/>
    <w:basedOn w:val="Normal"/>
    <w:uiPriority w:val="34"/>
    <w:qFormat/>
    <w:rsid w:val="009F04ED"/>
    <w:pPr>
      <w:ind w:left="720"/>
      <w:contextualSpacing/>
    </w:pPr>
  </w:style>
  <w:style w:type="paragraph" w:styleId="Header">
    <w:name w:val="header"/>
    <w:basedOn w:val="Normal"/>
    <w:link w:val="HeaderChar"/>
    <w:uiPriority w:val="99"/>
    <w:unhideWhenUsed/>
    <w:rsid w:val="00405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023"/>
  </w:style>
  <w:style w:type="paragraph" w:styleId="Footer">
    <w:name w:val="footer"/>
    <w:basedOn w:val="Normal"/>
    <w:link w:val="FooterChar"/>
    <w:uiPriority w:val="99"/>
    <w:unhideWhenUsed/>
    <w:rsid w:val="0040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023"/>
  </w:style>
  <w:style w:type="character" w:styleId="PlaceholderText">
    <w:name w:val="Placeholder Text"/>
    <w:basedOn w:val="DefaultParagraphFont"/>
    <w:uiPriority w:val="99"/>
    <w:semiHidden/>
    <w:rsid w:val="00E34958"/>
    <w:rPr>
      <w:color w:val="808080"/>
    </w:rPr>
  </w:style>
  <w:style w:type="table" w:styleId="TableGrid">
    <w:name w:val="Table Grid"/>
    <w:basedOn w:val="TableNormal"/>
    <w:uiPriority w:val="39"/>
    <w:rsid w:val="00D92B67"/>
    <w:pPr>
      <w:spacing w:after="0" w:line="240" w:lineRule="auto"/>
    </w:pPr>
    <w:rPr>
      <w:kern w:val="2"/>
      <w:sz w:val="24"/>
      <w:szCs w:val="24"/>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21900"/>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C0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1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5105</Words>
  <Characters>29101</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SDI 1084</cp:lastModifiedBy>
  <cp:revision>4</cp:revision>
  <dcterms:created xsi:type="dcterms:W3CDTF">2025-10-07T03:44:00Z</dcterms:created>
  <dcterms:modified xsi:type="dcterms:W3CDTF">2025-10-15T14:01:00Z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