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CE9" w:rsidRDefault="00470CE9" w:rsidP="006138B6">
      <w:pPr>
        <w:spacing w:after="0" w:line="240" w:lineRule="auto"/>
        <w:jc w:val="right"/>
        <w:rPr>
          <w:rFonts w:ascii="Arial" w:hAnsi="Arial" w:cs="Arial"/>
          <w:b/>
          <w:sz w:val="36"/>
          <w:szCs w:val="36"/>
        </w:rPr>
      </w:pPr>
      <w:r w:rsidRPr="00EA7CD2">
        <w:rPr>
          <w:rFonts w:ascii="Arial" w:hAnsi="Arial" w:cs="Arial"/>
          <w:b/>
          <w:sz w:val="36"/>
          <w:szCs w:val="36"/>
        </w:rPr>
        <w:t>Comparative Effects of Cage and Slat Rearing Systems on Broiler Breeder Growers</w:t>
      </w:r>
    </w:p>
    <w:p w:rsidR="004853DC" w:rsidRPr="00EA7CD2" w:rsidRDefault="004853DC" w:rsidP="006138B6">
      <w:pPr>
        <w:spacing w:after="0" w:line="240" w:lineRule="auto"/>
        <w:jc w:val="right"/>
        <w:rPr>
          <w:rFonts w:ascii="Arial" w:hAnsi="Arial" w:cs="Arial"/>
          <w:b/>
          <w:sz w:val="36"/>
          <w:szCs w:val="36"/>
        </w:rPr>
      </w:pPr>
    </w:p>
    <w:p w:rsidR="009245EC" w:rsidRDefault="009245EC" w:rsidP="002E77C9">
      <w:pPr>
        <w:spacing w:after="0" w:line="240" w:lineRule="auto"/>
        <w:jc w:val="both"/>
        <w:rPr>
          <w:rFonts w:ascii="Arial" w:hAnsi="Arial" w:cs="Arial"/>
          <w:b/>
        </w:rPr>
      </w:pPr>
    </w:p>
    <w:p w:rsidR="00470CE9" w:rsidRPr="00EA7CD2" w:rsidRDefault="006138B6" w:rsidP="002E77C9">
      <w:pPr>
        <w:spacing w:after="0" w:line="240" w:lineRule="auto"/>
        <w:jc w:val="both"/>
        <w:rPr>
          <w:rFonts w:ascii="Arial" w:hAnsi="Arial" w:cs="Arial"/>
          <w:b/>
          <w:sz w:val="20"/>
          <w:szCs w:val="20"/>
        </w:rPr>
      </w:pPr>
      <w:r w:rsidRPr="00EA7CD2">
        <w:rPr>
          <w:rFonts w:ascii="Arial" w:hAnsi="Arial" w:cs="Arial"/>
          <w:b/>
        </w:rPr>
        <w:t>ABSTRACT</w:t>
      </w:r>
    </w:p>
    <w:p w:rsidR="003C28EC" w:rsidRPr="00EA7CD2" w:rsidRDefault="002E77C9" w:rsidP="00787BCD">
      <w:pPr>
        <w:spacing w:after="0" w:line="240" w:lineRule="auto"/>
        <w:ind w:firstLine="720"/>
        <w:jc w:val="both"/>
        <w:rPr>
          <w:rFonts w:ascii="Arial" w:hAnsi="Arial" w:cs="Arial"/>
          <w:sz w:val="20"/>
          <w:szCs w:val="20"/>
        </w:rPr>
      </w:pPr>
      <w:r w:rsidRPr="00EA7CD2">
        <w:rPr>
          <w:rFonts w:ascii="Arial" w:hAnsi="Arial" w:cs="Arial"/>
          <w:sz w:val="20"/>
          <w:szCs w:val="20"/>
        </w:rPr>
        <w:t xml:space="preserve">The present study was carried out under farm conditions to compare </w:t>
      </w:r>
      <w:r w:rsidR="003C28EC" w:rsidRPr="00EA7CD2">
        <w:rPr>
          <w:rFonts w:ascii="Arial" w:hAnsi="Arial" w:cs="Arial"/>
          <w:spacing w:val="1"/>
          <w:sz w:val="20"/>
          <w:szCs w:val="20"/>
        </w:rPr>
        <w:t>the effects of cage and slat floor rearing systems on the growth performance, livability, uniformity, and welfare of Cobb 430 female broiler breeders during their growing phase (9–22 weeks). A total of 2,400 pullets were allocated equally to the two housing systems, with performance indicators such as weekly body weight, feed efficiency, foot lesions, shank length, and breast muscle condition assessed. The results showed that the cage-reared birds consistently showed significantly higher body weights (3176.18 ± 1.73 g vs. 2974.66 ± 2.70 g in slats at 22 weeks) and marginally better livability (95.0% vs. 93.3%). Slat-reared birds exhibited superior breast muscle scores with more birds in grades A and B compared to cages, alongside a slightly greater average shank length (7.14 ± 0.07 cm vs. 7.09 ± 0.08 cm). Foot lesion scores were significantly higher in the slat system (1.58 ± 0.17) than in the cage system (1.13 ± 0.13), indicating increased foot health challenges on slats. These findings demonstrate the need to balance enhanced growth and survivability in cage systems with better muscle development and leg health in slat environments. Integrating benefits from both systems can optimize broiler breeder management for productivity and welfare</w:t>
      </w:r>
      <w:r w:rsidRPr="00EA7CD2">
        <w:rPr>
          <w:rFonts w:ascii="Arial" w:hAnsi="Arial" w:cs="Arial"/>
          <w:spacing w:val="1"/>
          <w:sz w:val="20"/>
          <w:szCs w:val="20"/>
        </w:rPr>
        <w:t>.</w:t>
      </w:r>
    </w:p>
    <w:p w:rsidR="00470CE9" w:rsidRPr="00EA7CD2" w:rsidRDefault="00470CE9" w:rsidP="002E77C9">
      <w:pPr>
        <w:spacing w:after="0" w:line="240" w:lineRule="auto"/>
        <w:jc w:val="both"/>
        <w:rPr>
          <w:rFonts w:ascii="Arial" w:hAnsi="Arial" w:cs="Arial"/>
          <w:sz w:val="20"/>
          <w:szCs w:val="20"/>
        </w:rPr>
      </w:pPr>
      <w:r w:rsidRPr="00EA7CD2">
        <w:rPr>
          <w:rFonts w:ascii="Arial" w:hAnsi="Arial" w:cs="Arial"/>
          <w:b/>
          <w:bCs/>
          <w:sz w:val="20"/>
          <w:szCs w:val="20"/>
        </w:rPr>
        <w:t xml:space="preserve">Key words: </w:t>
      </w:r>
      <w:r w:rsidRPr="00EA7CD2">
        <w:rPr>
          <w:rFonts w:ascii="Arial" w:hAnsi="Arial" w:cs="Arial"/>
          <w:sz w:val="20"/>
          <w:szCs w:val="20"/>
        </w:rPr>
        <w:t xml:space="preserve">Broiler </w:t>
      </w:r>
      <w:r w:rsidR="006E3692" w:rsidRPr="00EA7CD2">
        <w:rPr>
          <w:rFonts w:ascii="Arial" w:hAnsi="Arial" w:cs="Arial"/>
          <w:sz w:val="20"/>
          <w:szCs w:val="20"/>
        </w:rPr>
        <w:t>breeder</w:t>
      </w:r>
      <w:r w:rsidRPr="00EA7CD2">
        <w:rPr>
          <w:rFonts w:ascii="Arial" w:hAnsi="Arial" w:cs="Arial"/>
          <w:sz w:val="20"/>
          <w:szCs w:val="20"/>
        </w:rPr>
        <w:t xml:space="preserve">, </w:t>
      </w:r>
      <w:r w:rsidR="006E3692" w:rsidRPr="00EA7CD2">
        <w:rPr>
          <w:rFonts w:ascii="Arial" w:hAnsi="Arial" w:cs="Arial"/>
          <w:sz w:val="20"/>
          <w:szCs w:val="20"/>
        </w:rPr>
        <w:t>Grower performance, Cage and slat system of rearing</w:t>
      </w:r>
    </w:p>
    <w:p w:rsidR="005F1B48" w:rsidRPr="00EA7CD2" w:rsidRDefault="005F1B48" w:rsidP="005F1B48">
      <w:pPr>
        <w:pStyle w:val="ListParagraph"/>
        <w:spacing w:after="0" w:line="240" w:lineRule="auto"/>
        <w:jc w:val="both"/>
        <w:rPr>
          <w:rFonts w:ascii="Arial" w:hAnsi="Arial" w:cs="Arial"/>
          <w:b/>
          <w:sz w:val="20"/>
          <w:szCs w:val="20"/>
        </w:rPr>
      </w:pPr>
    </w:p>
    <w:p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INTRODUCTION</w:t>
      </w:r>
    </w:p>
    <w:p w:rsidR="005F1B48" w:rsidRPr="00EA7CD2" w:rsidRDefault="005F1B48" w:rsidP="005F1B48">
      <w:pPr>
        <w:pStyle w:val="ListParagraph"/>
        <w:spacing w:after="0" w:line="240" w:lineRule="auto"/>
        <w:jc w:val="both"/>
        <w:rPr>
          <w:rFonts w:ascii="Arial" w:hAnsi="Arial" w:cs="Arial"/>
          <w:b/>
          <w:sz w:val="20"/>
          <w:szCs w:val="20"/>
        </w:rPr>
      </w:pPr>
    </w:p>
    <w:p w:rsidR="00E54269" w:rsidRPr="007271F0" w:rsidRDefault="006E3692" w:rsidP="007271F0">
      <w:pPr>
        <w:spacing w:after="0" w:line="240" w:lineRule="auto"/>
        <w:jc w:val="both"/>
        <w:rPr>
          <w:rFonts w:ascii="Arial" w:hAnsi="Arial" w:cs="Arial"/>
          <w:sz w:val="20"/>
          <w:szCs w:val="20"/>
        </w:rPr>
      </w:pPr>
      <w:r w:rsidRPr="00EA7CD2">
        <w:rPr>
          <w:rFonts w:ascii="Arial" w:hAnsi="Arial" w:cs="Arial"/>
          <w:sz w:val="20"/>
          <w:szCs w:val="20"/>
        </w:rPr>
        <w:tab/>
      </w:r>
      <w:r w:rsidR="00E54269" w:rsidRPr="00EA7CD2">
        <w:rPr>
          <w:rFonts w:ascii="Arial" w:hAnsi="Arial" w:cs="Arial"/>
          <w:sz w:val="20"/>
          <w:szCs w:val="20"/>
        </w:rPr>
        <w:t xml:space="preserve">In broiler breeder production, management during the growing phase plays a pivotal role in determining the future reproductive performance and overall productivity of the flock. </w:t>
      </w:r>
      <w:r w:rsidR="004631CA" w:rsidRPr="00EA7CD2">
        <w:rPr>
          <w:rFonts w:ascii="Arial" w:hAnsi="Arial" w:cs="Arial"/>
          <w:sz w:val="20"/>
          <w:szCs w:val="20"/>
        </w:rPr>
        <w:t xml:space="preserve">Broiler breeders share the same genetic potential for rapid growth and high feed consumption as their commercial broiler progeny. Hence, maintaining target body weight and uniformity during the rearing phase is crucial to prevent excessive growth, metabolic disorders, and reproductive inefficiency. </w:t>
      </w:r>
      <w:r w:rsidR="00E54269" w:rsidRPr="00EA7CD2">
        <w:rPr>
          <w:rFonts w:ascii="Arial" w:hAnsi="Arial" w:cs="Arial"/>
          <w:sz w:val="20"/>
          <w:szCs w:val="20"/>
        </w:rPr>
        <w:t>Among the key management factors, control of body weight, regulation of feed intake, and minimization of stress are essential to promote proper skeletal development and ensure long-term reproductive efficiency (Laughlin, 2009; van Krimpen and de Jong, 2014). Beyond nutritional and managerial aspects, the housing system is a critical external factor (Englmaierová</w:t>
      </w:r>
      <w:r w:rsidR="00E54269" w:rsidRPr="00EA7CD2">
        <w:rPr>
          <w:rFonts w:ascii="Arial" w:hAnsi="Arial" w:cs="Arial"/>
          <w:i/>
          <w:iCs/>
          <w:sz w:val="20"/>
          <w:szCs w:val="20"/>
        </w:rPr>
        <w:t>et al.</w:t>
      </w:r>
      <w:r w:rsidR="00E54269" w:rsidRPr="00EA7CD2">
        <w:rPr>
          <w:rFonts w:ascii="Arial" w:hAnsi="Arial" w:cs="Arial"/>
          <w:sz w:val="20"/>
          <w:szCs w:val="20"/>
        </w:rPr>
        <w:t xml:space="preserve">, 2014). The primary objective of any housing design is to provide </w:t>
      </w:r>
      <w:r w:rsidR="004631CA" w:rsidRPr="00EA7CD2">
        <w:rPr>
          <w:rFonts w:ascii="Arial" w:hAnsi="Arial" w:cs="Arial"/>
          <w:sz w:val="20"/>
          <w:szCs w:val="20"/>
        </w:rPr>
        <w:t>optimal environmental factors such as space allowance, flooring type, ventilation, temperature, and hygiene</w:t>
      </w:r>
      <w:r w:rsidR="00E54269" w:rsidRPr="00EA7CD2">
        <w:rPr>
          <w:rFonts w:ascii="Arial" w:hAnsi="Arial" w:cs="Arial"/>
          <w:sz w:val="20"/>
          <w:szCs w:val="20"/>
        </w:rPr>
        <w:t xml:space="preserve"> that promotes physiological comfort, reduces stress, and supports </w:t>
      </w:r>
      <w:r w:rsidR="004631CA" w:rsidRPr="00EA7CD2">
        <w:rPr>
          <w:rFonts w:ascii="Arial" w:hAnsi="Arial" w:cs="Arial"/>
          <w:sz w:val="20"/>
          <w:szCs w:val="20"/>
        </w:rPr>
        <w:t>productivity, livability, skeletal integirity</w:t>
      </w:r>
      <w:r w:rsidR="00E54269" w:rsidRPr="00EA7CD2">
        <w:rPr>
          <w:rFonts w:ascii="Arial" w:hAnsi="Arial" w:cs="Arial"/>
          <w:sz w:val="20"/>
          <w:szCs w:val="20"/>
        </w:rPr>
        <w:t xml:space="preserve"> and welfare (Bell and Weaver, 2001</w:t>
      </w:r>
      <w:r w:rsidR="007271F0">
        <w:rPr>
          <w:rFonts w:ascii="Arial" w:hAnsi="Arial" w:cs="Arial"/>
          <w:sz w:val="20"/>
          <w:szCs w:val="20"/>
        </w:rPr>
        <w:t xml:space="preserve"> and </w:t>
      </w:r>
      <w:r w:rsidR="007271F0" w:rsidRPr="007271F0">
        <w:rPr>
          <w:rFonts w:ascii="Arial" w:hAnsi="Arial" w:cs="Arial"/>
          <w:sz w:val="20"/>
          <w:szCs w:val="20"/>
          <w:highlight w:val="yellow"/>
        </w:rPr>
        <w:t>Sosnówka-Czajka et al., 2021</w:t>
      </w:r>
      <w:r w:rsidR="00E54269" w:rsidRPr="007271F0">
        <w:rPr>
          <w:rFonts w:ascii="Arial" w:hAnsi="Arial" w:cs="Arial"/>
          <w:sz w:val="20"/>
          <w:szCs w:val="20"/>
          <w:highlight w:val="yellow"/>
        </w:rPr>
        <w:t>).</w:t>
      </w:r>
      <w:r w:rsidR="00E54269" w:rsidRPr="00EA7CD2">
        <w:rPr>
          <w:rFonts w:ascii="Arial" w:hAnsi="Arial" w:cs="Arial"/>
          <w:sz w:val="20"/>
          <w:szCs w:val="20"/>
        </w:rPr>
        <w:t xml:space="preserve"> </w:t>
      </w:r>
    </w:p>
    <w:p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In recent years, increasing attention has been directed toward animal welfare concerns in poultry production, particularly regarding stocking density and the behavioral freedom of growing birds. Overcrowding and inadequate space allocation can lead to stress, poor feather condition, and leg health issues, ultimately reducing production efficiency</w:t>
      </w:r>
      <w:r w:rsidR="007271F0">
        <w:rPr>
          <w:rFonts w:ascii="Arial" w:hAnsi="Arial" w:cs="Arial"/>
          <w:sz w:val="20"/>
          <w:szCs w:val="20"/>
        </w:rPr>
        <w:t xml:space="preserve"> </w:t>
      </w:r>
      <w:r w:rsidR="007271F0" w:rsidRPr="007271F0">
        <w:rPr>
          <w:rFonts w:ascii="Arial" w:hAnsi="Arial" w:cs="Arial"/>
          <w:sz w:val="20"/>
          <w:szCs w:val="20"/>
          <w:highlight w:val="yellow"/>
        </w:rPr>
        <w:t>(Skrbic et al., 2022).</w:t>
      </w:r>
      <w:r w:rsidR="007271F0">
        <w:rPr>
          <w:rFonts w:ascii="Arial" w:hAnsi="Arial" w:cs="Arial"/>
          <w:sz w:val="20"/>
          <w:szCs w:val="20"/>
        </w:rPr>
        <w:t xml:space="preserve"> </w:t>
      </w:r>
      <w:r w:rsidRPr="00EA7CD2">
        <w:rPr>
          <w:rFonts w:ascii="Arial" w:hAnsi="Arial" w:cs="Arial"/>
          <w:sz w:val="20"/>
          <w:szCs w:val="20"/>
        </w:rPr>
        <w:t xml:space="preserve">To address these challenges, several countriesincluding those in Europe and North Americahave implemented regulatory standards prescribing minimum space allowances and housing conditions to promote animal welfare (Erasmus, 2017).Housing systems for broiler breeders have evolved considerably over the past few decades. Traditional cage systems, which prioritize space efficiency and ease of management, have gradually been replaced or supplemented with enriched cages, slatted floors, aviary systems, deep-litter floors, and, in some regions, free-range setups (Samiullah </w:t>
      </w:r>
      <w:r w:rsidRPr="00EA7CD2">
        <w:rPr>
          <w:rFonts w:ascii="Arial" w:hAnsi="Arial" w:cs="Arial"/>
          <w:i/>
          <w:iCs/>
          <w:sz w:val="20"/>
          <w:szCs w:val="20"/>
        </w:rPr>
        <w:t>et al.</w:t>
      </w:r>
      <w:r w:rsidRPr="00EA7CD2">
        <w:rPr>
          <w:rFonts w:ascii="Arial" w:hAnsi="Arial" w:cs="Arial"/>
          <w:sz w:val="20"/>
          <w:szCs w:val="20"/>
        </w:rPr>
        <w:t>, 2017). Each system presents distinct advantages and limitations concerning growth rate, feed utilization, hygiene, welfare, and economic viability. For instance, cage systems facilitate better control over feed intake, reduce energy expenditure from movement, and minimize contact with manure, thereby improving feed conversion efficiency and uniformity. However, restricted movement and limited space in cages may negatively affect skeletal development and welfare-related behaviors. Conversely, slat or floor systems provide greater freedom of movement, enhance leg strength, and promote natural behaviors, but may increase the risk of uneven growth, litter-related foot lesions, and reduced feed efficiency.</w:t>
      </w:r>
    </w:p>
    <w:p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Beyond the general classification of housing systems, the design and dimensions of rearing structures, type of flooring, and space allocation per bird are critical determinants of bird comfort and performance (Wegner </w:t>
      </w:r>
      <w:r w:rsidRPr="00EA7CD2">
        <w:rPr>
          <w:rFonts w:ascii="Arial" w:hAnsi="Arial" w:cs="Arial"/>
          <w:i/>
          <w:iCs/>
          <w:sz w:val="20"/>
          <w:szCs w:val="20"/>
        </w:rPr>
        <w:t>et al.</w:t>
      </w:r>
      <w:r w:rsidRPr="00EA7CD2">
        <w:rPr>
          <w:rFonts w:ascii="Arial" w:hAnsi="Arial" w:cs="Arial"/>
          <w:sz w:val="20"/>
          <w:szCs w:val="20"/>
        </w:rPr>
        <w:t xml:space="preserve">, 2023). Structural and environmental variations within these systems can </w:t>
      </w:r>
      <w:r w:rsidRPr="00EA7CD2">
        <w:rPr>
          <w:rFonts w:ascii="Arial" w:hAnsi="Arial" w:cs="Arial"/>
          <w:sz w:val="20"/>
          <w:szCs w:val="20"/>
        </w:rPr>
        <w:lastRenderedPageBreak/>
        <w:t>directly affect growth patterns, bone health, feather condition, and overall livability. Therefore, it is imperative to identify housing systems that not only support growth performance and productivity but also align with welfare standards and sustainability goals.</w:t>
      </w:r>
    </w:p>
    <w:p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Previous studies comparing different housing environments have demonstrated that rearing systems such as cages, slats, and floors can significantly influence performance parameters, including body weight gain, flock uniformity, feed efficiency, leg health, and mortality rates in breeder flocks (Khan and Khan, 2018). However, research focusing specifically on comparative evaluation of cage and slat floor systems under standardized farm conditions remains limited.</w:t>
      </w:r>
    </w:p>
    <w:p w:rsidR="00E54269" w:rsidRPr="00EA7CD2" w:rsidRDefault="00E54269"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Hence, the present study was undertaken </w:t>
      </w:r>
      <w:r w:rsidR="00B22AC4" w:rsidRPr="00EA7CD2">
        <w:rPr>
          <w:rFonts w:ascii="Arial" w:hAnsi="Arial" w:cs="Arial"/>
          <w:sz w:val="20"/>
          <w:szCs w:val="20"/>
        </w:rPr>
        <w:t xml:space="preserve">under commercial farm conditions </w:t>
      </w:r>
      <w:r w:rsidRPr="00EA7CD2">
        <w:rPr>
          <w:rFonts w:ascii="Arial" w:hAnsi="Arial" w:cs="Arial"/>
          <w:sz w:val="20"/>
          <w:szCs w:val="20"/>
        </w:rPr>
        <w:t>to compare the growth performance, livability, uniformity, and leg health of Cobb 430 female broiler breeders reared under cage and slat floor systems during the growing phase (9–22 weeks of age)</w:t>
      </w:r>
      <w:r w:rsidR="00787BCD" w:rsidRPr="00EA7CD2">
        <w:rPr>
          <w:rFonts w:ascii="Arial" w:hAnsi="Arial" w:cs="Arial"/>
          <w:sz w:val="20"/>
          <w:szCs w:val="20"/>
        </w:rPr>
        <w:t xml:space="preserve"> in a farm condition</w:t>
      </w:r>
      <w:r w:rsidRPr="00EA7CD2">
        <w:rPr>
          <w:rFonts w:ascii="Arial" w:hAnsi="Arial" w:cs="Arial"/>
          <w:sz w:val="20"/>
          <w:szCs w:val="20"/>
        </w:rPr>
        <w:t>. The findings from this study aim to provide insight into the relative merits of these housing systems, contributing to evidence-based management decisions that balance productivity, bird welfare, and economic efficiency in broiler breeder operations.</w:t>
      </w:r>
    </w:p>
    <w:p w:rsidR="005F1B48" w:rsidRPr="00EA7CD2" w:rsidRDefault="005F1B48" w:rsidP="002E77C9">
      <w:pPr>
        <w:spacing w:after="0" w:line="240" w:lineRule="auto"/>
        <w:ind w:firstLine="720"/>
        <w:jc w:val="both"/>
        <w:rPr>
          <w:rFonts w:ascii="Arial" w:hAnsi="Arial" w:cs="Arial"/>
          <w:sz w:val="20"/>
          <w:szCs w:val="20"/>
        </w:rPr>
      </w:pPr>
    </w:p>
    <w:p w:rsidR="00470CE9"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sz w:val="20"/>
          <w:szCs w:val="20"/>
        </w:rPr>
        <w:t>MATERIALS AND METHODS</w:t>
      </w:r>
    </w:p>
    <w:p w:rsidR="005F1B48" w:rsidRPr="00EA7CD2" w:rsidRDefault="005F1B48" w:rsidP="005F1B48">
      <w:pPr>
        <w:spacing w:after="0" w:line="240" w:lineRule="auto"/>
        <w:ind w:left="720"/>
        <w:jc w:val="both"/>
        <w:rPr>
          <w:rFonts w:ascii="Arial" w:hAnsi="Arial" w:cs="Arial"/>
          <w:sz w:val="20"/>
          <w:szCs w:val="20"/>
        </w:rPr>
      </w:pPr>
    </w:p>
    <w:p w:rsidR="00CE75CD" w:rsidRPr="00EA7CD2" w:rsidRDefault="00CE75CD" w:rsidP="005F1B48">
      <w:pPr>
        <w:spacing w:after="0" w:line="240" w:lineRule="auto"/>
        <w:ind w:firstLine="720"/>
        <w:jc w:val="both"/>
        <w:rPr>
          <w:rFonts w:ascii="Arial" w:hAnsi="Arial" w:cs="Arial"/>
          <w:sz w:val="20"/>
          <w:szCs w:val="20"/>
        </w:rPr>
      </w:pPr>
      <w:r w:rsidRPr="00EA7CD2">
        <w:rPr>
          <w:rFonts w:ascii="Arial" w:hAnsi="Arial" w:cs="Arial"/>
          <w:sz w:val="20"/>
          <w:szCs w:val="20"/>
        </w:rPr>
        <w:t xml:space="preserve">A total of 2,400 Cobb 430 broiler breeder pullets </w:t>
      </w:r>
      <w:r w:rsidR="00B22AC4" w:rsidRPr="00EA7CD2">
        <w:rPr>
          <w:rFonts w:ascii="Arial" w:hAnsi="Arial" w:cs="Arial"/>
          <w:sz w:val="20"/>
          <w:szCs w:val="20"/>
        </w:rPr>
        <w:t xml:space="preserve">reared in a breeder farm </w:t>
      </w:r>
      <w:r w:rsidRPr="00EA7CD2">
        <w:rPr>
          <w:rFonts w:ascii="Arial" w:hAnsi="Arial" w:cs="Arial"/>
          <w:sz w:val="20"/>
          <w:szCs w:val="20"/>
        </w:rPr>
        <w:t xml:space="preserve">were used in this study to evaluate the influence of housing systems on growth performance and welfare traits during the </w:t>
      </w:r>
      <w:r w:rsidR="00B22AC4" w:rsidRPr="00EA7CD2">
        <w:rPr>
          <w:rFonts w:ascii="Arial" w:hAnsi="Arial" w:cs="Arial"/>
          <w:sz w:val="20"/>
          <w:szCs w:val="20"/>
        </w:rPr>
        <w:t>grower</w:t>
      </w:r>
      <w:r w:rsidRPr="00EA7CD2">
        <w:rPr>
          <w:rFonts w:ascii="Arial" w:hAnsi="Arial" w:cs="Arial"/>
          <w:sz w:val="20"/>
          <w:szCs w:val="20"/>
        </w:rPr>
        <w:t xml:space="preserve"> phase. Birds were reared from 9 to 22 weeks of age under two different housing systems cage and slat floor. At the start of the trial, birds with an average body weight of approximately </w:t>
      </w:r>
      <w:r w:rsidR="00B22AC4" w:rsidRPr="00EA7CD2">
        <w:rPr>
          <w:rFonts w:ascii="Arial" w:hAnsi="Arial" w:cs="Arial"/>
          <w:sz w:val="20"/>
          <w:szCs w:val="20"/>
        </w:rPr>
        <w:br/>
      </w:r>
      <w:r w:rsidRPr="00EA7CD2">
        <w:rPr>
          <w:rFonts w:ascii="Arial" w:hAnsi="Arial" w:cs="Arial"/>
          <w:sz w:val="20"/>
          <w:szCs w:val="20"/>
        </w:rPr>
        <w:t>1,600 g were randomly allotted to the two housing systems in equal numbers.</w:t>
      </w:r>
    </w:p>
    <w:p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In the slat floor system, the pullets were housed in pens measuring 25 × 25 ft, </w:t>
      </w:r>
      <w:r w:rsidR="005C7E75" w:rsidRPr="005C7E75">
        <w:rPr>
          <w:rFonts w:ascii="Arial" w:hAnsi="Arial" w:cs="Arial"/>
          <w:sz w:val="20"/>
          <w:szCs w:val="20"/>
          <w:highlight w:val="yellow"/>
        </w:rPr>
        <w:t xml:space="preserve">equipped with </w:t>
      </w:r>
      <w:r w:rsidR="00174CC9" w:rsidRPr="005C7E75">
        <w:rPr>
          <w:rFonts w:ascii="Arial" w:hAnsi="Arial" w:cs="Arial"/>
          <w:sz w:val="20"/>
          <w:szCs w:val="20"/>
          <w:highlight w:val="yellow"/>
        </w:rPr>
        <w:t xml:space="preserve">one inch </w:t>
      </w:r>
      <w:r w:rsidR="005C7E75" w:rsidRPr="005C7E75">
        <w:rPr>
          <w:rFonts w:ascii="Arial" w:hAnsi="Arial" w:cs="Arial"/>
          <w:sz w:val="20"/>
          <w:szCs w:val="20"/>
          <w:highlight w:val="yellow"/>
        </w:rPr>
        <w:t>x one inch wired slats,</w:t>
      </w:r>
      <w:r w:rsidR="005C7E75">
        <w:rPr>
          <w:rFonts w:ascii="Arial" w:hAnsi="Arial" w:cs="Arial"/>
          <w:sz w:val="20"/>
          <w:szCs w:val="20"/>
        </w:rPr>
        <w:t xml:space="preserve"> </w:t>
      </w:r>
      <w:r w:rsidRPr="00EA7CD2">
        <w:rPr>
          <w:rFonts w:ascii="Arial" w:hAnsi="Arial" w:cs="Arial"/>
          <w:sz w:val="20"/>
          <w:szCs w:val="20"/>
        </w:rPr>
        <w:t>providing an effective floor space of about 2 ft² per bird. In the cage system, birds were maintained in individual cages accommodating three birds per cage, each measuring 22 × 17 × 25 in (L × W × H), which corresponded to 0.87 ft² of floor space per bird.</w:t>
      </w:r>
      <w:r w:rsidR="005C7E75">
        <w:rPr>
          <w:rFonts w:ascii="Arial" w:hAnsi="Arial" w:cs="Arial"/>
          <w:sz w:val="20"/>
          <w:szCs w:val="20"/>
        </w:rPr>
        <w:t xml:space="preserve"> </w:t>
      </w:r>
      <w:r w:rsidR="00495F5D" w:rsidRPr="00B618F4">
        <w:rPr>
          <w:rFonts w:ascii="Arial" w:hAnsi="Arial" w:cs="Arial"/>
          <w:sz w:val="20"/>
          <w:szCs w:val="20"/>
          <w:highlight w:val="yellow"/>
        </w:rPr>
        <w:t>Rubber floor mats were provided i</w:t>
      </w:r>
      <w:r w:rsidR="005C7E75" w:rsidRPr="00B618F4">
        <w:rPr>
          <w:rFonts w:ascii="Arial" w:hAnsi="Arial" w:cs="Arial"/>
          <w:sz w:val="20"/>
          <w:szCs w:val="20"/>
          <w:highlight w:val="yellow"/>
        </w:rPr>
        <w:t xml:space="preserve">n both systems </w:t>
      </w:r>
      <w:r w:rsidR="00495F5D" w:rsidRPr="00B618F4">
        <w:rPr>
          <w:rFonts w:ascii="Arial" w:hAnsi="Arial" w:cs="Arial"/>
          <w:sz w:val="20"/>
          <w:szCs w:val="20"/>
          <w:highlight w:val="yellow"/>
        </w:rPr>
        <w:t xml:space="preserve">to enhance </w:t>
      </w:r>
      <w:r w:rsidR="005C7E75" w:rsidRPr="00B618F4">
        <w:rPr>
          <w:rFonts w:ascii="Arial" w:hAnsi="Arial" w:cs="Arial"/>
          <w:sz w:val="20"/>
          <w:szCs w:val="20"/>
          <w:highlight w:val="yellow"/>
        </w:rPr>
        <w:t>birds comfort.</w:t>
      </w:r>
    </w:p>
    <w:p w:rsidR="00CE75CD"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All birds were managed under standard husbandry and biosecurity practices throughout the experimental period. A uniform pelleted grower diet </w:t>
      </w:r>
      <w:r w:rsidR="00174CC9">
        <w:rPr>
          <w:rFonts w:ascii="Arial" w:hAnsi="Arial" w:cs="Arial"/>
          <w:sz w:val="20"/>
          <w:szCs w:val="20"/>
        </w:rPr>
        <w:t>(</w:t>
      </w:r>
      <w:r w:rsidR="00174CC9" w:rsidRPr="005C7E75">
        <w:rPr>
          <w:rFonts w:ascii="Arial" w:hAnsi="Arial" w:cs="Arial"/>
          <w:sz w:val="20"/>
          <w:szCs w:val="20"/>
          <w:highlight w:val="yellow"/>
        </w:rPr>
        <w:t xml:space="preserve">as per the strain specification: </w:t>
      </w:r>
      <w:r w:rsidR="00B618F4">
        <w:rPr>
          <w:rFonts w:ascii="Arial" w:hAnsi="Arial" w:cs="Arial"/>
          <w:sz w:val="20"/>
          <w:szCs w:val="20"/>
        </w:rPr>
        <w:t xml:space="preserve">Vencobb 430 </w:t>
      </w:r>
      <w:r w:rsidR="00E04CAC">
        <w:rPr>
          <w:rFonts w:ascii="Arial" w:hAnsi="Arial" w:cs="Arial"/>
          <w:sz w:val="20"/>
          <w:szCs w:val="20"/>
        </w:rPr>
        <w:t>breeder management supplement</w:t>
      </w:r>
      <w:r w:rsidR="00174CC9">
        <w:rPr>
          <w:rFonts w:ascii="Arial" w:hAnsi="Arial" w:cs="Arial"/>
          <w:sz w:val="20"/>
          <w:szCs w:val="20"/>
        </w:rPr>
        <w:t xml:space="preserve">) </w:t>
      </w:r>
      <w:r w:rsidRPr="00EA7CD2">
        <w:rPr>
          <w:rFonts w:ascii="Arial" w:hAnsi="Arial" w:cs="Arial"/>
          <w:sz w:val="20"/>
          <w:szCs w:val="20"/>
        </w:rPr>
        <w:t>was offered across both housing systems to eliminate nutritional variation. Nipple drinkers served as the water source in both systems, with one nipple provided for every nine birds in the slat floor system and one nipple per three birds in the cage system, maintained consistently throughout the study.</w:t>
      </w:r>
    </w:p>
    <w:p w:rsidR="004D3805" w:rsidRPr="00EA7CD2" w:rsidRDefault="00CE75CD"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performance parameters recorded included weekly body weight, </w:t>
      </w:r>
      <w:r w:rsidR="00B22AC4" w:rsidRPr="00EA7CD2">
        <w:rPr>
          <w:rFonts w:ascii="Arial" w:hAnsi="Arial" w:cs="Arial"/>
          <w:sz w:val="20"/>
          <w:szCs w:val="20"/>
        </w:rPr>
        <w:t xml:space="preserve">body weight gain </w:t>
      </w:r>
      <w:r w:rsidRPr="00EA7CD2">
        <w:rPr>
          <w:rFonts w:ascii="Arial" w:hAnsi="Arial" w:cs="Arial"/>
          <w:sz w:val="20"/>
          <w:szCs w:val="20"/>
        </w:rPr>
        <w:t xml:space="preserve">and livability. </w:t>
      </w:r>
      <w:r w:rsidR="004D3805" w:rsidRPr="00EA7CD2">
        <w:rPr>
          <w:rFonts w:ascii="Arial" w:hAnsi="Arial" w:cs="Arial"/>
          <w:sz w:val="20"/>
          <w:szCs w:val="20"/>
        </w:rPr>
        <w:t>Additionally, at the end of the rearing period (22 weeks), 50 birds from each treatment group were randomly selected, and breast muscle score, shank length, and foot pad lesion scores were evaluated to assess welfare and skeletal health of the birds. The</w:t>
      </w:r>
      <w:r w:rsidRPr="00EA7CD2">
        <w:rPr>
          <w:rFonts w:ascii="Arial" w:hAnsi="Arial" w:cs="Arial"/>
          <w:sz w:val="20"/>
          <w:szCs w:val="20"/>
        </w:rPr>
        <w:t xml:space="preserve"> collected data were statistically analyzed to determine the effect of housing system on growth performance and welfare indicators in Cobb 430 broiler breeder pullets</w:t>
      </w:r>
      <w:r w:rsidR="004D3805" w:rsidRPr="00EA7CD2">
        <w:rPr>
          <w:rFonts w:ascii="Arial" w:hAnsi="Arial" w:cs="Arial"/>
          <w:sz w:val="20"/>
          <w:szCs w:val="20"/>
        </w:rPr>
        <w:t>.</w:t>
      </w:r>
    </w:p>
    <w:p w:rsidR="004D3805" w:rsidRPr="00EA7CD2" w:rsidRDefault="004D3805" w:rsidP="002E77C9">
      <w:pPr>
        <w:spacing w:after="0" w:line="240" w:lineRule="auto"/>
        <w:ind w:firstLine="720"/>
        <w:jc w:val="both"/>
        <w:rPr>
          <w:rFonts w:ascii="Arial" w:hAnsi="Arial" w:cs="Arial"/>
          <w:sz w:val="20"/>
          <w:szCs w:val="20"/>
        </w:rPr>
      </w:pPr>
      <w:r w:rsidRPr="00EA7CD2">
        <w:rPr>
          <w:rFonts w:ascii="Arial" w:hAnsi="Arial" w:cs="Arial"/>
          <w:sz w:val="20"/>
          <w:szCs w:val="20"/>
        </w:rPr>
        <w:t>The procedures followed for the collection of data on the above parameters are described below.</w:t>
      </w:r>
    </w:p>
    <w:p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Body weight and Body Weight Gain</w:t>
      </w:r>
    </w:p>
    <w:p w:rsidR="00B22AC4" w:rsidRPr="00EA7CD2" w:rsidRDefault="00B22AC4" w:rsidP="00B22AC4">
      <w:pPr>
        <w:spacing w:after="0" w:line="240" w:lineRule="auto"/>
        <w:ind w:left="720"/>
        <w:jc w:val="both"/>
        <w:rPr>
          <w:rFonts w:ascii="Arial" w:hAnsi="Arial" w:cs="Arial"/>
          <w:sz w:val="20"/>
          <w:szCs w:val="20"/>
        </w:rPr>
      </w:pPr>
    </w:p>
    <w:p w:rsidR="00470CE9" w:rsidRPr="00EA7CD2" w:rsidRDefault="00191C9B"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Body weight was recorded weekly throughout the experimental period. </w:t>
      </w:r>
      <w:r w:rsidR="00B22AC4" w:rsidRPr="00EA7CD2">
        <w:rPr>
          <w:rFonts w:ascii="Arial" w:hAnsi="Arial" w:cs="Arial"/>
          <w:sz w:val="20"/>
          <w:szCs w:val="20"/>
        </w:rPr>
        <w:t xml:space="preserve">A representative samplecomprising 5% of the population from each housing system was randomly selected, and individual bird weights were measured using a calibrated electronic weighing scale. </w:t>
      </w:r>
      <w:r w:rsidRPr="00EA7CD2">
        <w:rPr>
          <w:rFonts w:ascii="Arial" w:hAnsi="Arial" w:cs="Arial"/>
          <w:sz w:val="20"/>
          <w:szCs w:val="20"/>
        </w:rPr>
        <w:t>The average body weight for each group was calculated at the end of every week. Weekly body weight gain was determined as the difference between consecutive weekly average body weights. Daily feed intake was recorded concurrently for each treatment group to monitor feed consumption and evaluate growth performance.</w:t>
      </w:r>
    </w:p>
    <w:p w:rsidR="00470CE9" w:rsidRPr="00EA7CD2" w:rsidRDefault="00470CE9" w:rsidP="002E77C9">
      <w:pPr>
        <w:pStyle w:val="ListParagraph"/>
        <w:numPr>
          <w:ilvl w:val="1"/>
          <w:numId w:val="1"/>
        </w:numPr>
        <w:spacing w:after="0" w:line="240" w:lineRule="auto"/>
        <w:ind w:hanging="720"/>
        <w:jc w:val="both"/>
        <w:rPr>
          <w:rFonts w:ascii="Arial" w:hAnsi="Arial" w:cs="Arial"/>
          <w:b/>
          <w:bCs/>
          <w:sz w:val="20"/>
          <w:szCs w:val="20"/>
        </w:rPr>
      </w:pPr>
      <w:r w:rsidRPr="00EA7CD2">
        <w:rPr>
          <w:rFonts w:ascii="Arial" w:hAnsi="Arial" w:cs="Arial"/>
          <w:b/>
          <w:bCs/>
          <w:sz w:val="20"/>
          <w:szCs w:val="20"/>
        </w:rPr>
        <w:t>Livability</w:t>
      </w:r>
    </w:p>
    <w:p w:rsidR="00B22AC4" w:rsidRPr="00EA7CD2" w:rsidRDefault="00B22AC4" w:rsidP="00B22AC4">
      <w:pPr>
        <w:spacing w:after="0" w:line="240" w:lineRule="auto"/>
        <w:ind w:left="720"/>
        <w:jc w:val="both"/>
        <w:rPr>
          <w:rFonts w:ascii="Arial" w:hAnsi="Arial" w:cs="Arial"/>
          <w:b/>
          <w:bCs/>
          <w:sz w:val="20"/>
          <w:szCs w:val="20"/>
        </w:rPr>
      </w:pPr>
    </w:p>
    <w:p w:rsidR="00470CE9" w:rsidRPr="00EA7CD2" w:rsidRDefault="00470CE9" w:rsidP="00B22AC4">
      <w:pPr>
        <w:spacing w:after="0" w:line="240" w:lineRule="auto"/>
        <w:ind w:firstLine="720"/>
        <w:jc w:val="both"/>
        <w:rPr>
          <w:rFonts w:ascii="Arial" w:hAnsi="Arial" w:cs="Arial"/>
          <w:sz w:val="20"/>
          <w:szCs w:val="20"/>
        </w:rPr>
      </w:pPr>
      <w:r w:rsidRPr="00EA7CD2">
        <w:rPr>
          <w:rFonts w:ascii="Arial" w:hAnsi="Arial" w:cs="Arial"/>
          <w:sz w:val="20"/>
          <w:szCs w:val="20"/>
        </w:rPr>
        <w:t xml:space="preserve">Mortality in each treatment was recorded on daily basis. The cumulative livability was taken at the end of each week. Livability percentage was calculated by using the following formula </w:t>
      </w:r>
    </w:p>
    <w:p w:rsidR="00B22AC4" w:rsidRPr="00EA7CD2" w:rsidRDefault="00B22AC4" w:rsidP="00B22AC4">
      <w:pPr>
        <w:spacing w:after="0" w:line="240" w:lineRule="auto"/>
        <w:ind w:firstLine="720"/>
        <w:jc w:val="both"/>
        <w:rPr>
          <w:rFonts w:ascii="Arial" w:hAnsi="Arial" w:cs="Arial"/>
          <w:sz w:val="20"/>
          <w:szCs w:val="20"/>
        </w:rPr>
      </w:pPr>
    </w:p>
    <w:tbl>
      <w:tblPr>
        <w:tblW w:w="6372" w:type="dxa"/>
        <w:jc w:val="center"/>
        <w:tblLook w:val="0000"/>
      </w:tblPr>
      <w:tblGrid>
        <w:gridCol w:w="1898"/>
        <w:gridCol w:w="3582"/>
        <w:gridCol w:w="892"/>
      </w:tblGrid>
      <w:tr w:rsidR="00470CE9" w:rsidRPr="00EA7CD2" w:rsidTr="007515C3">
        <w:trPr>
          <w:trHeight w:val="274"/>
          <w:jc w:val="center"/>
        </w:trPr>
        <w:tc>
          <w:tcPr>
            <w:tcW w:w="1898" w:type="dxa"/>
            <w:vAlign w:val="center"/>
          </w:tcPr>
          <w:p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 - Mortality</w:t>
            </w:r>
          </w:p>
        </w:tc>
        <w:tc>
          <w:tcPr>
            <w:tcW w:w="892" w:type="dxa"/>
            <w:vAlign w:val="center"/>
          </w:tcPr>
          <w:p w:rsidR="00470CE9" w:rsidRPr="00EA7CD2" w:rsidRDefault="00470CE9" w:rsidP="002E77C9">
            <w:pPr>
              <w:spacing w:after="0" w:line="240" w:lineRule="auto"/>
              <w:jc w:val="both"/>
              <w:rPr>
                <w:rFonts w:ascii="Arial" w:eastAsia="Calibri" w:hAnsi="Arial" w:cs="Arial"/>
                <w:sz w:val="20"/>
                <w:szCs w:val="20"/>
              </w:rPr>
            </w:pPr>
          </w:p>
        </w:tc>
      </w:tr>
      <w:tr w:rsidR="00470CE9" w:rsidRPr="00EA7CD2" w:rsidTr="007515C3">
        <w:trPr>
          <w:trHeight w:val="298"/>
          <w:jc w:val="center"/>
        </w:trPr>
        <w:tc>
          <w:tcPr>
            <w:tcW w:w="1898" w:type="dxa"/>
            <w:vAlign w:val="center"/>
          </w:tcPr>
          <w:p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Livability (%) =</w:t>
            </w:r>
          </w:p>
        </w:tc>
        <w:tc>
          <w:tcPr>
            <w:tcW w:w="3582" w:type="dxa"/>
            <w:vAlign w:val="center"/>
          </w:tcPr>
          <w:p w:rsidR="00470CE9" w:rsidRPr="00EA7CD2" w:rsidRDefault="00050E1E" w:rsidP="002E77C9">
            <w:pPr>
              <w:spacing w:after="0" w:line="240" w:lineRule="auto"/>
              <w:jc w:val="both"/>
              <w:rPr>
                <w:rFonts w:ascii="Arial" w:eastAsia="Calibri" w:hAnsi="Arial" w:cs="Arial"/>
                <w:sz w:val="20"/>
                <w:szCs w:val="20"/>
              </w:rPr>
            </w:pPr>
            <w:r w:rsidRPr="00050E1E">
              <w:rPr>
                <w:rFonts w:ascii="Arial" w:eastAsia="Calibri" w:hAnsi="Arial" w:cs="Arial"/>
                <w:sz w:val="20"/>
                <w:szCs w:val="20"/>
              </w:rPr>
              <w:pict>
                <v:shapetype id="_x0000_t32" coordsize="21600,21600" o:spt="32" o:oned="t" path="m,l21600,21600e" filled="f">
                  <v:path arrowok="t" fillok="f" o:connecttype="none"/>
                  <o:lock v:ext="edit" shapetype="t"/>
                </v:shapetype>
                <v:shape id="AutoShape 11" o:spid="_x0000_s1026" type="#_x0000_t32" style="position:absolute;left:0;text-align:left;margin-left:-1.8pt;margin-top:8.05pt;width:166.15pt;height:0;z-index:251658240;mso-position-horizontal-relative:text;mso-position-vertical-relative:text" o:connectortype="straight"/>
              </w:pict>
            </w:r>
          </w:p>
        </w:tc>
        <w:tc>
          <w:tcPr>
            <w:tcW w:w="892" w:type="dxa"/>
            <w:vAlign w:val="center"/>
          </w:tcPr>
          <w:p w:rsidR="00470CE9" w:rsidRPr="00EA7CD2" w:rsidRDefault="00470CE9" w:rsidP="002E77C9">
            <w:pPr>
              <w:spacing w:after="0" w:line="240" w:lineRule="auto"/>
              <w:jc w:val="both"/>
              <w:rPr>
                <w:rFonts w:ascii="Arial" w:eastAsia="Calibri" w:hAnsi="Arial" w:cs="Arial"/>
                <w:sz w:val="20"/>
                <w:szCs w:val="20"/>
              </w:rPr>
            </w:pPr>
            <w:r w:rsidRPr="00EA7CD2">
              <w:rPr>
                <w:rFonts w:ascii="Arial" w:eastAsia="Calibri" w:hAnsi="Arial" w:cs="Arial"/>
                <w:sz w:val="20"/>
                <w:szCs w:val="20"/>
              </w:rPr>
              <w:t>× 100</w:t>
            </w:r>
          </w:p>
        </w:tc>
      </w:tr>
      <w:tr w:rsidR="00470CE9" w:rsidRPr="00EA7CD2" w:rsidTr="007515C3">
        <w:trPr>
          <w:trHeight w:val="337"/>
          <w:jc w:val="center"/>
        </w:trPr>
        <w:tc>
          <w:tcPr>
            <w:tcW w:w="1898" w:type="dxa"/>
            <w:vAlign w:val="center"/>
          </w:tcPr>
          <w:p w:rsidR="00470CE9" w:rsidRPr="00EA7CD2" w:rsidRDefault="00470CE9" w:rsidP="002E77C9">
            <w:pPr>
              <w:spacing w:after="0" w:line="240" w:lineRule="auto"/>
              <w:jc w:val="both"/>
              <w:rPr>
                <w:rFonts w:ascii="Arial" w:eastAsia="Calibri" w:hAnsi="Arial" w:cs="Arial"/>
                <w:sz w:val="20"/>
                <w:szCs w:val="20"/>
              </w:rPr>
            </w:pPr>
          </w:p>
        </w:tc>
        <w:tc>
          <w:tcPr>
            <w:tcW w:w="3582" w:type="dxa"/>
            <w:vAlign w:val="center"/>
          </w:tcPr>
          <w:p w:rsidR="00470CE9" w:rsidRPr="00EA7CD2" w:rsidRDefault="00470CE9" w:rsidP="00B22AC4">
            <w:pPr>
              <w:spacing w:after="0" w:line="240" w:lineRule="auto"/>
              <w:jc w:val="center"/>
              <w:rPr>
                <w:rFonts w:ascii="Arial" w:eastAsia="Calibri" w:hAnsi="Arial" w:cs="Arial"/>
                <w:sz w:val="20"/>
                <w:szCs w:val="20"/>
              </w:rPr>
            </w:pPr>
            <w:r w:rsidRPr="00EA7CD2">
              <w:rPr>
                <w:rFonts w:ascii="Arial" w:eastAsia="Calibri" w:hAnsi="Arial" w:cs="Arial"/>
                <w:sz w:val="20"/>
                <w:szCs w:val="20"/>
              </w:rPr>
              <w:t>Initial number of birds</w:t>
            </w:r>
          </w:p>
        </w:tc>
        <w:tc>
          <w:tcPr>
            <w:tcW w:w="892" w:type="dxa"/>
            <w:vAlign w:val="center"/>
          </w:tcPr>
          <w:p w:rsidR="00470CE9" w:rsidRPr="00EA7CD2" w:rsidRDefault="00470CE9" w:rsidP="002E77C9">
            <w:pPr>
              <w:spacing w:after="0" w:line="240" w:lineRule="auto"/>
              <w:jc w:val="both"/>
              <w:rPr>
                <w:rFonts w:ascii="Arial" w:eastAsia="Calibri" w:hAnsi="Arial" w:cs="Arial"/>
                <w:sz w:val="20"/>
                <w:szCs w:val="20"/>
              </w:rPr>
            </w:pPr>
          </w:p>
        </w:tc>
      </w:tr>
    </w:tbl>
    <w:p w:rsidR="002465CE" w:rsidRDefault="002465CE" w:rsidP="002465CE">
      <w:pPr>
        <w:pStyle w:val="ListParagraph"/>
        <w:spacing w:after="0" w:line="240" w:lineRule="auto"/>
        <w:jc w:val="both"/>
        <w:rPr>
          <w:rFonts w:ascii="Arial" w:hAnsi="Arial" w:cs="Arial"/>
          <w:b/>
          <w:sz w:val="20"/>
          <w:szCs w:val="20"/>
        </w:rPr>
      </w:pPr>
    </w:p>
    <w:p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lastRenderedPageBreak/>
        <w:t>Foot lesions</w:t>
      </w:r>
    </w:p>
    <w:p w:rsidR="00B22AC4" w:rsidRPr="00EA7CD2" w:rsidRDefault="00B22AC4" w:rsidP="00B22AC4">
      <w:pPr>
        <w:pStyle w:val="ListParagraph"/>
        <w:spacing w:after="0" w:line="240" w:lineRule="auto"/>
        <w:jc w:val="both"/>
        <w:rPr>
          <w:rFonts w:ascii="Arial" w:hAnsi="Arial" w:cs="Arial"/>
          <w:b/>
          <w:sz w:val="20"/>
          <w:szCs w:val="20"/>
        </w:rPr>
      </w:pPr>
    </w:p>
    <w:p w:rsidR="00470CE9" w:rsidRDefault="00470CE9" w:rsidP="002E77C9">
      <w:pPr>
        <w:spacing w:after="0" w:line="240" w:lineRule="auto"/>
        <w:jc w:val="both"/>
        <w:rPr>
          <w:rFonts w:ascii="Arial" w:hAnsi="Arial" w:cs="Arial"/>
          <w:sz w:val="20"/>
          <w:szCs w:val="20"/>
        </w:rPr>
      </w:pPr>
      <w:r w:rsidRPr="00EA7CD2">
        <w:rPr>
          <w:rFonts w:ascii="Arial" w:hAnsi="Arial" w:cs="Arial"/>
          <w:sz w:val="20"/>
          <w:szCs w:val="20"/>
        </w:rPr>
        <w:tab/>
      </w:r>
      <w:r w:rsidR="00A3582F" w:rsidRPr="00EA7CD2">
        <w:rPr>
          <w:rFonts w:ascii="Arial" w:hAnsi="Arial" w:cs="Arial"/>
          <w:sz w:val="20"/>
          <w:szCs w:val="20"/>
        </w:rPr>
        <w:t>Foot lesions were evaluat</w:t>
      </w:r>
      <w:r w:rsidR="00986064" w:rsidRPr="00EA7CD2">
        <w:rPr>
          <w:rFonts w:ascii="Arial" w:hAnsi="Arial" w:cs="Arial"/>
          <w:sz w:val="20"/>
          <w:szCs w:val="20"/>
        </w:rPr>
        <w:t>ed using a slightly modified 0–4</w:t>
      </w:r>
      <w:r w:rsidR="00A3582F" w:rsidRPr="00EA7CD2">
        <w:rPr>
          <w:rFonts w:ascii="Arial" w:hAnsi="Arial" w:cs="Arial"/>
          <w:sz w:val="20"/>
          <w:szCs w:val="20"/>
        </w:rPr>
        <w:t xml:space="preserve"> scoring system (</w:t>
      </w:r>
      <w:r w:rsidR="00A923E6" w:rsidRPr="00EA7CD2">
        <w:rPr>
          <w:rFonts w:ascii="Arial" w:hAnsi="Arial" w:cs="Arial"/>
          <w:sz w:val="20"/>
          <w:szCs w:val="20"/>
          <w:shd w:val="clear" w:color="auto" w:fill="FFFFFF"/>
        </w:rPr>
        <w:t xml:space="preserve">Güler </w:t>
      </w:r>
      <w:r w:rsidR="00A923E6" w:rsidRPr="00EA7CD2">
        <w:rPr>
          <w:rFonts w:ascii="Arial" w:hAnsi="Arial" w:cs="Arial"/>
          <w:i/>
          <w:iCs/>
          <w:sz w:val="20"/>
          <w:szCs w:val="20"/>
          <w:shd w:val="clear" w:color="auto" w:fill="FFFFFF"/>
        </w:rPr>
        <w:t>et al.</w:t>
      </w:r>
      <w:r w:rsidR="00A923E6" w:rsidRPr="00EA7CD2">
        <w:rPr>
          <w:rFonts w:ascii="Arial" w:hAnsi="Arial" w:cs="Arial"/>
          <w:sz w:val="20"/>
          <w:szCs w:val="20"/>
          <w:shd w:val="clear" w:color="auto" w:fill="FFFFFF"/>
        </w:rPr>
        <w:t>, 2021</w:t>
      </w:r>
      <w:r w:rsidR="00A3582F" w:rsidRPr="00EA7CD2">
        <w:rPr>
          <w:rFonts w:ascii="Arial" w:hAnsi="Arial" w:cs="Arial"/>
          <w:sz w:val="20"/>
          <w:szCs w:val="20"/>
        </w:rPr>
        <w:t>) to quantify the severity of injuries. The lesions included tissue damage, bleeding, coag</w:t>
      </w:r>
      <w:r w:rsidR="00805B49" w:rsidRPr="00EA7CD2">
        <w:rPr>
          <w:rFonts w:ascii="Arial" w:hAnsi="Arial" w:cs="Arial"/>
          <w:sz w:val="20"/>
          <w:szCs w:val="20"/>
        </w:rPr>
        <w:t>ulation, inflammation, necrosis</w:t>
      </w:r>
      <w:r w:rsidR="00A3582F" w:rsidRPr="00EA7CD2">
        <w:rPr>
          <w:rFonts w:ascii="Arial" w:hAnsi="Arial" w:cs="Arial"/>
          <w:sz w:val="20"/>
          <w:szCs w:val="20"/>
        </w:rPr>
        <w:t xml:space="preserve"> or hematoma affecting the foot pads.</w:t>
      </w:r>
    </w:p>
    <w:p w:rsidR="002C6D6F" w:rsidRPr="00EA7CD2" w:rsidRDefault="002C6D6F" w:rsidP="002E77C9">
      <w:pPr>
        <w:spacing w:after="0" w:line="240" w:lineRule="auto"/>
        <w:jc w:val="both"/>
        <w:rPr>
          <w:rFonts w:ascii="Arial" w:hAnsi="Arial" w:cs="Arial"/>
          <w:sz w:val="20"/>
          <w:szCs w:val="20"/>
        </w:rPr>
      </w:pPr>
      <w:r>
        <w:rPr>
          <w:rFonts w:ascii="Arial" w:hAnsi="Arial" w:cs="Arial"/>
          <w:sz w:val="20"/>
          <w:szCs w:val="20"/>
        </w:rPr>
        <w:t>List 1-</w:t>
      </w:r>
      <w:r w:rsidR="00D63310" w:rsidRPr="00D63310">
        <w:rPr>
          <w:rFonts w:ascii="Arial" w:hAnsi="Arial" w:cs="Arial"/>
          <w:b/>
          <w:bCs/>
          <w:sz w:val="20"/>
          <w:szCs w:val="20"/>
        </w:rPr>
        <w:t>Foot Pad Dermatitis (FPD) Scoring System</w:t>
      </w:r>
    </w:p>
    <w:tbl>
      <w:tblPr>
        <w:tblW w:w="9533" w:type="dxa"/>
        <w:jc w:val="center"/>
        <w:tblLook w:val="04A0"/>
      </w:tblPr>
      <w:tblGrid>
        <w:gridCol w:w="772"/>
        <w:gridCol w:w="8770"/>
      </w:tblGrid>
      <w:tr w:rsidR="003F56A6" w:rsidRPr="00EA7CD2" w:rsidTr="00986064">
        <w:trPr>
          <w:trHeight w:val="300"/>
          <w:jc w:val="center"/>
        </w:trPr>
        <w:tc>
          <w:tcPr>
            <w:tcW w:w="763" w:type="dxa"/>
            <w:tcBorders>
              <w:top w:val="single" w:sz="4" w:space="0" w:color="auto"/>
              <w:left w:val="single" w:sz="4" w:space="0" w:color="auto"/>
              <w:bottom w:val="single" w:sz="4" w:space="0" w:color="auto"/>
              <w:right w:val="single" w:sz="4" w:space="0" w:color="auto"/>
            </w:tcBorders>
            <w:noWrap/>
            <w:vAlign w:val="center"/>
            <w:hideMark/>
          </w:tcPr>
          <w:p w:rsidR="003F56A6" w:rsidRPr="00EA7CD2" w:rsidRDefault="003F56A6"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Score</w:t>
            </w:r>
          </w:p>
        </w:tc>
        <w:tc>
          <w:tcPr>
            <w:tcW w:w="8770" w:type="dxa"/>
            <w:tcBorders>
              <w:top w:val="single" w:sz="4" w:space="0" w:color="auto"/>
              <w:left w:val="nil"/>
              <w:bottom w:val="single" w:sz="4" w:space="0" w:color="auto"/>
              <w:right w:val="single" w:sz="4" w:space="0" w:color="auto"/>
            </w:tcBorders>
            <w:noWrap/>
            <w:vAlign w:val="center"/>
            <w:hideMark/>
          </w:tcPr>
          <w:p w:rsidR="003F56A6" w:rsidRPr="00EA7CD2" w:rsidRDefault="00004180" w:rsidP="00B22AC4">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Des</w:t>
            </w:r>
            <w:r w:rsidR="003F56A6" w:rsidRPr="00EA7CD2">
              <w:rPr>
                <w:rFonts w:ascii="Arial" w:eastAsia="Times New Roman" w:hAnsi="Arial" w:cs="Arial"/>
                <w:b/>
                <w:bCs/>
                <w:sz w:val="20"/>
                <w:szCs w:val="20"/>
              </w:rPr>
              <w:t>cription</w:t>
            </w:r>
          </w:p>
        </w:tc>
      </w:tr>
      <w:tr w:rsidR="003F56A6" w:rsidRPr="00EA7CD2"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0</w:t>
            </w:r>
          </w:p>
        </w:tc>
        <w:tc>
          <w:tcPr>
            <w:tcW w:w="8770" w:type="dxa"/>
            <w:tcBorders>
              <w:top w:val="nil"/>
              <w:left w:val="nil"/>
              <w:bottom w:val="single" w:sz="4" w:space="0" w:color="auto"/>
              <w:right w:val="single" w:sz="4" w:space="0" w:color="auto"/>
            </w:tcBorders>
            <w:noWrap/>
            <w:vAlign w:val="center"/>
            <w:hideMark/>
          </w:tcPr>
          <w:p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Healthy </w:t>
            </w:r>
            <w:r w:rsidR="00A923E6" w:rsidRPr="00EA7CD2">
              <w:rPr>
                <w:rFonts w:ascii="Arial" w:hAnsi="Arial" w:cs="Arial"/>
                <w:sz w:val="20"/>
                <w:szCs w:val="20"/>
              </w:rPr>
              <w:t>skin, no lesion</w:t>
            </w:r>
          </w:p>
        </w:tc>
      </w:tr>
      <w:tr w:rsidR="003F56A6" w:rsidRPr="00EA7CD2"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rsidR="003F56A6"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w:t>
            </w:r>
          </w:p>
        </w:tc>
        <w:tc>
          <w:tcPr>
            <w:tcW w:w="8770" w:type="dxa"/>
            <w:tcBorders>
              <w:top w:val="nil"/>
              <w:left w:val="nil"/>
              <w:bottom w:val="single" w:sz="4" w:space="0" w:color="auto"/>
              <w:right w:val="single" w:sz="4" w:space="0" w:color="auto"/>
            </w:tcBorders>
            <w:noWrap/>
            <w:vAlign w:val="center"/>
            <w:hideMark/>
          </w:tcPr>
          <w:p w:rsidR="003F56A6"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very small or superficial lesion, with less than 25% of the foot pad is covered with a lesion</w:t>
            </w:r>
          </w:p>
        </w:tc>
      </w:tr>
      <w:tr w:rsidR="00986064" w:rsidRPr="00EA7CD2"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w:t>
            </w:r>
          </w:p>
        </w:tc>
        <w:tc>
          <w:tcPr>
            <w:tcW w:w="8770" w:type="dxa"/>
            <w:tcBorders>
              <w:top w:val="nil"/>
              <w:left w:val="nil"/>
              <w:bottom w:val="single" w:sz="4" w:space="0" w:color="auto"/>
              <w:right w:val="single" w:sz="4" w:space="0" w:color="auto"/>
            </w:tcBorders>
            <w:noWrap/>
            <w:vAlign w:val="center"/>
            <w:hideMark/>
          </w:tcPr>
          <w:p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mild lesion/minor superficial lesion with between 25% and 50% of the foot pad is covered with a lesion</w:t>
            </w:r>
          </w:p>
        </w:tc>
      </w:tr>
      <w:tr w:rsidR="00986064" w:rsidRPr="00EA7CD2"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w:t>
            </w:r>
          </w:p>
        </w:tc>
        <w:tc>
          <w:tcPr>
            <w:tcW w:w="8770" w:type="dxa"/>
            <w:tcBorders>
              <w:top w:val="nil"/>
              <w:left w:val="nil"/>
              <w:bottom w:val="single" w:sz="4" w:space="0" w:color="auto"/>
              <w:right w:val="single" w:sz="4" w:space="0" w:color="auto"/>
            </w:tcBorders>
            <w:noWrap/>
            <w:vAlign w:val="center"/>
            <w:hideMark/>
          </w:tcPr>
          <w:p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A</w:t>
            </w:r>
            <w:r w:rsidR="00A923E6" w:rsidRPr="00EA7CD2">
              <w:rPr>
                <w:rFonts w:ascii="Arial" w:hAnsi="Arial" w:cs="Arial"/>
                <w:sz w:val="20"/>
                <w:szCs w:val="20"/>
              </w:rPr>
              <w:t xml:space="preserve"> medium-severity lesion/moderate hyperkeratosis with more than 50% of the foot pad is covered with a lesion</w:t>
            </w:r>
          </w:p>
        </w:tc>
      </w:tr>
      <w:tr w:rsidR="00986064" w:rsidRPr="00EA7CD2" w:rsidTr="00986064">
        <w:trPr>
          <w:trHeight w:val="300"/>
          <w:jc w:val="center"/>
        </w:trPr>
        <w:tc>
          <w:tcPr>
            <w:tcW w:w="763" w:type="dxa"/>
            <w:tcBorders>
              <w:top w:val="nil"/>
              <w:left w:val="single" w:sz="4" w:space="0" w:color="auto"/>
              <w:bottom w:val="single" w:sz="4" w:space="0" w:color="auto"/>
              <w:right w:val="single" w:sz="4" w:space="0" w:color="auto"/>
            </w:tcBorders>
            <w:noWrap/>
            <w:vAlign w:val="center"/>
            <w:hideMark/>
          </w:tcPr>
          <w:p w:rsidR="00986064" w:rsidRPr="00EA7CD2" w:rsidRDefault="00986064" w:rsidP="00B22AC4">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w:t>
            </w:r>
          </w:p>
        </w:tc>
        <w:tc>
          <w:tcPr>
            <w:tcW w:w="8770" w:type="dxa"/>
            <w:tcBorders>
              <w:top w:val="nil"/>
              <w:left w:val="nil"/>
              <w:bottom w:val="single" w:sz="4" w:space="0" w:color="auto"/>
              <w:right w:val="single" w:sz="4" w:space="0" w:color="auto"/>
            </w:tcBorders>
            <w:noWrap/>
            <w:vAlign w:val="center"/>
            <w:hideMark/>
          </w:tcPr>
          <w:p w:rsidR="00986064" w:rsidRPr="00EA7CD2" w:rsidRDefault="00B22AC4" w:rsidP="002E77C9">
            <w:pPr>
              <w:spacing w:after="0" w:line="240" w:lineRule="auto"/>
              <w:jc w:val="both"/>
              <w:rPr>
                <w:rFonts w:ascii="Arial" w:eastAsia="Times New Roman" w:hAnsi="Arial" w:cs="Arial"/>
                <w:sz w:val="20"/>
                <w:szCs w:val="20"/>
              </w:rPr>
            </w:pPr>
            <w:r w:rsidRPr="00EA7CD2">
              <w:rPr>
                <w:rFonts w:ascii="Arial" w:hAnsi="Arial" w:cs="Arial"/>
                <w:sz w:val="20"/>
                <w:szCs w:val="20"/>
              </w:rPr>
              <w:t xml:space="preserve">A </w:t>
            </w:r>
            <w:r w:rsidR="00A923E6" w:rsidRPr="00EA7CD2">
              <w:rPr>
                <w:rFonts w:ascii="Arial" w:hAnsi="Arial" w:cs="Arial"/>
                <w:sz w:val="20"/>
                <w:szCs w:val="20"/>
              </w:rPr>
              <w:t>severe lesion with more than 50% of the foot pad is covered with a lesion deep and large epithelial necrosis</w:t>
            </w:r>
          </w:p>
        </w:tc>
      </w:tr>
    </w:tbl>
    <w:p w:rsidR="003F56A6" w:rsidRPr="00EA7CD2" w:rsidRDefault="003F56A6" w:rsidP="002E77C9">
      <w:pPr>
        <w:spacing w:after="0" w:line="240" w:lineRule="auto"/>
        <w:jc w:val="both"/>
        <w:rPr>
          <w:rFonts w:ascii="Arial" w:hAnsi="Arial" w:cs="Arial"/>
          <w:sz w:val="20"/>
          <w:szCs w:val="20"/>
        </w:rPr>
      </w:pPr>
    </w:p>
    <w:p w:rsidR="00470CE9" w:rsidRPr="00EA7CD2" w:rsidRDefault="00470CE9" w:rsidP="002E77C9">
      <w:pPr>
        <w:pStyle w:val="ListParagraph"/>
        <w:numPr>
          <w:ilvl w:val="1"/>
          <w:numId w:val="1"/>
        </w:numPr>
        <w:spacing w:after="0" w:line="240" w:lineRule="auto"/>
        <w:ind w:hanging="720"/>
        <w:jc w:val="both"/>
        <w:rPr>
          <w:rFonts w:ascii="Arial" w:hAnsi="Arial" w:cs="Arial"/>
          <w:sz w:val="20"/>
          <w:szCs w:val="20"/>
        </w:rPr>
      </w:pPr>
      <w:r w:rsidRPr="00EA7CD2">
        <w:rPr>
          <w:rFonts w:ascii="Arial" w:hAnsi="Arial" w:cs="Arial"/>
          <w:b/>
          <w:sz w:val="20"/>
          <w:szCs w:val="20"/>
        </w:rPr>
        <w:t>Shank length</w:t>
      </w:r>
    </w:p>
    <w:p w:rsidR="00B22AC4" w:rsidRPr="00EA7CD2" w:rsidRDefault="00B22AC4" w:rsidP="00B22AC4">
      <w:pPr>
        <w:pStyle w:val="ListParagraph"/>
        <w:spacing w:after="0" w:line="240" w:lineRule="auto"/>
        <w:jc w:val="both"/>
        <w:rPr>
          <w:rFonts w:ascii="Arial" w:hAnsi="Arial" w:cs="Arial"/>
          <w:sz w:val="20"/>
          <w:szCs w:val="20"/>
        </w:rPr>
      </w:pPr>
    </w:p>
    <w:p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Shank length, an indicator of skeletal development and leg health, was measured from the upper tibial joint to the junction of the third and fourth toes using a digital vernier </w:t>
      </w:r>
      <w:r w:rsidR="00B22AC4" w:rsidRPr="00EA7CD2">
        <w:rPr>
          <w:rFonts w:ascii="Arial" w:hAnsi="Arial" w:cs="Arial"/>
          <w:sz w:val="20"/>
          <w:szCs w:val="20"/>
        </w:rPr>
        <w:t>calliper</w:t>
      </w:r>
      <w:r w:rsidRPr="00EA7CD2">
        <w:rPr>
          <w:rFonts w:ascii="Arial" w:hAnsi="Arial" w:cs="Arial"/>
          <w:sz w:val="20"/>
          <w:szCs w:val="20"/>
        </w:rPr>
        <w:t>. This measurement helped assess the effect of rearing systems on leg growth and overall skeletal integrity of the birds.</w:t>
      </w:r>
    </w:p>
    <w:p w:rsidR="00B22AC4" w:rsidRPr="00EA7CD2" w:rsidRDefault="00B22AC4" w:rsidP="002E77C9">
      <w:pPr>
        <w:spacing w:after="0" w:line="240" w:lineRule="auto"/>
        <w:jc w:val="both"/>
        <w:rPr>
          <w:rFonts w:ascii="Arial" w:hAnsi="Arial" w:cs="Arial"/>
          <w:sz w:val="20"/>
          <w:szCs w:val="20"/>
        </w:rPr>
      </w:pPr>
    </w:p>
    <w:p w:rsidR="00470CE9" w:rsidRPr="00EA7CD2" w:rsidRDefault="00470CE9" w:rsidP="002E77C9">
      <w:pPr>
        <w:pStyle w:val="ListParagraph"/>
        <w:numPr>
          <w:ilvl w:val="1"/>
          <w:numId w:val="1"/>
        </w:numPr>
        <w:spacing w:after="0" w:line="240" w:lineRule="auto"/>
        <w:ind w:hanging="720"/>
        <w:jc w:val="both"/>
        <w:rPr>
          <w:rFonts w:ascii="Arial" w:hAnsi="Arial" w:cs="Arial"/>
          <w:b/>
          <w:sz w:val="20"/>
          <w:szCs w:val="20"/>
        </w:rPr>
      </w:pPr>
      <w:r w:rsidRPr="00EA7CD2">
        <w:rPr>
          <w:rFonts w:ascii="Arial" w:hAnsi="Arial" w:cs="Arial"/>
          <w:b/>
          <w:sz w:val="20"/>
          <w:szCs w:val="20"/>
        </w:rPr>
        <w:t>Breast Score</w:t>
      </w:r>
    </w:p>
    <w:p w:rsidR="00B22AC4" w:rsidRPr="00EA7CD2" w:rsidRDefault="00B22AC4" w:rsidP="00B22AC4">
      <w:pPr>
        <w:pStyle w:val="ListParagraph"/>
        <w:spacing w:after="0" w:line="240" w:lineRule="auto"/>
        <w:jc w:val="both"/>
        <w:rPr>
          <w:rFonts w:ascii="Arial" w:hAnsi="Arial" w:cs="Arial"/>
          <w:b/>
          <w:sz w:val="20"/>
          <w:szCs w:val="20"/>
        </w:rPr>
      </w:pPr>
    </w:p>
    <w:p w:rsidR="00470CE9" w:rsidRPr="00EA7CD2" w:rsidRDefault="00470CE9" w:rsidP="002E77C9">
      <w:pPr>
        <w:spacing w:after="0" w:line="240" w:lineRule="auto"/>
        <w:jc w:val="both"/>
        <w:rPr>
          <w:rFonts w:ascii="Arial" w:hAnsi="Arial" w:cs="Arial"/>
          <w:sz w:val="20"/>
          <w:szCs w:val="20"/>
        </w:rPr>
      </w:pPr>
      <w:r w:rsidRPr="00EA7CD2">
        <w:rPr>
          <w:rFonts w:ascii="Arial" w:hAnsi="Arial" w:cs="Arial"/>
          <w:sz w:val="20"/>
          <w:szCs w:val="20"/>
        </w:rPr>
        <w:tab/>
        <w:t xml:space="preserve">Breast condition of the birds was evaluated using a five-point grading system (A–E), where </w:t>
      </w:r>
      <w:r w:rsidRPr="00EA7CD2">
        <w:rPr>
          <w:rStyle w:val="Strong"/>
          <w:rFonts w:ascii="Arial" w:hAnsi="Arial" w:cs="Arial"/>
          <w:sz w:val="20"/>
          <w:szCs w:val="20"/>
        </w:rPr>
        <w:t>A</w:t>
      </w:r>
      <w:r w:rsidRPr="00EA7CD2">
        <w:rPr>
          <w:rFonts w:ascii="Arial" w:hAnsi="Arial" w:cs="Arial"/>
          <w:sz w:val="20"/>
          <w:szCs w:val="20"/>
        </w:rPr>
        <w:t xml:space="preserve"> denoted good breast conformation with well-developed muscles and no deformities, while </w:t>
      </w:r>
      <w:r w:rsidRPr="00EA7CD2">
        <w:rPr>
          <w:rStyle w:val="Strong"/>
          <w:rFonts w:ascii="Arial" w:hAnsi="Arial" w:cs="Arial"/>
          <w:sz w:val="20"/>
          <w:szCs w:val="20"/>
        </w:rPr>
        <w:t>E</w:t>
      </w:r>
      <w:r w:rsidRPr="00EA7CD2">
        <w:rPr>
          <w:rFonts w:ascii="Arial" w:hAnsi="Arial" w:cs="Arial"/>
          <w:sz w:val="20"/>
          <w:szCs w:val="20"/>
        </w:rPr>
        <w:t xml:space="preserve"> indicated poor breast condition with underdeveloped or defective muscles. Each bird was individually examined, and the breast score was recorded based on visual appraisal and palpation. Scoring was done with a 5-point system modified from the official Finnish system used for broilers (Evira, 2011).</w:t>
      </w:r>
    </w:p>
    <w:p w:rsidR="005F1B48" w:rsidRPr="00EA7CD2" w:rsidRDefault="005F1B48" w:rsidP="005F1B48">
      <w:pPr>
        <w:pStyle w:val="ListParagraph"/>
        <w:spacing w:after="0" w:line="240" w:lineRule="auto"/>
        <w:jc w:val="both"/>
        <w:rPr>
          <w:rFonts w:ascii="Arial" w:hAnsi="Arial" w:cs="Arial"/>
          <w:b/>
          <w:sz w:val="20"/>
          <w:szCs w:val="20"/>
        </w:rPr>
      </w:pPr>
    </w:p>
    <w:p w:rsidR="000A5796" w:rsidRPr="00EA7CD2" w:rsidRDefault="005F1B48" w:rsidP="002E77C9">
      <w:pPr>
        <w:pStyle w:val="ListParagraph"/>
        <w:numPr>
          <w:ilvl w:val="0"/>
          <w:numId w:val="1"/>
        </w:numPr>
        <w:spacing w:after="0" w:line="240" w:lineRule="auto"/>
        <w:ind w:hanging="720"/>
        <w:jc w:val="both"/>
        <w:rPr>
          <w:rFonts w:ascii="Arial" w:hAnsi="Arial" w:cs="Arial"/>
          <w:b/>
        </w:rPr>
      </w:pPr>
      <w:r w:rsidRPr="00EA7CD2">
        <w:rPr>
          <w:rFonts w:ascii="Arial" w:hAnsi="Arial" w:cs="Arial"/>
          <w:b/>
        </w:rPr>
        <w:t>RESULT AND DISCUSSION</w:t>
      </w:r>
    </w:p>
    <w:p w:rsidR="000A5796" w:rsidRPr="00EA7CD2" w:rsidRDefault="000A5796" w:rsidP="002E77C9">
      <w:pPr>
        <w:pStyle w:val="ListParagraph"/>
        <w:spacing w:after="0" w:line="240" w:lineRule="auto"/>
        <w:jc w:val="both"/>
        <w:rPr>
          <w:rFonts w:ascii="Arial" w:hAnsi="Arial" w:cs="Arial"/>
          <w:b/>
          <w:sz w:val="20"/>
          <w:szCs w:val="20"/>
        </w:rPr>
      </w:pPr>
    </w:p>
    <w:p w:rsidR="000A5796" w:rsidRPr="00EA7CD2" w:rsidRDefault="000A5796" w:rsidP="002E77C9">
      <w:pPr>
        <w:pStyle w:val="ListParagraph"/>
        <w:numPr>
          <w:ilvl w:val="1"/>
          <w:numId w:val="1"/>
        </w:numPr>
        <w:spacing w:after="0" w:line="240" w:lineRule="auto"/>
        <w:ind w:hanging="720"/>
        <w:jc w:val="both"/>
        <w:rPr>
          <w:rFonts w:ascii="Arial" w:hAnsi="Arial" w:cs="Arial"/>
          <w:b/>
        </w:rPr>
      </w:pPr>
      <w:r w:rsidRPr="00EA7CD2">
        <w:rPr>
          <w:rFonts w:ascii="Arial" w:hAnsi="Arial" w:cs="Arial"/>
          <w:b/>
        </w:rPr>
        <w:t>Weekly Body Weight and Body Weight Gain of broiler breeders in cage and slat systems</w:t>
      </w:r>
    </w:p>
    <w:p w:rsidR="00B22AC4" w:rsidRPr="00EA7CD2" w:rsidRDefault="00B22AC4" w:rsidP="00B22AC4">
      <w:pPr>
        <w:pStyle w:val="ListParagraph"/>
        <w:spacing w:after="0" w:line="240" w:lineRule="auto"/>
        <w:jc w:val="both"/>
        <w:rPr>
          <w:rFonts w:ascii="Arial" w:hAnsi="Arial" w:cs="Arial"/>
          <w:b/>
        </w:rPr>
      </w:pPr>
    </w:p>
    <w:p w:rsidR="007833DE" w:rsidRPr="00EA7CD2" w:rsidRDefault="000A5796"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7833DE" w:rsidRPr="00EA7CD2">
        <w:rPr>
          <w:rFonts w:ascii="Arial" w:hAnsi="Arial" w:cs="Arial"/>
          <w:sz w:val="20"/>
          <w:szCs w:val="20"/>
        </w:rPr>
        <w:t xml:space="preserve">The weekly body weight performance of broiler breeders differed significantly </w:t>
      </w:r>
      <w:r w:rsidR="007833DE" w:rsidRPr="00EA7CD2">
        <w:rPr>
          <w:rFonts w:ascii="Arial" w:hAnsi="Arial" w:cs="Arial"/>
          <w:b/>
          <w:bCs/>
          <w:sz w:val="20"/>
          <w:szCs w:val="20"/>
        </w:rPr>
        <w:t>(</w:t>
      </w:r>
      <w:r w:rsidR="00B22AC4" w:rsidRPr="00EA7CD2">
        <w:rPr>
          <w:rStyle w:val="Strong"/>
          <w:rFonts w:ascii="Arial" w:hAnsi="Arial" w:cs="Arial"/>
          <w:b w:val="0"/>
          <w:bCs w:val="0"/>
          <w:i/>
          <w:iCs/>
          <w:sz w:val="20"/>
          <w:szCs w:val="20"/>
        </w:rPr>
        <w:t xml:space="preserve">P </w:t>
      </w:r>
      <w:r w:rsidR="007833DE" w:rsidRPr="00EA7CD2">
        <w:rPr>
          <w:rStyle w:val="Strong"/>
          <w:rFonts w:ascii="Arial" w:hAnsi="Arial" w:cs="Arial"/>
          <w:b w:val="0"/>
          <w:bCs w:val="0"/>
          <w:sz w:val="20"/>
          <w:szCs w:val="20"/>
        </w:rPr>
        <w:t>&lt; 0.01</w:t>
      </w:r>
      <w:r w:rsidR="007833DE" w:rsidRPr="00EA7CD2">
        <w:rPr>
          <w:rFonts w:ascii="Arial" w:hAnsi="Arial" w:cs="Arial"/>
          <w:b/>
          <w:bCs/>
          <w:sz w:val="20"/>
          <w:szCs w:val="20"/>
        </w:rPr>
        <w:t xml:space="preserve">) </w:t>
      </w:r>
      <w:r w:rsidR="007833DE" w:rsidRPr="00EA7CD2">
        <w:rPr>
          <w:rFonts w:ascii="Arial" w:hAnsi="Arial" w:cs="Arial"/>
          <w:sz w:val="20"/>
          <w:szCs w:val="20"/>
        </w:rPr>
        <w:t>between the cage and slat rearing systems throughout the experimental period (9</w:t>
      </w:r>
      <w:r w:rsidR="007833DE" w:rsidRPr="00EA7CD2">
        <w:rPr>
          <w:rFonts w:ascii="Arial" w:hAnsi="Arial" w:cs="Arial"/>
          <w:sz w:val="20"/>
          <w:szCs w:val="20"/>
          <w:vertAlign w:val="superscript"/>
        </w:rPr>
        <w:t>th</w:t>
      </w:r>
      <w:r w:rsidR="007833DE" w:rsidRPr="00EA7CD2">
        <w:rPr>
          <w:rFonts w:ascii="Arial" w:hAnsi="Arial" w:cs="Arial"/>
          <w:sz w:val="20"/>
          <w:szCs w:val="20"/>
        </w:rPr>
        <w:t>–22</w:t>
      </w:r>
      <w:r w:rsidR="007833DE" w:rsidRPr="00EA7CD2">
        <w:rPr>
          <w:rFonts w:ascii="Arial" w:hAnsi="Arial" w:cs="Arial"/>
          <w:sz w:val="20"/>
          <w:szCs w:val="20"/>
          <w:vertAlign w:val="superscript"/>
        </w:rPr>
        <w:t>nd</w:t>
      </w:r>
      <w:r w:rsidR="007833DE" w:rsidRPr="00EA7CD2">
        <w:rPr>
          <w:rFonts w:ascii="Arial" w:hAnsi="Arial" w:cs="Arial"/>
          <w:sz w:val="20"/>
          <w:szCs w:val="20"/>
        </w:rPr>
        <w:t>week of age). At the onset of the trial, both groups showed comparable body weights (1606 g in the cage system vs. 1605 g in the slat system), indicating uniform initial conditions. By the 9</w:t>
      </w:r>
      <w:r w:rsidR="007833DE" w:rsidRPr="00EA7CD2">
        <w:rPr>
          <w:rFonts w:ascii="Arial" w:hAnsi="Arial" w:cs="Arial"/>
          <w:sz w:val="20"/>
          <w:szCs w:val="20"/>
          <w:vertAlign w:val="superscript"/>
        </w:rPr>
        <w:t>th</w:t>
      </w:r>
      <w:r w:rsidR="007833DE" w:rsidRPr="00EA7CD2">
        <w:rPr>
          <w:rFonts w:ascii="Arial" w:hAnsi="Arial" w:cs="Arial"/>
          <w:sz w:val="20"/>
          <w:szCs w:val="20"/>
        </w:rPr>
        <w:t>week, cage-reared birds exhibited a higher mean body weight (1682.18 ± 0.81 g) than those in the slat system (1642.10 ± 1.21 g), and this advantage persisted for most of the rearing phase (Table 1).Although slat-reared birds recorded a transient increase in body weight during the 11</w:t>
      </w:r>
      <w:r w:rsidR="007833DE" w:rsidRPr="00EA7CD2">
        <w:rPr>
          <w:rFonts w:ascii="Arial" w:hAnsi="Arial" w:cs="Arial"/>
          <w:sz w:val="20"/>
          <w:szCs w:val="20"/>
          <w:vertAlign w:val="superscript"/>
        </w:rPr>
        <w:t>th</w:t>
      </w:r>
      <w:r w:rsidR="007833DE" w:rsidRPr="00EA7CD2">
        <w:rPr>
          <w:rFonts w:ascii="Arial" w:hAnsi="Arial" w:cs="Arial"/>
          <w:sz w:val="20"/>
          <w:szCs w:val="20"/>
        </w:rPr>
        <w:t>week (1861.42 ± 2.00 g vs. 1825.24 ± 0.70 g), cage-reared birds subsequently regained superiority from the 12</w:t>
      </w:r>
      <w:r w:rsidR="007833DE" w:rsidRPr="00EA7CD2">
        <w:rPr>
          <w:rFonts w:ascii="Arial" w:hAnsi="Arial" w:cs="Arial"/>
          <w:sz w:val="20"/>
          <w:szCs w:val="20"/>
          <w:vertAlign w:val="superscript"/>
        </w:rPr>
        <w:t>th</w:t>
      </w:r>
      <w:r w:rsidR="007833DE" w:rsidRPr="00EA7CD2">
        <w:rPr>
          <w:rFonts w:ascii="Arial" w:hAnsi="Arial" w:cs="Arial"/>
          <w:sz w:val="20"/>
          <w:szCs w:val="20"/>
        </w:rPr>
        <w:t>week onward. Marked differences were observed from the 13</w:t>
      </w:r>
      <w:r w:rsidR="007833DE" w:rsidRPr="00EA7CD2">
        <w:rPr>
          <w:rFonts w:ascii="Arial" w:hAnsi="Arial" w:cs="Arial"/>
          <w:sz w:val="20"/>
          <w:szCs w:val="20"/>
          <w:vertAlign w:val="superscript"/>
        </w:rPr>
        <w:t>th</w:t>
      </w:r>
      <w:r w:rsidR="007833DE" w:rsidRPr="00EA7CD2">
        <w:rPr>
          <w:rFonts w:ascii="Arial" w:hAnsi="Arial" w:cs="Arial"/>
          <w:sz w:val="20"/>
          <w:szCs w:val="20"/>
        </w:rPr>
        <w:t>week (2175.26 ± 1.09 g in cages vs. 1964.58 ± 2.02 g on slats), continuing until the end of the study, where cage-reared birds reached 3176.18 ± 1.73 g compared with 2974.66 ± 2.70 g in the slat system. These results clearly indicate that cage rearing promoted better weight gain and higher cumulative body weight across the rearing period.</w:t>
      </w:r>
    </w:p>
    <w:p w:rsidR="007833DE" w:rsidRPr="00EA7CD2" w:rsidRDefault="007833DE" w:rsidP="005F1B48">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Analysis of weekly body weight gain (Table 2) revealed statistically significant </w:t>
      </w:r>
      <w:r w:rsidR="00C82595" w:rsidRPr="00EA7CD2">
        <w:rPr>
          <w:rFonts w:ascii="Arial" w:hAnsi="Arial" w:cs="Arial"/>
          <w:b/>
          <w:bCs/>
          <w:i/>
          <w:iCs/>
          <w:sz w:val="20"/>
          <w:szCs w:val="20"/>
        </w:rPr>
        <w:t>(</w:t>
      </w:r>
      <w:r w:rsidR="00C82595" w:rsidRPr="00EA7CD2">
        <w:rPr>
          <w:rStyle w:val="Strong"/>
          <w:rFonts w:ascii="Arial" w:hAnsi="Arial" w:cs="Arial"/>
          <w:b w:val="0"/>
          <w:bCs w:val="0"/>
          <w:i/>
          <w:iCs/>
          <w:sz w:val="20"/>
          <w:szCs w:val="20"/>
        </w:rPr>
        <w:t>P</w:t>
      </w:r>
      <w:r w:rsidRPr="00EA7CD2">
        <w:rPr>
          <w:rStyle w:val="Strong"/>
          <w:rFonts w:ascii="Arial" w:hAnsi="Arial" w:cs="Arial"/>
          <w:b w:val="0"/>
          <w:bCs w:val="0"/>
          <w:sz w:val="20"/>
          <w:szCs w:val="20"/>
        </w:rPr>
        <w:t>&lt; 0.01</w:t>
      </w:r>
      <w:r w:rsidRPr="00EA7CD2">
        <w:rPr>
          <w:rFonts w:ascii="Arial" w:hAnsi="Arial" w:cs="Arial"/>
          <w:b/>
          <w:bCs/>
          <w:sz w:val="20"/>
          <w:szCs w:val="20"/>
        </w:rPr>
        <w:t>)</w:t>
      </w:r>
      <w:r w:rsidRPr="00EA7CD2">
        <w:rPr>
          <w:rFonts w:ascii="Arial" w:hAnsi="Arial" w:cs="Arial"/>
          <w:sz w:val="20"/>
          <w:szCs w:val="20"/>
        </w:rPr>
        <w:t xml:space="preserve"> differences between the two housing systems throughout the study. Cage-reared birds demonstrated consistently higher weekly gains during most weeks, with notable peaks observed at the 12</w:t>
      </w:r>
      <w:r w:rsidRPr="00EA7CD2">
        <w:rPr>
          <w:rFonts w:ascii="Arial" w:hAnsi="Arial" w:cs="Arial"/>
          <w:sz w:val="20"/>
          <w:szCs w:val="20"/>
          <w:vertAlign w:val="superscript"/>
        </w:rPr>
        <w:t>th</w:t>
      </w:r>
      <w:r w:rsidRPr="00EA7CD2">
        <w:rPr>
          <w:rFonts w:ascii="Arial" w:hAnsi="Arial" w:cs="Arial"/>
          <w:sz w:val="20"/>
          <w:szCs w:val="20"/>
        </w:rPr>
        <w:t>(196.48 ± 0.82 g), 18</w:t>
      </w:r>
      <w:r w:rsidRPr="00EA7CD2">
        <w:rPr>
          <w:rFonts w:ascii="Arial" w:hAnsi="Arial" w:cs="Arial"/>
          <w:sz w:val="20"/>
          <w:szCs w:val="20"/>
          <w:vertAlign w:val="superscript"/>
        </w:rPr>
        <w:t>th</w:t>
      </w:r>
      <w:r w:rsidRPr="00EA7CD2">
        <w:rPr>
          <w:rFonts w:ascii="Arial" w:hAnsi="Arial" w:cs="Arial"/>
          <w:sz w:val="20"/>
          <w:szCs w:val="20"/>
        </w:rPr>
        <w:t>(143.94 ± 0.23 g), 20</w:t>
      </w:r>
      <w:r w:rsidRPr="00EA7CD2">
        <w:rPr>
          <w:rFonts w:ascii="Arial" w:hAnsi="Arial" w:cs="Arial"/>
          <w:sz w:val="20"/>
          <w:szCs w:val="20"/>
          <w:vertAlign w:val="superscript"/>
        </w:rPr>
        <w:t>th</w:t>
      </w:r>
      <w:r w:rsidR="00C82595" w:rsidRPr="00EA7CD2">
        <w:rPr>
          <w:rFonts w:ascii="Arial" w:hAnsi="Arial" w:cs="Arial"/>
          <w:sz w:val="20"/>
          <w:szCs w:val="20"/>
        </w:rPr>
        <w:t xml:space="preserve"> (147.10 ± 0.12 g), and 22</w:t>
      </w:r>
      <w:r w:rsidR="00C82595" w:rsidRPr="00EA7CD2">
        <w:rPr>
          <w:rFonts w:ascii="Arial" w:hAnsi="Arial" w:cs="Arial"/>
          <w:sz w:val="20"/>
          <w:szCs w:val="20"/>
          <w:vertAlign w:val="superscript"/>
        </w:rPr>
        <w:t>nd</w:t>
      </w:r>
      <w:r w:rsidRPr="00EA7CD2">
        <w:rPr>
          <w:rFonts w:ascii="Arial" w:hAnsi="Arial" w:cs="Arial"/>
          <w:sz w:val="20"/>
          <w:szCs w:val="20"/>
        </w:rPr>
        <w:t>week (208.22 ± 0.14 g). Conversely, slat-reared birds exhibited relatively high</w:t>
      </w:r>
      <w:r w:rsidR="00C82595" w:rsidRPr="00EA7CD2">
        <w:rPr>
          <w:rFonts w:ascii="Arial" w:hAnsi="Arial" w:cs="Arial"/>
          <w:sz w:val="20"/>
          <w:szCs w:val="20"/>
        </w:rPr>
        <w:t>er weight gains during the 11</w:t>
      </w:r>
      <w:r w:rsidR="00C82595" w:rsidRPr="00EA7CD2">
        <w:rPr>
          <w:rFonts w:ascii="Arial" w:hAnsi="Arial" w:cs="Arial"/>
          <w:sz w:val="20"/>
          <w:szCs w:val="20"/>
          <w:vertAlign w:val="superscript"/>
        </w:rPr>
        <w:t>th</w:t>
      </w:r>
      <w:r w:rsidRPr="00EA7CD2">
        <w:rPr>
          <w:rFonts w:ascii="Arial" w:hAnsi="Arial" w:cs="Arial"/>
          <w:sz w:val="20"/>
          <w:szCs w:val="20"/>
        </w:rPr>
        <w:t>(120.70 ± 0.65 g), 1</w:t>
      </w:r>
      <w:r w:rsidR="00C82595" w:rsidRPr="00EA7CD2">
        <w:rPr>
          <w:rFonts w:ascii="Arial" w:hAnsi="Arial" w:cs="Arial"/>
          <w:sz w:val="20"/>
          <w:szCs w:val="20"/>
        </w:rPr>
        <w:t>5th (141.20 ± 0.46 g), and 21</w:t>
      </w:r>
      <w:r w:rsidR="00C82595" w:rsidRPr="00EA7CD2">
        <w:rPr>
          <w:rFonts w:ascii="Arial" w:hAnsi="Arial" w:cs="Arial"/>
          <w:sz w:val="20"/>
          <w:szCs w:val="20"/>
          <w:vertAlign w:val="superscript"/>
        </w:rPr>
        <w:t>st</w:t>
      </w:r>
      <w:r w:rsidRPr="00EA7CD2">
        <w:rPr>
          <w:rFonts w:ascii="Arial" w:hAnsi="Arial" w:cs="Arial"/>
          <w:sz w:val="20"/>
          <w:szCs w:val="20"/>
        </w:rPr>
        <w:t>week (293.32 ± 0.41 g), suggesting intermittent growth responses associated with greater physical activity.</w:t>
      </w:r>
    </w:p>
    <w:p w:rsidR="007833DE" w:rsidRPr="00EA7CD2" w:rsidRDefault="008E129A"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t xml:space="preserve">Cage-reared broiler breeders consistently exhibited higher body weights and body weight gains compared to slat-reared birds throughout most of the experimental period. </w:t>
      </w:r>
      <w:r w:rsidR="00636913" w:rsidRPr="00EA7CD2">
        <w:rPr>
          <w:rFonts w:ascii="Arial" w:hAnsi="Arial" w:cs="Arial"/>
          <w:sz w:val="20"/>
          <w:szCs w:val="20"/>
        </w:rPr>
        <w:t xml:space="preserve">The results are similar to the findings of Abdel-Azeem (2019), who also observed high cumulative body weight in </w:t>
      </w:r>
      <w:r w:rsidR="00636913" w:rsidRPr="00EA7CD2">
        <w:rPr>
          <w:rFonts w:ascii="Arial" w:hAnsi="Arial" w:cs="Arial"/>
          <w:sz w:val="20"/>
          <w:szCs w:val="20"/>
        </w:rPr>
        <w:lastRenderedPageBreak/>
        <w:t xml:space="preserve">broilers reared under cages rather than slat floor system. </w:t>
      </w:r>
      <w:r w:rsidRPr="00EA7CD2">
        <w:rPr>
          <w:rFonts w:ascii="Arial" w:hAnsi="Arial" w:cs="Arial"/>
          <w:sz w:val="20"/>
          <w:szCs w:val="20"/>
        </w:rPr>
        <w:t>This is likely due to reduced physical activity and more controlled feeding in cages, wh</w:t>
      </w:r>
      <w:r w:rsidR="006B5599" w:rsidRPr="00EA7CD2">
        <w:rPr>
          <w:rFonts w:ascii="Arial" w:hAnsi="Arial" w:cs="Arial"/>
          <w:sz w:val="20"/>
          <w:szCs w:val="20"/>
        </w:rPr>
        <w:t xml:space="preserve">ich allows birds to conserve energy, </w:t>
      </w:r>
      <w:r w:rsidR="00FF2949" w:rsidRPr="00EA7CD2">
        <w:rPr>
          <w:rFonts w:ascii="Arial" w:hAnsi="Arial" w:cs="Arial"/>
          <w:sz w:val="20"/>
          <w:szCs w:val="20"/>
        </w:rPr>
        <w:t>channelling</w:t>
      </w:r>
      <w:r w:rsidR="006B5599" w:rsidRPr="00EA7CD2">
        <w:rPr>
          <w:rFonts w:ascii="Arial" w:hAnsi="Arial" w:cs="Arial"/>
          <w:sz w:val="20"/>
          <w:szCs w:val="20"/>
        </w:rPr>
        <w:t xml:space="preserve"> more nutrients toward body mass accretion</w:t>
      </w:r>
      <w:r w:rsidRPr="00EA7CD2">
        <w:rPr>
          <w:rFonts w:ascii="Arial" w:hAnsi="Arial" w:cs="Arial"/>
          <w:sz w:val="20"/>
          <w:szCs w:val="20"/>
        </w:rPr>
        <w:t xml:space="preserve"> (Melnychuk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2004). </w:t>
      </w:r>
      <w:r w:rsidR="00CF4B12" w:rsidRPr="00EA7CD2">
        <w:rPr>
          <w:rFonts w:ascii="Arial" w:hAnsi="Arial" w:cs="Arial"/>
          <w:sz w:val="20"/>
          <w:szCs w:val="20"/>
        </w:rPr>
        <w:t xml:space="preserve">In contrast, the slightly higher gains recorded by slat-reared birds during certain weeks may be linked to </w:t>
      </w:r>
      <w:r w:rsidRPr="00EA7CD2">
        <w:rPr>
          <w:rFonts w:ascii="Arial" w:hAnsi="Arial" w:cs="Arial"/>
          <w:sz w:val="20"/>
          <w:szCs w:val="20"/>
        </w:rPr>
        <w:t xml:space="preserve">enhanced movement, better space utilization, and greater opportunity for exercise in the slat environment, which can stimulate </w:t>
      </w:r>
      <w:r w:rsidR="00CF4B12" w:rsidRPr="00EA7CD2">
        <w:rPr>
          <w:rFonts w:ascii="Arial" w:hAnsi="Arial" w:cs="Arial"/>
          <w:sz w:val="20"/>
          <w:szCs w:val="20"/>
        </w:rPr>
        <w:t xml:space="preserve">feed intake and ultimately in </w:t>
      </w:r>
      <w:r w:rsidRPr="00EA7CD2">
        <w:rPr>
          <w:rFonts w:ascii="Arial" w:hAnsi="Arial" w:cs="Arial"/>
          <w:sz w:val="20"/>
          <w:szCs w:val="20"/>
        </w:rPr>
        <w:t xml:space="preserve">muscle development at particular growth phases (Leone </w:t>
      </w:r>
      <w:r w:rsidRPr="00EA7CD2">
        <w:rPr>
          <w:rFonts w:ascii="Arial" w:hAnsi="Arial" w:cs="Arial"/>
          <w:i/>
          <w:iCs/>
          <w:sz w:val="20"/>
          <w:szCs w:val="20"/>
        </w:rPr>
        <w:t>et al.</w:t>
      </w:r>
      <w:r w:rsidRPr="00EA7CD2">
        <w:rPr>
          <w:rFonts w:ascii="Arial" w:hAnsi="Arial" w:cs="Arial"/>
          <w:i/>
          <w:sz w:val="20"/>
          <w:szCs w:val="20"/>
        </w:rPr>
        <w:t>,</w:t>
      </w:r>
      <w:r w:rsidRPr="00EA7CD2">
        <w:rPr>
          <w:rFonts w:ascii="Arial" w:hAnsi="Arial" w:cs="Arial"/>
          <w:sz w:val="20"/>
          <w:szCs w:val="20"/>
        </w:rPr>
        <w:t xml:space="preserve"> 2010). </w:t>
      </w:r>
    </w:p>
    <w:p w:rsidR="00C82595" w:rsidRPr="00EA7CD2" w:rsidRDefault="00C82595" w:rsidP="002E77C9">
      <w:pPr>
        <w:spacing w:after="0" w:line="240" w:lineRule="auto"/>
        <w:jc w:val="both"/>
        <w:rPr>
          <w:rFonts w:ascii="Arial" w:hAnsi="Arial" w:cs="Arial"/>
          <w:b/>
          <w:sz w:val="20"/>
          <w:szCs w:val="20"/>
        </w:rPr>
      </w:pPr>
    </w:p>
    <w:p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 xml:space="preserve">Table 1: </w:t>
      </w:r>
      <w:r w:rsidRPr="00EA7CD2">
        <w:rPr>
          <w:rFonts w:ascii="Arial" w:hAnsi="Arial" w:cs="Arial"/>
          <w:b/>
          <w:bCs/>
          <w:sz w:val="20"/>
          <w:szCs w:val="20"/>
        </w:rPr>
        <w:t xml:space="preserve">Comparative </w:t>
      </w:r>
      <w:r w:rsidR="00191C9B" w:rsidRPr="00EA7CD2">
        <w:rPr>
          <w:rFonts w:ascii="Arial" w:hAnsi="Arial" w:cs="Arial"/>
          <w:b/>
          <w:bCs/>
          <w:sz w:val="20"/>
          <w:szCs w:val="20"/>
        </w:rPr>
        <w:t xml:space="preserve">weekly </w:t>
      </w:r>
      <w:r w:rsidRPr="00EA7CD2">
        <w:rPr>
          <w:rFonts w:ascii="Arial" w:hAnsi="Arial" w:cs="Arial"/>
          <w:b/>
          <w:bCs/>
          <w:sz w:val="20"/>
          <w:szCs w:val="20"/>
        </w:rPr>
        <w:t>body weight performance of broiler breeders in cage and slat systems</w:t>
      </w:r>
    </w:p>
    <w:tbl>
      <w:tblPr>
        <w:tblW w:w="6069" w:type="dxa"/>
        <w:jc w:val="center"/>
        <w:tblLook w:val="04A0"/>
      </w:tblPr>
      <w:tblGrid>
        <w:gridCol w:w="896"/>
        <w:gridCol w:w="2123"/>
        <w:gridCol w:w="2003"/>
        <w:gridCol w:w="1047"/>
      </w:tblGrid>
      <w:tr w:rsidR="00041413" w:rsidRPr="00EA7CD2" w:rsidTr="007515C3">
        <w:trPr>
          <w:trHeight w:val="300"/>
          <w:jc w:val="center"/>
        </w:trPr>
        <w:tc>
          <w:tcPr>
            <w:tcW w:w="896" w:type="dxa"/>
            <w:tcBorders>
              <w:top w:val="single" w:sz="4" w:space="0" w:color="auto"/>
              <w:left w:val="single" w:sz="4" w:space="0" w:color="auto"/>
              <w:bottom w:val="single" w:sz="4" w:space="0" w:color="auto"/>
              <w:right w:val="single" w:sz="4" w:space="0" w:color="auto"/>
            </w:tcBorders>
            <w:vAlign w:val="center"/>
          </w:tcPr>
          <w:p w:rsidR="00041413" w:rsidRPr="00EA7CD2" w:rsidRDefault="00041413"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23" w:type="dxa"/>
            <w:tcBorders>
              <w:top w:val="single" w:sz="4" w:space="0" w:color="auto"/>
              <w:left w:val="nil"/>
              <w:bottom w:val="single" w:sz="4" w:space="0" w:color="auto"/>
              <w:right w:val="single" w:sz="4" w:space="0" w:color="auto"/>
            </w:tcBorders>
            <w:noWrap/>
            <w:vAlign w:val="center"/>
            <w:hideMark/>
          </w:tcPr>
          <w:p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Cage System (gm)</w:t>
            </w:r>
          </w:p>
        </w:tc>
        <w:tc>
          <w:tcPr>
            <w:tcW w:w="2003" w:type="dxa"/>
            <w:tcBorders>
              <w:top w:val="single" w:sz="4" w:space="0" w:color="auto"/>
              <w:left w:val="nil"/>
              <w:bottom w:val="single" w:sz="4" w:space="0" w:color="auto"/>
              <w:right w:val="single" w:sz="4" w:space="0" w:color="auto"/>
            </w:tcBorders>
            <w:noWrap/>
            <w:vAlign w:val="center"/>
            <w:hideMark/>
          </w:tcPr>
          <w:p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Slat System (gm)</w:t>
            </w:r>
          </w:p>
        </w:tc>
        <w:tc>
          <w:tcPr>
            <w:tcW w:w="1047" w:type="dxa"/>
            <w:tcBorders>
              <w:top w:val="single" w:sz="4" w:space="0" w:color="auto"/>
              <w:left w:val="nil"/>
              <w:bottom w:val="single" w:sz="4" w:space="0" w:color="auto"/>
              <w:right w:val="single" w:sz="4" w:space="0" w:color="auto"/>
            </w:tcBorders>
            <w:noWrap/>
            <w:vAlign w:val="center"/>
            <w:hideMark/>
          </w:tcPr>
          <w:p w:rsidR="00041413" w:rsidRPr="00EA7CD2" w:rsidRDefault="00041413" w:rsidP="002E77C9">
            <w:pPr>
              <w:spacing w:after="0" w:line="240" w:lineRule="auto"/>
              <w:jc w:val="both"/>
              <w:rPr>
                <w:rFonts w:ascii="Arial" w:eastAsia="Times New Roman" w:hAnsi="Arial" w:cs="Arial"/>
                <w:b/>
                <w:sz w:val="20"/>
                <w:szCs w:val="20"/>
              </w:rPr>
            </w:pPr>
            <w:r w:rsidRPr="00EA7CD2">
              <w:rPr>
                <w:rFonts w:ascii="Arial" w:eastAsia="Times New Roman" w:hAnsi="Arial" w:cs="Arial"/>
                <w:b/>
                <w:sz w:val="20"/>
                <w:szCs w:val="20"/>
              </w:rPr>
              <w:t>t value</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9</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1682.18 ± 0.80</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1642.1 ± 1.21</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27.57**</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10</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1764.44 ± 0.95</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1740.72 ± 1.38</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14.11**</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11</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1825.24 ± 0.70</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1861.42 ± 2.0</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17.15**</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12</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2021.84 ± 0.50</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1894.56 ± 1.71</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71.37**</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13</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2175.26 ± 1.08</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1964.58 ± 2.02</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91.85**</w:t>
            </w:r>
          </w:p>
        </w:tc>
      </w:tr>
      <w:tr w:rsidR="00041413" w:rsidRPr="00EA7CD2" w:rsidTr="007515C3">
        <w:trPr>
          <w:trHeight w:val="300"/>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14</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2236.44 ± 1.17</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2060.00 ± 2.69</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60.20**</w:t>
            </w:r>
          </w:p>
        </w:tc>
      </w:tr>
      <w:tr w:rsidR="00041413" w:rsidRPr="00EA7CD2" w:rsidTr="007515C3">
        <w:trPr>
          <w:cantSplit/>
          <w:trHeight w:val="268"/>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15</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2316.88 ± 1.14</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2201.2 ± 2.70</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39.46**</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16</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2363.18 ± 1.20</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2312.96 ± 1.76</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23.51**</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17</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1.21</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2423.36 ± 1.70</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33.51**</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18</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2567.24 ± 1.37</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2354.24 ± 2.05</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57.16**</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19</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2637.78 ± 1.51</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2445.7 ± 2.15</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72.93**</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20</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2784.9 ± 1.60</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2540.4 ± 2.19</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90.17**</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21</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2967.94 ± 1.65</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2833.72 ± 2.51</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44.62**</w:t>
            </w:r>
          </w:p>
        </w:tc>
      </w:tr>
      <w:tr w:rsidR="00041413" w:rsidRPr="00EA7CD2" w:rsidTr="007515C3">
        <w:trPr>
          <w:cantSplit/>
          <w:trHeight w:val="315"/>
          <w:jc w:val="center"/>
        </w:trPr>
        <w:tc>
          <w:tcPr>
            <w:tcW w:w="896" w:type="dxa"/>
            <w:tcBorders>
              <w:top w:val="nil"/>
              <w:left w:val="single" w:sz="4" w:space="0" w:color="auto"/>
              <w:bottom w:val="single" w:sz="4" w:space="0" w:color="auto"/>
              <w:right w:val="single" w:sz="4" w:space="0" w:color="auto"/>
            </w:tcBorders>
            <w:vAlign w:val="center"/>
          </w:tcPr>
          <w:p w:rsidR="00041413" w:rsidRPr="00EA7CD2" w:rsidRDefault="00041413" w:rsidP="00C82595">
            <w:pPr>
              <w:spacing w:after="0" w:line="240" w:lineRule="auto"/>
              <w:jc w:val="center"/>
              <w:rPr>
                <w:rFonts w:ascii="Arial" w:eastAsia="Times New Roman" w:hAnsi="Arial" w:cs="Arial"/>
                <w:b/>
                <w:sz w:val="20"/>
                <w:szCs w:val="20"/>
              </w:rPr>
            </w:pPr>
            <w:r w:rsidRPr="00EA7CD2">
              <w:rPr>
                <w:rFonts w:ascii="Arial" w:eastAsia="Times New Roman" w:hAnsi="Arial" w:cs="Arial"/>
                <w:b/>
                <w:sz w:val="20"/>
                <w:szCs w:val="20"/>
              </w:rPr>
              <w:t>22</w:t>
            </w:r>
          </w:p>
        </w:tc>
        <w:tc>
          <w:tcPr>
            <w:tcW w:w="212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3176.18 ± 1.73</w:t>
            </w:r>
          </w:p>
        </w:tc>
        <w:tc>
          <w:tcPr>
            <w:tcW w:w="2003"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2974.66 ± 2.69</w:t>
            </w:r>
          </w:p>
        </w:tc>
        <w:tc>
          <w:tcPr>
            <w:tcW w:w="1047"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62.89**</w:t>
            </w:r>
          </w:p>
        </w:tc>
      </w:tr>
    </w:tbl>
    <w:p w:rsidR="00041413" w:rsidRPr="00EA7CD2" w:rsidRDefault="00C82595"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ab/>
      </w:r>
      <w:r w:rsidR="00041413" w:rsidRPr="00EA7CD2">
        <w:rPr>
          <w:rFonts w:ascii="Arial" w:hAnsi="Arial" w:cs="Arial"/>
          <w:i/>
          <w:sz w:val="20"/>
          <w:szCs w:val="20"/>
        </w:rPr>
        <w:t>(n=50)</w:t>
      </w:r>
    </w:p>
    <w:p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rsidR="00C82595" w:rsidRPr="00EA7CD2" w:rsidRDefault="00C82595" w:rsidP="002E77C9">
      <w:pPr>
        <w:spacing w:after="0" w:line="240" w:lineRule="auto"/>
        <w:jc w:val="both"/>
        <w:rPr>
          <w:rFonts w:ascii="Arial" w:hAnsi="Arial" w:cs="Arial"/>
          <w:i/>
          <w:sz w:val="20"/>
          <w:szCs w:val="20"/>
        </w:rPr>
      </w:pPr>
    </w:p>
    <w:p w:rsidR="00041413" w:rsidRPr="00EA7CD2" w:rsidRDefault="00041413" w:rsidP="00C82595">
      <w:pPr>
        <w:spacing w:after="0" w:line="240" w:lineRule="auto"/>
        <w:jc w:val="center"/>
        <w:rPr>
          <w:rFonts w:ascii="Arial" w:hAnsi="Arial" w:cs="Arial"/>
          <w:b/>
          <w:sz w:val="20"/>
          <w:szCs w:val="20"/>
        </w:rPr>
      </w:pPr>
      <w:r w:rsidRPr="00EA7CD2">
        <w:rPr>
          <w:rFonts w:ascii="Arial" w:hAnsi="Arial" w:cs="Arial"/>
          <w:b/>
          <w:sz w:val="20"/>
          <w:szCs w:val="20"/>
        </w:rPr>
        <w:t>Table 2: Comparative body weight gain of broiler breeders in cage and slat systems</w:t>
      </w:r>
    </w:p>
    <w:p w:rsidR="00C82595" w:rsidRPr="00EA7CD2" w:rsidRDefault="00C82595" w:rsidP="00C82595">
      <w:pPr>
        <w:spacing w:after="0" w:line="240" w:lineRule="auto"/>
        <w:jc w:val="center"/>
        <w:rPr>
          <w:rFonts w:ascii="Arial" w:hAnsi="Arial" w:cs="Arial"/>
          <w:b/>
          <w:sz w:val="20"/>
          <w:szCs w:val="20"/>
        </w:rPr>
      </w:pPr>
    </w:p>
    <w:tbl>
      <w:tblPr>
        <w:tblW w:w="6418" w:type="dxa"/>
        <w:jc w:val="center"/>
        <w:tblLook w:val="04A0"/>
      </w:tblPr>
      <w:tblGrid>
        <w:gridCol w:w="923"/>
        <w:gridCol w:w="2189"/>
        <w:gridCol w:w="2070"/>
        <w:gridCol w:w="1236"/>
      </w:tblGrid>
      <w:tr w:rsidR="00041413" w:rsidRPr="00EA7CD2" w:rsidTr="00C82595">
        <w:trPr>
          <w:trHeight w:val="35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2189" w:type="dxa"/>
            <w:tcBorders>
              <w:top w:val="single" w:sz="4" w:space="0" w:color="auto"/>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 (gm)</w:t>
            </w:r>
          </w:p>
        </w:tc>
        <w:tc>
          <w:tcPr>
            <w:tcW w:w="2070" w:type="dxa"/>
            <w:tcBorders>
              <w:top w:val="single" w:sz="4" w:space="0" w:color="auto"/>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 (gm)</w:t>
            </w:r>
          </w:p>
        </w:tc>
        <w:tc>
          <w:tcPr>
            <w:tcW w:w="1236" w:type="dxa"/>
            <w:tcBorders>
              <w:top w:val="single" w:sz="4" w:space="0" w:color="auto"/>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t value</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66.86 ± 3.44</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39.42 ± 0.29</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7.95**</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81.98 ± 1.29</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98.62 ± 0.40</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12.33**</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60.86 ± 0.99</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120.7 ± 0.65</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50.34**</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196.48 ± 0.82</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33.14 ± 0.41</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178.54**</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153.36 ± 1.16</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70.02 ± 0.35</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68.88**</w:t>
            </w:r>
          </w:p>
        </w:tc>
      </w:tr>
      <w:tr w:rsidR="00041413" w:rsidRPr="00EA7CD2" w:rsidTr="00C82595">
        <w:trPr>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61.14 ± 0.21</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95.42 ± 0.81</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40.84**</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80.44 ± 0.21</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141.2 ± 0.46</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121.34**</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46.26 ± 0.18</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111.76 ± 1.08</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59.97**</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60.18 ± 0.06</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40.28 ± 0.13</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137.31**</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143.94 ± 0.23</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72.66 ± 0.56</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118.4**</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70.5 ± 0.17</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63.7 ± 2.28</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2.98**</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147.1 ± 0.12</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50.8 ± 2.27</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42.32**</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183.02 ± 0.11</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293.32 ± 0.41</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259.14**</w:t>
            </w:r>
          </w:p>
        </w:tc>
      </w:tr>
      <w:tr w:rsidR="00041413" w:rsidRPr="00EA7CD2" w:rsidTr="00C82595">
        <w:trPr>
          <w:cantSplit/>
          <w:trHeight w:val="357"/>
          <w:jc w:val="center"/>
        </w:trPr>
        <w:tc>
          <w:tcPr>
            <w:tcW w:w="923" w:type="dxa"/>
            <w:tcBorders>
              <w:top w:val="nil"/>
              <w:left w:val="single" w:sz="4" w:space="0" w:color="auto"/>
              <w:bottom w:val="single" w:sz="4" w:space="0" w:color="auto"/>
              <w:right w:val="single" w:sz="4" w:space="0" w:color="auto"/>
            </w:tcBorders>
            <w:vAlign w:val="center"/>
            <w:hideMark/>
          </w:tcPr>
          <w:p w:rsidR="00041413" w:rsidRPr="00EA7CD2" w:rsidRDefault="00041413"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2189"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208.22 ± 0.14</w:t>
            </w:r>
          </w:p>
        </w:tc>
        <w:tc>
          <w:tcPr>
            <w:tcW w:w="2070"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140.94 ± 0.21</w:t>
            </w:r>
          </w:p>
        </w:tc>
        <w:tc>
          <w:tcPr>
            <w:tcW w:w="1236" w:type="dxa"/>
            <w:tcBorders>
              <w:top w:val="nil"/>
              <w:left w:val="nil"/>
              <w:bottom w:val="single" w:sz="4" w:space="0" w:color="auto"/>
              <w:right w:val="single" w:sz="4" w:space="0" w:color="auto"/>
            </w:tcBorders>
            <w:noWrap/>
            <w:vAlign w:val="center"/>
            <w:hideMark/>
          </w:tcPr>
          <w:p w:rsidR="00041413" w:rsidRPr="00EA7CD2" w:rsidRDefault="00041413"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265.44**</w:t>
            </w:r>
          </w:p>
        </w:tc>
      </w:tr>
    </w:tbl>
    <w:p w:rsidR="00041413" w:rsidRPr="00EA7CD2" w:rsidRDefault="00C82595" w:rsidP="00C82595">
      <w:pPr>
        <w:tabs>
          <w:tab w:val="left" w:pos="6946"/>
        </w:tabs>
        <w:spacing w:after="0" w:line="240" w:lineRule="auto"/>
        <w:ind w:right="2222"/>
        <w:jc w:val="right"/>
        <w:rPr>
          <w:rFonts w:ascii="Arial" w:hAnsi="Arial" w:cs="Arial"/>
          <w:i/>
          <w:sz w:val="20"/>
          <w:szCs w:val="20"/>
        </w:rPr>
      </w:pPr>
      <w:r w:rsidRPr="00EA7CD2">
        <w:rPr>
          <w:rFonts w:ascii="Arial" w:hAnsi="Arial" w:cs="Arial"/>
          <w:i/>
          <w:sz w:val="20"/>
          <w:szCs w:val="20"/>
        </w:rPr>
        <w:tab/>
      </w:r>
      <w:r w:rsidR="00041413" w:rsidRPr="00EA7CD2">
        <w:rPr>
          <w:rFonts w:ascii="Arial" w:hAnsi="Arial" w:cs="Arial"/>
          <w:i/>
          <w:sz w:val="20"/>
          <w:szCs w:val="20"/>
        </w:rPr>
        <w:t xml:space="preserve"> (n=50)</w:t>
      </w:r>
    </w:p>
    <w:p w:rsidR="00041413" w:rsidRPr="00EA7CD2" w:rsidRDefault="00041413" w:rsidP="002E77C9">
      <w:pPr>
        <w:spacing w:after="0" w:line="240" w:lineRule="auto"/>
        <w:jc w:val="both"/>
        <w:rPr>
          <w:rFonts w:ascii="Arial" w:hAnsi="Arial" w:cs="Arial"/>
          <w:i/>
          <w:sz w:val="20"/>
          <w:szCs w:val="20"/>
        </w:rPr>
      </w:pPr>
      <w:r w:rsidRPr="00EA7CD2">
        <w:rPr>
          <w:rFonts w:ascii="Arial" w:hAnsi="Arial" w:cs="Arial"/>
          <w:i/>
          <w:sz w:val="20"/>
          <w:szCs w:val="20"/>
        </w:rPr>
        <w:t xml:space="preserve">                         ** Statistically highly significant (P&lt;0.01)</w:t>
      </w:r>
    </w:p>
    <w:p w:rsidR="00041413" w:rsidRPr="00EA7CD2" w:rsidRDefault="00041413" w:rsidP="002E77C9">
      <w:pPr>
        <w:pStyle w:val="ListParagraph"/>
        <w:numPr>
          <w:ilvl w:val="1"/>
          <w:numId w:val="1"/>
        </w:numPr>
        <w:spacing w:after="0" w:line="240" w:lineRule="auto"/>
        <w:ind w:hanging="720"/>
        <w:jc w:val="both"/>
        <w:rPr>
          <w:rFonts w:ascii="Arial" w:hAnsi="Arial" w:cs="Arial"/>
          <w:b/>
        </w:rPr>
      </w:pPr>
      <w:r w:rsidRPr="00EA7CD2">
        <w:rPr>
          <w:rFonts w:ascii="Arial" w:eastAsia="Times New Roman" w:hAnsi="Arial" w:cs="Arial"/>
          <w:b/>
          <w:bCs/>
        </w:rPr>
        <w:lastRenderedPageBreak/>
        <w:t>Cumulative</w:t>
      </w:r>
      <w:r w:rsidR="007E7BFF">
        <w:rPr>
          <w:rFonts w:ascii="Arial" w:eastAsia="Times New Roman" w:hAnsi="Arial" w:cs="Arial"/>
          <w:b/>
          <w:bCs/>
        </w:rPr>
        <w:t xml:space="preserve"> </w:t>
      </w:r>
      <w:r w:rsidR="00C82595" w:rsidRPr="00EA7CD2">
        <w:rPr>
          <w:rFonts w:ascii="Arial" w:hAnsi="Arial" w:cs="Arial"/>
          <w:b/>
        </w:rPr>
        <w:t>livability</w:t>
      </w:r>
      <w:r w:rsidR="007E7BFF">
        <w:rPr>
          <w:rFonts w:ascii="Arial" w:hAnsi="Arial" w:cs="Arial"/>
          <w:b/>
        </w:rPr>
        <w:t xml:space="preserve"> </w:t>
      </w:r>
      <w:r w:rsidR="00E206A1" w:rsidRPr="00EA7CD2">
        <w:rPr>
          <w:rFonts w:ascii="Arial" w:hAnsi="Arial" w:cs="Arial"/>
          <w:b/>
        </w:rPr>
        <w:t>(%)</w:t>
      </w:r>
      <w:r w:rsidRPr="00EA7CD2">
        <w:rPr>
          <w:rFonts w:ascii="Arial" w:hAnsi="Arial" w:cs="Arial"/>
          <w:b/>
        </w:rPr>
        <w:t xml:space="preserve"> of </w:t>
      </w:r>
      <w:r w:rsidR="00C82595" w:rsidRPr="00EA7CD2">
        <w:rPr>
          <w:rFonts w:ascii="Arial" w:hAnsi="Arial" w:cs="Arial"/>
          <w:b/>
        </w:rPr>
        <w:t>broiler breeder growers</w:t>
      </w:r>
    </w:p>
    <w:p w:rsidR="00E206A1" w:rsidRPr="00EA7CD2" w:rsidRDefault="008707BE" w:rsidP="002E77C9">
      <w:pPr>
        <w:spacing w:after="0" w:line="240" w:lineRule="auto"/>
        <w:jc w:val="both"/>
        <w:rPr>
          <w:rFonts w:ascii="Arial" w:hAnsi="Arial" w:cs="Arial"/>
          <w:sz w:val="20"/>
          <w:szCs w:val="20"/>
        </w:rPr>
      </w:pPr>
      <w:r w:rsidRPr="00EA7CD2">
        <w:rPr>
          <w:rFonts w:ascii="Arial" w:hAnsi="Arial" w:cs="Arial"/>
          <w:sz w:val="20"/>
          <w:szCs w:val="20"/>
        </w:rPr>
        <w:tab/>
      </w:r>
      <w:r w:rsidR="00E206A1" w:rsidRPr="00EA7CD2">
        <w:rPr>
          <w:rFonts w:ascii="Arial" w:hAnsi="Arial" w:cs="Arial"/>
          <w:sz w:val="20"/>
          <w:szCs w:val="20"/>
        </w:rPr>
        <w:t>The cumulative livability of broiler breeders showed a gradual decline with advancing age in both cage and slat housing systems. At the 9</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livability was nearly identical between the two systems (98.9% in cages vs. 98.8% in slats). From the 10</w:t>
      </w:r>
      <w:r w:rsidR="00E206A1" w:rsidRPr="00EA7CD2">
        <w:rPr>
          <w:rFonts w:ascii="Arial" w:hAnsi="Arial" w:cs="Arial"/>
          <w:sz w:val="20"/>
          <w:szCs w:val="20"/>
          <w:vertAlign w:val="superscript"/>
        </w:rPr>
        <w:t>th</w:t>
      </w:r>
      <w:r w:rsidR="00E206A1" w:rsidRPr="00EA7CD2">
        <w:rPr>
          <w:rFonts w:ascii="Arial" w:hAnsi="Arial" w:cs="Arial"/>
          <w:sz w:val="20"/>
          <w:szCs w:val="20"/>
        </w:rPr>
        <w:t xml:space="preserve"> week onward, however, birds housed in cages consistently exhibited slightly higher livability compared</w:t>
      </w:r>
      <w:r w:rsidR="00C82595" w:rsidRPr="00EA7CD2">
        <w:rPr>
          <w:rFonts w:ascii="Arial" w:hAnsi="Arial" w:cs="Arial"/>
          <w:sz w:val="20"/>
          <w:szCs w:val="20"/>
        </w:rPr>
        <w:t xml:space="preserve"> to those on slats. By the 20</w:t>
      </w:r>
      <w:r w:rsidR="00C82595" w:rsidRPr="00EA7CD2">
        <w:rPr>
          <w:rFonts w:ascii="Arial" w:hAnsi="Arial" w:cs="Arial"/>
          <w:sz w:val="20"/>
          <w:szCs w:val="20"/>
          <w:vertAlign w:val="superscript"/>
        </w:rPr>
        <w:t>th</w:t>
      </w:r>
      <w:r w:rsidR="00E206A1" w:rsidRPr="00EA7CD2">
        <w:rPr>
          <w:rFonts w:ascii="Arial" w:hAnsi="Arial" w:cs="Arial"/>
          <w:sz w:val="20"/>
          <w:szCs w:val="20"/>
        </w:rPr>
        <w:t>week, livability had decreased to 95.3% in the cage system and 93.5% in the slat system, and this difference persisted until the end of the rearing pe</w:t>
      </w:r>
      <w:r w:rsidR="00C82595" w:rsidRPr="00EA7CD2">
        <w:rPr>
          <w:rFonts w:ascii="Arial" w:hAnsi="Arial" w:cs="Arial"/>
          <w:sz w:val="20"/>
          <w:szCs w:val="20"/>
        </w:rPr>
        <w:t>riod (22</w:t>
      </w:r>
      <w:r w:rsidR="00C82595" w:rsidRPr="00EA7CD2">
        <w:rPr>
          <w:rFonts w:ascii="Arial" w:hAnsi="Arial" w:cs="Arial"/>
          <w:sz w:val="20"/>
          <w:szCs w:val="20"/>
          <w:vertAlign w:val="superscript"/>
        </w:rPr>
        <w:t>nd</w:t>
      </w:r>
      <w:r w:rsidR="00E206A1" w:rsidRPr="00EA7CD2">
        <w:rPr>
          <w:rFonts w:ascii="Arial" w:hAnsi="Arial" w:cs="Arial"/>
          <w:sz w:val="20"/>
          <w:szCs w:val="20"/>
        </w:rPr>
        <w:t>week: 95.0% vs. 93.3%). These findings suggest that cage-reared birds demonstrated marginally better survivability than slat-reared birds.</w:t>
      </w:r>
    </w:p>
    <w:p w:rsidR="00E206A1" w:rsidRPr="00EA7CD2" w:rsidRDefault="00E206A1" w:rsidP="002E77C9">
      <w:pPr>
        <w:spacing w:after="0" w:line="240" w:lineRule="auto"/>
        <w:ind w:firstLine="720"/>
        <w:jc w:val="both"/>
        <w:rPr>
          <w:rFonts w:ascii="Arial" w:hAnsi="Arial" w:cs="Arial"/>
          <w:sz w:val="20"/>
          <w:szCs w:val="20"/>
        </w:rPr>
      </w:pPr>
      <w:r w:rsidRPr="00EA7CD2">
        <w:rPr>
          <w:rFonts w:ascii="Arial" w:hAnsi="Arial" w:cs="Arial"/>
          <w:sz w:val="20"/>
          <w:szCs w:val="20"/>
        </w:rPr>
        <w:t xml:space="preserve">The results are in agreement with the observations of </w:t>
      </w:r>
      <w:r w:rsidR="00636913" w:rsidRPr="00EA7CD2">
        <w:rPr>
          <w:rFonts w:ascii="Arial" w:hAnsi="Arial" w:cs="Arial"/>
          <w:sz w:val="20"/>
          <w:szCs w:val="20"/>
        </w:rPr>
        <w:t xml:space="preserve">Khan and Khan (2018), </w:t>
      </w:r>
      <w:r w:rsidRPr="00EA7CD2">
        <w:rPr>
          <w:rFonts w:ascii="Arial" w:hAnsi="Arial" w:cs="Arial"/>
          <w:sz w:val="20"/>
          <w:szCs w:val="20"/>
        </w:rPr>
        <w:t xml:space="preserve">Rodenburg </w:t>
      </w:r>
      <w:r w:rsidRPr="00EA7CD2">
        <w:rPr>
          <w:rFonts w:ascii="Arial" w:hAnsi="Arial" w:cs="Arial"/>
          <w:i/>
          <w:iCs/>
          <w:sz w:val="20"/>
          <w:szCs w:val="20"/>
        </w:rPr>
        <w:t>et al.</w:t>
      </w:r>
      <w:r w:rsidRPr="00EA7CD2">
        <w:rPr>
          <w:rFonts w:ascii="Arial" w:hAnsi="Arial" w:cs="Arial"/>
          <w:sz w:val="20"/>
          <w:szCs w:val="20"/>
        </w:rPr>
        <w:t xml:space="preserve"> (2008)</w:t>
      </w:r>
      <w:r w:rsidR="00636913" w:rsidRPr="00EA7CD2">
        <w:rPr>
          <w:rFonts w:ascii="Arial" w:hAnsi="Arial" w:cs="Arial"/>
          <w:sz w:val="20"/>
          <w:szCs w:val="20"/>
        </w:rPr>
        <w:t>, Abdel-Azeem (2019)</w:t>
      </w:r>
      <w:r w:rsidRPr="00EA7CD2">
        <w:rPr>
          <w:rFonts w:ascii="Arial" w:hAnsi="Arial" w:cs="Arial"/>
          <w:sz w:val="20"/>
          <w:szCs w:val="20"/>
        </w:rPr>
        <w:t xml:space="preserve"> and Jeon </w:t>
      </w:r>
      <w:r w:rsidRPr="00EA7CD2">
        <w:rPr>
          <w:rFonts w:ascii="Arial" w:hAnsi="Arial" w:cs="Arial"/>
          <w:i/>
          <w:iCs/>
          <w:sz w:val="20"/>
          <w:szCs w:val="20"/>
        </w:rPr>
        <w:t>et al.</w:t>
      </w:r>
      <w:r w:rsidRPr="00EA7CD2">
        <w:rPr>
          <w:rFonts w:ascii="Arial" w:hAnsi="Arial" w:cs="Arial"/>
          <w:sz w:val="20"/>
          <w:szCs w:val="20"/>
        </w:rPr>
        <w:t xml:space="preserve"> (2025), who reported improved livability in birds housed under cage systems compared to those in non-cage environments. The enhanced survival in cages may be attributed to reduced exposure to environmental stressors, lower risk of mechanical injuries, and better control of hygiene and feed intake, </w:t>
      </w:r>
      <w:r w:rsidR="00636913" w:rsidRPr="00EA7CD2">
        <w:rPr>
          <w:rFonts w:ascii="Arial" w:hAnsi="Arial" w:cs="Arial"/>
          <w:sz w:val="20"/>
          <w:szCs w:val="20"/>
        </w:rPr>
        <w:t xml:space="preserve">efficient waste removal, and easier monitoring of bird health and productivity </w:t>
      </w:r>
      <w:r w:rsidRPr="00EA7CD2">
        <w:rPr>
          <w:rFonts w:ascii="Arial" w:hAnsi="Arial" w:cs="Arial"/>
          <w:sz w:val="20"/>
          <w:szCs w:val="20"/>
        </w:rPr>
        <w:t xml:space="preserve">all of which contribute to maintaining flock </w:t>
      </w:r>
      <w:r w:rsidR="00636913" w:rsidRPr="00EA7CD2">
        <w:rPr>
          <w:rFonts w:ascii="Arial" w:hAnsi="Arial" w:cs="Arial"/>
          <w:sz w:val="20"/>
          <w:szCs w:val="20"/>
        </w:rPr>
        <w:t>health and minimizing mortality (Pistikova</w:t>
      </w:r>
      <w:r w:rsidR="00636913" w:rsidRPr="00EA7CD2">
        <w:rPr>
          <w:rFonts w:ascii="Arial" w:hAnsi="Arial" w:cs="Arial"/>
          <w:i/>
          <w:iCs/>
          <w:sz w:val="20"/>
          <w:szCs w:val="20"/>
        </w:rPr>
        <w:t>et al.</w:t>
      </w:r>
      <w:r w:rsidR="00636913" w:rsidRPr="00EA7CD2">
        <w:rPr>
          <w:rFonts w:ascii="Arial" w:hAnsi="Arial" w:cs="Arial"/>
          <w:sz w:val="20"/>
          <w:szCs w:val="20"/>
        </w:rPr>
        <w:t>, 2006).</w:t>
      </w:r>
    </w:p>
    <w:p w:rsidR="00C82595" w:rsidRPr="00EA7CD2" w:rsidRDefault="00C82595" w:rsidP="002E77C9">
      <w:pPr>
        <w:pStyle w:val="NormalWeb"/>
        <w:spacing w:before="0" w:beforeAutospacing="0" w:after="0" w:afterAutospacing="0"/>
        <w:jc w:val="both"/>
        <w:rPr>
          <w:rFonts w:ascii="Arial" w:hAnsi="Arial" w:cs="Arial"/>
          <w:sz w:val="20"/>
          <w:szCs w:val="20"/>
        </w:rPr>
      </w:pPr>
    </w:p>
    <w:p w:rsidR="00041413" w:rsidRPr="00EA7CD2" w:rsidRDefault="00C82595" w:rsidP="00C82595">
      <w:pPr>
        <w:pStyle w:val="NormalWeb"/>
        <w:spacing w:before="0" w:beforeAutospacing="0" w:after="0" w:afterAutospacing="0"/>
        <w:jc w:val="center"/>
        <w:rPr>
          <w:rFonts w:ascii="Arial" w:hAnsi="Arial" w:cs="Arial"/>
          <w:b/>
          <w:sz w:val="20"/>
          <w:szCs w:val="20"/>
        </w:rPr>
      </w:pPr>
      <w:r w:rsidRPr="00EA7CD2">
        <w:rPr>
          <w:rFonts w:ascii="Arial" w:hAnsi="Arial" w:cs="Arial"/>
          <w:b/>
          <w:sz w:val="20"/>
          <w:szCs w:val="20"/>
        </w:rPr>
        <w:t>Table 3: Cumulative livability and uniformity (%) of broiler breeders reared in cage and slat systems.</w:t>
      </w:r>
    </w:p>
    <w:tbl>
      <w:tblPr>
        <w:tblW w:w="4060" w:type="dxa"/>
        <w:jc w:val="center"/>
        <w:tblLook w:val="04A0"/>
      </w:tblPr>
      <w:tblGrid>
        <w:gridCol w:w="960"/>
        <w:gridCol w:w="1610"/>
        <w:gridCol w:w="1490"/>
      </w:tblGrid>
      <w:tr w:rsidR="00390BBC" w:rsidRPr="00EA7CD2" w:rsidTr="00C82595">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Week</w:t>
            </w:r>
          </w:p>
        </w:tc>
        <w:tc>
          <w:tcPr>
            <w:tcW w:w="3100" w:type="dxa"/>
            <w:gridSpan w:val="2"/>
            <w:tcBorders>
              <w:top w:val="single" w:sz="4" w:space="0" w:color="auto"/>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Cumulative Livability (%)</w:t>
            </w:r>
          </w:p>
        </w:tc>
      </w:tr>
      <w:tr w:rsidR="00390BBC" w:rsidRPr="00EA7CD2" w:rsidTr="00C82595">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Slat system</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9</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98.9</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98.8</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10</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98.4</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96.5</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11</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98.1</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96.3</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12</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95.7</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13</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97.7</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14</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97.5</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95.4</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15</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97</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16</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96.7</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17</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96.4</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94.8</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18</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95.8</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94.6</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19</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95.6</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94.3</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20</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95.3</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93.5</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21</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95.2</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93.4</w:t>
            </w:r>
          </w:p>
        </w:tc>
      </w:tr>
      <w:tr w:rsidR="00390BBC" w:rsidRPr="00EA7CD2" w:rsidTr="00C82595">
        <w:trPr>
          <w:trHeight w:val="315"/>
          <w:jc w:val="center"/>
        </w:trPr>
        <w:tc>
          <w:tcPr>
            <w:tcW w:w="960" w:type="dxa"/>
            <w:tcBorders>
              <w:top w:val="nil"/>
              <w:left w:val="single" w:sz="4" w:space="0" w:color="auto"/>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b/>
                <w:bCs/>
                <w:sz w:val="20"/>
                <w:szCs w:val="20"/>
              </w:rPr>
            </w:pPr>
            <w:r w:rsidRPr="00EA7CD2">
              <w:rPr>
                <w:rFonts w:ascii="Arial" w:eastAsia="Times New Roman" w:hAnsi="Arial" w:cs="Arial"/>
                <w:b/>
                <w:bCs/>
                <w:sz w:val="20"/>
                <w:szCs w:val="20"/>
              </w:rPr>
              <w:t>22</w:t>
            </w:r>
          </w:p>
        </w:tc>
        <w:tc>
          <w:tcPr>
            <w:tcW w:w="161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95</w:t>
            </w:r>
            <w:r w:rsidR="00E206A1" w:rsidRPr="00EA7CD2">
              <w:rPr>
                <w:rFonts w:ascii="Arial" w:eastAsia="Times New Roman" w:hAnsi="Arial" w:cs="Arial"/>
                <w:sz w:val="20"/>
                <w:szCs w:val="20"/>
              </w:rPr>
              <w:t>.0</w:t>
            </w:r>
          </w:p>
        </w:tc>
        <w:tc>
          <w:tcPr>
            <w:tcW w:w="1490" w:type="dxa"/>
            <w:tcBorders>
              <w:top w:val="nil"/>
              <w:left w:val="nil"/>
              <w:bottom w:val="single" w:sz="4" w:space="0" w:color="auto"/>
              <w:right w:val="single" w:sz="4" w:space="0" w:color="auto"/>
            </w:tcBorders>
            <w:noWrap/>
            <w:vAlign w:val="center"/>
            <w:hideMark/>
          </w:tcPr>
          <w:p w:rsidR="00390BBC" w:rsidRPr="00EA7CD2" w:rsidRDefault="00390BBC" w:rsidP="00C82595">
            <w:pPr>
              <w:spacing w:after="0" w:line="240" w:lineRule="auto"/>
              <w:jc w:val="center"/>
              <w:rPr>
                <w:rFonts w:ascii="Arial" w:eastAsia="Times New Roman" w:hAnsi="Arial" w:cs="Arial"/>
                <w:sz w:val="20"/>
                <w:szCs w:val="20"/>
              </w:rPr>
            </w:pPr>
            <w:r w:rsidRPr="00EA7CD2">
              <w:rPr>
                <w:rFonts w:ascii="Arial" w:eastAsia="Times New Roman" w:hAnsi="Arial" w:cs="Arial"/>
                <w:sz w:val="20"/>
                <w:szCs w:val="20"/>
              </w:rPr>
              <w:t>93.3</w:t>
            </w:r>
          </w:p>
        </w:tc>
      </w:tr>
    </w:tbl>
    <w:p w:rsidR="00C82595" w:rsidRPr="00EA7CD2" w:rsidRDefault="00C82595" w:rsidP="00C82595">
      <w:pPr>
        <w:pStyle w:val="ListParagraph"/>
        <w:spacing w:after="0" w:line="240" w:lineRule="auto"/>
        <w:jc w:val="both"/>
        <w:rPr>
          <w:rFonts w:ascii="Arial" w:hAnsi="Arial" w:cs="Arial"/>
          <w:b/>
          <w:bCs/>
        </w:rPr>
      </w:pPr>
    </w:p>
    <w:p w:rsidR="00DB678C" w:rsidRPr="00EA7CD2" w:rsidRDefault="00041413"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Foot Lesions of Broiler Breeders</w:t>
      </w:r>
      <w:r w:rsidR="00DB678C" w:rsidRPr="00EA7CD2">
        <w:rPr>
          <w:rFonts w:ascii="Arial" w:hAnsi="Arial" w:cs="Arial"/>
          <w:b/>
          <w:bCs/>
        </w:rPr>
        <w:t xml:space="preserve"> Birds</w:t>
      </w:r>
    </w:p>
    <w:p w:rsidR="009D5E3F" w:rsidRPr="00EA7CD2" w:rsidRDefault="00041413" w:rsidP="002E77C9">
      <w:pPr>
        <w:pStyle w:val="NormalWeb"/>
        <w:spacing w:before="0" w:beforeAutospacing="0" w:after="0" w:afterAutospacing="0"/>
        <w:jc w:val="both"/>
        <w:rPr>
          <w:rFonts w:ascii="Arial" w:hAnsi="Arial" w:cs="Arial"/>
          <w:sz w:val="20"/>
          <w:szCs w:val="20"/>
        </w:rPr>
      </w:pPr>
      <w:r w:rsidRPr="00EA7CD2">
        <w:rPr>
          <w:rFonts w:ascii="Arial" w:hAnsi="Arial" w:cs="Arial"/>
          <w:sz w:val="20"/>
          <w:szCs w:val="20"/>
        </w:rPr>
        <w:tab/>
      </w:r>
      <w:r w:rsidR="009D5E3F" w:rsidRPr="00EA7CD2">
        <w:rPr>
          <w:rFonts w:ascii="Arial" w:hAnsi="Arial" w:cs="Arial"/>
          <w:sz w:val="20"/>
          <w:szCs w:val="20"/>
        </w:rPr>
        <w:t xml:space="preserve">Foot pad condition was evaluated using a 0–4 scoring system, where 0 indicated no lesion and 4 represented very severe lesions. The mean foot lesion scores of breeder growers were </w:t>
      </w:r>
      <w:r w:rsidR="00C82595" w:rsidRPr="00EA7CD2">
        <w:rPr>
          <w:rFonts w:ascii="Arial" w:hAnsi="Arial" w:cs="Arial"/>
          <w:sz w:val="20"/>
          <w:szCs w:val="20"/>
        </w:rPr>
        <w:br/>
      </w:r>
      <w:r w:rsidR="009D5E3F" w:rsidRPr="00EA7CD2">
        <w:rPr>
          <w:rFonts w:ascii="Arial" w:hAnsi="Arial" w:cs="Arial"/>
          <w:sz w:val="20"/>
          <w:szCs w:val="20"/>
        </w:rPr>
        <w:t>1.13 ± 0.13 in the cage system and 1.58 ± 0.17 in the slat system, showing a highly significant difference (</w:t>
      </w:r>
      <w:r w:rsidR="00C82595" w:rsidRPr="00EA7CD2">
        <w:rPr>
          <w:rFonts w:ascii="Arial" w:hAnsi="Arial" w:cs="Arial"/>
          <w:i/>
          <w:iCs/>
          <w:sz w:val="20"/>
          <w:szCs w:val="20"/>
        </w:rPr>
        <w:t>P</w:t>
      </w:r>
      <w:r w:rsidR="009D5E3F" w:rsidRPr="00EA7CD2">
        <w:rPr>
          <w:rFonts w:ascii="Arial" w:hAnsi="Arial" w:cs="Arial"/>
          <w:sz w:val="20"/>
          <w:szCs w:val="20"/>
        </w:rPr>
        <w:t>&lt; 0.01) between treatments. Most birds in both housing systems exhibited mild to moderate lesions (scores 2 and 3). In the cage system, only a few birds developed severe foot lesions, whereas the incidence was comparatively higher among slat-reared birds.</w:t>
      </w:r>
    </w:p>
    <w:p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Overall, both housing systems supported acceptable levels of foot health; however, cage-reared birds demonstrated lower lesion severity, suggesting better protection against foot pad injuries. Foot pad integrity in poultry is strongly influenced by litter quality and moisture content. </w:t>
      </w:r>
      <w:r w:rsidR="00C82595" w:rsidRPr="00EA7CD2">
        <w:rPr>
          <w:rFonts w:ascii="Arial" w:hAnsi="Arial" w:cs="Arial"/>
          <w:sz w:val="20"/>
          <w:szCs w:val="20"/>
        </w:rPr>
        <w:br/>
      </w:r>
      <w:r w:rsidRPr="00EA7CD2">
        <w:rPr>
          <w:rFonts w:ascii="Arial" w:hAnsi="Arial" w:cs="Arial"/>
          <w:sz w:val="20"/>
          <w:szCs w:val="20"/>
        </w:rPr>
        <w:t xml:space="preserve">Sandilands </w:t>
      </w:r>
      <w:r w:rsidRPr="00EA7CD2">
        <w:rPr>
          <w:rFonts w:ascii="Arial" w:hAnsi="Arial" w:cs="Arial"/>
          <w:i/>
          <w:iCs/>
          <w:sz w:val="20"/>
          <w:szCs w:val="20"/>
        </w:rPr>
        <w:t>et al.</w:t>
      </w:r>
      <w:r w:rsidRPr="00EA7CD2">
        <w:rPr>
          <w:rFonts w:ascii="Arial" w:hAnsi="Arial" w:cs="Arial"/>
          <w:sz w:val="20"/>
          <w:szCs w:val="20"/>
        </w:rPr>
        <w:t xml:space="preserve"> (2005) reported that wet litter, often caused by water spillage or excessive drinking, is a primary contributor to foot pad dermatitis. The reduced occurrence of severe lesions in cages may therefore be attributed to minimal litter contact and lower moisture exposure (Nørgaard-Nielsen, 1990; Meng </w:t>
      </w:r>
      <w:r w:rsidRPr="00EA7CD2">
        <w:rPr>
          <w:rFonts w:ascii="Arial" w:hAnsi="Arial" w:cs="Arial"/>
          <w:i/>
          <w:iCs/>
          <w:sz w:val="20"/>
          <w:szCs w:val="20"/>
        </w:rPr>
        <w:t>et al.</w:t>
      </w:r>
      <w:r w:rsidRPr="00EA7CD2">
        <w:rPr>
          <w:rFonts w:ascii="Arial" w:hAnsi="Arial" w:cs="Arial"/>
          <w:sz w:val="20"/>
          <w:szCs w:val="20"/>
        </w:rPr>
        <w:t>, 2017).</w:t>
      </w:r>
    </w:p>
    <w:p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 xml:space="preserve">Supporting these findings, Rodenburg </w:t>
      </w:r>
      <w:r w:rsidRPr="00EA7CD2">
        <w:rPr>
          <w:rFonts w:ascii="Arial" w:hAnsi="Arial" w:cs="Arial"/>
          <w:i/>
          <w:iCs/>
          <w:sz w:val="20"/>
          <w:szCs w:val="20"/>
        </w:rPr>
        <w:t>et al.</w:t>
      </w:r>
      <w:r w:rsidRPr="00EA7CD2">
        <w:rPr>
          <w:rFonts w:ascii="Arial" w:hAnsi="Arial" w:cs="Arial"/>
          <w:sz w:val="20"/>
          <w:szCs w:val="20"/>
        </w:rPr>
        <w:t xml:space="preserve"> (2008) observed a lower incidence of leg fractures and abnormalities in laying hens reared under cage systems compared with non-cage systems. In contrast, Honig </w:t>
      </w:r>
      <w:r w:rsidRPr="00EA7CD2">
        <w:rPr>
          <w:rFonts w:ascii="Arial" w:hAnsi="Arial" w:cs="Arial"/>
          <w:i/>
          <w:iCs/>
          <w:sz w:val="20"/>
          <w:szCs w:val="20"/>
        </w:rPr>
        <w:t>et al.</w:t>
      </w:r>
      <w:r w:rsidRPr="00EA7CD2">
        <w:rPr>
          <w:rFonts w:ascii="Arial" w:hAnsi="Arial" w:cs="Arial"/>
          <w:sz w:val="20"/>
          <w:szCs w:val="20"/>
        </w:rPr>
        <w:t xml:space="preserve"> (2024) reported higher frequencies of leg deformities and reduced </w:t>
      </w:r>
      <w:r w:rsidRPr="00EA7CD2">
        <w:rPr>
          <w:rFonts w:ascii="Arial" w:hAnsi="Arial" w:cs="Arial"/>
          <w:sz w:val="20"/>
          <w:szCs w:val="20"/>
        </w:rPr>
        <w:lastRenderedPageBreak/>
        <w:t xml:space="preserve">standing ability in birds housed in colony cages, while Jeon </w:t>
      </w:r>
      <w:r w:rsidRPr="00EA7CD2">
        <w:rPr>
          <w:rFonts w:ascii="Arial" w:hAnsi="Arial" w:cs="Arial"/>
          <w:i/>
          <w:iCs/>
          <w:sz w:val="20"/>
          <w:szCs w:val="20"/>
        </w:rPr>
        <w:t>et al.</w:t>
      </w:r>
      <w:r w:rsidRPr="00EA7CD2">
        <w:rPr>
          <w:rFonts w:ascii="Arial" w:hAnsi="Arial" w:cs="Arial"/>
          <w:sz w:val="20"/>
          <w:szCs w:val="20"/>
        </w:rPr>
        <w:t xml:space="preserve"> (2025) found a greater incidence of foot pad lesions in laying hens reared in cage systems compared to aviary systems.</w:t>
      </w:r>
    </w:p>
    <w:p w:rsidR="009D5E3F" w:rsidRPr="00EA7CD2" w:rsidRDefault="009D5E3F" w:rsidP="00C82595">
      <w:pPr>
        <w:pStyle w:val="NormalWeb"/>
        <w:spacing w:before="0" w:beforeAutospacing="0" w:after="0" w:afterAutospacing="0"/>
        <w:ind w:firstLine="720"/>
        <w:jc w:val="both"/>
        <w:rPr>
          <w:rFonts w:ascii="Arial" w:hAnsi="Arial" w:cs="Arial"/>
          <w:sz w:val="20"/>
          <w:szCs w:val="20"/>
        </w:rPr>
      </w:pPr>
      <w:r w:rsidRPr="00EA7CD2">
        <w:rPr>
          <w:rFonts w:ascii="Arial" w:hAnsi="Arial" w:cs="Arial"/>
          <w:sz w:val="20"/>
          <w:szCs w:val="20"/>
        </w:rPr>
        <w:t>In the present study, cage-reared birds exhibited slightly fewer severe and very severe lesions, indicating a modest welfare advantage for cages in preventing foot pad injuries under the given management conditions.</w:t>
      </w:r>
    </w:p>
    <w:p w:rsidR="00C82595" w:rsidRPr="00EA7CD2" w:rsidRDefault="00C82595" w:rsidP="002E77C9">
      <w:pPr>
        <w:spacing w:after="0" w:line="240" w:lineRule="auto"/>
        <w:jc w:val="both"/>
        <w:rPr>
          <w:rFonts w:ascii="Arial" w:hAnsi="Arial" w:cs="Arial"/>
          <w:b/>
          <w:bCs/>
          <w:sz w:val="20"/>
          <w:szCs w:val="20"/>
        </w:rPr>
      </w:pPr>
    </w:p>
    <w:p w:rsidR="009D5E3F" w:rsidRPr="00EA7CD2" w:rsidRDefault="00C82595" w:rsidP="00C82595">
      <w:pPr>
        <w:spacing w:after="0" w:line="240" w:lineRule="auto"/>
        <w:jc w:val="center"/>
        <w:rPr>
          <w:rFonts w:ascii="Arial" w:hAnsi="Arial" w:cs="Arial"/>
          <w:b/>
          <w:bCs/>
          <w:sz w:val="20"/>
          <w:szCs w:val="20"/>
        </w:rPr>
      </w:pPr>
      <w:r w:rsidRPr="00EA7CD2">
        <w:rPr>
          <w:rFonts w:ascii="Arial" w:hAnsi="Arial" w:cs="Arial"/>
          <w:b/>
          <w:bCs/>
          <w:sz w:val="20"/>
          <w:szCs w:val="20"/>
        </w:rPr>
        <w:t>Table 4</w:t>
      </w:r>
      <w:r w:rsidR="009D5E3F" w:rsidRPr="00EA7CD2">
        <w:rPr>
          <w:rFonts w:ascii="Arial" w:hAnsi="Arial" w:cs="Arial"/>
          <w:b/>
          <w:bCs/>
          <w:sz w:val="20"/>
          <w:szCs w:val="20"/>
        </w:rPr>
        <w:t>: Comparison of Shank Length of Broiler Breeders in Cage and Slat Rearing Systems</w:t>
      </w:r>
    </w:p>
    <w:p w:rsidR="00603990" w:rsidRPr="00EA7CD2" w:rsidRDefault="00603990" w:rsidP="00C82595">
      <w:pPr>
        <w:spacing w:after="0" w:line="240" w:lineRule="auto"/>
        <w:jc w:val="center"/>
        <w:rPr>
          <w:rFonts w:ascii="Arial" w:hAnsi="Arial" w:cs="Arial"/>
          <w:b/>
          <w:bCs/>
          <w:sz w:val="20"/>
          <w:szCs w:val="20"/>
        </w:rPr>
      </w:pPr>
    </w:p>
    <w:tbl>
      <w:tblPr>
        <w:tblW w:w="6573" w:type="dxa"/>
        <w:jc w:val="center"/>
        <w:tblLook w:val="04A0"/>
      </w:tblPr>
      <w:tblGrid>
        <w:gridCol w:w="2477"/>
        <w:gridCol w:w="1610"/>
        <w:gridCol w:w="1490"/>
        <w:gridCol w:w="996"/>
      </w:tblGrid>
      <w:tr w:rsidR="009D5E3F" w:rsidRPr="00EA7CD2" w:rsidTr="005E5B0D">
        <w:trPr>
          <w:trHeight w:val="300"/>
          <w:jc w:val="center"/>
        </w:trPr>
        <w:tc>
          <w:tcPr>
            <w:tcW w:w="2477" w:type="dxa"/>
            <w:tcBorders>
              <w:top w:val="single" w:sz="4" w:space="0" w:color="auto"/>
              <w:left w:val="single" w:sz="4" w:space="0" w:color="auto"/>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Parameter</w:t>
            </w:r>
          </w:p>
        </w:tc>
        <w:tc>
          <w:tcPr>
            <w:tcW w:w="1610" w:type="dxa"/>
            <w:tcBorders>
              <w:top w:val="single" w:sz="4" w:space="0" w:color="auto"/>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Cage system</w:t>
            </w:r>
          </w:p>
        </w:tc>
        <w:tc>
          <w:tcPr>
            <w:tcW w:w="1490" w:type="dxa"/>
            <w:tcBorders>
              <w:top w:val="single" w:sz="4" w:space="0" w:color="auto"/>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rPr>
            </w:pPr>
            <w:r w:rsidRPr="00EA7CD2">
              <w:rPr>
                <w:rFonts w:ascii="Arial" w:eastAsia="Times New Roman" w:hAnsi="Arial" w:cs="Arial"/>
                <w:b/>
                <w:bCs/>
                <w:sz w:val="20"/>
                <w:szCs w:val="20"/>
              </w:rPr>
              <w:t>Slat system</w:t>
            </w:r>
          </w:p>
        </w:tc>
        <w:tc>
          <w:tcPr>
            <w:tcW w:w="996" w:type="dxa"/>
            <w:tcBorders>
              <w:top w:val="single" w:sz="4" w:space="0" w:color="auto"/>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t value</w:t>
            </w:r>
          </w:p>
        </w:tc>
      </w:tr>
      <w:tr w:rsidR="009D5E3F" w:rsidRPr="00EA7CD2"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Foot lesions score</w:t>
            </w:r>
          </w:p>
        </w:tc>
        <w:tc>
          <w:tcPr>
            <w:tcW w:w="1610"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1.13 ± 0.13</w:t>
            </w:r>
          </w:p>
        </w:tc>
        <w:tc>
          <w:tcPr>
            <w:tcW w:w="1490"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1.58 ± 0.17</w:t>
            </w:r>
          </w:p>
        </w:tc>
        <w:tc>
          <w:tcPr>
            <w:tcW w:w="996"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6.523**</w:t>
            </w:r>
          </w:p>
        </w:tc>
      </w:tr>
      <w:tr w:rsidR="009D5E3F" w:rsidRPr="00EA7CD2" w:rsidTr="005E5B0D">
        <w:trPr>
          <w:trHeight w:val="300"/>
          <w:jc w:val="center"/>
        </w:trPr>
        <w:tc>
          <w:tcPr>
            <w:tcW w:w="2477" w:type="dxa"/>
            <w:tcBorders>
              <w:top w:val="nil"/>
              <w:left w:val="single" w:sz="4" w:space="0" w:color="auto"/>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b/>
                <w:bCs/>
                <w:sz w:val="20"/>
                <w:szCs w:val="20"/>
                <w:lang w:val="en-US" w:eastAsia="en-US" w:bidi="ta-IN"/>
              </w:rPr>
            </w:pPr>
            <w:r w:rsidRPr="00EA7CD2">
              <w:rPr>
                <w:rFonts w:ascii="Arial" w:eastAsia="Times New Roman" w:hAnsi="Arial" w:cs="Arial"/>
                <w:b/>
                <w:bCs/>
                <w:sz w:val="20"/>
                <w:szCs w:val="20"/>
                <w:lang w:val="en-US" w:eastAsia="en-US" w:bidi="ta-IN"/>
              </w:rPr>
              <w:t>Shank Length</w:t>
            </w:r>
          </w:p>
        </w:tc>
        <w:tc>
          <w:tcPr>
            <w:tcW w:w="1610"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7.09 ± 0.08</w:t>
            </w:r>
          </w:p>
        </w:tc>
        <w:tc>
          <w:tcPr>
            <w:tcW w:w="1490"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7.14 ± 0.07</w:t>
            </w:r>
          </w:p>
        </w:tc>
        <w:tc>
          <w:tcPr>
            <w:tcW w:w="996" w:type="dxa"/>
            <w:tcBorders>
              <w:top w:val="nil"/>
              <w:left w:val="nil"/>
              <w:bottom w:val="single" w:sz="4" w:space="0" w:color="auto"/>
              <w:right w:val="single" w:sz="4" w:space="0" w:color="auto"/>
            </w:tcBorders>
            <w:noWrap/>
            <w:vAlign w:val="center"/>
            <w:hideMark/>
          </w:tcPr>
          <w:p w:rsidR="009D5E3F" w:rsidRPr="00EA7CD2" w:rsidRDefault="009D5E3F" w:rsidP="002E77C9">
            <w:pPr>
              <w:spacing w:after="0" w:line="240" w:lineRule="auto"/>
              <w:jc w:val="both"/>
              <w:rPr>
                <w:rFonts w:ascii="Arial" w:eastAsia="Times New Roman" w:hAnsi="Arial" w:cs="Arial"/>
                <w:sz w:val="20"/>
                <w:szCs w:val="20"/>
                <w:lang w:val="en-US" w:eastAsia="en-US" w:bidi="ta-IN"/>
              </w:rPr>
            </w:pPr>
            <w:r w:rsidRPr="00EA7CD2">
              <w:rPr>
                <w:rFonts w:ascii="Arial" w:eastAsia="Times New Roman" w:hAnsi="Arial" w:cs="Arial"/>
                <w:sz w:val="20"/>
                <w:szCs w:val="20"/>
                <w:lang w:val="en-US" w:eastAsia="en-US" w:bidi="ta-IN"/>
              </w:rPr>
              <w:t>0.534</w:t>
            </w:r>
            <w:r w:rsidRPr="00EA7CD2">
              <w:rPr>
                <w:rFonts w:ascii="Arial" w:eastAsia="Times New Roman" w:hAnsi="Arial" w:cs="Arial"/>
                <w:sz w:val="20"/>
                <w:szCs w:val="20"/>
                <w:vertAlign w:val="superscript"/>
                <w:lang w:val="en-US" w:eastAsia="en-US" w:bidi="ta-IN"/>
              </w:rPr>
              <w:t>NS</w:t>
            </w:r>
          </w:p>
        </w:tc>
      </w:tr>
    </w:tbl>
    <w:p w:rsidR="009D5E3F" w:rsidRPr="00EA7CD2" w:rsidRDefault="009D5E3F" w:rsidP="002E77C9">
      <w:pPr>
        <w:spacing w:after="0" w:line="240" w:lineRule="auto"/>
        <w:jc w:val="both"/>
        <w:rPr>
          <w:rFonts w:ascii="Arial" w:hAnsi="Arial" w:cs="Arial"/>
          <w:i/>
          <w:sz w:val="20"/>
          <w:szCs w:val="20"/>
        </w:rPr>
      </w:pPr>
      <w:r w:rsidRPr="00EA7CD2">
        <w:rPr>
          <w:rFonts w:ascii="Arial" w:hAnsi="Arial" w:cs="Arial"/>
          <w:i/>
          <w:sz w:val="20"/>
          <w:szCs w:val="20"/>
        </w:rPr>
        <w:t>(n=60)</w:t>
      </w:r>
    </w:p>
    <w:p w:rsidR="00864DCB" w:rsidRPr="00EA7CD2" w:rsidRDefault="00864DCB" w:rsidP="002E77C9">
      <w:pPr>
        <w:spacing w:after="0" w:line="240" w:lineRule="auto"/>
        <w:jc w:val="both"/>
        <w:rPr>
          <w:rFonts w:ascii="Arial" w:hAnsi="Arial" w:cs="Arial"/>
          <w:i/>
          <w:sz w:val="20"/>
          <w:szCs w:val="20"/>
        </w:rPr>
      </w:pPr>
      <w:r w:rsidRPr="00EA7CD2">
        <w:rPr>
          <w:rFonts w:ascii="Arial" w:hAnsi="Arial" w:cs="Arial"/>
          <w:i/>
          <w:sz w:val="20"/>
          <w:szCs w:val="20"/>
        </w:rPr>
        <w:tab/>
        <w:t xml:space="preserve"> ** Statistically highly significant (P&lt;0.01)</w:t>
      </w:r>
    </w:p>
    <w:p w:rsidR="009D5E3F" w:rsidRPr="00EA7CD2" w:rsidRDefault="009D5E3F" w:rsidP="00864DCB">
      <w:pPr>
        <w:spacing w:after="0" w:line="240" w:lineRule="auto"/>
        <w:ind w:left="720" w:firstLine="720"/>
        <w:jc w:val="both"/>
        <w:rPr>
          <w:rFonts w:ascii="Arial" w:hAnsi="Arial" w:cs="Arial"/>
          <w:i/>
          <w:sz w:val="20"/>
          <w:szCs w:val="20"/>
        </w:rPr>
      </w:pPr>
      <w:r w:rsidRPr="00EA7CD2">
        <w:rPr>
          <w:rFonts w:ascii="Arial" w:hAnsi="Arial" w:cs="Arial"/>
          <w:i/>
          <w:sz w:val="20"/>
          <w:szCs w:val="20"/>
          <w:vertAlign w:val="superscript"/>
        </w:rPr>
        <w:t xml:space="preserve">NS </w:t>
      </w:r>
      <w:r w:rsidRPr="00EA7CD2">
        <w:rPr>
          <w:rFonts w:ascii="Arial" w:hAnsi="Arial" w:cs="Arial"/>
          <w:i/>
          <w:sz w:val="20"/>
          <w:szCs w:val="20"/>
        </w:rPr>
        <w:t xml:space="preserve">Statistically No significant difference (P </w:t>
      </w:r>
      <w:r w:rsidRPr="00EA7CD2">
        <w:rPr>
          <w:rFonts w:ascii="Arial" w:hAnsi="Arial" w:cs="Arial"/>
          <w:sz w:val="20"/>
          <w:szCs w:val="20"/>
        </w:rPr>
        <w:t>≥</w:t>
      </w:r>
      <w:r w:rsidRPr="00EA7CD2">
        <w:rPr>
          <w:rFonts w:ascii="Arial" w:hAnsi="Arial" w:cs="Arial"/>
          <w:i/>
          <w:sz w:val="20"/>
          <w:szCs w:val="20"/>
        </w:rPr>
        <w:t xml:space="preserve"> 0.05)</w:t>
      </w:r>
    </w:p>
    <w:p w:rsidR="00864DCB" w:rsidRPr="00EA7CD2" w:rsidRDefault="00864DCB" w:rsidP="00864DCB">
      <w:pPr>
        <w:pStyle w:val="ListParagraph"/>
        <w:spacing w:after="0" w:line="240" w:lineRule="auto"/>
        <w:jc w:val="both"/>
        <w:rPr>
          <w:rFonts w:ascii="Arial" w:hAnsi="Arial" w:cs="Arial"/>
          <w:b/>
          <w:bCs/>
        </w:rPr>
      </w:pPr>
    </w:p>
    <w:p w:rsidR="00DB678C" w:rsidRPr="00EA7CD2" w:rsidRDefault="00DB678C" w:rsidP="005F1B48">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Shank Length of Broiler Breeders Birds</w:t>
      </w:r>
    </w:p>
    <w:p w:rsidR="00C9378D" w:rsidRPr="00EA7CD2" w:rsidRDefault="00C9378D" w:rsidP="00C9378D">
      <w:pPr>
        <w:spacing w:after="0" w:line="240" w:lineRule="auto"/>
        <w:ind w:left="720"/>
        <w:jc w:val="both"/>
        <w:rPr>
          <w:rFonts w:ascii="Arial" w:hAnsi="Arial" w:cs="Arial"/>
          <w:sz w:val="20"/>
          <w:szCs w:val="20"/>
        </w:rPr>
      </w:pPr>
    </w:p>
    <w:p w:rsidR="00DB678C" w:rsidRPr="00EA7CD2" w:rsidRDefault="00DB678C" w:rsidP="00C9378D">
      <w:pPr>
        <w:spacing w:after="0" w:line="240" w:lineRule="auto"/>
        <w:ind w:firstLine="720"/>
        <w:jc w:val="both"/>
        <w:rPr>
          <w:rFonts w:ascii="Arial" w:hAnsi="Arial" w:cs="Arial"/>
          <w:sz w:val="20"/>
          <w:szCs w:val="20"/>
        </w:rPr>
      </w:pPr>
      <w:r w:rsidRPr="00EA7CD2">
        <w:rPr>
          <w:rFonts w:ascii="Arial" w:hAnsi="Arial" w:cs="Arial"/>
          <w:sz w:val="20"/>
          <w:szCs w:val="20"/>
        </w:rPr>
        <w:t>The shank length of broiler breeders did not differ significantly between the two rearing systems. Birds in the cage system had an average shank length of 7.09 ± 0.08 cm, while those in the slat system measured 7.14 ± 0.07 cm. Statistical analysis indicated no significant difference between the systems (</w:t>
      </w:r>
      <w:r w:rsidRPr="00EA7CD2">
        <w:rPr>
          <w:rFonts w:ascii="Arial" w:hAnsi="Arial" w:cs="Arial"/>
          <w:i/>
          <w:iCs/>
          <w:sz w:val="20"/>
          <w:szCs w:val="20"/>
        </w:rPr>
        <w:t>P</w:t>
      </w:r>
      <w:r w:rsidRPr="00EA7CD2">
        <w:rPr>
          <w:rFonts w:ascii="Arial" w:hAnsi="Arial" w:cs="Arial"/>
          <w:sz w:val="20"/>
          <w:szCs w:val="20"/>
        </w:rPr>
        <w:t xml:space="preserve"> ≥ 0.05), suggesting that both cage and slat housing provided adequate conditions for normal skeletal development in the birds.</w:t>
      </w:r>
    </w:p>
    <w:p w:rsidR="004D3805" w:rsidRPr="00EA7CD2" w:rsidRDefault="007C3C14" w:rsidP="002E77C9">
      <w:pPr>
        <w:spacing w:after="0" w:line="240" w:lineRule="auto"/>
        <w:jc w:val="both"/>
        <w:rPr>
          <w:rFonts w:ascii="Arial" w:hAnsi="Arial" w:cs="Arial"/>
          <w:sz w:val="20"/>
          <w:szCs w:val="20"/>
        </w:rPr>
      </w:pPr>
      <w:r w:rsidRPr="00EA7CD2">
        <w:rPr>
          <w:rFonts w:ascii="Arial" w:hAnsi="Arial" w:cs="Arial"/>
          <w:sz w:val="20"/>
          <w:szCs w:val="20"/>
        </w:rPr>
        <w:tab/>
        <w:t xml:space="preserve">Bone development in poultry is closely linked to the level of physical activity permitted by the housing system. </w:t>
      </w:r>
      <w:r w:rsidR="00F75066" w:rsidRPr="00EA7CD2">
        <w:rPr>
          <w:rFonts w:ascii="Arial" w:hAnsi="Arial" w:cs="Arial"/>
          <w:sz w:val="20"/>
          <w:szCs w:val="20"/>
        </w:rPr>
        <w:t>No</w:t>
      </w:r>
      <w:r w:rsidRPr="00EA7CD2">
        <w:rPr>
          <w:rFonts w:ascii="Arial" w:hAnsi="Arial" w:cs="Arial"/>
          <w:sz w:val="20"/>
          <w:szCs w:val="20"/>
        </w:rPr>
        <w:t xml:space="preserve">rgaard-Nielsen (1990)reported that restricted movement in conventional cages can compromise skeletal strength in layers, whereas Meng </w:t>
      </w:r>
      <w:r w:rsidRPr="00EA7CD2">
        <w:rPr>
          <w:rFonts w:ascii="Arial" w:hAnsi="Arial" w:cs="Arial"/>
          <w:i/>
          <w:iCs/>
          <w:sz w:val="20"/>
          <w:szCs w:val="20"/>
        </w:rPr>
        <w:t>et al.</w:t>
      </w:r>
      <w:r w:rsidRPr="00EA7CD2">
        <w:rPr>
          <w:rFonts w:ascii="Arial" w:hAnsi="Arial" w:cs="Arial"/>
          <w:sz w:val="20"/>
          <w:szCs w:val="20"/>
        </w:rPr>
        <w:t xml:space="preserve"> (2017) observed that birds housed in furnished cages, which allow greater mobility, exhibited enhanced bone strength. </w:t>
      </w:r>
      <w:r w:rsidR="004D3805" w:rsidRPr="00EA7CD2">
        <w:rPr>
          <w:rFonts w:ascii="Arial" w:hAnsi="Arial" w:cs="Arial"/>
          <w:sz w:val="20"/>
          <w:szCs w:val="20"/>
        </w:rPr>
        <w:t>In the context of the present study, the comparable shank length of birds reared in cages and on slats suggests that the degree of movement allowed within the cages was sufficient to support normal leg growth and proper skeletal formation in broiler breeders.</w:t>
      </w:r>
    </w:p>
    <w:p w:rsidR="00C9378D" w:rsidRPr="00EA7CD2" w:rsidRDefault="00C9378D" w:rsidP="002E77C9">
      <w:pPr>
        <w:spacing w:after="0" w:line="240" w:lineRule="auto"/>
        <w:jc w:val="both"/>
        <w:rPr>
          <w:rFonts w:ascii="Arial" w:hAnsi="Arial" w:cs="Arial"/>
          <w:sz w:val="20"/>
          <w:szCs w:val="20"/>
        </w:rPr>
      </w:pPr>
    </w:p>
    <w:p w:rsidR="00891368" w:rsidRPr="00EA7CD2" w:rsidRDefault="00891368" w:rsidP="002E77C9">
      <w:pPr>
        <w:pStyle w:val="ListParagraph"/>
        <w:numPr>
          <w:ilvl w:val="1"/>
          <w:numId w:val="1"/>
        </w:numPr>
        <w:spacing w:after="0" w:line="240" w:lineRule="auto"/>
        <w:ind w:hanging="720"/>
        <w:jc w:val="both"/>
        <w:rPr>
          <w:rFonts w:ascii="Arial" w:hAnsi="Arial" w:cs="Arial"/>
          <w:b/>
          <w:bCs/>
        </w:rPr>
      </w:pPr>
      <w:r w:rsidRPr="00EA7CD2">
        <w:rPr>
          <w:rFonts w:ascii="Arial" w:hAnsi="Arial" w:cs="Arial"/>
          <w:b/>
          <w:bCs/>
        </w:rPr>
        <w:t>Effect of Rearing Systems on Breast Score of Broiler Breeders</w:t>
      </w:r>
      <w:r w:rsidR="00DB678C" w:rsidRPr="00EA7CD2">
        <w:rPr>
          <w:rFonts w:ascii="Arial" w:hAnsi="Arial" w:cs="Arial"/>
          <w:b/>
          <w:bCs/>
        </w:rPr>
        <w:t xml:space="preserve"> Birds</w:t>
      </w:r>
    </w:p>
    <w:p w:rsidR="00C9378D" w:rsidRPr="00EA7CD2" w:rsidRDefault="00C9378D" w:rsidP="00C9378D">
      <w:pPr>
        <w:spacing w:after="0" w:line="240" w:lineRule="auto"/>
        <w:ind w:firstLine="720"/>
        <w:jc w:val="both"/>
        <w:rPr>
          <w:rFonts w:ascii="Arial" w:hAnsi="Arial" w:cs="Arial"/>
          <w:spacing w:val="1"/>
          <w:sz w:val="20"/>
          <w:szCs w:val="20"/>
        </w:rPr>
      </w:pPr>
    </w:p>
    <w:p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The distribution of breast scores varied notably between cage and slat housing systems for broiler breeders. In cages, the majority of birds were classified under grade C (20), with only a few achieving the highest grade A (4) and more falling into the lowest grade E (6). Conversely, birds reared on slat floors showed a more favorable pattern, with higher numbers in grade A (9) and B (11) and fewer in grade E (2). This indicates that slat rearing supports better breast muscle development and condition compared to cages, where birds exhibited a greater tendency toward average or poor scores.</w:t>
      </w:r>
    </w:p>
    <w:p w:rsidR="009B6A7A" w:rsidRPr="00EA7CD2" w:rsidRDefault="009B6A7A" w:rsidP="00C9378D">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These findings align with the results reported by Wegner </w:t>
      </w:r>
      <w:r w:rsidRPr="00EA7CD2">
        <w:rPr>
          <w:rFonts w:ascii="Arial" w:hAnsi="Arial" w:cs="Arial"/>
          <w:i/>
          <w:iCs/>
          <w:spacing w:val="1"/>
          <w:sz w:val="20"/>
          <w:szCs w:val="20"/>
        </w:rPr>
        <w:t>et al.</w:t>
      </w:r>
      <w:r w:rsidRPr="00EA7CD2">
        <w:rPr>
          <w:rFonts w:ascii="Arial" w:hAnsi="Arial" w:cs="Arial"/>
          <w:spacing w:val="1"/>
          <w:sz w:val="20"/>
          <w:szCs w:val="20"/>
        </w:rPr>
        <w:t xml:space="preserve"> (2023), who observed that the slat floor system led to a higher breast muscle percentage (27.4%) compared to the litter </w:t>
      </w:r>
      <w:r w:rsidR="00C9378D" w:rsidRPr="00EA7CD2">
        <w:rPr>
          <w:rFonts w:ascii="Arial" w:hAnsi="Arial" w:cs="Arial"/>
          <w:spacing w:val="1"/>
          <w:sz w:val="20"/>
          <w:szCs w:val="20"/>
        </w:rPr>
        <w:br/>
      </w:r>
      <w:r w:rsidRPr="00EA7CD2">
        <w:rPr>
          <w:rFonts w:ascii="Arial" w:hAnsi="Arial" w:cs="Arial"/>
          <w:spacing w:val="1"/>
          <w:sz w:val="20"/>
          <w:szCs w:val="20"/>
        </w:rPr>
        <w:t xml:space="preserve">system (26.0%). </w:t>
      </w:r>
    </w:p>
    <w:p w:rsidR="00603990" w:rsidRPr="00EA7CD2" w:rsidRDefault="00603990" w:rsidP="00C9378D">
      <w:pPr>
        <w:spacing w:after="0" w:line="240" w:lineRule="auto"/>
        <w:jc w:val="center"/>
        <w:rPr>
          <w:rFonts w:ascii="Arial" w:hAnsi="Arial" w:cs="Arial"/>
          <w:b/>
          <w:sz w:val="20"/>
          <w:szCs w:val="20"/>
        </w:rPr>
      </w:pPr>
    </w:p>
    <w:p w:rsidR="00B623FE" w:rsidRPr="00EA7CD2" w:rsidRDefault="00B623FE" w:rsidP="00C9378D">
      <w:pPr>
        <w:spacing w:after="0" w:line="240" w:lineRule="auto"/>
        <w:jc w:val="center"/>
        <w:rPr>
          <w:rFonts w:ascii="Arial" w:hAnsi="Arial" w:cs="Arial"/>
          <w:b/>
          <w:sz w:val="20"/>
          <w:szCs w:val="20"/>
        </w:rPr>
      </w:pPr>
      <w:r w:rsidRPr="00EA7CD2">
        <w:rPr>
          <w:rFonts w:ascii="Arial" w:hAnsi="Arial" w:cs="Arial"/>
          <w:b/>
          <w:sz w:val="20"/>
          <w:szCs w:val="20"/>
        </w:rPr>
        <w:t>Fig.1 Breast score of Broiler Breeders in Cage and Slat Rearing Systems</w:t>
      </w:r>
    </w:p>
    <w:p w:rsidR="00C9378D" w:rsidRPr="00EA7CD2" w:rsidRDefault="00C9378D" w:rsidP="00C9378D">
      <w:pPr>
        <w:spacing w:after="0" w:line="240" w:lineRule="auto"/>
        <w:jc w:val="center"/>
        <w:rPr>
          <w:rFonts w:ascii="Arial" w:hAnsi="Arial" w:cs="Arial"/>
          <w:b/>
          <w:sz w:val="20"/>
          <w:szCs w:val="20"/>
        </w:rPr>
      </w:pPr>
    </w:p>
    <w:p w:rsidR="00B623FE" w:rsidRPr="00EA7CD2" w:rsidRDefault="00891368" w:rsidP="00C9378D">
      <w:pPr>
        <w:spacing w:after="0" w:line="240" w:lineRule="auto"/>
        <w:jc w:val="center"/>
        <w:rPr>
          <w:rFonts w:ascii="Arial" w:hAnsi="Arial" w:cs="Arial"/>
          <w:sz w:val="20"/>
          <w:szCs w:val="20"/>
        </w:rPr>
      </w:pPr>
      <w:r w:rsidRPr="00EA7CD2">
        <w:rPr>
          <w:rFonts w:ascii="Arial" w:hAnsi="Arial" w:cs="Arial"/>
          <w:noProof/>
          <w:sz w:val="20"/>
          <w:szCs w:val="20"/>
          <w:lang w:val="en-US" w:eastAsia="en-US" w:bidi="ta-IN"/>
        </w:rPr>
        <w:drawing>
          <wp:inline distT="0" distB="0" distL="0" distR="0">
            <wp:extent cx="2771775" cy="18669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9378D" w:rsidRPr="00EA7CD2" w:rsidRDefault="00C9378D" w:rsidP="00C9378D">
      <w:pPr>
        <w:spacing w:after="0" w:line="240" w:lineRule="auto"/>
        <w:jc w:val="center"/>
        <w:rPr>
          <w:rFonts w:ascii="Arial" w:hAnsi="Arial" w:cs="Arial"/>
          <w:sz w:val="20"/>
          <w:szCs w:val="20"/>
        </w:rPr>
      </w:pPr>
    </w:p>
    <w:p w:rsidR="00891368"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sz w:val="20"/>
          <w:szCs w:val="20"/>
        </w:rPr>
        <w:lastRenderedPageBreak/>
        <w:t>CONCLUSION</w:t>
      </w:r>
      <w:r w:rsidR="00891368" w:rsidRPr="00EA7CD2">
        <w:rPr>
          <w:rFonts w:ascii="Arial" w:hAnsi="Arial" w:cs="Arial"/>
          <w:b/>
          <w:sz w:val="20"/>
          <w:szCs w:val="20"/>
        </w:rPr>
        <w:tab/>
      </w:r>
    </w:p>
    <w:p w:rsidR="00C9378D" w:rsidRPr="00EA7CD2" w:rsidRDefault="00C9378D" w:rsidP="002E77C9">
      <w:pPr>
        <w:spacing w:after="0" w:line="240" w:lineRule="auto"/>
        <w:ind w:firstLine="720"/>
        <w:jc w:val="both"/>
        <w:rPr>
          <w:rFonts w:ascii="Arial" w:hAnsi="Arial" w:cs="Arial"/>
          <w:spacing w:val="1"/>
          <w:sz w:val="20"/>
          <w:szCs w:val="20"/>
        </w:rPr>
      </w:pPr>
    </w:p>
    <w:p w:rsidR="00393E4C" w:rsidRPr="00EA7CD2" w:rsidRDefault="00393E4C" w:rsidP="002E77C9">
      <w:pPr>
        <w:spacing w:after="0" w:line="240" w:lineRule="auto"/>
        <w:ind w:firstLine="720"/>
        <w:jc w:val="both"/>
        <w:rPr>
          <w:rFonts w:ascii="Arial" w:hAnsi="Arial" w:cs="Arial"/>
          <w:spacing w:val="1"/>
          <w:sz w:val="20"/>
          <w:szCs w:val="20"/>
        </w:rPr>
      </w:pPr>
      <w:r w:rsidRPr="00EA7CD2">
        <w:rPr>
          <w:rFonts w:ascii="Arial" w:hAnsi="Arial" w:cs="Arial"/>
          <w:spacing w:val="1"/>
          <w:sz w:val="20"/>
          <w:szCs w:val="20"/>
        </w:rPr>
        <w:t xml:space="preserve">The study showed that rearing systems significantly affect broiler breeder growth and health. Cage-reared birds achieved </w:t>
      </w:r>
      <w:r w:rsidR="007E7BFF">
        <w:rPr>
          <w:rFonts w:ascii="Arial" w:hAnsi="Arial" w:cs="Arial"/>
          <w:spacing w:val="1"/>
          <w:sz w:val="20"/>
          <w:szCs w:val="20"/>
        </w:rPr>
        <w:t xml:space="preserve">6.8% </w:t>
      </w:r>
      <w:r w:rsidRPr="00EA7CD2">
        <w:rPr>
          <w:rFonts w:ascii="Arial" w:hAnsi="Arial" w:cs="Arial"/>
          <w:spacing w:val="1"/>
          <w:sz w:val="20"/>
          <w:szCs w:val="20"/>
        </w:rPr>
        <w:t xml:space="preserve">higher body weights and had </w:t>
      </w:r>
      <w:r w:rsidR="007E7BFF">
        <w:rPr>
          <w:rFonts w:ascii="Arial" w:hAnsi="Arial" w:cs="Arial"/>
          <w:spacing w:val="1"/>
          <w:sz w:val="20"/>
          <w:szCs w:val="20"/>
        </w:rPr>
        <w:t xml:space="preserve">28.5% fewer foot lesions. Similarly, </w:t>
      </w:r>
      <w:r w:rsidRPr="00EA7CD2">
        <w:rPr>
          <w:rFonts w:ascii="Arial" w:hAnsi="Arial" w:cs="Arial"/>
          <w:spacing w:val="1"/>
          <w:sz w:val="20"/>
          <w:szCs w:val="20"/>
        </w:rPr>
        <w:t xml:space="preserve">livability was </w:t>
      </w:r>
      <w:r w:rsidR="007E7BFF">
        <w:rPr>
          <w:rFonts w:ascii="Arial" w:hAnsi="Arial" w:cs="Arial"/>
          <w:spacing w:val="1"/>
          <w:sz w:val="20"/>
          <w:szCs w:val="20"/>
        </w:rPr>
        <w:t>slightly</w:t>
      </w:r>
      <w:r w:rsidRPr="00EA7CD2">
        <w:rPr>
          <w:rFonts w:ascii="Arial" w:hAnsi="Arial" w:cs="Arial"/>
          <w:spacing w:val="1"/>
          <w:sz w:val="20"/>
          <w:szCs w:val="20"/>
        </w:rPr>
        <w:t xml:space="preserve"> better in </w:t>
      </w:r>
      <w:r w:rsidR="007E7BFF">
        <w:rPr>
          <w:rFonts w:ascii="Arial" w:hAnsi="Arial" w:cs="Arial"/>
          <w:spacing w:val="1"/>
          <w:sz w:val="20"/>
          <w:szCs w:val="20"/>
        </w:rPr>
        <w:t>the cage system compared to the slat system</w:t>
      </w:r>
      <w:r w:rsidRPr="00EA7CD2">
        <w:rPr>
          <w:rFonts w:ascii="Arial" w:hAnsi="Arial" w:cs="Arial"/>
          <w:spacing w:val="1"/>
          <w:sz w:val="20"/>
          <w:szCs w:val="20"/>
        </w:rPr>
        <w:t xml:space="preserve">. </w:t>
      </w:r>
      <w:r w:rsidR="007E7BFF">
        <w:rPr>
          <w:rFonts w:ascii="Arial" w:hAnsi="Arial" w:cs="Arial"/>
          <w:spacing w:val="1"/>
          <w:sz w:val="20"/>
          <w:szCs w:val="20"/>
        </w:rPr>
        <w:t>However, s</w:t>
      </w:r>
      <w:r w:rsidRPr="00EA7CD2">
        <w:rPr>
          <w:rFonts w:ascii="Arial" w:hAnsi="Arial" w:cs="Arial"/>
          <w:spacing w:val="1"/>
          <w:sz w:val="20"/>
          <w:szCs w:val="20"/>
        </w:rPr>
        <w:t>lat-reared birds showed slightly better shank length and breast muscle development. These results suggest that optimal broiler breeder management requires balancing growth performance with bird welfare, integrating the advantages of both housing systems for effective production and animal well-being</w:t>
      </w:r>
      <w:r w:rsidR="00F94D70" w:rsidRPr="00EA7CD2">
        <w:rPr>
          <w:rFonts w:ascii="Arial" w:hAnsi="Arial" w:cs="Arial"/>
          <w:spacing w:val="1"/>
          <w:sz w:val="20"/>
          <w:szCs w:val="20"/>
        </w:rPr>
        <w:t>.</w:t>
      </w:r>
    </w:p>
    <w:p w:rsidR="00B0025A" w:rsidRDefault="00B0025A" w:rsidP="00F94D70">
      <w:pPr>
        <w:pStyle w:val="ReferHead"/>
        <w:spacing w:after="0"/>
        <w:jc w:val="both"/>
        <w:rPr>
          <w:rFonts w:ascii="Arial" w:hAnsi="Arial" w:cs="Arial"/>
        </w:rPr>
      </w:pPr>
    </w:p>
    <w:p w:rsidR="00B0025A" w:rsidRPr="00174CC9" w:rsidRDefault="00B0025A" w:rsidP="00174CC9">
      <w:pPr>
        <w:spacing w:after="0" w:line="240" w:lineRule="auto"/>
        <w:jc w:val="both"/>
        <w:rPr>
          <w:rFonts w:ascii="Arial" w:hAnsi="Arial" w:cs="Arial"/>
          <w:b/>
          <w:bCs/>
          <w:spacing w:val="1"/>
          <w:sz w:val="20"/>
          <w:szCs w:val="20"/>
          <w:highlight w:val="yellow"/>
        </w:rPr>
      </w:pPr>
      <w:r w:rsidRPr="00174CC9">
        <w:rPr>
          <w:rFonts w:ascii="Arial" w:hAnsi="Arial" w:cs="Arial"/>
          <w:b/>
          <w:bCs/>
          <w:spacing w:val="1"/>
          <w:sz w:val="20"/>
          <w:szCs w:val="20"/>
          <w:highlight w:val="yellow"/>
        </w:rPr>
        <w:t>Disclaimer (Artificial intelligence)</w:t>
      </w:r>
    </w:p>
    <w:p w:rsidR="00B0025A" w:rsidRPr="00174CC9" w:rsidRDefault="00174CC9" w:rsidP="00174CC9">
      <w:pPr>
        <w:spacing w:after="0" w:line="240" w:lineRule="auto"/>
        <w:ind w:firstLine="720"/>
        <w:jc w:val="both"/>
        <w:rPr>
          <w:rFonts w:ascii="Arial" w:hAnsi="Arial" w:cs="Arial"/>
          <w:spacing w:val="1"/>
          <w:sz w:val="20"/>
          <w:szCs w:val="20"/>
        </w:rPr>
      </w:pPr>
      <w:r w:rsidRPr="00174CC9">
        <w:rPr>
          <w:rFonts w:ascii="Arial" w:hAnsi="Arial" w:cs="Arial"/>
          <w:spacing w:val="1"/>
          <w:sz w:val="20"/>
          <w:szCs w:val="20"/>
          <w:highlight w:val="yellow"/>
        </w:rPr>
        <w:t xml:space="preserve">The authors hereby declare that </w:t>
      </w:r>
      <w:r w:rsidRPr="00174CC9">
        <w:rPr>
          <w:rFonts w:ascii="Arial" w:hAnsi="Arial" w:cs="Arial"/>
          <w:b/>
          <w:bCs/>
          <w:spacing w:val="1"/>
          <w:sz w:val="20"/>
          <w:szCs w:val="20"/>
        </w:rPr>
        <w:t>generative AI technology</w:t>
      </w:r>
      <w:r w:rsidRPr="00174CC9">
        <w:rPr>
          <w:rFonts w:ascii="Arial" w:hAnsi="Arial" w:cs="Arial"/>
          <w:spacing w:val="1"/>
          <w:sz w:val="20"/>
          <w:szCs w:val="20"/>
          <w:highlight w:val="yellow"/>
        </w:rPr>
        <w:t xml:space="preserve"> was used in the editing of this manuscript. Specifically, </w:t>
      </w:r>
      <w:r w:rsidRPr="00174CC9">
        <w:rPr>
          <w:rFonts w:ascii="Arial" w:hAnsi="Arial" w:cs="Arial"/>
          <w:b/>
          <w:bCs/>
          <w:spacing w:val="1"/>
          <w:sz w:val="20"/>
          <w:szCs w:val="20"/>
        </w:rPr>
        <w:t>ChatGPT (GPT-5 model, OpenAI, 2025)</w:t>
      </w:r>
      <w:r w:rsidRPr="00174CC9">
        <w:rPr>
          <w:rFonts w:ascii="Arial" w:hAnsi="Arial" w:cs="Arial"/>
          <w:spacing w:val="1"/>
          <w:sz w:val="20"/>
          <w:szCs w:val="20"/>
          <w:highlight w:val="yellow"/>
        </w:rPr>
        <w:t xml:space="preserve"> was employed to assist in refining language, improving clarity, and ensuring grammatical accuracy. However, all the intellectual and analytical contributions remain those of the authors. The AI tool did not generate any scientific ideas, interpretations, or conclusions independently. All outputs were critically reviewed and verified by the authors prior to inclusion in the final manuscript.</w:t>
      </w:r>
      <w:bookmarkStart w:id="0" w:name="_GoBack"/>
      <w:bookmarkEnd w:id="0"/>
    </w:p>
    <w:p w:rsidR="00C9378D" w:rsidRPr="00EA7CD2" w:rsidRDefault="00C9378D" w:rsidP="00F94D70">
      <w:pPr>
        <w:spacing w:after="0" w:line="240" w:lineRule="auto"/>
        <w:ind w:firstLine="720"/>
        <w:jc w:val="both"/>
        <w:rPr>
          <w:rFonts w:ascii="Arial" w:hAnsi="Arial" w:cs="Arial"/>
          <w:spacing w:val="1"/>
          <w:sz w:val="20"/>
          <w:szCs w:val="20"/>
        </w:rPr>
      </w:pPr>
    </w:p>
    <w:p w:rsidR="00004180" w:rsidRPr="00EA7CD2" w:rsidRDefault="005F1B48" w:rsidP="002E77C9">
      <w:pPr>
        <w:pStyle w:val="ListParagraph"/>
        <w:numPr>
          <w:ilvl w:val="0"/>
          <w:numId w:val="1"/>
        </w:numPr>
        <w:spacing w:after="0" w:line="240" w:lineRule="auto"/>
        <w:ind w:hanging="720"/>
        <w:jc w:val="both"/>
        <w:rPr>
          <w:rFonts w:ascii="Arial" w:hAnsi="Arial" w:cs="Arial"/>
          <w:b/>
          <w:sz w:val="20"/>
          <w:szCs w:val="20"/>
        </w:rPr>
      </w:pPr>
      <w:r w:rsidRPr="00EA7CD2">
        <w:rPr>
          <w:rFonts w:ascii="Arial" w:hAnsi="Arial" w:cs="Arial"/>
          <w:b/>
        </w:rPr>
        <w:t>REFERENCES</w:t>
      </w:r>
    </w:p>
    <w:p w:rsidR="00004180" w:rsidRPr="00EA7CD2" w:rsidRDefault="00004180" w:rsidP="002E77C9">
      <w:pPr>
        <w:pStyle w:val="ListParagraph"/>
        <w:spacing w:after="0" w:line="240" w:lineRule="auto"/>
        <w:jc w:val="both"/>
        <w:rPr>
          <w:rFonts w:ascii="Arial" w:hAnsi="Arial" w:cs="Arial"/>
          <w:b/>
          <w:sz w:val="20"/>
          <w:szCs w:val="20"/>
        </w:rPr>
      </w:pPr>
    </w:p>
    <w:p w:rsidR="00A24E90" w:rsidRPr="00EA7CD2" w:rsidRDefault="00A24E90" w:rsidP="00787BCD">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pacing w:val="1"/>
          <w:sz w:val="20"/>
          <w:szCs w:val="20"/>
        </w:rPr>
        <w:t xml:space="preserve">Abdel-Azeem, A.-A. S. (2019). Evaluation of floor vs. cage system of broiler chickens reared in three different areas of enclosed houses on productive and physiological performance. Egyptian Poultry Science Journal, 39(4), 953–971. </w:t>
      </w:r>
      <w:hyperlink r:id="rId9" w:history="1">
        <w:r w:rsidRPr="00EA7CD2">
          <w:rPr>
            <w:rStyle w:val="Hyperlink"/>
            <w:rFonts w:ascii="Arial" w:eastAsia="Times New Roman" w:hAnsi="Arial" w:cs="Arial"/>
            <w:color w:val="auto"/>
            <w:sz w:val="20"/>
            <w:szCs w:val="20"/>
            <w:lang w:val="en-US" w:eastAsia="en-US" w:bidi="ta-IN"/>
          </w:rPr>
          <w:t>https://doi.org/10.21608/EPSJ.2019.67516</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pacing w:val="1"/>
          <w:sz w:val="20"/>
          <w:szCs w:val="20"/>
        </w:rPr>
        <w:t>Bell, D. D., &amp; Weaver, W. D. (2001). Commercial chicken meat and egg production (5th ed.). Kluwer, Los Angeles, California, USA</w:t>
      </w:r>
      <w:r w:rsidRPr="00EA7CD2">
        <w:rPr>
          <w:rFonts w:ascii="Arial" w:hAnsi="Arial" w:cs="Arial"/>
          <w:sz w:val="20"/>
          <w:szCs w:val="20"/>
        </w:rPr>
        <w:t>.</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Bruggeman, V., Onagbesan, O., Ragot, O., Metayer, S., Cassy, S., Favreau, F., </w:t>
      </w:r>
      <w:r w:rsidRPr="00EA7CD2">
        <w:rPr>
          <w:rFonts w:ascii="Arial" w:hAnsi="Arial" w:cs="Arial"/>
          <w:i/>
          <w:iCs/>
          <w:sz w:val="20"/>
          <w:szCs w:val="20"/>
        </w:rPr>
        <w:t>et al.</w:t>
      </w:r>
      <w:r w:rsidRPr="00EA7CD2">
        <w:rPr>
          <w:rFonts w:ascii="Arial" w:hAnsi="Arial" w:cs="Arial"/>
          <w:sz w:val="20"/>
          <w:szCs w:val="20"/>
        </w:rPr>
        <w:t xml:space="preserve"> (2005). Feed allowance–genotype interactions in broiler breeder hens. Poultry Science, 84(2), 298–306.</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Cave, N. A. (1981). Effect of diurnal programs of nutrient intake on the performance of broiler breeder hens. Poultry Science, 60, 1287–1292.</w:t>
      </w:r>
    </w:p>
    <w:p w:rsidR="00A24E90" w:rsidRPr="00EA7CD2" w:rsidRDefault="00A24E90"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Englmaierová, M., Tůmová, E., Charvátová, V., &amp;Skřivan, M. (2014). Effects of laying hens housing system on laying performance, egg quality characteristics, and egg microbial contamination. Czech Journal of Animal Science, 59(8), 345–352. </w:t>
      </w:r>
      <w:hyperlink r:id="rId10" w:tgtFrame="_blank" w:history="1">
        <w:r w:rsidRPr="00EA7CD2">
          <w:rPr>
            <w:rStyle w:val="Hyperlink"/>
            <w:rFonts w:eastAsia="Times New Roman"/>
            <w:color w:val="auto"/>
            <w:sz w:val="20"/>
            <w:szCs w:val="20"/>
            <w:lang w:val="en-US" w:eastAsia="en-US" w:bidi="ta-IN"/>
          </w:rPr>
          <w:t>https://doi.org/10.17221/7585-cjas</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Erasmus, M. A. (2017). A review of the effects of stocking density on turkey behavior, welfare, and productivity. Poultry Science, 96, 2540–2545.</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Evira. (2011). Assessment of broiler welfare at the slaughterhouse, guidelines. Finnish Food Safety Authority Evira, Helsinki, Finland.</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Güler, S., Petek, M., Çavuşoğlu, E., &amp; Topal, H. E. (2021). The histological characteristics of footpad dermatitis in fast-growing broiler chickens raised on different floor housing systems. ERCI Veterinary Journal, 18(2), 96–101. </w:t>
      </w:r>
      <w:hyperlink r:id="rId11" w:tgtFrame="_blank" w:history="1">
        <w:r w:rsidRPr="00EA7CD2">
          <w:rPr>
            <w:rStyle w:val="Hyperlink"/>
            <w:rFonts w:ascii="Arial" w:eastAsia="Times New Roman" w:hAnsi="Arial" w:cs="Arial"/>
            <w:color w:val="auto"/>
            <w:sz w:val="20"/>
            <w:szCs w:val="20"/>
            <w:lang w:val="en-US" w:eastAsia="en-US" w:bidi="ta-IN"/>
          </w:rPr>
          <w:t>https://doi.org/10.32707/ERCIVET.953190</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Honig, H., Haron, A., Plitman, L., Lokshtanov, D., Shinder, D., Nagar, S., </w:t>
      </w:r>
      <w:r w:rsidRPr="00EA7CD2">
        <w:rPr>
          <w:rFonts w:ascii="Arial" w:hAnsi="Arial" w:cs="Arial"/>
          <w:i/>
          <w:iCs/>
          <w:sz w:val="20"/>
          <w:szCs w:val="20"/>
        </w:rPr>
        <w:t>et al.</w:t>
      </w:r>
      <w:r w:rsidRPr="00EA7CD2">
        <w:rPr>
          <w:rFonts w:ascii="Arial" w:hAnsi="Arial" w:cs="Arial"/>
          <w:sz w:val="20"/>
          <w:szCs w:val="20"/>
        </w:rPr>
        <w:t xml:space="preserve"> (2024). Comparative analysis of broiler housing systems: Implications for production and wellbeing. Animals, 14(11), 1665. </w:t>
      </w:r>
      <w:hyperlink r:id="rId12" w:tgtFrame="_blank" w:history="1">
        <w:r w:rsidRPr="00EA7CD2">
          <w:rPr>
            <w:rStyle w:val="Hyperlink"/>
            <w:rFonts w:ascii="Arial" w:eastAsia="Times New Roman" w:hAnsi="Arial" w:cs="Arial"/>
            <w:color w:val="auto"/>
            <w:sz w:val="20"/>
            <w:szCs w:val="20"/>
            <w:lang w:val="en-US" w:eastAsia="en-US" w:bidi="ta-IN"/>
          </w:rPr>
          <w:t>https://doi.org/10.3390/ani14111665</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Jeon, H., Shin, H., Lee, J., Kim, J., Biswas, S., Lee, J., </w:t>
      </w:r>
      <w:r w:rsidRPr="00EA7CD2">
        <w:rPr>
          <w:rFonts w:ascii="Arial" w:hAnsi="Arial" w:cs="Arial"/>
          <w:i/>
          <w:iCs/>
          <w:sz w:val="20"/>
          <w:szCs w:val="20"/>
        </w:rPr>
        <w:t>et al.</w:t>
      </w:r>
      <w:r w:rsidRPr="00EA7CD2">
        <w:rPr>
          <w:rFonts w:ascii="Arial" w:hAnsi="Arial" w:cs="Arial"/>
          <w:sz w:val="20"/>
          <w:szCs w:val="20"/>
        </w:rPr>
        <w:t xml:space="preserve"> (2025). Welfare characteristics of laying hens in aviary and cage systems. Poultry Science, 104(5), 104987.</w:t>
      </w:r>
      <w:r w:rsidRPr="00EA7CD2">
        <w:rPr>
          <w:rStyle w:val="Hyperlink"/>
          <w:rFonts w:ascii="Arial" w:eastAsia="Times New Roman" w:hAnsi="Arial" w:cs="Arial"/>
          <w:color w:val="auto"/>
          <w:sz w:val="20"/>
          <w:szCs w:val="20"/>
          <w:lang w:val="en-US" w:eastAsia="en-US" w:bidi="ta-IN"/>
        </w:rPr>
        <w:t> </w:t>
      </w:r>
      <w:hyperlink r:id="rId13" w:tgtFrame="_blank" w:history="1">
        <w:r w:rsidRPr="00EA7CD2">
          <w:rPr>
            <w:rStyle w:val="Hyperlink"/>
            <w:rFonts w:ascii="Arial" w:eastAsia="Times New Roman" w:hAnsi="Arial" w:cs="Arial"/>
            <w:color w:val="auto"/>
            <w:sz w:val="20"/>
            <w:szCs w:val="20"/>
            <w:lang w:val="en-US" w:eastAsia="en-US" w:bidi="ta-IN"/>
          </w:rPr>
          <w:t>https://doi.org/10.1016/j.psj.2025.104987</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Khan, I. A., &amp; Khan, S. (2018). Production performance of broiler breeders under cage versus floor housing systems. International Journal of Biosciences, 13(1), 448–461.</w:t>
      </w:r>
    </w:p>
    <w:p w:rsidR="00A24E90" w:rsidRPr="00EA7CD2" w:rsidRDefault="00A24E90"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Laughlin, K. F. (2009). Breeder management: How did we get here? Biology of Breeding Poultry, 29, 10–25.</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Leone, E. H., Christman, M. C., Douglass, L., &amp; Estevez, I. (2010). Separating the impact of group size, density, and enclosure size on broiler movement and space use at a decreasing perimeter to area ratio. Behavioural Processes, 83(1), 16–22.</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Li, J. Y., Liu, W., Ma, R. Y., Li, Y., Liu, Y., Qi, R. R., </w:t>
      </w:r>
      <w:r w:rsidRPr="00EA7CD2">
        <w:rPr>
          <w:rFonts w:ascii="Arial" w:hAnsi="Arial" w:cs="Arial"/>
          <w:i/>
          <w:iCs/>
          <w:sz w:val="20"/>
          <w:szCs w:val="20"/>
        </w:rPr>
        <w:t>et al.</w:t>
      </w:r>
      <w:r w:rsidRPr="00EA7CD2">
        <w:rPr>
          <w:rFonts w:ascii="Arial" w:hAnsi="Arial" w:cs="Arial"/>
          <w:sz w:val="20"/>
          <w:szCs w:val="20"/>
        </w:rPr>
        <w:t xml:space="preserve"> (2019). Effects of cage size on growth performance, blood biochemistry, and antibody response in layer breeder males during the rearing stage. Poultry Science, 98(9), 3571–3577.</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Melnychuk, V. L., Kirby, J. D., Kirby, Y. K., Emmerson, D. A., Anthony, N. B., </w:t>
      </w:r>
      <w:r w:rsidRPr="00EA7CD2">
        <w:rPr>
          <w:rFonts w:ascii="Arial" w:hAnsi="Arial" w:cs="Arial"/>
          <w:i/>
          <w:iCs/>
          <w:sz w:val="20"/>
          <w:szCs w:val="20"/>
        </w:rPr>
        <w:t>et al.</w:t>
      </w:r>
      <w:r w:rsidRPr="00EA7CD2">
        <w:rPr>
          <w:rFonts w:ascii="Arial" w:hAnsi="Arial" w:cs="Arial"/>
          <w:sz w:val="20"/>
          <w:szCs w:val="20"/>
        </w:rPr>
        <w:t xml:space="preserve"> (2004). Effect of strain, feed allocation program, and age at photostimulation on reproductive </w:t>
      </w:r>
      <w:r w:rsidRPr="00EA7CD2">
        <w:rPr>
          <w:rFonts w:ascii="Arial" w:hAnsi="Arial" w:cs="Arial"/>
          <w:sz w:val="20"/>
          <w:szCs w:val="20"/>
        </w:rPr>
        <w:lastRenderedPageBreak/>
        <w:t>development and carcass characteristics of broiler breeder hens. Poultry Science, 83(11), 1861–1867.</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Meng, F., Chen, D., Li, X., Li, J., &amp; Bao, J. (2017). The effect of large or small furnished cages on behaviors and tibia bone of laying hens. Journal of Veterinary Behavior, 17, 69–73.</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Morrissey, K. L. H., Widowski, T., Leeson, S., Sandilands, V., Arnone, A., Torrey, S., </w:t>
      </w:r>
      <w:r w:rsidRPr="00EA7CD2">
        <w:rPr>
          <w:rFonts w:ascii="Arial" w:hAnsi="Arial" w:cs="Arial"/>
          <w:i/>
          <w:iCs/>
          <w:sz w:val="20"/>
          <w:szCs w:val="20"/>
        </w:rPr>
        <w:t>et al.</w:t>
      </w:r>
      <w:r w:rsidRPr="00EA7CD2">
        <w:rPr>
          <w:rFonts w:ascii="Arial" w:hAnsi="Arial" w:cs="Arial"/>
          <w:sz w:val="20"/>
          <w:szCs w:val="20"/>
        </w:rPr>
        <w:t xml:space="preserve"> (2014). The effect of dietary alterations during rearing on growth, productivity, and behavior in broiler breeder females. Poultry Science, 93(2), 285–295.</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Norgaard-Nielsen, G. (1990). Bone strength of laying hens kept in an alternative system, compared with hens in cages and on deep litter. British Poultry Science, 31, 81–89.</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Pistikova, V. M., Hovorka, M., Veeerek, V., Strikeover, E., &amp; Suchy, P. (2006). The quality comparison of eggs laid by laying hens kept in battery cages and in a deep litter system. Czech Journal of Animal Science, 51(7), 318–325.</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 xml:space="preserve">Rodenburg, T., Tuyttens, F., de Reu, K., Herman, L., Zoons, J., Sonck, B., </w:t>
      </w:r>
      <w:r w:rsidRPr="00EA7CD2">
        <w:rPr>
          <w:rFonts w:ascii="Arial" w:hAnsi="Arial" w:cs="Arial"/>
          <w:i/>
          <w:iCs/>
          <w:sz w:val="20"/>
          <w:szCs w:val="20"/>
        </w:rPr>
        <w:t>et al.</w:t>
      </w:r>
      <w:r w:rsidRPr="00EA7CD2">
        <w:rPr>
          <w:rFonts w:ascii="Arial" w:hAnsi="Arial" w:cs="Arial"/>
          <w:sz w:val="20"/>
          <w:szCs w:val="20"/>
        </w:rPr>
        <w:t xml:space="preserve"> (2008). Welfare assessment of laying hens in furnished cages and non-cage systems: An on-farm comparison. Animal Welfare, 17(4), 363–373. </w:t>
      </w:r>
      <w:hyperlink r:id="rId14" w:tgtFrame="_blank" w:history="1">
        <w:r w:rsidRPr="00EA7CD2">
          <w:rPr>
            <w:rStyle w:val="Hyperlink"/>
            <w:rFonts w:ascii="Arial" w:eastAsia="Times New Roman" w:hAnsi="Arial" w:cs="Arial"/>
            <w:color w:val="auto"/>
            <w:sz w:val="20"/>
            <w:szCs w:val="20"/>
            <w:lang w:val="en-US" w:eastAsia="en-US" w:bidi="ta-IN"/>
          </w:rPr>
          <w:t>https://doi.org/10.1017/S096272860002786X</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Samiullah, S., Omar, A. S., Roberts, J., &amp;Chousalkar, K. (2017). Effect of production system and flock age on eggshell and egg internal quality measurements. Poultry Science, 96, 246–258.</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Sandilands, V., Tolkamp, B. J., Savory, C. J., &amp;Kyriazakis, I. (2006). Behaviour and welfare of broiler breeders fed qualitatively restricted diets during rearing: Are there viable alternatives to quantitative restriction? Applied Animal Behaviour Science, 96(1), 53–67.</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Savory, C. J., Hocking, P., Mann, J., &amp; Maxwell, M. (1996). Is broiler breeder welfare improved by using qualitative rather than quantitative food restriction to limit growth rate? Animal Welfare, 5(2), 105–127.</w:t>
      </w:r>
    </w:p>
    <w:p w:rsidR="00A24E90" w:rsidRPr="00A24E90" w:rsidRDefault="00A24E90" w:rsidP="00A24E90">
      <w:pPr>
        <w:pStyle w:val="ListParagraph"/>
        <w:numPr>
          <w:ilvl w:val="0"/>
          <w:numId w:val="5"/>
        </w:numPr>
        <w:spacing w:after="0" w:line="240" w:lineRule="auto"/>
        <w:jc w:val="both"/>
        <w:rPr>
          <w:rFonts w:ascii="Arial" w:hAnsi="Arial" w:cs="Arial"/>
          <w:sz w:val="20"/>
          <w:szCs w:val="20"/>
        </w:rPr>
      </w:pPr>
      <w:r w:rsidRPr="00A24E90">
        <w:rPr>
          <w:rFonts w:ascii="Arial" w:hAnsi="Arial" w:cs="Arial"/>
          <w:sz w:val="20"/>
          <w:szCs w:val="20"/>
        </w:rPr>
        <w:t>Skrbic, Z., Lukic, M., Petricevic, V., Bogosavljevic-Boskovic, S., Rakonjac, S., Doskovic, V., &amp; Tolimir, N. (2022). The effect of space allowance in the cage and floor systems on feather condition and egg production. Biotechnology in Animal Husbandry, 38(2), 125–137. https://doi.org/10.2298/bah2202125s</w:t>
      </w:r>
    </w:p>
    <w:p w:rsidR="00A24E90" w:rsidRPr="00A24E90" w:rsidRDefault="00A24E90" w:rsidP="00A24E90">
      <w:pPr>
        <w:pStyle w:val="ListParagraph"/>
        <w:numPr>
          <w:ilvl w:val="0"/>
          <w:numId w:val="5"/>
        </w:numPr>
        <w:spacing w:after="0" w:line="240" w:lineRule="auto"/>
        <w:jc w:val="both"/>
        <w:rPr>
          <w:rFonts w:ascii="Arial" w:hAnsi="Arial" w:cs="Arial"/>
          <w:sz w:val="20"/>
          <w:szCs w:val="20"/>
        </w:rPr>
      </w:pPr>
      <w:r w:rsidRPr="00A24E90">
        <w:rPr>
          <w:rFonts w:ascii="Arial" w:hAnsi="Arial" w:cs="Arial"/>
          <w:sz w:val="20"/>
          <w:szCs w:val="20"/>
        </w:rPr>
        <w:t>Sosnówka-Czajka, E., Skomorucha, I., &amp; Herbut, E. (2021). The welfare status of hens in different housing systems – a review. Annals of Animal Science, 21(4), 1235–1255. https://doi.org/10.2478/aoas-2021-0021</w:t>
      </w:r>
    </w:p>
    <w:p w:rsidR="00A24E90" w:rsidRPr="00EA7CD2" w:rsidRDefault="00A24E90" w:rsidP="002B566F">
      <w:pPr>
        <w:pStyle w:val="ListParagraph"/>
        <w:numPr>
          <w:ilvl w:val="0"/>
          <w:numId w:val="5"/>
        </w:numPr>
        <w:autoSpaceDE w:val="0"/>
        <w:autoSpaceDN w:val="0"/>
        <w:adjustRightInd w:val="0"/>
        <w:spacing w:after="0" w:line="240" w:lineRule="auto"/>
        <w:jc w:val="both"/>
        <w:rPr>
          <w:rFonts w:ascii="Arial" w:hAnsi="Arial" w:cs="Arial"/>
          <w:sz w:val="20"/>
          <w:szCs w:val="20"/>
        </w:rPr>
      </w:pPr>
      <w:r w:rsidRPr="00EA7CD2">
        <w:rPr>
          <w:rFonts w:ascii="Arial" w:hAnsi="Arial" w:cs="Arial"/>
          <w:sz w:val="20"/>
          <w:szCs w:val="20"/>
        </w:rPr>
        <w:t>Van Krimpen, M., &amp; De Jong, I. (2014). Impact of nutrition on welfare aspects of broiler breeder flocks. World's Poultry Science Journal, 70(1), 139–150. </w:t>
      </w:r>
      <w:hyperlink r:id="rId15" w:tgtFrame="_blank" w:history="1">
        <w:r w:rsidRPr="00EA7CD2">
          <w:rPr>
            <w:rStyle w:val="Hyperlink"/>
            <w:rFonts w:eastAsia="Times New Roman"/>
            <w:color w:val="auto"/>
            <w:sz w:val="20"/>
            <w:szCs w:val="20"/>
            <w:lang w:val="en-US" w:eastAsia="en-US" w:bidi="ta-IN"/>
          </w:rPr>
          <w:t>https://doi.org/10.1017/s0043933914000129</w:t>
        </w:r>
      </w:hyperlink>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Van Krimpen, M., &amp; De Jong, I. C. (2014). Impact of nutrition on welfare aspects of broiler breeder flocks. World’s Poultry Science Journal, 70, 139–150.</w:t>
      </w:r>
    </w:p>
    <w:p w:rsidR="00A24E90" w:rsidRPr="00A24E90" w:rsidRDefault="00A24E90" w:rsidP="002B566F">
      <w:pPr>
        <w:pStyle w:val="ListParagraph"/>
        <w:numPr>
          <w:ilvl w:val="0"/>
          <w:numId w:val="5"/>
        </w:numPr>
        <w:spacing w:after="0" w:line="240" w:lineRule="auto"/>
        <w:jc w:val="both"/>
        <w:rPr>
          <w:rFonts w:ascii="Arial" w:hAnsi="Arial" w:cs="Arial"/>
          <w:sz w:val="20"/>
          <w:szCs w:val="20"/>
        </w:rPr>
      </w:pPr>
      <w:r w:rsidRPr="00A24E90">
        <w:rPr>
          <w:rFonts w:ascii="Arial" w:hAnsi="Arial" w:cs="Arial"/>
          <w:sz w:val="20"/>
          <w:szCs w:val="20"/>
        </w:rPr>
        <w:t>Vencobb 430 Breeder Management Supplement. Venco Research Breeding Farm Pvt. Ltd. Pune, India.</w:t>
      </w:r>
    </w:p>
    <w:p w:rsidR="00A24E90" w:rsidRPr="00EA7CD2" w:rsidRDefault="00A24E90" w:rsidP="00787BCD">
      <w:pPr>
        <w:pStyle w:val="ListParagraph"/>
        <w:numPr>
          <w:ilvl w:val="0"/>
          <w:numId w:val="5"/>
        </w:numPr>
        <w:spacing w:after="0" w:line="240" w:lineRule="auto"/>
        <w:jc w:val="both"/>
        <w:rPr>
          <w:rFonts w:ascii="Arial" w:hAnsi="Arial" w:cs="Arial"/>
          <w:sz w:val="20"/>
          <w:szCs w:val="20"/>
        </w:rPr>
      </w:pPr>
      <w:r w:rsidRPr="00EA7CD2">
        <w:rPr>
          <w:rFonts w:ascii="Arial" w:hAnsi="Arial" w:cs="Arial"/>
          <w:sz w:val="20"/>
          <w:szCs w:val="20"/>
        </w:rPr>
        <w:t>Wegner, M., Kokoszynski, D., Kotowicz, M., &amp; Krajewski, K. (2023). Effect of housing system on carcass composition, meat quality, digestive morphometry, and leg bone dimensions of Ross 308 parent broilers. Poultry Science, 102(4), 102437.</w:t>
      </w:r>
    </w:p>
    <w:p w:rsidR="00A24E90" w:rsidRDefault="00A24E90" w:rsidP="002B566F">
      <w:pPr>
        <w:pStyle w:val="ListParagraph"/>
        <w:numPr>
          <w:ilvl w:val="0"/>
          <w:numId w:val="5"/>
        </w:numPr>
        <w:spacing w:after="0" w:line="240" w:lineRule="auto"/>
        <w:jc w:val="both"/>
      </w:pPr>
      <w:r w:rsidRPr="00EA7CD2">
        <w:rPr>
          <w:rFonts w:ascii="Arial" w:hAnsi="Arial" w:cs="Arial"/>
          <w:sz w:val="20"/>
          <w:szCs w:val="20"/>
        </w:rPr>
        <w:t>Wegner, M., Kokoszyński, D., Kotowicz, M., &amp; Krajewski, K. (2023). Effect of housing system on carcass composition, meat quality, digestive morphometry, and leg bone dimensions of Ross 308 parent broilers. Poultry Science, 103(3), 103384. </w:t>
      </w:r>
      <w:hyperlink r:id="rId16" w:tgtFrame="_blank" w:history="1">
        <w:r w:rsidRPr="00EA7CD2">
          <w:rPr>
            <w:rStyle w:val="Hyperlink"/>
            <w:rFonts w:ascii="Arial" w:eastAsia="Times New Roman" w:hAnsi="Arial" w:cs="Arial"/>
            <w:color w:val="auto"/>
            <w:sz w:val="20"/>
            <w:szCs w:val="20"/>
            <w:lang w:val="en-US" w:eastAsia="en-US" w:bidi="ta-IN"/>
          </w:rPr>
          <w:t>https://doi.org/10.1016/j.psj.2023.103384</w:t>
        </w:r>
      </w:hyperlink>
    </w:p>
    <w:sectPr w:rsidR="00A24E90" w:rsidSect="009245EC">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934" w:rsidRDefault="00661934" w:rsidP="00C9378D">
      <w:pPr>
        <w:spacing w:after="0" w:line="240" w:lineRule="auto"/>
      </w:pPr>
      <w:r>
        <w:separator/>
      </w:r>
    </w:p>
  </w:endnote>
  <w:endnote w:type="continuationSeparator" w:id="1">
    <w:p w:rsidR="00661934" w:rsidRDefault="00661934" w:rsidP="00C937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9245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9245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924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934" w:rsidRDefault="00661934" w:rsidP="00C9378D">
      <w:pPr>
        <w:spacing w:after="0" w:line="240" w:lineRule="auto"/>
      </w:pPr>
      <w:r>
        <w:separator/>
      </w:r>
    </w:p>
  </w:footnote>
  <w:footnote w:type="continuationSeparator" w:id="1">
    <w:p w:rsidR="00661934" w:rsidRDefault="00661934" w:rsidP="00C937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050E1E">
    <w:pPr>
      <w:pStyle w:val="Header"/>
    </w:pPr>
    <w:r w:rsidRPr="00050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050E1E">
    <w:pPr>
      <w:pStyle w:val="Header"/>
    </w:pPr>
    <w:r w:rsidRPr="00050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5EC" w:rsidRDefault="00050E1E">
    <w:pPr>
      <w:pStyle w:val="Header"/>
    </w:pPr>
    <w:r w:rsidRPr="00050E1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316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5752B"/>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D851EBF"/>
    <w:multiLevelType w:val="multilevel"/>
    <w:tmpl w:val="6E9E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727018"/>
    <w:multiLevelType w:val="multilevel"/>
    <w:tmpl w:val="561C05CC"/>
    <w:lvl w:ilvl="0">
      <w:start w:val="1"/>
      <w:numFmt w:val="decimal"/>
      <w:lvlText w:val="%1."/>
      <w:lvlJc w:val="left"/>
      <w:pPr>
        <w:ind w:left="720" w:hanging="360"/>
      </w:pPr>
      <w:rPr>
        <w:rFonts w:hint="default"/>
        <w:b w:val="0"/>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877A6C"/>
    <w:multiLevelType w:val="multilevel"/>
    <w:tmpl w:val="A3A0A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B0C5ABA"/>
    <w:multiLevelType w:val="singleLevel"/>
    <w:tmpl w:val="A1B04AE0"/>
    <w:lvl w:ilvl="0">
      <w:start w:val="1"/>
      <w:numFmt w:val="decimal"/>
      <w:lvlText w:val="%1."/>
      <w:legacy w:legacy="1" w:legacySpace="0" w:legacyIndent="360"/>
      <w:lvlJc w:val="left"/>
      <w:pPr>
        <w:ind w:left="360" w:hanging="360"/>
      </w:pPr>
    </w:lvl>
  </w:abstractNum>
  <w:abstractNum w:abstractNumId="5">
    <w:nsid w:val="71093B46"/>
    <w:multiLevelType w:val="hybridMultilevel"/>
    <w:tmpl w:val="7C181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xMDU0N7U0MDQ0NjCwMLRU0lEKTi0uzszPAykwrAUAO51zMSwAAAA="/>
  </w:docVars>
  <w:rsids>
    <w:rsidRoot w:val="00470CE9"/>
    <w:rsid w:val="00004180"/>
    <w:rsid w:val="00041413"/>
    <w:rsid w:val="00050E1E"/>
    <w:rsid w:val="000821C5"/>
    <w:rsid w:val="000A5796"/>
    <w:rsid w:val="000A7FEC"/>
    <w:rsid w:val="000D74ED"/>
    <w:rsid w:val="00140208"/>
    <w:rsid w:val="00165B48"/>
    <w:rsid w:val="00174CC9"/>
    <w:rsid w:val="00175B90"/>
    <w:rsid w:val="00191C9B"/>
    <w:rsid w:val="001B57D5"/>
    <w:rsid w:val="001E1544"/>
    <w:rsid w:val="002074D1"/>
    <w:rsid w:val="002465CE"/>
    <w:rsid w:val="002A53BD"/>
    <w:rsid w:val="002A6FDE"/>
    <w:rsid w:val="002B566F"/>
    <w:rsid w:val="002C6D6F"/>
    <w:rsid w:val="002E422A"/>
    <w:rsid w:val="002E6784"/>
    <w:rsid w:val="002E77C9"/>
    <w:rsid w:val="0033310C"/>
    <w:rsid w:val="0035262D"/>
    <w:rsid w:val="00363E89"/>
    <w:rsid w:val="00372B8D"/>
    <w:rsid w:val="00380DFA"/>
    <w:rsid w:val="00390BBC"/>
    <w:rsid w:val="00393E4C"/>
    <w:rsid w:val="003B50A3"/>
    <w:rsid w:val="003C28EC"/>
    <w:rsid w:val="003D6B0E"/>
    <w:rsid w:val="003D7FF5"/>
    <w:rsid w:val="003E25D8"/>
    <w:rsid w:val="003F56A6"/>
    <w:rsid w:val="004040E2"/>
    <w:rsid w:val="00420017"/>
    <w:rsid w:val="004225CE"/>
    <w:rsid w:val="004631CA"/>
    <w:rsid w:val="00470CE9"/>
    <w:rsid w:val="004853DC"/>
    <w:rsid w:val="00493D5B"/>
    <w:rsid w:val="00495F5D"/>
    <w:rsid w:val="004B337B"/>
    <w:rsid w:val="004D3805"/>
    <w:rsid w:val="0050554E"/>
    <w:rsid w:val="00511490"/>
    <w:rsid w:val="0053003E"/>
    <w:rsid w:val="00537CBE"/>
    <w:rsid w:val="00597B3D"/>
    <w:rsid w:val="005A1ACF"/>
    <w:rsid w:val="005C6B03"/>
    <w:rsid w:val="005C7E75"/>
    <w:rsid w:val="005E5B0D"/>
    <w:rsid w:val="005F1B48"/>
    <w:rsid w:val="00603990"/>
    <w:rsid w:val="006138B6"/>
    <w:rsid w:val="00615524"/>
    <w:rsid w:val="0062338E"/>
    <w:rsid w:val="00636913"/>
    <w:rsid w:val="00656A81"/>
    <w:rsid w:val="00661934"/>
    <w:rsid w:val="0069016B"/>
    <w:rsid w:val="0069303F"/>
    <w:rsid w:val="006B5599"/>
    <w:rsid w:val="006D020E"/>
    <w:rsid w:val="006E3692"/>
    <w:rsid w:val="007271F0"/>
    <w:rsid w:val="007515C3"/>
    <w:rsid w:val="007833DE"/>
    <w:rsid w:val="00787BCD"/>
    <w:rsid w:val="0079722C"/>
    <w:rsid w:val="007B2805"/>
    <w:rsid w:val="007C3C14"/>
    <w:rsid w:val="007E7BFF"/>
    <w:rsid w:val="00805B49"/>
    <w:rsid w:val="008121E1"/>
    <w:rsid w:val="008539C5"/>
    <w:rsid w:val="00864DCB"/>
    <w:rsid w:val="008707BE"/>
    <w:rsid w:val="00891368"/>
    <w:rsid w:val="008923AC"/>
    <w:rsid w:val="008960B3"/>
    <w:rsid w:val="00897D1D"/>
    <w:rsid w:val="008E129A"/>
    <w:rsid w:val="008F676E"/>
    <w:rsid w:val="0090547A"/>
    <w:rsid w:val="00924594"/>
    <w:rsid w:val="009245EC"/>
    <w:rsid w:val="00946F66"/>
    <w:rsid w:val="00986064"/>
    <w:rsid w:val="009B6A7A"/>
    <w:rsid w:val="009D5E3F"/>
    <w:rsid w:val="00A24E90"/>
    <w:rsid w:val="00A334CD"/>
    <w:rsid w:val="00A34602"/>
    <w:rsid w:val="00A3582F"/>
    <w:rsid w:val="00A5173A"/>
    <w:rsid w:val="00A64567"/>
    <w:rsid w:val="00A75BFE"/>
    <w:rsid w:val="00A923E6"/>
    <w:rsid w:val="00A9721B"/>
    <w:rsid w:val="00B0025A"/>
    <w:rsid w:val="00B22AC4"/>
    <w:rsid w:val="00B618F4"/>
    <w:rsid w:val="00B623FE"/>
    <w:rsid w:val="00BE1562"/>
    <w:rsid w:val="00C36EF0"/>
    <w:rsid w:val="00C535C2"/>
    <w:rsid w:val="00C82595"/>
    <w:rsid w:val="00C9378D"/>
    <w:rsid w:val="00CE75CD"/>
    <w:rsid w:val="00CF0BF2"/>
    <w:rsid w:val="00CF4B12"/>
    <w:rsid w:val="00D305CA"/>
    <w:rsid w:val="00D63310"/>
    <w:rsid w:val="00D66BAC"/>
    <w:rsid w:val="00D82BB0"/>
    <w:rsid w:val="00DA1122"/>
    <w:rsid w:val="00DB678C"/>
    <w:rsid w:val="00DB7F28"/>
    <w:rsid w:val="00DE03B3"/>
    <w:rsid w:val="00DE17C9"/>
    <w:rsid w:val="00E04CAC"/>
    <w:rsid w:val="00E206A1"/>
    <w:rsid w:val="00E4609C"/>
    <w:rsid w:val="00E54269"/>
    <w:rsid w:val="00E808E2"/>
    <w:rsid w:val="00EA7CD2"/>
    <w:rsid w:val="00EC04A8"/>
    <w:rsid w:val="00EC1A3A"/>
    <w:rsid w:val="00ED3D30"/>
    <w:rsid w:val="00F75066"/>
    <w:rsid w:val="00F776F0"/>
    <w:rsid w:val="00F94D70"/>
    <w:rsid w:val="00FB73F1"/>
    <w:rsid w:val="00FF294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2" type="connector" idref="#AutoShape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4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0CE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70CE9"/>
    <w:pPr>
      <w:ind w:left="720"/>
      <w:contextualSpacing/>
    </w:pPr>
  </w:style>
  <w:style w:type="character" w:styleId="Strong">
    <w:name w:val="Strong"/>
    <w:basedOn w:val="DefaultParagraphFont"/>
    <w:uiPriority w:val="22"/>
    <w:qFormat/>
    <w:rsid w:val="00470CE9"/>
    <w:rPr>
      <w:b/>
      <w:bCs/>
    </w:rPr>
  </w:style>
  <w:style w:type="character" w:styleId="Hyperlink">
    <w:name w:val="Hyperlink"/>
    <w:basedOn w:val="DefaultParagraphFont"/>
    <w:uiPriority w:val="99"/>
    <w:unhideWhenUsed/>
    <w:rsid w:val="00470CE9"/>
    <w:rPr>
      <w:color w:val="0000FF" w:themeColor="hyperlink"/>
      <w:u w:val="single"/>
    </w:rPr>
  </w:style>
  <w:style w:type="character" w:styleId="Emphasis">
    <w:name w:val="Emphasis"/>
    <w:basedOn w:val="DefaultParagraphFont"/>
    <w:uiPriority w:val="20"/>
    <w:qFormat/>
    <w:rsid w:val="00004180"/>
    <w:rPr>
      <w:i/>
      <w:iCs/>
    </w:rPr>
  </w:style>
  <w:style w:type="character" w:customStyle="1" w:styleId="citationsource-book">
    <w:name w:val="citation_source-book"/>
    <w:basedOn w:val="DefaultParagraphFont"/>
    <w:rsid w:val="00004180"/>
  </w:style>
  <w:style w:type="paragraph" w:styleId="BalloonText">
    <w:name w:val="Balloon Text"/>
    <w:basedOn w:val="Normal"/>
    <w:link w:val="BalloonTextChar"/>
    <w:uiPriority w:val="99"/>
    <w:semiHidden/>
    <w:unhideWhenUsed/>
    <w:rsid w:val="00891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68"/>
    <w:rPr>
      <w:rFonts w:ascii="Tahoma" w:hAnsi="Tahoma" w:cs="Tahoma"/>
      <w:sz w:val="16"/>
      <w:szCs w:val="16"/>
    </w:rPr>
  </w:style>
  <w:style w:type="character" w:customStyle="1" w:styleId="text-forest-600">
    <w:name w:val="text-forest-600"/>
    <w:basedOn w:val="DefaultParagraphFont"/>
    <w:rsid w:val="00140208"/>
  </w:style>
  <w:style w:type="paragraph" w:styleId="PlainText">
    <w:name w:val="Plain Text"/>
    <w:basedOn w:val="Normal"/>
    <w:link w:val="PlainTextChar"/>
    <w:uiPriority w:val="99"/>
    <w:unhideWhenUsed/>
    <w:rsid w:val="00986064"/>
    <w:pPr>
      <w:spacing w:after="0" w:line="240" w:lineRule="auto"/>
    </w:pPr>
    <w:rPr>
      <w:rFonts w:ascii="Consolas" w:eastAsiaTheme="minorHAnsi" w:hAnsi="Consolas"/>
      <w:sz w:val="21"/>
      <w:szCs w:val="21"/>
      <w:lang w:val="en-US" w:eastAsia="en-US"/>
    </w:rPr>
  </w:style>
  <w:style w:type="character" w:customStyle="1" w:styleId="PlainTextChar">
    <w:name w:val="Plain Text Char"/>
    <w:basedOn w:val="DefaultParagraphFont"/>
    <w:link w:val="PlainText"/>
    <w:uiPriority w:val="99"/>
    <w:rsid w:val="00986064"/>
    <w:rPr>
      <w:rFonts w:ascii="Consolas" w:eastAsiaTheme="minorHAnsi" w:hAnsi="Consolas"/>
      <w:sz w:val="21"/>
      <w:szCs w:val="21"/>
      <w:lang w:val="en-US" w:eastAsia="en-US"/>
    </w:rPr>
  </w:style>
  <w:style w:type="character" w:customStyle="1" w:styleId="url">
    <w:name w:val="url"/>
    <w:basedOn w:val="DefaultParagraphFont"/>
    <w:rsid w:val="008539C5"/>
  </w:style>
  <w:style w:type="paragraph" w:customStyle="1" w:styleId="my-2">
    <w:name w:val="my-2"/>
    <w:basedOn w:val="Normal"/>
    <w:rsid w:val="009B6A7A"/>
    <w:pPr>
      <w:spacing w:before="100" w:beforeAutospacing="1" w:after="100" w:afterAutospacing="1" w:line="240" w:lineRule="auto"/>
    </w:pPr>
    <w:rPr>
      <w:rFonts w:ascii="Times New Roman" w:eastAsia="Times New Roman" w:hAnsi="Times New Roman" w:cs="Times New Roman"/>
      <w:sz w:val="24"/>
      <w:szCs w:val="24"/>
      <w:lang w:val="en-US" w:eastAsia="en-US" w:bidi="ta-IN"/>
    </w:rPr>
  </w:style>
  <w:style w:type="paragraph" w:customStyle="1" w:styleId="ReferHead">
    <w:name w:val="Refer Head"/>
    <w:basedOn w:val="Normal"/>
    <w:rsid w:val="00F94D70"/>
    <w:pPr>
      <w:keepNext/>
      <w:spacing w:after="240" w:line="240" w:lineRule="auto"/>
    </w:pPr>
    <w:rPr>
      <w:rFonts w:ascii="Helvetica" w:eastAsia="Times New Roman" w:hAnsi="Helvetica" w:cs="Times New Roman"/>
      <w:b/>
      <w:caps/>
      <w:szCs w:val="20"/>
      <w:lang w:val="en-US" w:eastAsia="en-US"/>
    </w:rPr>
  </w:style>
  <w:style w:type="paragraph" w:customStyle="1" w:styleId="Affiliation">
    <w:name w:val="Affiliation"/>
    <w:basedOn w:val="Normal"/>
    <w:rsid w:val="00A75BFE"/>
    <w:pPr>
      <w:spacing w:after="240" w:line="240" w:lineRule="exact"/>
      <w:jc w:val="right"/>
    </w:pPr>
    <w:rPr>
      <w:rFonts w:ascii="Helvetica" w:eastAsia="Times New Roman" w:hAnsi="Helvetica" w:cs="Times New Roman"/>
      <w:sz w:val="20"/>
      <w:szCs w:val="20"/>
      <w:lang w:val="en-US" w:eastAsia="en-US"/>
    </w:rPr>
  </w:style>
  <w:style w:type="paragraph" w:styleId="Header">
    <w:name w:val="header"/>
    <w:basedOn w:val="Normal"/>
    <w:link w:val="HeaderChar"/>
    <w:uiPriority w:val="99"/>
    <w:unhideWhenUsed/>
    <w:rsid w:val="00C93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8D"/>
  </w:style>
  <w:style w:type="paragraph" w:styleId="Footer">
    <w:name w:val="footer"/>
    <w:basedOn w:val="Normal"/>
    <w:link w:val="FooterChar"/>
    <w:uiPriority w:val="99"/>
    <w:unhideWhenUsed/>
    <w:rsid w:val="00C93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8D"/>
  </w:style>
  <w:style w:type="paragraph" w:customStyle="1" w:styleId="Correspondencedetails">
    <w:name w:val="Correspondence details"/>
    <w:basedOn w:val="Normal"/>
    <w:qFormat/>
    <w:rsid w:val="00C9378D"/>
    <w:pPr>
      <w:spacing w:before="240" w:after="0" w:line="36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next w:val="Normal"/>
    <w:qFormat/>
    <w:rsid w:val="00C9378D"/>
    <w:pPr>
      <w:widowControl w:val="0"/>
      <w:spacing w:before="240" w:after="0" w:line="48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DE17C9"/>
  </w:style>
  <w:style w:type="character" w:customStyle="1" w:styleId="UnresolvedMention">
    <w:name w:val="Unresolved Mention"/>
    <w:basedOn w:val="DefaultParagraphFont"/>
    <w:uiPriority w:val="99"/>
    <w:semiHidden/>
    <w:unhideWhenUsed/>
    <w:rsid w:val="004853D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8524468">
      <w:bodyDiv w:val="1"/>
      <w:marLeft w:val="0"/>
      <w:marRight w:val="0"/>
      <w:marTop w:val="0"/>
      <w:marBottom w:val="0"/>
      <w:divBdr>
        <w:top w:val="none" w:sz="0" w:space="0" w:color="auto"/>
        <w:left w:val="none" w:sz="0" w:space="0" w:color="auto"/>
        <w:bottom w:val="none" w:sz="0" w:space="0" w:color="auto"/>
        <w:right w:val="none" w:sz="0" w:space="0" w:color="auto"/>
      </w:divBdr>
    </w:div>
    <w:div w:id="88813304">
      <w:bodyDiv w:val="1"/>
      <w:marLeft w:val="0"/>
      <w:marRight w:val="0"/>
      <w:marTop w:val="0"/>
      <w:marBottom w:val="0"/>
      <w:divBdr>
        <w:top w:val="none" w:sz="0" w:space="0" w:color="auto"/>
        <w:left w:val="none" w:sz="0" w:space="0" w:color="auto"/>
        <w:bottom w:val="none" w:sz="0" w:space="0" w:color="auto"/>
        <w:right w:val="none" w:sz="0" w:space="0" w:color="auto"/>
      </w:divBdr>
    </w:div>
    <w:div w:id="112680366">
      <w:bodyDiv w:val="1"/>
      <w:marLeft w:val="0"/>
      <w:marRight w:val="0"/>
      <w:marTop w:val="0"/>
      <w:marBottom w:val="0"/>
      <w:divBdr>
        <w:top w:val="none" w:sz="0" w:space="0" w:color="auto"/>
        <w:left w:val="none" w:sz="0" w:space="0" w:color="auto"/>
        <w:bottom w:val="none" w:sz="0" w:space="0" w:color="auto"/>
        <w:right w:val="none" w:sz="0" w:space="0" w:color="auto"/>
      </w:divBdr>
    </w:div>
    <w:div w:id="194392035">
      <w:bodyDiv w:val="1"/>
      <w:marLeft w:val="0"/>
      <w:marRight w:val="0"/>
      <w:marTop w:val="0"/>
      <w:marBottom w:val="0"/>
      <w:divBdr>
        <w:top w:val="none" w:sz="0" w:space="0" w:color="auto"/>
        <w:left w:val="none" w:sz="0" w:space="0" w:color="auto"/>
        <w:bottom w:val="none" w:sz="0" w:space="0" w:color="auto"/>
        <w:right w:val="none" w:sz="0" w:space="0" w:color="auto"/>
      </w:divBdr>
    </w:div>
    <w:div w:id="233244502">
      <w:bodyDiv w:val="1"/>
      <w:marLeft w:val="0"/>
      <w:marRight w:val="0"/>
      <w:marTop w:val="0"/>
      <w:marBottom w:val="0"/>
      <w:divBdr>
        <w:top w:val="none" w:sz="0" w:space="0" w:color="auto"/>
        <w:left w:val="none" w:sz="0" w:space="0" w:color="auto"/>
        <w:bottom w:val="none" w:sz="0" w:space="0" w:color="auto"/>
        <w:right w:val="none" w:sz="0" w:space="0" w:color="auto"/>
      </w:divBdr>
      <w:divsChild>
        <w:div w:id="1065448526">
          <w:marLeft w:val="-720"/>
          <w:marRight w:val="0"/>
          <w:marTop w:val="0"/>
          <w:marBottom w:val="0"/>
          <w:divBdr>
            <w:top w:val="none" w:sz="0" w:space="0" w:color="auto"/>
            <w:left w:val="none" w:sz="0" w:space="0" w:color="auto"/>
            <w:bottom w:val="none" w:sz="0" w:space="0" w:color="auto"/>
            <w:right w:val="none" w:sz="0" w:space="0" w:color="auto"/>
          </w:divBdr>
        </w:div>
      </w:divsChild>
    </w:div>
    <w:div w:id="314647412">
      <w:bodyDiv w:val="1"/>
      <w:marLeft w:val="0"/>
      <w:marRight w:val="0"/>
      <w:marTop w:val="0"/>
      <w:marBottom w:val="0"/>
      <w:divBdr>
        <w:top w:val="none" w:sz="0" w:space="0" w:color="auto"/>
        <w:left w:val="none" w:sz="0" w:space="0" w:color="auto"/>
        <w:bottom w:val="none" w:sz="0" w:space="0" w:color="auto"/>
        <w:right w:val="none" w:sz="0" w:space="0" w:color="auto"/>
      </w:divBdr>
    </w:div>
    <w:div w:id="332882912">
      <w:bodyDiv w:val="1"/>
      <w:marLeft w:val="0"/>
      <w:marRight w:val="0"/>
      <w:marTop w:val="0"/>
      <w:marBottom w:val="0"/>
      <w:divBdr>
        <w:top w:val="none" w:sz="0" w:space="0" w:color="auto"/>
        <w:left w:val="none" w:sz="0" w:space="0" w:color="auto"/>
        <w:bottom w:val="none" w:sz="0" w:space="0" w:color="auto"/>
        <w:right w:val="none" w:sz="0" w:space="0" w:color="auto"/>
      </w:divBdr>
    </w:div>
    <w:div w:id="370542208">
      <w:bodyDiv w:val="1"/>
      <w:marLeft w:val="0"/>
      <w:marRight w:val="0"/>
      <w:marTop w:val="0"/>
      <w:marBottom w:val="0"/>
      <w:divBdr>
        <w:top w:val="none" w:sz="0" w:space="0" w:color="auto"/>
        <w:left w:val="none" w:sz="0" w:space="0" w:color="auto"/>
        <w:bottom w:val="none" w:sz="0" w:space="0" w:color="auto"/>
        <w:right w:val="none" w:sz="0" w:space="0" w:color="auto"/>
      </w:divBdr>
    </w:div>
    <w:div w:id="613707091">
      <w:bodyDiv w:val="1"/>
      <w:marLeft w:val="0"/>
      <w:marRight w:val="0"/>
      <w:marTop w:val="0"/>
      <w:marBottom w:val="0"/>
      <w:divBdr>
        <w:top w:val="none" w:sz="0" w:space="0" w:color="auto"/>
        <w:left w:val="none" w:sz="0" w:space="0" w:color="auto"/>
        <w:bottom w:val="none" w:sz="0" w:space="0" w:color="auto"/>
        <w:right w:val="none" w:sz="0" w:space="0" w:color="auto"/>
      </w:divBdr>
    </w:div>
    <w:div w:id="631862000">
      <w:bodyDiv w:val="1"/>
      <w:marLeft w:val="0"/>
      <w:marRight w:val="0"/>
      <w:marTop w:val="0"/>
      <w:marBottom w:val="0"/>
      <w:divBdr>
        <w:top w:val="none" w:sz="0" w:space="0" w:color="auto"/>
        <w:left w:val="none" w:sz="0" w:space="0" w:color="auto"/>
        <w:bottom w:val="none" w:sz="0" w:space="0" w:color="auto"/>
        <w:right w:val="none" w:sz="0" w:space="0" w:color="auto"/>
      </w:divBdr>
    </w:div>
    <w:div w:id="637758829">
      <w:bodyDiv w:val="1"/>
      <w:marLeft w:val="0"/>
      <w:marRight w:val="0"/>
      <w:marTop w:val="0"/>
      <w:marBottom w:val="0"/>
      <w:divBdr>
        <w:top w:val="none" w:sz="0" w:space="0" w:color="auto"/>
        <w:left w:val="none" w:sz="0" w:space="0" w:color="auto"/>
        <w:bottom w:val="none" w:sz="0" w:space="0" w:color="auto"/>
        <w:right w:val="none" w:sz="0" w:space="0" w:color="auto"/>
      </w:divBdr>
    </w:div>
    <w:div w:id="771439868">
      <w:bodyDiv w:val="1"/>
      <w:marLeft w:val="0"/>
      <w:marRight w:val="0"/>
      <w:marTop w:val="0"/>
      <w:marBottom w:val="0"/>
      <w:divBdr>
        <w:top w:val="none" w:sz="0" w:space="0" w:color="auto"/>
        <w:left w:val="none" w:sz="0" w:space="0" w:color="auto"/>
        <w:bottom w:val="none" w:sz="0" w:space="0" w:color="auto"/>
        <w:right w:val="none" w:sz="0" w:space="0" w:color="auto"/>
      </w:divBdr>
    </w:div>
    <w:div w:id="804392652">
      <w:bodyDiv w:val="1"/>
      <w:marLeft w:val="0"/>
      <w:marRight w:val="0"/>
      <w:marTop w:val="0"/>
      <w:marBottom w:val="0"/>
      <w:divBdr>
        <w:top w:val="none" w:sz="0" w:space="0" w:color="auto"/>
        <w:left w:val="none" w:sz="0" w:space="0" w:color="auto"/>
        <w:bottom w:val="none" w:sz="0" w:space="0" w:color="auto"/>
        <w:right w:val="none" w:sz="0" w:space="0" w:color="auto"/>
      </w:divBdr>
    </w:div>
    <w:div w:id="867914516">
      <w:bodyDiv w:val="1"/>
      <w:marLeft w:val="0"/>
      <w:marRight w:val="0"/>
      <w:marTop w:val="0"/>
      <w:marBottom w:val="0"/>
      <w:divBdr>
        <w:top w:val="none" w:sz="0" w:space="0" w:color="auto"/>
        <w:left w:val="none" w:sz="0" w:space="0" w:color="auto"/>
        <w:bottom w:val="none" w:sz="0" w:space="0" w:color="auto"/>
        <w:right w:val="none" w:sz="0" w:space="0" w:color="auto"/>
      </w:divBdr>
    </w:div>
    <w:div w:id="908615335">
      <w:bodyDiv w:val="1"/>
      <w:marLeft w:val="0"/>
      <w:marRight w:val="0"/>
      <w:marTop w:val="0"/>
      <w:marBottom w:val="0"/>
      <w:divBdr>
        <w:top w:val="none" w:sz="0" w:space="0" w:color="auto"/>
        <w:left w:val="none" w:sz="0" w:space="0" w:color="auto"/>
        <w:bottom w:val="none" w:sz="0" w:space="0" w:color="auto"/>
        <w:right w:val="none" w:sz="0" w:space="0" w:color="auto"/>
      </w:divBdr>
    </w:div>
    <w:div w:id="928537660">
      <w:bodyDiv w:val="1"/>
      <w:marLeft w:val="0"/>
      <w:marRight w:val="0"/>
      <w:marTop w:val="0"/>
      <w:marBottom w:val="0"/>
      <w:divBdr>
        <w:top w:val="none" w:sz="0" w:space="0" w:color="auto"/>
        <w:left w:val="none" w:sz="0" w:space="0" w:color="auto"/>
        <w:bottom w:val="none" w:sz="0" w:space="0" w:color="auto"/>
        <w:right w:val="none" w:sz="0" w:space="0" w:color="auto"/>
      </w:divBdr>
    </w:div>
    <w:div w:id="976565876">
      <w:bodyDiv w:val="1"/>
      <w:marLeft w:val="0"/>
      <w:marRight w:val="0"/>
      <w:marTop w:val="0"/>
      <w:marBottom w:val="0"/>
      <w:divBdr>
        <w:top w:val="none" w:sz="0" w:space="0" w:color="auto"/>
        <w:left w:val="none" w:sz="0" w:space="0" w:color="auto"/>
        <w:bottom w:val="none" w:sz="0" w:space="0" w:color="auto"/>
        <w:right w:val="none" w:sz="0" w:space="0" w:color="auto"/>
      </w:divBdr>
    </w:div>
    <w:div w:id="1036664431">
      <w:bodyDiv w:val="1"/>
      <w:marLeft w:val="0"/>
      <w:marRight w:val="0"/>
      <w:marTop w:val="0"/>
      <w:marBottom w:val="0"/>
      <w:divBdr>
        <w:top w:val="none" w:sz="0" w:space="0" w:color="auto"/>
        <w:left w:val="none" w:sz="0" w:space="0" w:color="auto"/>
        <w:bottom w:val="none" w:sz="0" w:space="0" w:color="auto"/>
        <w:right w:val="none" w:sz="0" w:space="0" w:color="auto"/>
      </w:divBdr>
    </w:div>
    <w:div w:id="1118993036">
      <w:bodyDiv w:val="1"/>
      <w:marLeft w:val="0"/>
      <w:marRight w:val="0"/>
      <w:marTop w:val="0"/>
      <w:marBottom w:val="0"/>
      <w:divBdr>
        <w:top w:val="none" w:sz="0" w:space="0" w:color="auto"/>
        <w:left w:val="none" w:sz="0" w:space="0" w:color="auto"/>
        <w:bottom w:val="none" w:sz="0" w:space="0" w:color="auto"/>
        <w:right w:val="none" w:sz="0" w:space="0" w:color="auto"/>
      </w:divBdr>
      <w:divsChild>
        <w:div w:id="947082791">
          <w:marLeft w:val="0"/>
          <w:marRight w:val="0"/>
          <w:marTop w:val="0"/>
          <w:marBottom w:val="0"/>
          <w:divBdr>
            <w:top w:val="none" w:sz="0" w:space="0" w:color="auto"/>
            <w:left w:val="none" w:sz="0" w:space="0" w:color="auto"/>
            <w:bottom w:val="none" w:sz="0" w:space="0" w:color="auto"/>
            <w:right w:val="none" w:sz="0" w:space="0" w:color="auto"/>
          </w:divBdr>
        </w:div>
      </w:divsChild>
    </w:div>
    <w:div w:id="1183713684">
      <w:bodyDiv w:val="1"/>
      <w:marLeft w:val="0"/>
      <w:marRight w:val="0"/>
      <w:marTop w:val="0"/>
      <w:marBottom w:val="0"/>
      <w:divBdr>
        <w:top w:val="none" w:sz="0" w:space="0" w:color="auto"/>
        <w:left w:val="none" w:sz="0" w:space="0" w:color="auto"/>
        <w:bottom w:val="none" w:sz="0" w:space="0" w:color="auto"/>
        <w:right w:val="none" w:sz="0" w:space="0" w:color="auto"/>
      </w:divBdr>
    </w:div>
    <w:div w:id="1232078673">
      <w:bodyDiv w:val="1"/>
      <w:marLeft w:val="0"/>
      <w:marRight w:val="0"/>
      <w:marTop w:val="0"/>
      <w:marBottom w:val="0"/>
      <w:divBdr>
        <w:top w:val="none" w:sz="0" w:space="0" w:color="auto"/>
        <w:left w:val="none" w:sz="0" w:space="0" w:color="auto"/>
        <w:bottom w:val="none" w:sz="0" w:space="0" w:color="auto"/>
        <w:right w:val="none" w:sz="0" w:space="0" w:color="auto"/>
      </w:divBdr>
    </w:div>
    <w:div w:id="1285388705">
      <w:bodyDiv w:val="1"/>
      <w:marLeft w:val="0"/>
      <w:marRight w:val="0"/>
      <w:marTop w:val="0"/>
      <w:marBottom w:val="0"/>
      <w:divBdr>
        <w:top w:val="none" w:sz="0" w:space="0" w:color="auto"/>
        <w:left w:val="none" w:sz="0" w:space="0" w:color="auto"/>
        <w:bottom w:val="none" w:sz="0" w:space="0" w:color="auto"/>
        <w:right w:val="none" w:sz="0" w:space="0" w:color="auto"/>
      </w:divBdr>
    </w:div>
    <w:div w:id="1418601642">
      <w:bodyDiv w:val="1"/>
      <w:marLeft w:val="0"/>
      <w:marRight w:val="0"/>
      <w:marTop w:val="0"/>
      <w:marBottom w:val="0"/>
      <w:divBdr>
        <w:top w:val="none" w:sz="0" w:space="0" w:color="auto"/>
        <w:left w:val="none" w:sz="0" w:space="0" w:color="auto"/>
        <w:bottom w:val="none" w:sz="0" w:space="0" w:color="auto"/>
        <w:right w:val="none" w:sz="0" w:space="0" w:color="auto"/>
      </w:divBdr>
    </w:div>
    <w:div w:id="1443912418">
      <w:bodyDiv w:val="1"/>
      <w:marLeft w:val="0"/>
      <w:marRight w:val="0"/>
      <w:marTop w:val="0"/>
      <w:marBottom w:val="0"/>
      <w:divBdr>
        <w:top w:val="none" w:sz="0" w:space="0" w:color="auto"/>
        <w:left w:val="none" w:sz="0" w:space="0" w:color="auto"/>
        <w:bottom w:val="none" w:sz="0" w:space="0" w:color="auto"/>
        <w:right w:val="none" w:sz="0" w:space="0" w:color="auto"/>
      </w:divBdr>
    </w:div>
    <w:div w:id="1455560787">
      <w:bodyDiv w:val="1"/>
      <w:marLeft w:val="0"/>
      <w:marRight w:val="0"/>
      <w:marTop w:val="0"/>
      <w:marBottom w:val="0"/>
      <w:divBdr>
        <w:top w:val="none" w:sz="0" w:space="0" w:color="auto"/>
        <w:left w:val="none" w:sz="0" w:space="0" w:color="auto"/>
        <w:bottom w:val="none" w:sz="0" w:space="0" w:color="auto"/>
        <w:right w:val="none" w:sz="0" w:space="0" w:color="auto"/>
      </w:divBdr>
    </w:div>
    <w:div w:id="1597052942">
      <w:bodyDiv w:val="1"/>
      <w:marLeft w:val="0"/>
      <w:marRight w:val="0"/>
      <w:marTop w:val="0"/>
      <w:marBottom w:val="0"/>
      <w:divBdr>
        <w:top w:val="none" w:sz="0" w:space="0" w:color="auto"/>
        <w:left w:val="none" w:sz="0" w:space="0" w:color="auto"/>
        <w:bottom w:val="none" w:sz="0" w:space="0" w:color="auto"/>
        <w:right w:val="none" w:sz="0" w:space="0" w:color="auto"/>
      </w:divBdr>
    </w:div>
    <w:div w:id="1620142362">
      <w:bodyDiv w:val="1"/>
      <w:marLeft w:val="0"/>
      <w:marRight w:val="0"/>
      <w:marTop w:val="0"/>
      <w:marBottom w:val="0"/>
      <w:divBdr>
        <w:top w:val="none" w:sz="0" w:space="0" w:color="auto"/>
        <w:left w:val="none" w:sz="0" w:space="0" w:color="auto"/>
        <w:bottom w:val="none" w:sz="0" w:space="0" w:color="auto"/>
        <w:right w:val="none" w:sz="0" w:space="0" w:color="auto"/>
      </w:divBdr>
    </w:div>
    <w:div w:id="1785033240">
      <w:bodyDiv w:val="1"/>
      <w:marLeft w:val="0"/>
      <w:marRight w:val="0"/>
      <w:marTop w:val="0"/>
      <w:marBottom w:val="0"/>
      <w:divBdr>
        <w:top w:val="none" w:sz="0" w:space="0" w:color="auto"/>
        <w:left w:val="none" w:sz="0" w:space="0" w:color="auto"/>
        <w:bottom w:val="none" w:sz="0" w:space="0" w:color="auto"/>
        <w:right w:val="none" w:sz="0" w:space="0" w:color="auto"/>
      </w:divBdr>
      <w:divsChild>
        <w:div w:id="2141806084">
          <w:marLeft w:val="0"/>
          <w:marRight w:val="0"/>
          <w:marTop w:val="0"/>
          <w:marBottom w:val="0"/>
          <w:divBdr>
            <w:top w:val="none" w:sz="0" w:space="0" w:color="auto"/>
            <w:left w:val="none" w:sz="0" w:space="0" w:color="auto"/>
            <w:bottom w:val="none" w:sz="0" w:space="0" w:color="auto"/>
            <w:right w:val="none" w:sz="0" w:space="0" w:color="auto"/>
          </w:divBdr>
        </w:div>
      </w:divsChild>
    </w:div>
    <w:div w:id="1809323593">
      <w:bodyDiv w:val="1"/>
      <w:marLeft w:val="0"/>
      <w:marRight w:val="0"/>
      <w:marTop w:val="0"/>
      <w:marBottom w:val="0"/>
      <w:divBdr>
        <w:top w:val="none" w:sz="0" w:space="0" w:color="auto"/>
        <w:left w:val="none" w:sz="0" w:space="0" w:color="auto"/>
        <w:bottom w:val="none" w:sz="0" w:space="0" w:color="auto"/>
        <w:right w:val="none" w:sz="0" w:space="0" w:color="auto"/>
      </w:divBdr>
    </w:div>
    <w:div w:id="1821847648">
      <w:bodyDiv w:val="1"/>
      <w:marLeft w:val="0"/>
      <w:marRight w:val="0"/>
      <w:marTop w:val="0"/>
      <w:marBottom w:val="0"/>
      <w:divBdr>
        <w:top w:val="none" w:sz="0" w:space="0" w:color="auto"/>
        <w:left w:val="none" w:sz="0" w:space="0" w:color="auto"/>
        <w:bottom w:val="none" w:sz="0" w:space="0" w:color="auto"/>
        <w:right w:val="none" w:sz="0" w:space="0" w:color="auto"/>
      </w:divBdr>
      <w:divsChild>
        <w:div w:id="2126387121">
          <w:marLeft w:val="-720"/>
          <w:marRight w:val="0"/>
          <w:marTop w:val="0"/>
          <w:marBottom w:val="0"/>
          <w:divBdr>
            <w:top w:val="none" w:sz="0" w:space="0" w:color="auto"/>
            <w:left w:val="none" w:sz="0" w:space="0" w:color="auto"/>
            <w:bottom w:val="none" w:sz="0" w:space="0" w:color="auto"/>
            <w:right w:val="none" w:sz="0" w:space="0" w:color="auto"/>
          </w:divBdr>
        </w:div>
      </w:divsChild>
    </w:div>
    <w:div w:id="1959094404">
      <w:bodyDiv w:val="1"/>
      <w:marLeft w:val="0"/>
      <w:marRight w:val="0"/>
      <w:marTop w:val="0"/>
      <w:marBottom w:val="0"/>
      <w:divBdr>
        <w:top w:val="none" w:sz="0" w:space="0" w:color="auto"/>
        <w:left w:val="none" w:sz="0" w:space="0" w:color="auto"/>
        <w:bottom w:val="none" w:sz="0" w:space="0" w:color="auto"/>
        <w:right w:val="none" w:sz="0" w:space="0" w:color="auto"/>
      </w:divBdr>
      <w:divsChild>
        <w:div w:id="2050916137">
          <w:marLeft w:val="0"/>
          <w:marRight w:val="0"/>
          <w:marTop w:val="0"/>
          <w:marBottom w:val="0"/>
          <w:divBdr>
            <w:top w:val="none" w:sz="0" w:space="0" w:color="auto"/>
            <w:left w:val="none" w:sz="0" w:space="0" w:color="auto"/>
            <w:bottom w:val="none" w:sz="0" w:space="0" w:color="auto"/>
            <w:right w:val="none" w:sz="0" w:space="0" w:color="auto"/>
          </w:divBdr>
        </w:div>
      </w:divsChild>
    </w:div>
    <w:div w:id="1990741976">
      <w:bodyDiv w:val="1"/>
      <w:marLeft w:val="0"/>
      <w:marRight w:val="0"/>
      <w:marTop w:val="0"/>
      <w:marBottom w:val="0"/>
      <w:divBdr>
        <w:top w:val="none" w:sz="0" w:space="0" w:color="auto"/>
        <w:left w:val="none" w:sz="0" w:space="0" w:color="auto"/>
        <w:bottom w:val="none" w:sz="0" w:space="0" w:color="auto"/>
        <w:right w:val="none" w:sz="0" w:space="0" w:color="auto"/>
      </w:divBdr>
      <w:divsChild>
        <w:div w:id="1371959540">
          <w:marLeft w:val="-720"/>
          <w:marRight w:val="0"/>
          <w:marTop w:val="0"/>
          <w:marBottom w:val="0"/>
          <w:divBdr>
            <w:top w:val="none" w:sz="0" w:space="0" w:color="auto"/>
            <w:left w:val="none" w:sz="0" w:space="0" w:color="auto"/>
            <w:bottom w:val="none" w:sz="0" w:space="0" w:color="auto"/>
            <w:right w:val="none" w:sz="0" w:space="0" w:color="auto"/>
          </w:divBdr>
        </w:div>
      </w:divsChild>
    </w:div>
    <w:div w:id="2000428080">
      <w:bodyDiv w:val="1"/>
      <w:marLeft w:val="0"/>
      <w:marRight w:val="0"/>
      <w:marTop w:val="0"/>
      <w:marBottom w:val="0"/>
      <w:divBdr>
        <w:top w:val="none" w:sz="0" w:space="0" w:color="auto"/>
        <w:left w:val="none" w:sz="0" w:space="0" w:color="auto"/>
        <w:bottom w:val="none" w:sz="0" w:space="0" w:color="auto"/>
        <w:right w:val="none" w:sz="0" w:space="0" w:color="auto"/>
      </w:divBdr>
    </w:div>
    <w:div w:id="2008901758">
      <w:bodyDiv w:val="1"/>
      <w:marLeft w:val="0"/>
      <w:marRight w:val="0"/>
      <w:marTop w:val="0"/>
      <w:marBottom w:val="0"/>
      <w:divBdr>
        <w:top w:val="none" w:sz="0" w:space="0" w:color="auto"/>
        <w:left w:val="none" w:sz="0" w:space="0" w:color="auto"/>
        <w:bottom w:val="none" w:sz="0" w:space="0" w:color="auto"/>
        <w:right w:val="none" w:sz="0" w:space="0" w:color="auto"/>
      </w:divBdr>
    </w:div>
    <w:div w:id="2019456942">
      <w:bodyDiv w:val="1"/>
      <w:marLeft w:val="0"/>
      <w:marRight w:val="0"/>
      <w:marTop w:val="0"/>
      <w:marBottom w:val="0"/>
      <w:divBdr>
        <w:top w:val="none" w:sz="0" w:space="0" w:color="auto"/>
        <w:left w:val="none" w:sz="0" w:space="0" w:color="auto"/>
        <w:bottom w:val="none" w:sz="0" w:space="0" w:color="auto"/>
        <w:right w:val="none" w:sz="0" w:space="0" w:color="auto"/>
      </w:divBdr>
      <w:divsChild>
        <w:div w:id="1199009823">
          <w:marLeft w:val="-720"/>
          <w:marRight w:val="0"/>
          <w:marTop w:val="0"/>
          <w:marBottom w:val="0"/>
          <w:divBdr>
            <w:top w:val="none" w:sz="0" w:space="0" w:color="auto"/>
            <w:left w:val="none" w:sz="0" w:space="0" w:color="auto"/>
            <w:bottom w:val="none" w:sz="0" w:space="0" w:color="auto"/>
            <w:right w:val="none" w:sz="0" w:space="0" w:color="auto"/>
          </w:divBdr>
        </w:div>
      </w:divsChild>
    </w:div>
    <w:div w:id="214318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psj.2025.10498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ani1411166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psj.2023.1033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2707/ERCIVET.95319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s0043933914000129" TargetMode="External"/><Relationship Id="rId23" Type="http://schemas.openxmlformats.org/officeDocument/2006/relationships/fontTable" Target="fontTable.xml"/><Relationship Id="rId10" Type="http://schemas.openxmlformats.org/officeDocument/2006/relationships/hyperlink" Target="https://doi.org/10.17221/7585-cja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1608/EPSJ.2019.67516" TargetMode="External"/><Relationship Id="rId14" Type="http://schemas.openxmlformats.org/officeDocument/2006/relationships/hyperlink" Target="https://doi.org/10.1017/S096272860002786X"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udent4\Desktop\tab\FC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en-IN"/>
            </a:pPr>
            <a:r>
              <a:rPr lang="en-IN"/>
              <a:t>Breast Score</a:t>
            </a:r>
          </a:p>
        </c:rich>
      </c:tx>
    </c:title>
    <c:plotArea>
      <c:layout/>
      <c:barChart>
        <c:barDir val="col"/>
        <c:grouping val="clustered"/>
        <c:ser>
          <c:idx val="0"/>
          <c:order val="0"/>
          <c:tx>
            <c:strRef>
              <c:f>'breact score'!$D$6</c:f>
              <c:strCache>
                <c:ptCount val="1"/>
                <c:pt idx="0">
                  <c:v>Cage System</c:v>
                </c:pt>
              </c:strCache>
            </c:strRef>
          </c:tx>
          <c:dLbls>
            <c:spPr>
              <a:noFill/>
              <a:ln>
                <a:noFill/>
              </a:ln>
              <a:effectLst/>
            </c:spPr>
            <c:txPr>
              <a:bodyPr/>
              <a:lstStyle/>
              <a:p>
                <a:pPr>
                  <a:defRPr lang="en-IN"/>
                </a:pPr>
                <a:endParaRPr lang="en-US"/>
              </a:p>
            </c:txPr>
            <c:showVal val="1"/>
            <c:extLst xmlns:c16r2="http://schemas.microsoft.com/office/drawing/2015/06/char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score'!$D$7:$D$11</c:f>
              <c:numCache>
                <c:formatCode>General</c:formatCode>
                <c:ptCount val="5"/>
                <c:pt idx="0">
                  <c:v>4</c:v>
                </c:pt>
                <c:pt idx="1">
                  <c:v>9</c:v>
                </c:pt>
                <c:pt idx="2">
                  <c:v>20</c:v>
                </c:pt>
                <c:pt idx="3">
                  <c:v>11</c:v>
                </c:pt>
                <c:pt idx="4">
                  <c:v>6</c:v>
                </c:pt>
              </c:numCache>
            </c:numRef>
          </c:val>
          <c:extLst xmlns:c16r2="http://schemas.microsoft.com/office/drawing/2015/06/chart">
            <c:ext xmlns:c16="http://schemas.microsoft.com/office/drawing/2014/chart" uri="{C3380CC4-5D6E-409C-BE32-E72D297353CC}">
              <c16:uniqueId val="{00000000-1C76-4806-B726-82CE322868A3}"/>
            </c:ext>
          </c:extLst>
        </c:ser>
        <c:ser>
          <c:idx val="1"/>
          <c:order val="1"/>
          <c:tx>
            <c:strRef>
              <c:f>'breact score'!$E$6</c:f>
              <c:strCache>
                <c:ptCount val="1"/>
                <c:pt idx="0">
                  <c:v>Slat System</c:v>
                </c:pt>
              </c:strCache>
            </c:strRef>
          </c:tx>
          <c:dLbls>
            <c:spPr>
              <a:noFill/>
              <a:ln>
                <a:noFill/>
              </a:ln>
              <a:effectLst/>
            </c:spPr>
            <c:txPr>
              <a:bodyPr/>
              <a:lstStyle/>
              <a:p>
                <a:pPr>
                  <a:defRPr lang="en-IN"/>
                </a:pPr>
                <a:endParaRPr lang="en-US"/>
              </a:p>
            </c:txPr>
            <c:showVal val="1"/>
            <c:extLst xmlns:c16r2="http://schemas.microsoft.com/office/drawing/2015/06/chart">
              <c:ext xmlns:c15="http://schemas.microsoft.com/office/drawing/2012/chart" uri="{CE6537A1-D6FC-4f65-9D91-7224C49458BB}">
                <c15:showLeaderLines val="0"/>
              </c:ext>
            </c:extLst>
          </c:dLbls>
          <c:cat>
            <c:strRef>
              <c:f>'breact score'!$C$7:$C$11</c:f>
              <c:strCache>
                <c:ptCount val="5"/>
                <c:pt idx="0">
                  <c:v>A</c:v>
                </c:pt>
                <c:pt idx="1">
                  <c:v>B</c:v>
                </c:pt>
                <c:pt idx="2">
                  <c:v>C</c:v>
                </c:pt>
                <c:pt idx="3">
                  <c:v>D</c:v>
                </c:pt>
                <c:pt idx="4">
                  <c:v>E</c:v>
                </c:pt>
              </c:strCache>
            </c:strRef>
          </c:cat>
          <c:val>
            <c:numRef>
              <c:f>'breact score'!$E$7:$E$11</c:f>
              <c:numCache>
                <c:formatCode>General</c:formatCode>
                <c:ptCount val="5"/>
                <c:pt idx="0">
                  <c:v>9</c:v>
                </c:pt>
                <c:pt idx="1">
                  <c:v>11</c:v>
                </c:pt>
                <c:pt idx="2">
                  <c:v>18</c:v>
                </c:pt>
                <c:pt idx="3">
                  <c:v>10</c:v>
                </c:pt>
                <c:pt idx="4">
                  <c:v>2</c:v>
                </c:pt>
              </c:numCache>
            </c:numRef>
          </c:val>
          <c:extLst xmlns:c16r2="http://schemas.microsoft.com/office/drawing/2015/06/chart">
            <c:ext xmlns:c16="http://schemas.microsoft.com/office/drawing/2014/chart" uri="{C3380CC4-5D6E-409C-BE32-E72D297353CC}">
              <c16:uniqueId val="{00000001-1C76-4806-B726-82CE322868A3}"/>
            </c:ext>
          </c:extLst>
        </c:ser>
        <c:dLbls>
          <c:showVal val="1"/>
        </c:dLbls>
        <c:overlap val="-25"/>
        <c:axId val="80454784"/>
        <c:axId val="81223680"/>
      </c:barChart>
      <c:catAx>
        <c:axId val="80454784"/>
        <c:scaling>
          <c:orientation val="minMax"/>
        </c:scaling>
        <c:axPos val="b"/>
        <c:numFmt formatCode="General" sourceLinked="0"/>
        <c:majorTickMark val="none"/>
        <c:tickLblPos val="nextTo"/>
        <c:txPr>
          <a:bodyPr/>
          <a:lstStyle/>
          <a:p>
            <a:pPr>
              <a:defRPr lang="en-IN"/>
            </a:pPr>
            <a:endParaRPr lang="en-US"/>
          </a:p>
        </c:txPr>
        <c:crossAx val="81223680"/>
        <c:crosses val="autoZero"/>
        <c:auto val="1"/>
        <c:lblAlgn val="ctr"/>
        <c:lblOffset val="100"/>
      </c:catAx>
      <c:valAx>
        <c:axId val="81223680"/>
        <c:scaling>
          <c:orientation val="minMax"/>
        </c:scaling>
        <c:delete val="1"/>
        <c:axPos val="l"/>
        <c:numFmt formatCode="General" sourceLinked="1"/>
        <c:majorTickMark val="none"/>
        <c:tickLblPos val="nextTo"/>
        <c:crossAx val="80454784"/>
        <c:crosses val="autoZero"/>
        <c:crossBetween val="between"/>
      </c:valAx>
    </c:plotArea>
    <c:legend>
      <c:legendPos val="t"/>
      <c:txPr>
        <a:bodyPr/>
        <a:lstStyle/>
        <a:p>
          <a:pPr>
            <a:defRPr lang="en-IN"/>
          </a:pPr>
          <a:endParaRPr lang="en-US"/>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B7DDA-4DF5-4C88-822C-0B907BD99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Student4</dc:creator>
  <cp:lastModifiedBy>Admin</cp:lastModifiedBy>
  <cp:revision>6</cp:revision>
  <dcterms:created xsi:type="dcterms:W3CDTF">2025-10-22T05:36:00Z</dcterms:created>
  <dcterms:modified xsi:type="dcterms:W3CDTF">2025-10-22T11:45:00Z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0fbcc1d1-1c69-4c64-b508-802dd3c1f017</vt:lpwstr>
  </property>
</Properties>
</file>