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AAB" w:rsidRPr="003C6AAB" w:rsidRDefault="003C6AAB" w:rsidP="003C6AAB">
      <w:pPr>
        <w:spacing w:after="0" w:line="240" w:lineRule="auto"/>
        <w:jc w:val="center"/>
        <w:rPr>
          <w:rFonts w:ascii="Times New Roman" w:eastAsia="Calibri" w:hAnsi="Times New Roman" w:cs="Times New Roman"/>
          <w:b/>
          <w:bCs/>
          <w:sz w:val="24"/>
          <w:szCs w:val="24"/>
        </w:rPr>
      </w:pPr>
      <w:r w:rsidRPr="003C6AAB">
        <w:rPr>
          <w:rFonts w:ascii="Times New Roman" w:eastAsia="Calibri" w:hAnsi="Times New Roman" w:cs="Times New Roman"/>
          <w:b/>
          <w:bCs/>
          <w:sz w:val="24"/>
          <w:szCs w:val="24"/>
        </w:rPr>
        <w:t>Audit Committee Attributes and Quality of Financial Reporting in Nigerian Oil and Gas Companies</w:t>
      </w:r>
    </w:p>
    <w:p w:rsidR="003C6AAB" w:rsidRPr="003C6AAB" w:rsidRDefault="003C6AAB" w:rsidP="003C6AAB">
      <w:pPr>
        <w:spacing w:after="0" w:line="240" w:lineRule="auto"/>
        <w:jc w:val="center"/>
        <w:rPr>
          <w:rFonts w:ascii="Times New Roman" w:eastAsia="Calibri" w:hAnsi="Times New Roman" w:cs="Times New Roman"/>
          <w:b/>
          <w:bCs/>
          <w:sz w:val="24"/>
          <w:szCs w:val="24"/>
        </w:rPr>
      </w:pPr>
    </w:p>
    <w:p w:rsidR="003C6AAB" w:rsidRPr="003C6AAB" w:rsidRDefault="003C6AAB" w:rsidP="003C6AAB">
      <w:pPr>
        <w:spacing w:after="0" w:line="360" w:lineRule="auto"/>
        <w:jc w:val="both"/>
        <w:rPr>
          <w:rFonts w:ascii="Times New Roman" w:eastAsia="SimSun" w:hAnsi="Times New Roman" w:cs="Times New Roman"/>
          <w:b/>
          <w:sz w:val="24"/>
          <w:szCs w:val="24"/>
          <w:lang w:eastAsia="zh-CN"/>
        </w:rPr>
      </w:pPr>
    </w:p>
    <w:p w:rsidR="003C6AAB" w:rsidRPr="003C6AAB" w:rsidRDefault="003C6AAB" w:rsidP="003C6AAB">
      <w:pPr>
        <w:spacing w:before="100" w:beforeAutospacing="1" w:after="100" w:afterAutospacing="1" w:line="240" w:lineRule="auto"/>
        <w:jc w:val="center"/>
        <w:rPr>
          <w:rFonts w:ascii="Times New Roman" w:eastAsia="Times New Roman" w:hAnsi="Times New Roman" w:cs="Times New Roman"/>
          <w:b/>
          <w:sz w:val="24"/>
          <w:szCs w:val="24"/>
        </w:rPr>
      </w:pPr>
      <w:r w:rsidRPr="003C6AAB">
        <w:rPr>
          <w:rFonts w:ascii="Times New Roman" w:eastAsia="Times New Roman" w:hAnsi="Times New Roman" w:cs="Times New Roman"/>
          <w:b/>
          <w:sz w:val="24"/>
          <w:szCs w:val="24"/>
        </w:rPr>
        <w:t>Abstract</w:t>
      </w:r>
    </w:p>
    <w:p w:rsidR="003C6AAB" w:rsidRPr="003C6AAB" w:rsidRDefault="003C6AAB" w:rsidP="003C6AAB">
      <w:pPr>
        <w:spacing w:before="100" w:beforeAutospacing="1" w:after="100" w:afterAutospacing="1" w:line="24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br/>
        <w:t>This study investigates the impact of audit committee characteristics on the quality of financial reporting among Nigerian oil and gas firms listed on the stock exchange. Focusing on three key attributes, committee independence, size, and meeting frequency, the research employs a mixed-methods approach, analyzing data from annual reports spanning 2014 to 2023. Findings reveal that audit committees with greater independence significantly improve the accuracy of financial disclosures. Conversely, larger committee sizes correlate with reduced reporting quality, while the frequency of meetings appears to have no significant effect. The study recommends that regulatory bodies, such as the Nigerian Exchange Group (NGX) and the Financial Reporting Council of Nigeria (FRCN), intensify enforcement of governance standards, particularly those governing the structure and responsibilities of audit committees.</w:t>
      </w:r>
    </w:p>
    <w:p w:rsidR="003C6AAB" w:rsidRPr="003C6AAB" w:rsidRDefault="003C6AAB" w:rsidP="003C6AAB">
      <w:pPr>
        <w:spacing w:before="100" w:beforeAutospacing="1" w:after="100" w:afterAutospacing="1" w:line="24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Keywords:</w:t>
      </w:r>
      <w:r w:rsidRPr="003C6AAB">
        <w:rPr>
          <w:rFonts w:ascii="Times New Roman" w:eastAsia="Times New Roman" w:hAnsi="Times New Roman" w:cs="Times New Roman"/>
          <w:sz w:val="24"/>
          <w:szCs w:val="24"/>
        </w:rPr>
        <w:t xml:space="preserve"> audit committee independence, committee size, meeting frequency, financial reporting quality, Nigeria</w:t>
      </w:r>
    </w:p>
    <w:p w:rsidR="003C6AAB" w:rsidRPr="003C6AAB" w:rsidRDefault="003C6AAB" w:rsidP="003C6AAB">
      <w:pPr>
        <w:spacing w:before="100" w:beforeAutospacing="1" w:after="100" w:afterAutospacing="1" w:line="24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1. Introduction</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The oil and gas sector is central to Nigeria’s economy, providing the bulk of government revenue, foreign exchange earnings, and a major share of GDP. Despite this, the industry has long faced criticism over weak transparency, limited accountability, and unreliable financial reporting. Issues such as earnings manipulation, delayed disclosures, and questionable reporting practices continue to erode confidence in the sector (</w:t>
      </w:r>
      <w:proofErr w:type="spellStart"/>
      <w:r w:rsidRPr="003C6AAB">
        <w:rPr>
          <w:rFonts w:ascii="Times New Roman" w:eastAsia="Times New Roman" w:hAnsi="Times New Roman" w:cs="Times New Roman"/>
          <w:sz w:val="24"/>
          <w:szCs w:val="24"/>
        </w:rPr>
        <w:t>Ojali</w:t>
      </w:r>
      <w:proofErr w:type="spellEnd"/>
      <w:r w:rsidRPr="003C6AAB">
        <w:rPr>
          <w:rFonts w:ascii="Times New Roman" w:eastAsia="Times New Roman" w:hAnsi="Times New Roman" w:cs="Times New Roman"/>
          <w:sz w:val="24"/>
          <w:szCs w:val="24"/>
        </w:rPr>
        <w:t xml:space="preserve"> et al., 2023). These challenges highlight the importance of strong corporate governance, particularly through the monitoring role of audit committees.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Audit committees are a key governance mechanism, charged with the responsibility of overseeing the integrity of financial reporting, reviewing internal control systems, and ensuring auditor independence. “Nigerian company law, under Section 359(3) of the Companies and Allied Matters Act (CAMA), mandates that listed companies establish audit committees comprising both board members and shareholder representatives”. When well-structured, these committees can improve reporting credibility by strengthening accountability, transparency, and compliance with regulatory standards (Bako, 2024).</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lastRenderedPageBreak/>
        <w:t xml:space="preserve">Reliable financial reporting is vital for investor trust and efficient capital markets. This is especially true in Nigeria’s oil and gas industry, where governance weaknesses and corruption risks remain significant (Aly, 2024; </w:t>
      </w:r>
      <w:proofErr w:type="spellStart"/>
      <w:r w:rsidRPr="003C6AAB">
        <w:rPr>
          <w:rFonts w:ascii="Times New Roman" w:eastAsia="Times New Roman" w:hAnsi="Times New Roman" w:cs="Times New Roman"/>
          <w:sz w:val="24"/>
          <w:szCs w:val="24"/>
        </w:rPr>
        <w:t>Boluwaji</w:t>
      </w:r>
      <w:proofErr w:type="spellEnd"/>
      <w:r w:rsidRPr="003C6AAB">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Osatuyi</w:t>
      </w:r>
      <w:proofErr w:type="spellEnd"/>
      <w:r>
        <w:rPr>
          <w:rFonts w:ascii="Times New Roman" w:eastAsia="Times New Roman" w:hAnsi="Times New Roman" w:cs="Times New Roman"/>
          <w:sz w:val="24"/>
          <w:szCs w:val="24"/>
        </w:rPr>
        <w:t>, 2023</w:t>
      </w:r>
      <w:r w:rsidRPr="003C6AAB">
        <w:rPr>
          <w:rFonts w:ascii="Times New Roman" w:eastAsia="Times New Roman" w:hAnsi="Times New Roman" w:cs="Times New Roman"/>
          <w:sz w:val="24"/>
          <w:szCs w:val="24"/>
        </w:rPr>
        <w:t>). Nonetheless, doubts persist about whether audit committees in their current form effectively guarantee credible disclosures. Some studies suggest that independence and meeting regularity enhance reporting outcomes, while others argue that larger committees or those lacking expertise often reduce effectiveness (Mia et al., 2025).</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Research on audit committee characteristics such as independence, expertise, diversity, and meeting frequency has produced mixed evidence. While many Nigerian studies rely on accrual-based models to measure reporting quality, this study employs a disclosure index to provide a broader assessment. Findings from prior studies are inconsistent: </w:t>
      </w:r>
      <w:proofErr w:type="spellStart"/>
      <w:r w:rsidRPr="003C6AAB">
        <w:rPr>
          <w:rFonts w:ascii="Times New Roman" w:eastAsia="Times New Roman" w:hAnsi="Times New Roman" w:cs="Times New Roman"/>
          <w:sz w:val="24"/>
          <w:szCs w:val="24"/>
        </w:rPr>
        <w:t>Ojali</w:t>
      </w:r>
      <w:proofErr w:type="spellEnd"/>
      <w:r w:rsidRPr="003C6AAB">
        <w:rPr>
          <w:rFonts w:ascii="Times New Roman" w:eastAsia="Times New Roman" w:hAnsi="Times New Roman" w:cs="Times New Roman"/>
          <w:sz w:val="24"/>
          <w:szCs w:val="24"/>
        </w:rPr>
        <w:t xml:space="preserve"> et al. (2023) observed that independence and gender diversity had little or even adverse effects on reporting timeliness, whereas </w:t>
      </w:r>
      <w:proofErr w:type="spellStart"/>
      <w:r w:rsidRPr="003C6AAB">
        <w:rPr>
          <w:rFonts w:ascii="Times New Roman" w:eastAsia="Times New Roman" w:hAnsi="Times New Roman" w:cs="Times New Roman"/>
          <w:sz w:val="24"/>
          <w:szCs w:val="24"/>
        </w:rPr>
        <w:t>Vafeas</w:t>
      </w:r>
      <w:proofErr w:type="spellEnd"/>
      <w:r w:rsidRPr="003C6AAB">
        <w:rPr>
          <w:rFonts w:ascii="Times New Roman" w:eastAsia="Times New Roman" w:hAnsi="Times New Roman" w:cs="Times New Roman"/>
          <w:sz w:val="24"/>
          <w:szCs w:val="24"/>
        </w:rPr>
        <w:t xml:space="preserve"> and </w:t>
      </w:r>
      <w:proofErr w:type="spellStart"/>
      <w:r w:rsidRPr="003C6AAB">
        <w:rPr>
          <w:rFonts w:ascii="Times New Roman" w:eastAsia="Times New Roman" w:hAnsi="Times New Roman" w:cs="Times New Roman"/>
          <w:sz w:val="24"/>
          <w:szCs w:val="24"/>
        </w:rPr>
        <w:t>Vlittis</w:t>
      </w:r>
      <w:proofErr w:type="spellEnd"/>
      <w:r w:rsidRPr="003C6AAB">
        <w:rPr>
          <w:rFonts w:ascii="Times New Roman" w:eastAsia="Times New Roman" w:hAnsi="Times New Roman" w:cs="Times New Roman"/>
          <w:sz w:val="24"/>
          <w:szCs w:val="24"/>
        </w:rPr>
        <w:t xml:space="preserve"> (2024) found that expertise and frequent meetings helped reduce earnings volatility. These conflicting results, combined with limited research on oil and gas firms specifically, make it necessary to further investigate how audit committee features influence financial reporting quality in this critical sector.</w:t>
      </w:r>
    </w:p>
    <w:p w:rsidR="003C6AAB" w:rsidRPr="003C6AAB" w:rsidRDefault="003C6AAB" w:rsidP="003C6AAB">
      <w:pPr>
        <w:spacing w:after="0" w:line="240" w:lineRule="auto"/>
        <w:rPr>
          <w:rFonts w:ascii="Times New Roman" w:eastAsia="Calibri" w:hAnsi="Times New Roman" w:cs="Times New Roman"/>
          <w:b/>
          <w:bCs/>
          <w:sz w:val="24"/>
          <w:szCs w:val="24"/>
        </w:rPr>
      </w:pPr>
      <w:r w:rsidRPr="003C6AAB">
        <w:rPr>
          <w:rFonts w:ascii="Times New Roman" w:eastAsia="Calibri" w:hAnsi="Times New Roman" w:cs="Times New Roman"/>
          <w:b/>
          <w:bCs/>
          <w:sz w:val="24"/>
          <w:szCs w:val="24"/>
        </w:rPr>
        <w:t>2. Literature Review</w:t>
      </w:r>
    </w:p>
    <w:p w:rsidR="003C6AAB" w:rsidRPr="003C6AAB" w:rsidRDefault="003C6AAB" w:rsidP="003C6AAB">
      <w:pPr>
        <w:spacing w:after="0" w:line="240" w:lineRule="auto"/>
        <w:rPr>
          <w:rFonts w:ascii="Times New Roman" w:eastAsia="Calibri" w:hAnsi="Times New Roman" w:cs="Times New Roman"/>
          <w:sz w:val="24"/>
          <w:szCs w:val="24"/>
        </w:rPr>
      </w:pPr>
      <w:r w:rsidRPr="003C6AAB">
        <w:rPr>
          <w:rFonts w:ascii="Times New Roman" w:eastAsia="Calibri" w:hAnsi="Times New Roman" w:cs="Times New Roman"/>
          <w:sz w:val="24"/>
          <w:szCs w:val="24"/>
        </w:rPr>
        <w:t>This section outlines the literature review underpinning the study.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2.1 Quality of Financial Reporting</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Quality of financial reporting reflects how well financial statements convey reliable, transparent, and decision-useful information to stakeholders. High-quality reports should faithfully depict an entity’s actual financial condition, free from distortion, bias, or significant errors (</w:t>
      </w:r>
      <w:proofErr w:type="spellStart"/>
      <w:r w:rsidRPr="003C6AAB">
        <w:rPr>
          <w:rFonts w:ascii="Times New Roman" w:eastAsia="Times New Roman" w:hAnsi="Times New Roman" w:cs="Times New Roman"/>
          <w:sz w:val="24"/>
          <w:szCs w:val="24"/>
        </w:rPr>
        <w:t>Alqatamin</w:t>
      </w:r>
      <w:proofErr w:type="spellEnd"/>
      <w:r w:rsidRPr="003C6AAB">
        <w:rPr>
          <w:rFonts w:ascii="Times New Roman" w:eastAsia="Times New Roman" w:hAnsi="Times New Roman" w:cs="Times New Roman"/>
          <w:sz w:val="24"/>
          <w:szCs w:val="24"/>
        </w:rPr>
        <w:t xml:space="preserve"> &amp; </w:t>
      </w:r>
      <w:proofErr w:type="spellStart"/>
      <w:r w:rsidRPr="003C6AAB">
        <w:rPr>
          <w:rFonts w:ascii="Times New Roman" w:eastAsia="Times New Roman" w:hAnsi="Times New Roman" w:cs="Times New Roman"/>
          <w:sz w:val="24"/>
          <w:szCs w:val="24"/>
        </w:rPr>
        <w:t>Alqatamin</w:t>
      </w:r>
      <w:proofErr w:type="spellEnd"/>
      <w:r w:rsidRPr="003C6AAB">
        <w:rPr>
          <w:rFonts w:ascii="Times New Roman" w:eastAsia="Times New Roman" w:hAnsi="Times New Roman" w:cs="Times New Roman"/>
          <w:sz w:val="24"/>
          <w:szCs w:val="24"/>
        </w:rPr>
        <w:t xml:space="preserve">, 2024; </w:t>
      </w:r>
      <w:proofErr w:type="spellStart"/>
      <w:r w:rsidRPr="003C6AAB">
        <w:rPr>
          <w:rFonts w:ascii="Times New Roman" w:eastAsia="Times New Roman" w:hAnsi="Times New Roman" w:cs="Times New Roman"/>
          <w:sz w:val="24"/>
          <w:szCs w:val="24"/>
        </w:rPr>
        <w:t>Salawu</w:t>
      </w:r>
      <w:proofErr w:type="spellEnd"/>
      <w:r w:rsidRPr="003C6AAB">
        <w:rPr>
          <w:rFonts w:ascii="Times New Roman" w:eastAsia="Times New Roman" w:hAnsi="Times New Roman" w:cs="Times New Roman"/>
          <w:sz w:val="24"/>
          <w:szCs w:val="24"/>
        </w:rPr>
        <w:t xml:space="preserve"> et al., 2022). Within Nigeria’s oil and gas industry, however, persistent issues such as poor disclosure standards and weak transparency continue to undermine regulatory oversight and investor confidence (Bako, 2024).</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According to </w:t>
      </w:r>
      <w:proofErr w:type="spellStart"/>
      <w:r w:rsidRPr="003C6AAB">
        <w:rPr>
          <w:rFonts w:ascii="Times New Roman" w:eastAsia="Times New Roman" w:hAnsi="Times New Roman" w:cs="Times New Roman"/>
          <w:sz w:val="24"/>
          <w:szCs w:val="24"/>
        </w:rPr>
        <w:t>Sohail</w:t>
      </w:r>
      <w:proofErr w:type="spellEnd"/>
      <w:r w:rsidRPr="003C6AAB">
        <w:rPr>
          <w:rFonts w:ascii="Times New Roman" w:eastAsia="Times New Roman" w:hAnsi="Times New Roman" w:cs="Times New Roman"/>
          <w:sz w:val="24"/>
          <w:szCs w:val="24"/>
        </w:rPr>
        <w:t xml:space="preserve"> and Aziz (2019) FRQ depends on the clarity, timeliness, and relevance of information, with quality increasing when financial statements accurately reflect operational </w:t>
      </w:r>
      <w:r w:rsidRPr="003C6AAB">
        <w:rPr>
          <w:rFonts w:ascii="Times New Roman" w:eastAsia="Times New Roman" w:hAnsi="Times New Roman" w:cs="Times New Roman"/>
          <w:sz w:val="24"/>
          <w:szCs w:val="24"/>
        </w:rPr>
        <w:lastRenderedPageBreak/>
        <w:t xml:space="preserve">realities. </w:t>
      </w:r>
      <w:proofErr w:type="spellStart"/>
      <w:r w:rsidRPr="003C6AAB">
        <w:rPr>
          <w:rFonts w:ascii="Times New Roman" w:eastAsia="Times New Roman" w:hAnsi="Times New Roman" w:cs="Times New Roman"/>
          <w:sz w:val="24"/>
          <w:szCs w:val="24"/>
        </w:rPr>
        <w:t>Dewi</w:t>
      </w:r>
      <w:proofErr w:type="spellEnd"/>
      <w:r w:rsidRPr="003C6AAB">
        <w:rPr>
          <w:rFonts w:ascii="Times New Roman" w:eastAsia="Times New Roman" w:hAnsi="Times New Roman" w:cs="Times New Roman"/>
          <w:sz w:val="24"/>
          <w:szCs w:val="24"/>
        </w:rPr>
        <w:t xml:space="preserve"> et al. (2024) similarly argue that credible and consistent reports reduce the information asymmetry between managers and stakeholders, thereby building trust.</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C6AAB">
        <w:rPr>
          <w:rFonts w:ascii="Times New Roman" w:eastAsia="Times New Roman" w:hAnsi="Times New Roman" w:cs="Times New Roman"/>
          <w:sz w:val="24"/>
          <w:szCs w:val="24"/>
        </w:rPr>
        <w:t>Yawuri</w:t>
      </w:r>
      <w:proofErr w:type="spellEnd"/>
      <w:r w:rsidRPr="003C6AAB">
        <w:rPr>
          <w:rFonts w:ascii="Times New Roman" w:eastAsia="Times New Roman" w:hAnsi="Times New Roman" w:cs="Times New Roman"/>
          <w:sz w:val="24"/>
          <w:szCs w:val="24"/>
        </w:rPr>
        <w:t xml:space="preserve"> et al. (2024) contend that FRQ signals how effectively firms communicate genuine performance and helps deter fraudulent activities. They point to models such as the </w:t>
      </w:r>
      <w:proofErr w:type="spellStart"/>
      <w:r w:rsidRPr="003C6AAB">
        <w:rPr>
          <w:rFonts w:ascii="Times New Roman" w:eastAsia="Times New Roman" w:hAnsi="Times New Roman" w:cs="Times New Roman"/>
          <w:sz w:val="24"/>
          <w:szCs w:val="24"/>
        </w:rPr>
        <w:t>Beneish</w:t>
      </w:r>
      <w:proofErr w:type="spellEnd"/>
      <w:r w:rsidRPr="003C6AAB">
        <w:rPr>
          <w:rFonts w:ascii="Times New Roman" w:eastAsia="Times New Roman" w:hAnsi="Times New Roman" w:cs="Times New Roman"/>
          <w:sz w:val="24"/>
          <w:szCs w:val="24"/>
        </w:rPr>
        <w:t xml:space="preserve"> M-score, which, when reinforced by strong audit assurance, can enhance the credibility of reporting. In line with this, “the International Accounting Standards Board (IASB, 2024) identifies six fundamental attributes relevance, faithful representation, comparability, verifiability, timeliness, and understandability as essential features of high-quality financial reports”.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2.2 Audit Committee Attributes and Financial Reporting Quality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2.2.1 Audit Committee Independence</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Independence refers to the capacity of audit committee members to operate without being influenced by management. Non-executive directors, in particular, are often considered better positioned to provide impartial oversight, scrutinize managerial decisions, and protect shareholder interests. Evidence from Nigerian firms indicates that independence commonly assessed by the proportion of non-executive directors on the committee tends to improve financial reporting quality, especially in consumer goods companies (Muhammed et al., 2024).</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2.2.2 Frequency of Audit Committee Meetings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The regularity with which audit committees meet is widely regarded as a factor influencing their monitoring effectiveness. International studies suggest that frequent meetings reduce opportunities for earnings manipulation. Nigerian evidence, however, remains inconclusive. For example, </w:t>
      </w:r>
      <w:proofErr w:type="spellStart"/>
      <w:r w:rsidRPr="003C6AAB">
        <w:rPr>
          <w:rFonts w:ascii="Times New Roman" w:eastAsia="Times New Roman" w:hAnsi="Times New Roman" w:cs="Times New Roman"/>
          <w:sz w:val="24"/>
          <w:szCs w:val="24"/>
        </w:rPr>
        <w:t>Olaoye</w:t>
      </w:r>
      <w:proofErr w:type="spellEnd"/>
      <w:r w:rsidRPr="003C6AAB">
        <w:rPr>
          <w:rFonts w:ascii="Times New Roman" w:eastAsia="Times New Roman" w:hAnsi="Times New Roman" w:cs="Times New Roman"/>
          <w:sz w:val="24"/>
          <w:szCs w:val="24"/>
        </w:rPr>
        <w:t xml:space="preserve"> and Bamidele, (2023) reported that in the banking sector, frequent meetings were negatively associated with FRQ, though the effect was insignificant. By contrast, </w:t>
      </w:r>
      <w:proofErr w:type="spellStart"/>
      <w:r w:rsidRPr="003C6AAB">
        <w:rPr>
          <w:rFonts w:ascii="Times New Roman" w:eastAsia="Times New Roman" w:hAnsi="Times New Roman" w:cs="Times New Roman"/>
          <w:sz w:val="24"/>
          <w:szCs w:val="24"/>
        </w:rPr>
        <w:t>Aigienohuwa</w:t>
      </w:r>
      <w:proofErr w:type="spellEnd"/>
      <w:r w:rsidRPr="003C6AAB">
        <w:rPr>
          <w:rFonts w:ascii="Times New Roman" w:eastAsia="Times New Roman" w:hAnsi="Times New Roman" w:cs="Times New Roman"/>
          <w:sz w:val="24"/>
          <w:szCs w:val="24"/>
        </w:rPr>
        <w:t xml:space="preserve"> and </w:t>
      </w:r>
      <w:proofErr w:type="spellStart"/>
      <w:r w:rsidRPr="003C6AAB">
        <w:rPr>
          <w:rFonts w:ascii="Times New Roman" w:eastAsia="Times New Roman" w:hAnsi="Times New Roman" w:cs="Times New Roman"/>
          <w:sz w:val="24"/>
          <w:szCs w:val="24"/>
        </w:rPr>
        <w:t>Irowa-Omoregie</w:t>
      </w:r>
      <w:proofErr w:type="spellEnd"/>
      <w:r w:rsidRPr="003C6AAB">
        <w:rPr>
          <w:rFonts w:ascii="Times New Roman" w:eastAsia="Times New Roman" w:hAnsi="Times New Roman" w:cs="Times New Roman"/>
          <w:sz w:val="24"/>
          <w:szCs w:val="24"/>
        </w:rPr>
        <w:t xml:space="preserve"> (2025) found that in manufacturing firms, more regular meetings enhanced diligence and strengthened operational oversight.</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2.2.3 Audit Committee Size</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lastRenderedPageBreak/>
        <w:t xml:space="preserve">The size of an audit committee is another governance characteristic debated in the literature. While larger committees may bring a wider range of expertise and viewpoints, they can also encounter challenges such as coordination difficulties and slower decision-making. Nigerian studies reflect this ambiguity. Essien (2024) noted a positive but insignificant link between committee size and FRQ in the banking industry, whereas </w:t>
      </w:r>
      <w:proofErr w:type="spellStart"/>
      <w:r w:rsidRPr="003C6AAB">
        <w:rPr>
          <w:rFonts w:ascii="Times New Roman" w:eastAsia="Times New Roman" w:hAnsi="Times New Roman" w:cs="Times New Roman"/>
          <w:sz w:val="24"/>
          <w:szCs w:val="24"/>
        </w:rPr>
        <w:t>Peekate</w:t>
      </w:r>
      <w:proofErr w:type="spellEnd"/>
      <w:r w:rsidRPr="003C6AAB">
        <w:rPr>
          <w:rFonts w:ascii="Times New Roman" w:eastAsia="Times New Roman" w:hAnsi="Times New Roman" w:cs="Times New Roman"/>
          <w:sz w:val="24"/>
          <w:szCs w:val="24"/>
        </w:rPr>
        <w:t xml:space="preserve"> (2025) identified a modest but positive association in consumer goods firms.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2.2 Theoretical Review</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This study is grounded in two key theoretical perspectives: Agency Theory and Resource Dependence Theory.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2.2.1 Agency Theory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Agency Theory, developed by Jensen and </w:t>
      </w:r>
      <w:proofErr w:type="spellStart"/>
      <w:r w:rsidRPr="003C6AAB">
        <w:rPr>
          <w:rFonts w:ascii="Times New Roman" w:eastAsia="Times New Roman" w:hAnsi="Times New Roman" w:cs="Times New Roman"/>
          <w:sz w:val="24"/>
          <w:szCs w:val="24"/>
        </w:rPr>
        <w:t>Meckling</w:t>
      </w:r>
      <w:proofErr w:type="spellEnd"/>
      <w:r w:rsidRPr="003C6AAB">
        <w:rPr>
          <w:rFonts w:ascii="Times New Roman" w:eastAsia="Times New Roman" w:hAnsi="Times New Roman" w:cs="Times New Roman"/>
          <w:sz w:val="24"/>
          <w:szCs w:val="24"/>
        </w:rPr>
        <w:t xml:space="preserve"> (1976), conceptualizes the firm as a contract-based relationship between shareholders (principals) and managers (agents). Since managers may pursue personal objectives that conflict with the interests of owners, tensions often arise, particularly due to information asymmetry where managers possess superior knowledge of firm operations. To address these conflicts and reduce agency costs, governance mechanisms such as audit committees are established.</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Although widely applied, the theory has been critiqued. It assumes managers act purely out of self-interest, giving limited attention to ethics, social responsibility, or the interests of other stakeholders. Its focus on shareholder wealth maximization can also obscure the needs of broader constituencies. In addition, in developing economies such as Nigeria, weak legal systems and inconsistent regulatory enforcement may limit its explanatory strength.</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Nonetheless, Agency Theory offers valuable insights into governance challenges within Nigeria’s oil and gas industry, where ownership and management are often separated. Audit committees serve as monitoring agents that enhance accountability, deter earnings manipulation, and rebuild investor trust. When such committees are independent, professionally competent, diverse, and active, they are better positioned to safeguard reporting credibility. Thus, Agency </w:t>
      </w:r>
      <w:r w:rsidRPr="003C6AAB">
        <w:rPr>
          <w:rFonts w:ascii="Times New Roman" w:eastAsia="Times New Roman" w:hAnsi="Times New Roman" w:cs="Times New Roman"/>
          <w:sz w:val="24"/>
          <w:szCs w:val="24"/>
        </w:rPr>
        <w:lastRenderedPageBreak/>
        <w:t>Theory provides a useful framework for understanding how audit committees help mitigate principal–agent conflicts in a complex, capital-intensive sector.</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2.2.2 Resource Dependence Theory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Resource Dependence Theory (RDT), introduced by Pfeffer and </w:t>
      </w:r>
      <w:proofErr w:type="spellStart"/>
      <w:r w:rsidRPr="003C6AAB">
        <w:rPr>
          <w:rFonts w:ascii="Times New Roman" w:eastAsia="Times New Roman" w:hAnsi="Times New Roman" w:cs="Times New Roman"/>
          <w:sz w:val="24"/>
          <w:szCs w:val="24"/>
        </w:rPr>
        <w:t>Salancik</w:t>
      </w:r>
      <w:proofErr w:type="spellEnd"/>
      <w:r w:rsidRPr="003C6AAB">
        <w:rPr>
          <w:rFonts w:ascii="Times New Roman" w:eastAsia="Times New Roman" w:hAnsi="Times New Roman" w:cs="Times New Roman"/>
          <w:sz w:val="24"/>
          <w:szCs w:val="24"/>
        </w:rPr>
        <w:t xml:space="preserve"> (1978), emphasizes that firms rely on external resources and relationships to ensure survival, adaptability, and competitiveness. To reduce uncertainty and access critical resources, organizations strategically select directors and committee members who bring specialized knowledge, networks, and legitimacy. From this perspective, boards and audit committees extend beyond monitoring functions to act as conduits for expertise and influence. Members with financial proficiency, regulatory experience, or industry knowledge can strengthen compliance, support regulatory alignment, and help firms navigate sector-specific challenges.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Despite its relevance, RDT is not without weaknesses. Some critics argue that it overstates the value of symbolic appointments, where directors may be selected for reputation rather than substantive contribution. It also pays limited attention to internal boardroom conflicts and may not fully explain governance practices in centralized decision-making environments common in many developing countries.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In Nigeria’s oil and gas sector characterized by political exposure, stringent regulation, global scrutiny, and volatile oil prices RDT highlights the importance of resourceful audit committees. Members with international experience, financial acumen, and regulatory insight are particularly valuable in improving compliance, enhancing transparency, and strengthening investor confidence. The theory suggests that the effectiveness of audit committees depends heavily on the quality and depth of expertise within them, making such resources essential for ensuring reliable and high-quality financial reporting in the industry.</w:t>
      </w:r>
    </w:p>
    <w:p w:rsidR="003C6AAB" w:rsidRPr="003C6AAB" w:rsidRDefault="003C6AAB" w:rsidP="003C6AAB">
      <w:pPr>
        <w:jc w:val="both"/>
        <w:rPr>
          <w:rFonts w:ascii="Times New Roman" w:eastAsia="SimSun" w:hAnsi="Times New Roman" w:cs="Times New Roman"/>
          <w:b/>
          <w:bCs/>
          <w:sz w:val="24"/>
          <w:szCs w:val="24"/>
          <w:lang w:eastAsia="zh-CN"/>
        </w:rPr>
      </w:pPr>
      <w:r w:rsidRPr="003C6AAB">
        <w:rPr>
          <w:rFonts w:ascii="Times New Roman" w:eastAsia="SimSun" w:hAnsi="Times New Roman" w:cs="Times New Roman"/>
          <w:b/>
          <w:bCs/>
          <w:sz w:val="24"/>
          <w:szCs w:val="24"/>
          <w:lang w:eastAsia="zh-CN"/>
        </w:rPr>
        <w:t>2.3 Empirical Review</w:t>
      </w:r>
    </w:p>
    <w:p w:rsidR="003C6AAB" w:rsidRPr="003C6AAB" w:rsidRDefault="003C6AAB" w:rsidP="003C6AAB">
      <w:pPr>
        <w:spacing w:before="100" w:beforeAutospacing="1" w:after="100" w:afterAutospacing="1" w:line="240" w:lineRule="auto"/>
        <w:outlineLvl w:val="2"/>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2.3.1 Audit Committee Independence and Quality of Financial Reporting</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A robust stream of empirical research underscores a positive relationship between audit committee independence and financial reporting quality across diverse national and institutional </w:t>
      </w:r>
      <w:r w:rsidRPr="003C6AAB">
        <w:rPr>
          <w:rFonts w:ascii="Times New Roman" w:eastAsia="Times New Roman" w:hAnsi="Times New Roman" w:cs="Times New Roman"/>
          <w:sz w:val="24"/>
          <w:szCs w:val="24"/>
        </w:rPr>
        <w:lastRenderedPageBreak/>
        <w:t xml:space="preserve">contexts. Studies from countries such as Bangladesh, the UAE, South Korea, Nigeria, China, and Singapore consistently show that independent audit committees enhance oversight, transparency, and reporting reliability, thereby reinforcing investor confidence and corporate accountability (Islam et al., 2023; </w:t>
      </w:r>
      <w:proofErr w:type="spellStart"/>
      <w:r w:rsidRPr="003C6AAB">
        <w:rPr>
          <w:rFonts w:ascii="Times New Roman" w:eastAsia="Times New Roman" w:hAnsi="Times New Roman" w:cs="Times New Roman"/>
          <w:sz w:val="24"/>
          <w:szCs w:val="24"/>
        </w:rPr>
        <w:t>Algrady</w:t>
      </w:r>
      <w:proofErr w:type="spellEnd"/>
      <w:r w:rsidRPr="003C6AAB">
        <w:rPr>
          <w:rFonts w:ascii="Times New Roman" w:eastAsia="Times New Roman" w:hAnsi="Times New Roman" w:cs="Times New Roman"/>
          <w:sz w:val="24"/>
          <w:szCs w:val="24"/>
        </w:rPr>
        <w:t xml:space="preserve"> et al., 2025; Ryu et al., 2021; Essien, 2024; </w:t>
      </w:r>
      <w:proofErr w:type="spellStart"/>
      <w:r w:rsidRPr="003C6AAB">
        <w:rPr>
          <w:rFonts w:ascii="Times New Roman" w:eastAsia="Times New Roman" w:hAnsi="Times New Roman" w:cs="Times New Roman"/>
          <w:sz w:val="24"/>
          <w:szCs w:val="24"/>
        </w:rPr>
        <w:t>Komal</w:t>
      </w:r>
      <w:proofErr w:type="spellEnd"/>
      <w:r w:rsidRPr="003C6AAB">
        <w:rPr>
          <w:rFonts w:ascii="Times New Roman" w:eastAsia="Times New Roman" w:hAnsi="Times New Roman" w:cs="Times New Roman"/>
          <w:sz w:val="24"/>
          <w:szCs w:val="24"/>
        </w:rPr>
        <w:t xml:space="preserve"> et al., 2022; Safari-</w:t>
      </w:r>
      <w:proofErr w:type="spellStart"/>
      <w:r w:rsidRPr="003C6AAB">
        <w:rPr>
          <w:rFonts w:ascii="Times New Roman" w:eastAsia="Times New Roman" w:hAnsi="Times New Roman" w:cs="Times New Roman"/>
          <w:sz w:val="24"/>
          <w:szCs w:val="24"/>
        </w:rPr>
        <w:t>Gerayli</w:t>
      </w:r>
      <w:proofErr w:type="spellEnd"/>
      <w:r w:rsidRPr="003C6AAB">
        <w:rPr>
          <w:rFonts w:ascii="Times New Roman" w:eastAsia="Times New Roman" w:hAnsi="Times New Roman" w:cs="Times New Roman"/>
          <w:sz w:val="24"/>
          <w:szCs w:val="24"/>
        </w:rPr>
        <w:t>, 2021).</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Emerging evidence suggests that the benefits of independence are conditional on contextual factors. For example, Essien (2024) found that audit committee independence is more impactful in developing economies, where governance structures and regulatory enforcement play a moderating role, other studies highlight that independence may be undermined by lack of financial expertise (</w:t>
      </w:r>
      <w:proofErr w:type="spellStart"/>
      <w:r w:rsidRPr="003C6AAB">
        <w:rPr>
          <w:rFonts w:ascii="Times New Roman" w:eastAsia="Times New Roman" w:hAnsi="Times New Roman" w:cs="Times New Roman"/>
          <w:sz w:val="24"/>
          <w:szCs w:val="24"/>
        </w:rPr>
        <w:t>Alhababsah</w:t>
      </w:r>
      <w:proofErr w:type="spellEnd"/>
      <w:r w:rsidRPr="003C6AAB">
        <w:rPr>
          <w:rFonts w:ascii="Times New Roman" w:eastAsia="Times New Roman" w:hAnsi="Times New Roman" w:cs="Times New Roman"/>
          <w:sz w:val="24"/>
          <w:szCs w:val="24"/>
        </w:rPr>
        <w:t xml:space="preserve">, 2022), overreliance on management (Cross &amp; Swart, 2022), political interference (Jamil, 2020), or inadequate institutional frameworks (Ali, M. H., &amp; </w:t>
      </w:r>
      <w:proofErr w:type="spellStart"/>
      <w:r w:rsidRPr="003C6AAB">
        <w:rPr>
          <w:rFonts w:ascii="Times New Roman" w:eastAsia="Times New Roman" w:hAnsi="Times New Roman" w:cs="Times New Roman"/>
          <w:sz w:val="24"/>
          <w:szCs w:val="24"/>
        </w:rPr>
        <w:t>Meah</w:t>
      </w:r>
      <w:proofErr w:type="spellEnd"/>
      <w:r w:rsidRPr="003C6AAB">
        <w:rPr>
          <w:rFonts w:ascii="Times New Roman" w:eastAsia="Times New Roman" w:hAnsi="Times New Roman" w:cs="Times New Roman"/>
          <w:sz w:val="24"/>
          <w:szCs w:val="24"/>
        </w:rPr>
        <w:t xml:space="preserve">, 2021; </w:t>
      </w:r>
      <w:proofErr w:type="spellStart"/>
      <w:r w:rsidRPr="003C6AAB">
        <w:rPr>
          <w:rFonts w:ascii="Times New Roman" w:eastAsia="Times New Roman" w:hAnsi="Times New Roman" w:cs="Times New Roman"/>
          <w:sz w:val="24"/>
          <w:szCs w:val="24"/>
        </w:rPr>
        <w:t>Komal</w:t>
      </w:r>
      <w:proofErr w:type="spellEnd"/>
      <w:r w:rsidRPr="003C6AAB">
        <w:rPr>
          <w:rFonts w:ascii="Times New Roman" w:eastAsia="Times New Roman" w:hAnsi="Times New Roman" w:cs="Times New Roman"/>
          <w:sz w:val="24"/>
          <w:szCs w:val="24"/>
        </w:rPr>
        <w:t xml:space="preserve"> et al., 2022). These findings suggest that while independence is fundamental to governance, its effectiveness depends on the broader regulatory, institutional, and professional landscape.</w:t>
      </w:r>
    </w:p>
    <w:p w:rsidR="003C6AAB" w:rsidRPr="003C6AAB" w:rsidRDefault="003C6AAB" w:rsidP="003C6AAB">
      <w:pPr>
        <w:spacing w:before="100" w:beforeAutospacing="1" w:after="100" w:afterAutospacing="1" w:line="240" w:lineRule="auto"/>
        <w:outlineLvl w:val="2"/>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2.3.2 Audit Committee Meeting Frequency and Quality of Financial Reporting</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Frequent audit committee meetings have been widely linked to improved financial reporting quality, with studies across jurisdictions, such as Nigeria, Singapore, Malaysia, South Korea, and China, indicating that increased engagement strengthens oversight, reduces reporting errors, and enhances accountability (</w:t>
      </w:r>
      <w:r w:rsidRPr="003C6AAB">
        <w:rPr>
          <w:rFonts w:ascii="Times New Roman" w:eastAsia="Times New Roman" w:hAnsi="Times New Roman" w:cs="Times New Roman"/>
          <w:color w:val="222222"/>
          <w:sz w:val="24"/>
          <w:szCs w:val="24"/>
          <w:shd w:val="clear" w:color="auto" w:fill="FFFFFF"/>
        </w:rPr>
        <w:t>Okafor</w:t>
      </w:r>
      <w:r w:rsidRPr="003C6AAB">
        <w:rPr>
          <w:rFonts w:ascii="Times New Roman" w:eastAsia="Times New Roman" w:hAnsi="Times New Roman" w:cs="Times New Roman"/>
          <w:sz w:val="24"/>
          <w:szCs w:val="24"/>
        </w:rPr>
        <w:t xml:space="preserve">, 2024; Goodwin &amp; </w:t>
      </w:r>
      <w:proofErr w:type="spellStart"/>
      <w:r w:rsidRPr="003C6AAB">
        <w:rPr>
          <w:rFonts w:ascii="Times New Roman" w:eastAsia="Times New Roman" w:hAnsi="Times New Roman" w:cs="Times New Roman"/>
          <w:sz w:val="24"/>
          <w:szCs w:val="24"/>
        </w:rPr>
        <w:t>Seow</w:t>
      </w:r>
      <w:proofErr w:type="spellEnd"/>
      <w:r w:rsidRPr="003C6AAB">
        <w:rPr>
          <w:rFonts w:ascii="Times New Roman" w:eastAsia="Times New Roman" w:hAnsi="Times New Roman" w:cs="Times New Roman"/>
          <w:sz w:val="24"/>
          <w:szCs w:val="24"/>
        </w:rPr>
        <w:t xml:space="preserve">, 2022; Ismail et al., 2022; Ryu et al., 2021; </w:t>
      </w:r>
      <w:proofErr w:type="spellStart"/>
      <w:r w:rsidRPr="003C6AAB">
        <w:rPr>
          <w:rFonts w:ascii="Times New Roman" w:eastAsia="Times New Roman" w:hAnsi="Times New Roman" w:cs="Times New Roman"/>
          <w:sz w:val="24"/>
          <w:szCs w:val="24"/>
        </w:rPr>
        <w:t>Komal</w:t>
      </w:r>
      <w:proofErr w:type="spellEnd"/>
      <w:r w:rsidRPr="003C6AAB">
        <w:rPr>
          <w:rFonts w:ascii="Times New Roman" w:eastAsia="Times New Roman" w:hAnsi="Times New Roman" w:cs="Times New Roman"/>
          <w:sz w:val="24"/>
          <w:szCs w:val="24"/>
        </w:rPr>
        <w:t xml:space="preserve"> et al., 2022).</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Nonetheless, the effectiveness of meeting frequency is not uniform. Its impact is often shaped by factors such as regulatory capacity, meeting substance, member expertise, and enforcement quality. Research has shown that frequent meetings without effective discussion or follow-through may not improve reporting outcomes (</w:t>
      </w:r>
      <w:proofErr w:type="spellStart"/>
      <w:r w:rsidRPr="003C6AAB">
        <w:rPr>
          <w:rFonts w:ascii="Times New Roman" w:eastAsia="Times New Roman" w:hAnsi="Times New Roman" w:cs="Times New Roman"/>
          <w:sz w:val="24"/>
          <w:szCs w:val="24"/>
        </w:rPr>
        <w:t>Musah</w:t>
      </w:r>
      <w:proofErr w:type="spellEnd"/>
      <w:r w:rsidRPr="003C6AAB">
        <w:rPr>
          <w:rFonts w:ascii="Times New Roman" w:eastAsia="Times New Roman" w:hAnsi="Times New Roman" w:cs="Times New Roman"/>
          <w:sz w:val="24"/>
          <w:szCs w:val="24"/>
        </w:rPr>
        <w:t xml:space="preserve"> et al., 2025), and in some cases may exacerbate volatility if not properly structured (Bako, 2024). Moreover, challenges such as irregular attendance or symbolic meetings can undermine the potential benefits of regular engagement (</w:t>
      </w:r>
      <w:proofErr w:type="spellStart"/>
      <w:r w:rsidRPr="003C6AAB">
        <w:rPr>
          <w:rFonts w:ascii="Times New Roman" w:eastAsia="Times New Roman" w:hAnsi="Times New Roman" w:cs="Times New Roman"/>
          <w:sz w:val="24"/>
          <w:szCs w:val="24"/>
        </w:rPr>
        <w:t>Oon</w:t>
      </w:r>
      <w:proofErr w:type="spellEnd"/>
      <w:r w:rsidRPr="003C6AAB">
        <w:rPr>
          <w:rFonts w:ascii="Times New Roman" w:eastAsia="Times New Roman" w:hAnsi="Times New Roman" w:cs="Times New Roman"/>
          <w:sz w:val="24"/>
          <w:szCs w:val="24"/>
        </w:rPr>
        <w:t xml:space="preserve"> et al., 2025). These findings indicate that while meeting frequency is important, it must be accompanied by meaningful participation, technical competence, and supportive governance frameworks.</w:t>
      </w:r>
    </w:p>
    <w:p w:rsidR="003C6AAB" w:rsidRPr="003C6AAB" w:rsidRDefault="003C6AAB" w:rsidP="003C6AAB">
      <w:pPr>
        <w:spacing w:before="100" w:beforeAutospacing="1" w:after="100" w:afterAutospacing="1" w:line="240" w:lineRule="auto"/>
        <w:jc w:val="both"/>
        <w:outlineLvl w:val="2"/>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lastRenderedPageBreak/>
        <w:t>2.3.3 Audit Committee Size and Quality of Financial Reporting</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An optimal audit committee size is frequently associated with enhanced financial reporting through improved oversight, decision-making, and member diversity. Evidence from Nigeria, Singapore, Malaysia, Ghana, China, and other contexts suggests that well-structured committees with adequate membership promote transparency, internal control, and audit efficiency (Okafor, 2024; </w:t>
      </w:r>
      <w:proofErr w:type="spellStart"/>
      <w:r w:rsidRPr="003C6AAB">
        <w:rPr>
          <w:rFonts w:ascii="Times New Roman" w:eastAsia="Times New Roman" w:hAnsi="Times New Roman" w:cs="Times New Roman"/>
          <w:sz w:val="24"/>
          <w:szCs w:val="24"/>
        </w:rPr>
        <w:t>Komal</w:t>
      </w:r>
      <w:proofErr w:type="spellEnd"/>
      <w:r w:rsidRPr="003C6AAB">
        <w:rPr>
          <w:rFonts w:ascii="Times New Roman" w:eastAsia="Times New Roman" w:hAnsi="Times New Roman" w:cs="Times New Roman"/>
          <w:sz w:val="24"/>
          <w:szCs w:val="24"/>
        </w:rPr>
        <w:t xml:space="preserve"> et al., 2022; Wan-Mohammad &amp; </w:t>
      </w:r>
      <w:proofErr w:type="spellStart"/>
      <w:r w:rsidRPr="003C6AAB">
        <w:rPr>
          <w:rFonts w:ascii="Times New Roman" w:eastAsia="Times New Roman" w:hAnsi="Times New Roman" w:cs="Times New Roman"/>
          <w:sz w:val="24"/>
          <w:szCs w:val="24"/>
        </w:rPr>
        <w:t>Wasiuzzaman</w:t>
      </w:r>
      <w:proofErr w:type="spellEnd"/>
      <w:r w:rsidRPr="003C6AAB">
        <w:rPr>
          <w:rFonts w:ascii="Times New Roman" w:eastAsia="Times New Roman" w:hAnsi="Times New Roman" w:cs="Times New Roman"/>
          <w:sz w:val="24"/>
          <w:szCs w:val="24"/>
        </w:rPr>
        <w:t>, 2020; Agyemang, 2020; Ullah et al., 2023).</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However, size alone does not guarantee effectiveness. Larger committees may experience coordination challenges, diluted accountability, and decision-making inefficiencies (</w:t>
      </w:r>
      <w:proofErr w:type="spellStart"/>
      <w:r w:rsidRPr="003C6AAB">
        <w:rPr>
          <w:rFonts w:ascii="Times New Roman" w:eastAsia="Times New Roman" w:hAnsi="Times New Roman" w:cs="Times New Roman"/>
          <w:sz w:val="24"/>
          <w:szCs w:val="24"/>
        </w:rPr>
        <w:t>Benichou</w:t>
      </w:r>
      <w:proofErr w:type="spellEnd"/>
      <w:r w:rsidRPr="003C6AAB">
        <w:rPr>
          <w:rFonts w:ascii="Times New Roman" w:eastAsia="Times New Roman" w:hAnsi="Times New Roman" w:cs="Times New Roman"/>
          <w:sz w:val="24"/>
          <w:szCs w:val="24"/>
        </w:rPr>
        <w:t xml:space="preserve">, 2024; </w:t>
      </w:r>
      <w:proofErr w:type="spellStart"/>
      <w:r w:rsidRPr="003C6AAB">
        <w:rPr>
          <w:rFonts w:ascii="Times New Roman" w:eastAsia="Times New Roman" w:hAnsi="Times New Roman" w:cs="Times New Roman"/>
          <w:sz w:val="24"/>
          <w:szCs w:val="24"/>
        </w:rPr>
        <w:t>Asri</w:t>
      </w:r>
      <w:proofErr w:type="spellEnd"/>
      <w:r w:rsidRPr="003C6AAB">
        <w:rPr>
          <w:rFonts w:ascii="Times New Roman" w:eastAsia="Times New Roman" w:hAnsi="Times New Roman" w:cs="Times New Roman"/>
          <w:sz w:val="24"/>
          <w:szCs w:val="24"/>
        </w:rPr>
        <w:t>, 2024). In contrast, smaller but more competent committees have demonstrated superior performance in certain contexts (</w:t>
      </w:r>
      <w:proofErr w:type="spellStart"/>
      <w:r w:rsidRPr="003C6AAB">
        <w:rPr>
          <w:rFonts w:ascii="Times New Roman" w:eastAsia="Times New Roman" w:hAnsi="Times New Roman" w:cs="Times New Roman"/>
          <w:sz w:val="24"/>
          <w:szCs w:val="24"/>
        </w:rPr>
        <w:t>Onmonya</w:t>
      </w:r>
      <w:proofErr w:type="spellEnd"/>
      <w:r w:rsidRPr="003C6AAB">
        <w:rPr>
          <w:rFonts w:ascii="Times New Roman" w:eastAsia="Times New Roman" w:hAnsi="Times New Roman" w:cs="Times New Roman"/>
          <w:sz w:val="24"/>
          <w:szCs w:val="24"/>
        </w:rPr>
        <w:t xml:space="preserve"> &amp; </w:t>
      </w:r>
      <w:proofErr w:type="spellStart"/>
      <w:r w:rsidRPr="003C6AAB">
        <w:rPr>
          <w:rFonts w:ascii="Times New Roman" w:eastAsia="Times New Roman" w:hAnsi="Times New Roman" w:cs="Times New Roman"/>
          <w:sz w:val="24"/>
          <w:szCs w:val="24"/>
        </w:rPr>
        <w:t>Ebire</w:t>
      </w:r>
      <w:proofErr w:type="spellEnd"/>
      <w:r w:rsidRPr="003C6AAB">
        <w:rPr>
          <w:rFonts w:ascii="Times New Roman" w:eastAsia="Times New Roman" w:hAnsi="Times New Roman" w:cs="Times New Roman"/>
          <w:sz w:val="24"/>
          <w:szCs w:val="24"/>
        </w:rPr>
        <w:t>, 2023). Additionally, studies have found no significant effect of committee size on reporting quality when member expertise or timely audits are lacking (Agyei-Mensah, 2022). These findings emphasize that the effectiveness of audit committee size is contextually driven and closely tied to qualitative attributes such as member expertise and engagement.</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3. Methodology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This study adopted a mixed-method research design, making use of secondary data drawn from the annual reports of oil and gas companies listed on the Nigerian Exchange Group (NGX) covering the period 2014–2024. The study population comprised all seven oil and gas firms listed as of December 31, 2024. Given the relatively small number of firms, a census approach was employed to ensure that the entire sector was represented. To examine the relationship between audit committee characteristics and financial reporting quality, panel ordinary least squares (OLS) regression was applied, with the analysis carried out using EViews econometric software.</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b/>
          <w:bCs/>
          <w:sz w:val="24"/>
          <w:szCs w:val="24"/>
        </w:rPr>
        <w:t>3.1 Model Specification</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lastRenderedPageBreak/>
        <w:t>A multiple regression model was developed to evaluate the effect of audit committee attributes on financial reporting quality, while also incorporating control variables. The specification includes an error term to capture variation not explained by the independent variables.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The model is stated as:</w:t>
      </w:r>
    </w:p>
    <w:p w:rsidR="003C6AAB" w:rsidRPr="003C6AAB" w:rsidRDefault="003C6AAB" w:rsidP="003C6AAB">
      <w:pPr>
        <w:spacing w:after="0" w:line="360" w:lineRule="auto"/>
        <w:jc w:val="both"/>
        <w:rPr>
          <w:rFonts w:ascii="Times New Roman" w:eastAsia="Times New Roman" w:hAnsi="Times New Roman" w:cs="Times New Roman"/>
          <w:sz w:val="24"/>
          <w:szCs w:val="24"/>
        </w:rPr>
      </w:pPr>
      <w:proofErr w:type="spellStart"/>
      <w:r w:rsidRPr="003C6AAB">
        <w:rPr>
          <w:rFonts w:ascii="Times New Roman" w:eastAsia="Times New Roman" w:hAnsi="Times New Roman" w:cs="Times New Roman"/>
          <w:sz w:val="24"/>
          <w:szCs w:val="24"/>
        </w:rPr>
        <w:t>FRQ</w:t>
      </w:r>
      <w:r w:rsidRPr="003C6AAB">
        <w:rPr>
          <w:rFonts w:ascii="Times New Roman" w:eastAsia="Times New Roman" w:hAnsi="Times New Roman" w:cs="Times New Roman"/>
          <w:sz w:val="24"/>
          <w:szCs w:val="24"/>
          <w:vertAlign w:val="subscript"/>
        </w:rPr>
        <w:t>it</w:t>
      </w:r>
      <w:proofErr w:type="spellEnd"/>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0</w:t>
      </w: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1</w:t>
      </w:r>
      <w:r w:rsidRPr="003C6AAB">
        <w:rPr>
          <w:rFonts w:ascii="Times New Roman" w:eastAsia="Times New Roman" w:hAnsi="Times New Roman" w:cs="Times New Roman"/>
          <w:sz w:val="24"/>
          <w:szCs w:val="24"/>
        </w:rPr>
        <w:t>ACIDP</w:t>
      </w:r>
      <w:r w:rsidRPr="003C6AAB">
        <w:rPr>
          <w:rFonts w:ascii="Times New Roman" w:eastAsia="Times New Roman" w:hAnsi="Times New Roman" w:cs="Times New Roman"/>
          <w:sz w:val="24"/>
          <w:szCs w:val="24"/>
          <w:vertAlign w:val="subscript"/>
        </w:rPr>
        <w:t>it</w:t>
      </w: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2</w:t>
      </w:r>
      <w:r w:rsidRPr="003C6AAB">
        <w:rPr>
          <w:rFonts w:ascii="Times New Roman" w:eastAsia="Times New Roman" w:hAnsi="Times New Roman" w:cs="Times New Roman"/>
          <w:sz w:val="24"/>
          <w:szCs w:val="24"/>
        </w:rPr>
        <w:t>ACM</w:t>
      </w:r>
      <w:r w:rsidRPr="003C6AAB">
        <w:rPr>
          <w:rFonts w:ascii="Times New Roman" w:eastAsia="Times New Roman" w:hAnsi="Times New Roman" w:cs="Times New Roman"/>
          <w:sz w:val="24"/>
          <w:szCs w:val="24"/>
          <w:vertAlign w:val="subscript"/>
        </w:rPr>
        <w:t>it</w:t>
      </w: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3</w:t>
      </w:r>
      <w:r w:rsidRPr="003C6AAB">
        <w:rPr>
          <w:rFonts w:ascii="Times New Roman" w:eastAsia="Times New Roman" w:hAnsi="Times New Roman" w:cs="Times New Roman"/>
          <w:sz w:val="24"/>
          <w:szCs w:val="24"/>
        </w:rPr>
        <w:t>ACSIZ</w:t>
      </w:r>
      <w:r w:rsidRPr="003C6AAB">
        <w:rPr>
          <w:rFonts w:ascii="Times New Roman" w:eastAsia="Times New Roman" w:hAnsi="Times New Roman" w:cs="Times New Roman"/>
          <w:sz w:val="24"/>
          <w:szCs w:val="24"/>
          <w:vertAlign w:val="subscript"/>
        </w:rPr>
        <w:t>it</w:t>
      </w: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4</w:t>
      </w:r>
      <w:r w:rsidRPr="003C6AAB">
        <w:rPr>
          <w:rFonts w:ascii="Times New Roman" w:eastAsia="Times New Roman" w:hAnsi="Times New Roman" w:cs="Times New Roman"/>
          <w:sz w:val="24"/>
          <w:szCs w:val="24"/>
        </w:rPr>
        <w:t>OGCSIZE</w:t>
      </w:r>
      <w:r w:rsidRPr="003C6AAB">
        <w:rPr>
          <w:rFonts w:ascii="Times New Roman" w:eastAsia="Times New Roman" w:hAnsi="Times New Roman" w:cs="Times New Roman"/>
          <w:sz w:val="24"/>
          <w:szCs w:val="24"/>
          <w:vertAlign w:val="subscript"/>
        </w:rPr>
        <w:t>it</w:t>
      </w: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5</w:t>
      </w:r>
      <w:r w:rsidRPr="003C6AAB">
        <w:rPr>
          <w:rFonts w:ascii="Times New Roman" w:eastAsia="Times New Roman" w:hAnsi="Times New Roman" w:cs="Times New Roman"/>
          <w:sz w:val="24"/>
          <w:szCs w:val="24"/>
        </w:rPr>
        <w:t>OGCLEV</w:t>
      </w:r>
      <w:r w:rsidRPr="003C6AAB">
        <w:rPr>
          <w:rFonts w:ascii="Times New Roman" w:eastAsia="Times New Roman" w:hAnsi="Times New Roman" w:cs="Times New Roman"/>
          <w:sz w:val="24"/>
          <w:szCs w:val="24"/>
          <w:vertAlign w:val="subscript"/>
        </w:rPr>
        <w:t>it</w:t>
      </w:r>
      <w:r w:rsidRPr="003C6AAB">
        <w:rPr>
          <w:rFonts w:ascii="Times New Roman" w:eastAsia="Times New Roman" w:hAnsi="Times New Roman" w:cs="Times New Roman"/>
          <w:sz w:val="24"/>
          <w:szCs w:val="24"/>
        </w:rPr>
        <w:t>+ε</w:t>
      </w:r>
      <w:r w:rsidRPr="003C6AAB">
        <w:rPr>
          <w:rFonts w:ascii="Times New Roman" w:eastAsia="Times New Roman" w:hAnsi="Times New Roman" w:cs="Times New Roman"/>
          <w:sz w:val="24"/>
          <w:szCs w:val="24"/>
          <w:vertAlign w:val="subscript"/>
        </w:rPr>
        <w:t xml:space="preserve">it </w:t>
      </w:r>
      <w:proofErr w:type="gramStart"/>
      <w:r w:rsidRPr="003C6AAB">
        <w:rPr>
          <w:rFonts w:ascii="Times New Roman" w:eastAsia="Times New Roman" w:hAnsi="Times New Roman" w:cs="Times New Roman"/>
          <w:sz w:val="24"/>
          <w:szCs w:val="24"/>
          <w:vertAlign w:val="subscript"/>
        </w:rPr>
        <w:t>….(</w:t>
      </w:r>
      <w:proofErr w:type="gramEnd"/>
      <w:r w:rsidRPr="003C6AAB">
        <w:rPr>
          <w:rFonts w:ascii="Times New Roman" w:eastAsia="Times New Roman" w:hAnsi="Times New Roman" w:cs="Times New Roman"/>
          <w:sz w:val="24"/>
          <w:szCs w:val="24"/>
          <w:vertAlign w:val="subscript"/>
        </w:rPr>
        <w:t>1)</w:t>
      </w:r>
      <w:r w:rsidRPr="003C6AAB">
        <w:rPr>
          <w:rFonts w:ascii="Times New Roman" w:eastAsia="Times New Roman" w:hAnsi="Times New Roman" w:cs="Times New Roman"/>
          <w:sz w:val="24"/>
          <w:szCs w:val="24"/>
        </w:rPr>
        <w:t xml:space="preserve"> </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Where:</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FRQ = Financial Reporting Quality Index</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ACIDP = Audit Committee Independence</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ACM = Audit Committee Meeting Frequency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ACSIZ​ = Audit Committee Size</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OGCSIZE = Firm Size </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OGCLEV= Firm Leverage </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0</w:t>
      </w:r>
      <w:r w:rsidRPr="003C6AAB">
        <w:rPr>
          <w:rFonts w:ascii="Times New Roman" w:eastAsia="Times New Roman" w:hAnsi="Times New Roman" w:cs="Times New Roman"/>
          <w:sz w:val="24"/>
          <w:szCs w:val="24"/>
        </w:rPr>
        <w:t>​ = Intercept</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1</w:t>
      </w:r>
      <w:r w:rsidRPr="003C6AAB">
        <w:rPr>
          <w:rFonts w:ascii="Times New Roman" w:eastAsia="Times New Roman" w:hAnsi="Times New Roman" w:cs="Times New Roman"/>
          <w:sz w:val="24"/>
          <w:szCs w:val="24"/>
        </w:rPr>
        <w:t>​–α</w:t>
      </w:r>
      <w:r w:rsidRPr="003C6AAB">
        <w:rPr>
          <w:rFonts w:ascii="Times New Roman" w:eastAsia="Times New Roman" w:hAnsi="Times New Roman" w:cs="Times New Roman"/>
          <w:sz w:val="24"/>
          <w:szCs w:val="24"/>
          <w:vertAlign w:val="subscript"/>
        </w:rPr>
        <w:t>5</w:t>
      </w:r>
      <w:r w:rsidRPr="003C6AAB">
        <w:rPr>
          <w:rFonts w:ascii="Times New Roman" w:eastAsia="Times New Roman" w:hAnsi="Times New Roman" w:cs="Times New Roman"/>
          <w:sz w:val="24"/>
          <w:szCs w:val="24"/>
        </w:rPr>
        <w:t>​ = Coefficients of explanatory variables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C6AAB">
        <w:rPr>
          <w:rFonts w:ascii="Times New Roman" w:eastAsia="Times New Roman" w:hAnsi="Times New Roman" w:cs="Times New Roman"/>
          <w:sz w:val="24"/>
          <w:szCs w:val="24"/>
        </w:rPr>
        <w:t>ε</w:t>
      </w:r>
      <w:r w:rsidRPr="003C6AAB">
        <w:rPr>
          <w:rFonts w:ascii="Times New Roman" w:eastAsia="Times New Roman" w:hAnsi="Times New Roman" w:cs="Times New Roman"/>
          <w:sz w:val="24"/>
          <w:szCs w:val="24"/>
          <w:vertAlign w:val="subscript"/>
        </w:rPr>
        <w:t>it</w:t>
      </w:r>
      <w:proofErr w:type="spellEnd"/>
      <w:r w:rsidRPr="003C6AAB">
        <w:rPr>
          <w:rFonts w:ascii="Times New Roman" w:eastAsia="Times New Roman" w:hAnsi="Times New Roman" w:cs="Times New Roman"/>
          <w:sz w:val="24"/>
          <w:szCs w:val="24"/>
        </w:rPr>
        <w:t>​ = Error term</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i = Firm index</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t = Time period</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Expected Coefficient Signs:</w:t>
      </w:r>
    </w:p>
    <w:p w:rsidR="003C6AAB" w:rsidRPr="003C6AAB" w:rsidRDefault="003C6AAB" w:rsidP="003C6AAB">
      <w:pPr>
        <w:spacing w:before="100" w:beforeAutospacing="1" w:after="100" w:afterAutospacing="1" w:line="360" w:lineRule="auto"/>
        <w:jc w:val="both"/>
        <w:rPr>
          <w:rFonts w:ascii="Times New Roman" w:eastAsia="SimSun" w:hAnsi="Times New Roman" w:cs="Times New Roman"/>
          <w:b/>
          <w:sz w:val="24"/>
          <w:szCs w:val="24"/>
          <w:lang w:eastAsia="zh-CN"/>
        </w:rPr>
      </w:pPr>
      <w:r w:rsidRPr="003C6AAB">
        <w:rPr>
          <w:rFonts w:ascii="Times New Roman" w:eastAsia="Times New Roman" w:hAnsi="Times New Roman" w:cs="Times New Roman"/>
          <w:sz w:val="24"/>
          <w:szCs w:val="24"/>
        </w:rPr>
        <w:t>β</w:t>
      </w:r>
      <w:r w:rsidRPr="003C6AAB">
        <w:rPr>
          <w:rFonts w:ascii="Times New Roman" w:eastAsia="Times New Roman" w:hAnsi="Times New Roman" w:cs="Times New Roman"/>
          <w:sz w:val="24"/>
          <w:szCs w:val="24"/>
          <w:vertAlign w:val="subscript"/>
        </w:rPr>
        <w:t>1</w:t>
      </w:r>
      <w:r w:rsidRPr="003C6AAB">
        <w:rPr>
          <w:rFonts w:ascii="Times New Roman" w:eastAsia="Times New Roman" w:hAnsi="Times New Roman" w:cs="Times New Roman"/>
          <w:sz w:val="24"/>
          <w:szCs w:val="24"/>
        </w:rPr>
        <w:t>, β</w:t>
      </w:r>
      <w:r w:rsidRPr="003C6AAB">
        <w:rPr>
          <w:rFonts w:ascii="Times New Roman" w:eastAsia="Times New Roman" w:hAnsi="Times New Roman" w:cs="Times New Roman"/>
          <w:sz w:val="24"/>
          <w:szCs w:val="24"/>
          <w:vertAlign w:val="subscript"/>
        </w:rPr>
        <w:t>2</w:t>
      </w:r>
      <w:r w:rsidRPr="003C6AAB">
        <w:rPr>
          <w:rFonts w:ascii="Times New Roman" w:eastAsia="Times New Roman" w:hAnsi="Times New Roman" w:cs="Times New Roman"/>
          <w:sz w:val="24"/>
          <w:szCs w:val="24"/>
        </w:rPr>
        <w:t>, β</w:t>
      </w:r>
      <w:r w:rsidRPr="003C6AAB">
        <w:rPr>
          <w:rFonts w:ascii="Times New Roman" w:eastAsia="Times New Roman" w:hAnsi="Times New Roman" w:cs="Times New Roman"/>
          <w:sz w:val="24"/>
          <w:szCs w:val="24"/>
          <w:vertAlign w:val="subscript"/>
        </w:rPr>
        <w:t>3</w:t>
      </w:r>
      <w:r w:rsidRPr="003C6AAB">
        <w:rPr>
          <w:rFonts w:ascii="Times New Roman" w:eastAsia="Times New Roman" w:hAnsi="Times New Roman" w:cs="Times New Roman"/>
          <w:sz w:val="24"/>
          <w:szCs w:val="24"/>
        </w:rPr>
        <w:t>, β</w:t>
      </w:r>
      <w:r w:rsidRPr="003C6AAB">
        <w:rPr>
          <w:rFonts w:ascii="Times New Roman" w:eastAsia="Times New Roman" w:hAnsi="Times New Roman" w:cs="Times New Roman"/>
          <w:sz w:val="24"/>
          <w:szCs w:val="24"/>
          <w:vertAlign w:val="subscript"/>
        </w:rPr>
        <w:t>4</w:t>
      </w:r>
      <w:r w:rsidRPr="003C6AAB">
        <w:rPr>
          <w:rFonts w:ascii="Times New Roman" w:eastAsia="Times New Roman" w:hAnsi="Times New Roman" w:cs="Times New Roman"/>
          <w:sz w:val="24"/>
          <w:szCs w:val="24"/>
        </w:rPr>
        <w:t>, β</w:t>
      </w:r>
      <w:r w:rsidRPr="003C6AAB">
        <w:rPr>
          <w:rFonts w:ascii="Times New Roman" w:eastAsia="Times New Roman" w:hAnsi="Times New Roman" w:cs="Times New Roman"/>
          <w:sz w:val="24"/>
          <w:szCs w:val="24"/>
          <w:vertAlign w:val="subscript"/>
        </w:rPr>
        <w:t>5</w:t>
      </w:r>
      <w:r w:rsidRPr="003C6AAB">
        <w:rPr>
          <w:rFonts w:ascii="Times New Roman" w:eastAsia="Times New Roman" w:hAnsi="Times New Roman" w:cs="Times New Roman"/>
          <w:sz w:val="24"/>
          <w:szCs w:val="24"/>
        </w:rPr>
        <w:t>&gt;0</w:t>
      </w:r>
    </w:p>
    <w:p w:rsidR="003C6AAB" w:rsidRPr="003C6AAB" w:rsidRDefault="003C6AAB" w:rsidP="003C6AAB">
      <w:pPr>
        <w:spacing w:after="0" w:line="240" w:lineRule="auto"/>
        <w:jc w:val="both"/>
        <w:rPr>
          <w:rFonts w:ascii="Times New Roman" w:eastAsia="SimSun" w:hAnsi="Times New Roman" w:cs="Times New Roman"/>
          <w:b/>
          <w:sz w:val="24"/>
          <w:szCs w:val="24"/>
          <w:lang w:eastAsia="zh-CN"/>
        </w:rPr>
      </w:pPr>
    </w:p>
    <w:p w:rsidR="003C6AAB" w:rsidRPr="003C6AAB" w:rsidRDefault="003C6AAB" w:rsidP="003C6AAB">
      <w:pPr>
        <w:spacing w:after="0" w:line="240" w:lineRule="auto"/>
        <w:jc w:val="both"/>
        <w:rPr>
          <w:rFonts w:ascii="Times New Roman" w:eastAsia="SimSun" w:hAnsi="Times New Roman" w:cs="Times New Roman"/>
          <w:b/>
          <w:sz w:val="24"/>
          <w:szCs w:val="24"/>
          <w:lang w:eastAsia="zh-CN"/>
        </w:rPr>
      </w:pPr>
      <w:r w:rsidRPr="003C6AAB">
        <w:rPr>
          <w:rFonts w:ascii="Times New Roman" w:eastAsia="SimSun" w:hAnsi="Times New Roman" w:cs="Times New Roman"/>
          <w:b/>
          <w:sz w:val="24"/>
          <w:szCs w:val="24"/>
          <w:lang w:eastAsia="zh-CN"/>
        </w:rPr>
        <w:lastRenderedPageBreak/>
        <w:t>4.</w:t>
      </w:r>
      <w:r w:rsidRPr="003C6AAB">
        <w:rPr>
          <w:rFonts w:ascii="Times New Roman" w:eastAsia="SimSun" w:hAnsi="Times New Roman" w:cs="Times New Roman"/>
          <w:b/>
          <w:sz w:val="24"/>
          <w:szCs w:val="24"/>
          <w:lang w:eastAsia="zh-CN"/>
        </w:rPr>
        <w:tab/>
        <w:t xml:space="preserve">Results and Discussion of Findings </w:t>
      </w:r>
    </w:p>
    <w:p w:rsidR="003C6AAB" w:rsidRPr="003C6AAB" w:rsidRDefault="003C6AAB" w:rsidP="003C6AAB">
      <w:pPr>
        <w:spacing w:after="0" w:line="240" w:lineRule="auto"/>
        <w:jc w:val="both"/>
        <w:rPr>
          <w:rFonts w:ascii="Times New Roman" w:eastAsia="SimSun" w:hAnsi="Times New Roman" w:cs="Times New Roman"/>
          <w:b/>
          <w:sz w:val="24"/>
          <w:szCs w:val="24"/>
          <w:lang w:eastAsia="zh-CN"/>
        </w:rPr>
      </w:pPr>
    </w:p>
    <w:p w:rsidR="003C6AAB" w:rsidRPr="003C6AAB" w:rsidRDefault="003C6AAB" w:rsidP="003C6AAB">
      <w:pPr>
        <w:keepNext/>
        <w:keepLines/>
        <w:spacing w:before="40" w:after="0"/>
        <w:jc w:val="both"/>
        <w:outlineLvl w:val="1"/>
        <w:rPr>
          <w:rFonts w:ascii="Times New Roman" w:eastAsia="Times New Roman" w:hAnsi="Times New Roman" w:cs="Times New Roman"/>
          <w:b/>
          <w:bCs/>
          <w:sz w:val="24"/>
          <w:szCs w:val="24"/>
        </w:rPr>
      </w:pPr>
      <w:r w:rsidRPr="003C6AAB">
        <w:rPr>
          <w:rFonts w:ascii="Times New Roman" w:eastAsia="Times New Roman" w:hAnsi="Times New Roman" w:cs="Times New Roman"/>
          <w:sz w:val="24"/>
          <w:szCs w:val="24"/>
          <w:lang w:eastAsia="zh-CN"/>
        </w:rPr>
        <w:t>Table 1-</w:t>
      </w:r>
      <w:r w:rsidRPr="003C6AAB">
        <w:rPr>
          <w:rFonts w:ascii="Times New Roman" w:eastAsia="Times New Roman" w:hAnsi="Times New Roman" w:cs="Times New Roman"/>
          <w:b/>
          <w:bCs/>
          <w:sz w:val="24"/>
          <w:szCs w:val="24"/>
        </w:rPr>
        <w:t xml:space="preserve">Descriptive Statistics (N = 77) </w:t>
      </w:r>
    </w:p>
    <w:tbl>
      <w:tblPr>
        <w:tblW w:w="10684" w:type="dxa"/>
        <w:tblInd w:w="-275" w:type="dxa"/>
        <w:tblBorders>
          <w:top w:val="single" w:sz="4" w:space="0" w:color="auto"/>
          <w:bottom w:val="single" w:sz="4" w:space="0" w:color="auto"/>
        </w:tblBorders>
        <w:tblLook w:val="04A0" w:firstRow="1" w:lastRow="0" w:firstColumn="1" w:lastColumn="0" w:noHBand="0" w:noVBand="1"/>
      </w:tblPr>
      <w:tblGrid>
        <w:gridCol w:w="1230"/>
        <w:gridCol w:w="763"/>
        <w:gridCol w:w="950"/>
        <w:gridCol w:w="1216"/>
        <w:gridCol w:w="1177"/>
        <w:gridCol w:w="756"/>
        <w:gridCol w:w="1163"/>
        <w:gridCol w:w="1030"/>
        <w:gridCol w:w="985"/>
        <w:gridCol w:w="1414"/>
      </w:tblGrid>
      <w:tr w:rsidR="003C6AAB" w:rsidRPr="003C6AAB" w:rsidTr="006925BD">
        <w:tc>
          <w:tcPr>
            <w:tcW w:w="1230"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Variable</w:t>
            </w:r>
          </w:p>
        </w:tc>
        <w:tc>
          <w:tcPr>
            <w:tcW w:w="763"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Mean</w:t>
            </w:r>
          </w:p>
        </w:tc>
        <w:tc>
          <w:tcPr>
            <w:tcW w:w="950"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Median</w:t>
            </w:r>
          </w:p>
        </w:tc>
        <w:tc>
          <w:tcPr>
            <w:tcW w:w="1216"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Maximum</w:t>
            </w:r>
          </w:p>
        </w:tc>
        <w:tc>
          <w:tcPr>
            <w:tcW w:w="1177"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Minimum</w:t>
            </w:r>
          </w:p>
        </w:tc>
        <w:tc>
          <w:tcPr>
            <w:tcW w:w="756"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Std. Dev.</w:t>
            </w:r>
          </w:p>
        </w:tc>
        <w:tc>
          <w:tcPr>
            <w:tcW w:w="1163"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Skewness</w:t>
            </w:r>
          </w:p>
        </w:tc>
        <w:tc>
          <w:tcPr>
            <w:tcW w:w="1030"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Kurtosis</w:t>
            </w:r>
          </w:p>
        </w:tc>
        <w:tc>
          <w:tcPr>
            <w:tcW w:w="985"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roofErr w:type="spellStart"/>
            <w:r w:rsidRPr="003C6AAB">
              <w:rPr>
                <w:rFonts w:ascii="Times New Roman" w:eastAsia="SimSun" w:hAnsi="Times New Roman" w:cs="Times New Roman"/>
                <w:sz w:val="24"/>
                <w:szCs w:val="24"/>
                <w:lang w:eastAsia="zh-CN"/>
              </w:rPr>
              <w:t>Jarque-Bera</w:t>
            </w:r>
            <w:proofErr w:type="spellEnd"/>
          </w:p>
        </w:tc>
        <w:tc>
          <w:tcPr>
            <w:tcW w:w="141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Probability</w:t>
            </w:r>
          </w:p>
        </w:tc>
      </w:tr>
      <w:tr w:rsidR="003C6AAB" w:rsidRPr="003C6AAB" w:rsidTr="006925BD">
        <w:tc>
          <w:tcPr>
            <w:tcW w:w="1230"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FRQ</w:t>
            </w:r>
          </w:p>
        </w:tc>
        <w:tc>
          <w:tcPr>
            <w:tcW w:w="763"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0.38</w:t>
            </w:r>
          </w:p>
        </w:tc>
        <w:tc>
          <w:tcPr>
            <w:tcW w:w="950"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0.33</w:t>
            </w:r>
          </w:p>
        </w:tc>
        <w:tc>
          <w:tcPr>
            <w:tcW w:w="1216"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1.00</w:t>
            </w:r>
          </w:p>
        </w:tc>
        <w:tc>
          <w:tcPr>
            <w:tcW w:w="1177"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w:t>
            </w:r>
          </w:p>
        </w:tc>
        <w:tc>
          <w:tcPr>
            <w:tcW w:w="756"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0.27</w:t>
            </w:r>
          </w:p>
        </w:tc>
        <w:tc>
          <w:tcPr>
            <w:tcW w:w="1163"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0.59</w:t>
            </w:r>
          </w:p>
        </w:tc>
        <w:tc>
          <w:tcPr>
            <w:tcW w:w="1030"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2.88</w:t>
            </w:r>
          </w:p>
        </w:tc>
        <w:tc>
          <w:tcPr>
            <w:tcW w:w="985"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7.550</w:t>
            </w:r>
          </w:p>
        </w:tc>
        <w:tc>
          <w:tcPr>
            <w:tcW w:w="1414" w:type="dxa"/>
            <w:tcBorders>
              <w:top w:val="single" w:sz="4" w:space="0" w:color="auto"/>
              <w:bottom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0.02</w:t>
            </w:r>
          </w:p>
        </w:tc>
      </w:tr>
      <w:tr w:rsidR="003C6AAB" w:rsidRPr="003C6AAB" w:rsidTr="006925BD">
        <w:tc>
          <w:tcPr>
            <w:tcW w:w="1230"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ACIDP</w:t>
            </w:r>
          </w:p>
        </w:tc>
        <w:tc>
          <w:tcPr>
            <w:tcW w:w="763"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48.4</w:t>
            </w:r>
          </w:p>
        </w:tc>
        <w:tc>
          <w:tcPr>
            <w:tcW w:w="950"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50.0</w:t>
            </w:r>
          </w:p>
        </w:tc>
        <w:tc>
          <w:tcPr>
            <w:tcW w:w="1216"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100.</w:t>
            </w:r>
          </w:p>
        </w:tc>
        <w:tc>
          <w:tcPr>
            <w:tcW w:w="1177"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16.6</w:t>
            </w:r>
          </w:p>
        </w:tc>
        <w:tc>
          <w:tcPr>
            <w:tcW w:w="756"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18.9</w:t>
            </w:r>
          </w:p>
        </w:tc>
        <w:tc>
          <w:tcPr>
            <w:tcW w:w="1163"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1.23</w:t>
            </w:r>
          </w:p>
        </w:tc>
        <w:tc>
          <w:tcPr>
            <w:tcW w:w="1030"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2.96</w:t>
            </w:r>
          </w:p>
        </w:tc>
        <w:tc>
          <w:tcPr>
            <w:tcW w:w="985"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53.22</w:t>
            </w:r>
          </w:p>
        </w:tc>
        <w:tc>
          <w:tcPr>
            <w:tcW w:w="1414" w:type="dxa"/>
            <w:tcBorders>
              <w:top w:val="nil"/>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w:t>
            </w:r>
          </w:p>
        </w:tc>
      </w:tr>
      <w:tr w:rsidR="003C6AAB" w:rsidRPr="003C6AAB" w:rsidTr="006925BD">
        <w:tc>
          <w:tcPr>
            <w:tcW w:w="12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ACM</w:t>
            </w:r>
          </w:p>
        </w:tc>
        <w:tc>
          <w:tcPr>
            <w:tcW w:w="7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4.36</w:t>
            </w:r>
          </w:p>
        </w:tc>
        <w:tc>
          <w:tcPr>
            <w:tcW w:w="95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4.00</w:t>
            </w:r>
          </w:p>
        </w:tc>
        <w:tc>
          <w:tcPr>
            <w:tcW w:w="121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10.0</w:t>
            </w:r>
          </w:p>
        </w:tc>
        <w:tc>
          <w:tcPr>
            <w:tcW w:w="1177"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w:t>
            </w:r>
          </w:p>
        </w:tc>
        <w:tc>
          <w:tcPr>
            <w:tcW w:w="75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1.09</w:t>
            </w:r>
          </w:p>
        </w:tc>
        <w:tc>
          <w:tcPr>
            <w:tcW w:w="11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0.75</w:t>
            </w:r>
          </w:p>
        </w:tc>
        <w:tc>
          <w:tcPr>
            <w:tcW w:w="10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2.86</w:t>
            </w:r>
          </w:p>
        </w:tc>
        <w:tc>
          <w:tcPr>
            <w:tcW w:w="985"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265.5</w:t>
            </w:r>
          </w:p>
        </w:tc>
        <w:tc>
          <w:tcPr>
            <w:tcW w:w="141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w:t>
            </w:r>
          </w:p>
        </w:tc>
      </w:tr>
      <w:tr w:rsidR="003C6AAB" w:rsidRPr="003C6AAB" w:rsidTr="006925BD">
        <w:tc>
          <w:tcPr>
            <w:tcW w:w="12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ACSIZ</w:t>
            </w:r>
          </w:p>
        </w:tc>
        <w:tc>
          <w:tcPr>
            <w:tcW w:w="7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5.55</w:t>
            </w:r>
          </w:p>
        </w:tc>
        <w:tc>
          <w:tcPr>
            <w:tcW w:w="95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6.00</w:t>
            </w:r>
          </w:p>
        </w:tc>
        <w:tc>
          <w:tcPr>
            <w:tcW w:w="121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8.00</w:t>
            </w:r>
          </w:p>
        </w:tc>
        <w:tc>
          <w:tcPr>
            <w:tcW w:w="1177"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3.00</w:t>
            </w:r>
          </w:p>
        </w:tc>
        <w:tc>
          <w:tcPr>
            <w:tcW w:w="75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1.17</w:t>
            </w:r>
          </w:p>
        </w:tc>
        <w:tc>
          <w:tcPr>
            <w:tcW w:w="11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-0.06</w:t>
            </w:r>
          </w:p>
        </w:tc>
        <w:tc>
          <w:tcPr>
            <w:tcW w:w="10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2.23</w:t>
            </w:r>
          </w:p>
        </w:tc>
        <w:tc>
          <w:tcPr>
            <w:tcW w:w="985"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3.240</w:t>
            </w:r>
          </w:p>
        </w:tc>
        <w:tc>
          <w:tcPr>
            <w:tcW w:w="141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0.20</w:t>
            </w:r>
          </w:p>
        </w:tc>
      </w:tr>
      <w:tr w:rsidR="003C6AAB" w:rsidRPr="003C6AAB" w:rsidTr="006925BD">
        <w:tc>
          <w:tcPr>
            <w:tcW w:w="12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OGCSIZE</w:t>
            </w:r>
          </w:p>
        </w:tc>
        <w:tc>
          <w:tcPr>
            <w:tcW w:w="7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7.65</w:t>
            </w:r>
          </w:p>
        </w:tc>
        <w:tc>
          <w:tcPr>
            <w:tcW w:w="95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7.79</w:t>
            </w:r>
          </w:p>
        </w:tc>
        <w:tc>
          <w:tcPr>
            <w:tcW w:w="121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9.21</w:t>
            </w:r>
          </w:p>
        </w:tc>
        <w:tc>
          <w:tcPr>
            <w:tcW w:w="1177"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5.25</w:t>
            </w:r>
          </w:p>
        </w:tc>
        <w:tc>
          <w:tcPr>
            <w:tcW w:w="75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0.90</w:t>
            </w:r>
          </w:p>
        </w:tc>
        <w:tc>
          <w:tcPr>
            <w:tcW w:w="11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-0.55</w:t>
            </w:r>
          </w:p>
        </w:tc>
        <w:tc>
          <w:tcPr>
            <w:tcW w:w="10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2.84</w:t>
            </w:r>
          </w:p>
        </w:tc>
        <w:tc>
          <w:tcPr>
            <w:tcW w:w="985"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6.610</w:t>
            </w:r>
          </w:p>
        </w:tc>
        <w:tc>
          <w:tcPr>
            <w:tcW w:w="141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0.04</w:t>
            </w:r>
          </w:p>
        </w:tc>
      </w:tr>
      <w:tr w:rsidR="003C6AAB" w:rsidRPr="003C6AAB" w:rsidTr="006925BD">
        <w:tc>
          <w:tcPr>
            <w:tcW w:w="12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OGLEV</w:t>
            </w:r>
          </w:p>
        </w:tc>
        <w:tc>
          <w:tcPr>
            <w:tcW w:w="7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75.1</w:t>
            </w:r>
          </w:p>
        </w:tc>
        <w:tc>
          <w:tcPr>
            <w:tcW w:w="95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67.9</w:t>
            </w:r>
          </w:p>
        </w:tc>
        <w:tc>
          <w:tcPr>
            <w:tcW w:w="121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778.</w:t>
            </w:r>
          </w:p>
        </w:tc>
        <w:tc>
          <w:tcPr>
            <w:tcW w:w="1177"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2.29</w:t>
            </w:r>
          </w:p>
        </w:tc>
        <w:tc>
          <w:tcPr>
            <w:tcW w:w="756"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67.2</w:t>
            </w:r>
          </w:p>
        </w:tc>
        <w:tc>
          <w:tcPr>
            <w:tcW w:w="1163"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1.12</w:t>
            </w:r>
          </w:p>
        </w:tc>
        <w:tc>
          <w:tcPr>
            <w:tcW w:w="1030"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2.53</w:t>
            </w:r>
          </w:p>
        </w:tc>
        <w:tc>
          <w:tcPr>
            <w:tcW w:w="985"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4682</w:t>
            </w:r>
          </w:p>
        </w:tc>
        <w:tc>
          <w:tcPr>
            <w:tcW w:w="141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w:t>
            </w:r>
          </w:p>
        </w:tc>
      </w:tr>
    </w:tbl>
    <w:p w:rsidR="003C6AAB" w:rsidRPr="003C6AAB" w:rsidRDefault="003C6AAB" w:rsidP="003C6AAB">
      <w:pPr>
        <w:spacing w:line="240" w:lineRule="auto"/>
        <w:jc w:val="both"/>
        <w:rPr>
          <w:rFonts w:ascii="Times New Roman" w:eastAsia="SimSun" w:hAnsi="Times New Roman" w:cs="Times New Roman"/>
          <w:b/>
          <w:sz w:val="24"/>
          <w:szCs w:val="24"/>
          <w:lang w:eastAsia="zh-CN"/>
        </w:rPr>
      </w:pPr>
      <w:r w:rsidRPr="003C6AAB">
        <w:rPr>
          <w:rFonts w:ascii="Times New Roman" w:eastAsia="SimSun" w:hAnsi="Times New Roman" w:cs="Times New Roman"/>
          <w:b/>
          <w:sz w:val="24"/>
          <w:szCs w:val="24"/>
          <w:lang w:eastAsia="zh-CN"/>
        </w:rPr>
        <w:t>Source: Researchers’ Computation 2025</w:t>
      </w:r>
    </w:p>
    <w:p w:rsidR="003C6AAB" w:rsidRPr="003C6AAB" w:rsidRDefault="003C6AAB" w:rsidP="003C6AAB">
      <w:pPr>
        <w:autoSpaceDE w:val="0"/>
        <w:autoSpaceDN w:val="0"/>
        <w:adjustRightInd w:val="0"/>
        <w:spacing w:after="0" w:line="36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The descriptive statistics for the seven listed Nigerian oil and gas companies (Table 1) indicate that overall financial reporting quality (FRQ) averaged 38.11% of the maximum attainable score</w:t>
      </w:r>
      <w:r w:rsidRPr="003C6AAB">
        <w:rPr>
          <w:rFonts w:ascii="Times New Roman" w:eastAsia="SimSun" w:hAnsi="Times New Roman" w:cs="Times New Roman"/>
          <w:b/>
          <w:bCs/>
          <w:sz w:val="24"/>
          <w:szCs w:val="24"/>
          <w:lang w:eastAsia="zh-CN"/>
        </w:rPr>
        <w:t xml:space="preserve">, </w:t>
      </w:r>
      <w:r w:rsidRPr="003C6AAB">
        <w:rPr>
          <w:rFonts w:ascii="Times New Roman" w:eastAsia="SimSun" w:hAnsi="Times New Roman" w:cs="Times New Roman"/>
          <w:sz w:val="24"/>
          <w:szCs w:val="24"/>
          <w:lang w:eastAsia="zh-CN"/>
        </w:rPr>
        <w:t>suggesting relatively low reporting quality over the</w:t>
      </w:r>
      <w:r w:rsidRPr="003C6AAB">
        <w:rPr>
          <w:rFonts w:ascii="Times New Roman" w:eastAsia="SimSun" w:hAnsi="Times New Roman" w:cs="Times New Roman"/>
          <w:b/>
          <w:bCs/>
          <w:sz w:val="24"/>
          <w:szCs w:val="24"/>
          <w:lang w:eastAsia="zh-CN"/>
        </w:rPr>
        <w:t xml:space="preserve"> </w:t>
      </w:r>
      <w:r w:rsidRPr="003C6AAB">
        <w:rPr>
          <w:rFonts w:ascii="Times New Roman" w:eastAsia="SimSun" w:hAnsi="Times New Roman" w:cs="Times New Roman"/>
          <w:sz w:val="24"/>
          <w:szCs w:val="24"/>
          <w:lang w:eastAsia="zh-CN"/>
        </w:rPr>
        <w:t>2014–2024 periods. This reflects partial adoption of corporate governance codes and reporting guidelines</w:t>
      </w:r>
      <w:r w:rsidRPr="003C6AAB">
        <w:rPr>
          <w:rFonts w:ascii="Times New Roman" w:eastAsia="SimSun" w:hAnsi="Times New Roman" w:cs="Times New Roman"/>
          <w:b/>
          <w:bCs/>
          <w:sz w:val="24"/>
          <w:szCs w:val="24"/>
          <w:lang w:eastAsia="zh-CN"/>
        </w:rPr>
        <w:t>.</w:t>
      </w:r>
      <w:r w:rsidRPr="003C6AAB">
        <w:rPr>
          <w:rFonts w:ascii="Times New Roman" w:eastAsia="SimSun" w:hAnsi="Times New Roman" w:cs="Times New Roman"/>
          <w:sz w:val="24"/>
          <w:szCs w:val="24"/>
          <w:lang w:eastAsia="zh-CN"/>
        </w:rPr>
        <w:t xml:space="preserve"> Skewness and kurtosis values for FRQ and its subcomponents fall within acceptable ranges, (±1.96 for skewness; ±3 for kurtosis), confirming normal distribution of the data (</w:t>
      </w:r>
      <w:proofErr w:type="spellStart"/>
      <w:r w:rsidRPr="003C6AAB">
        <w:rPr>
          <w:rFonts w:ascii="Times New Roman" w:eastAsia="SimSun" w:hAnsi="Times New Roman" w:cs="Times New Roman"/>
          <w:sz w:val="24"/>
          <w:szCs w:val="24"/>
          <w:lang w:eastAsia="zh-CN"/>
        </w:rPr>
        <w:t>Uttley</w:t>
      </w:r>
      <w:proofErr w:type="spellEnd"/>
      <w:r w:rsidRPr="003C6AAB">
        <w:rPr>
          <w:rFonts w:ascii="Times New Roman" w:eastAsia="SimSun" w:hAnsi="Times New Roman" w:cs="Times New Roman"/>
          <w:sz w:val="24"/>
          <w:szCs w:val="24"/>
          <w:lang w:eastAsia="zh-CN"/>
        </w:rPr>
        <w:t>, 2019). Mean values lie between the observed minimum and maximum, demonstrating data consistency</w:t>
      </w:r>
      <w:r w:rsidRPr="003C6AAB">
        <w:rPr>
          <w:rFonts w:ascii="Times New Roman" w:eastAsia="SimSun" w:hAnsi="Times New Roman" w:cs="Times New Roman"/>
          <w:b/>
          <w:bCs/>
          <w:sz w:val="24"/>
          <w:szCs w:val="24"/>
          <w:lang w:eastAsia="zh-CN"/>
        </w:rPr>
        <w:t>.</w:t>
      </w:r>
    </w:p>
    <w:p w:rsidR="003C6AAB" w:rsidRPr="003C6AAB" w:rsidRDefault="003C6AAB" w:rsidP="003C6AAB">
      <w:pPr>
        <w:rPr>
          <w:rFonts w:ascii="Times New Roman" w:eastAsia="SimSun" w:hAnsi="Times New Roman" w:cs="Times New Roman"/>
          <w:b/>
          <w:bCs/>
          <w:sz w:val="24"/>
          <w:szCs w:val="24"/>
        </w:rPr>
      </w:pPr>
      <w:r w:rsidRPr="003C6AAB">
        <w:rPr>
          <w:rFonts w:ascii="Times New Roman" w:eastAsia="SimSun" w:hAnsi="Times New Roman" w:cs="Times New Roman"/>
          <w:b/>
          <w:bCs/>
          <w:sz w:val="24"/>
          <w:szCs w:val="24"/>
        </w:rPr>
        <w:t>Table .2: Correlation Matrix of Variables (N = 77)</w:t>
      </w:r>
    </w:p>
    <w:tbl>
      <w:tblPr>
        <w:tblW w:w="0" w:type="auto"/>
        <w:tblBorders>
          <w:top w:val="single" w:sz="4" w:space="0" w:color="auto"/>
        </w:tblBorders>
        <w:tblLook w:val="04A0" w:firstRow="1" w:lastRow="0" w:firstColumn="1" w:lastColumn="0" w:noHBand="0" w:noVBand="1"/>
      </w:tblPr>
      <w:tblGrid>
        <w:gridCol w:w="1234"/>
        <w:gridCol w:w="1234"/>
        <w:gridCol w:w="1234"/>
        <w:gridCol w:w="1234"/>
        <w:gridCol w:w="1234"/>
        <w:gridCol w:w="1234"/>
        <w:gridCol w:w="1234"/>
      </w:tblGrid>
      <w:tr w:rsidR="003C6AAB" w:rsidRPr="003C6AAB" w:rsidTr="006925BD">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Variable</w:t>
            </w:r>
          </w:p>
        </w:tc>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FRQ</w:t>
            </w:r>
          </w:p>
        </w:tc>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ACIDP</w:t>
            </w:r>
          </w:p>
        </w:tc>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ACM</w:t>
            </w:r>
          </w:p>
        </w:tc>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ACSIZ</w:t>
            </w:r>
          </w:p>
        </w:tc>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OGCSIZE</w:t>
            </w:r>
          </w:p>
        </w:tc>
        <w:tc>
          <w:tcPr>
            <w:tcW w:w="1234" w:type="dxa"/>
            <w:tcBorders>
              <w:top w:val="single" w:sz="4" w:space="0" w:color="auto"/>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OGLEV</w:t>
            </w:r>
          </w:p>
        </w:tc>
      </w:tr>
      <w:tr w:rsidR="003C6AAB" w:rsidRPr="003C6AAB" w:rsidTr="006925BD">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FRQ</w:t>
            </w:r>
          </w:p>
        </w:tc>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w:t>
            </w:r>
          </w:p>
        </w:tc>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Borders>
              <w:top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r>
      <w:tr w:rsidR="003C6AAB" w:rsidRPr="003C6AAB" w:rsidTr="006925BD">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ACIDP</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.53</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r>
      <w:tr w:rsidR="003C6AAB" w:rsidRPr="003C6AAB" w:rsidTr="006925BD">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ACM</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.49</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.30</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r>
      <w:tr w:rsidR="003C6AAB" w:rsidRPr="003C6AAB" w:rsidTr="006925BD">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ACSIZ</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.41</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.30</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.36</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r>
      <w:tr w:rsidR="003C6AAB" w:rsidRPr="003C6AAB" w:rsidTr="006925BD">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OGCSIZE</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.37</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.11</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.29</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.39</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w:t>
            </w:r>
          </w:p>
        </w:tc>
        <w:tc>
          <w:tcPr>
            <w:tcW w:w="1234" w:type="dxa"/>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p>
        </w:tc>
      </w:tr>
      <w:tr w:rsidR="003C6AAB" w:rsidRPr="003C6AAB" w:rsidTr="006925BD">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OGLEV</w:t>
            </w:r>
          </w:p>
        </w:tc>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-.42</w:t>
            </w:r>
          </w:p>
        </w:tc>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-.22</w:t>
            </w:r>
          </w:p>
        </w:tc>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-.18</w:t>
            </w:r>
          </w:p>
        </w:tc>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-.13</w:t>
            </w:r>
          </w:p>
        </w:tc>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.51</w:t>
            </w:r>
          </w:p>
        </w:tc>
        <w:tc>
          <w:tcPr>
            <w:tcW w:w="1234" w:type="dxa"/>
            <w:tcBorders>
              <w:bottom w:val="single" w:sz="4" w:space="0" w:color="auto"/>
            </w:tcBorders>
          </w:tcPr>
          <w:p w:rsidR="003C6AAB" w:rsidRPr="003C6AAB" w:rsidRDefault="003C6AAB" w:rsidP="003C6AAB">
            <w:pPr>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w:t>
            </w:r>
          </w:p>
        </w:tc>
      </w:tr>
    </w:tbl>
    <w:p w:rsidR="003C6AAB" w:rsidRPr="003C6AAB" w:rsidRDefault="003C6AAB" w:rsidP="003C6AA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C6AAB">
        <w:rPr>
          <w:rFonts w:ascii="Times New Roman" w:eastAsia="SimSun" w:hAnsi="Times New Roman" w:cs="Times New Roman"/>
          <w:b/>
          <w:sz w:val="24"/>
          <w:szCs w:val="24"/>
          <w:lang w:eastAsia="zh-CN"/>
        </w:rPr>
        <w:t>Source: Researchers’ Computation 2025</w:t>
      </w:r>
    </w:p>
    <w:p w:rsidR="003C6AAB" w:rsidRPr="003C6AAB" w:rsidRDefault="003C6AAB" w:rsidP="003C6AAB">
      <w:pPr>
        <w:spacing w:before="100" w:beforeAutospacing="1" w:after="100" w:afterAutospacing="1" w:line="360" w:lineRule="auto"/>
        <w:jc w:val="both"/>
        <w:rPr>
          <w:rFonts w:ascii="Times New Roman" w:eastAsia="SimSun" w:hAnsi="Times New Roman" w:cs="Times New Roman"/>
          <w:b/>
          <w:bCs/>
          <w:sz w:val="24"/>
          <w:szCs w:val="24"/>
          <w:lang w:eastAsia="zh-CN"/>
        </w:rPr>
      </w:pPr>
      <w:r w:rsidRPr="003C6AAB">
        <w:rPr>
          <w:rFonts w:ascii="Times New Roman" w:eastAsia="SimSun" w:hAnsi="Times New Roman" w:cs="Times New Roman"/>
          <w:sz w:val="24"/>
          <w:szCs w:val="24"/>
          <w:lang w:eastAsia="zh-CN"/>
        </w:rPr>
        <w:t>The correlation analysis (Table 2) reveals a moderately strong positive association between FRQ and audit committee independence (ACIDP) (r = 0.532), suggesting that greater independence improves reporting quality. FRQ shows a negative correlation with leverage (OGLEV)</w:t>
      </w:r>
      <w:r w:rsidRPr="003C6AAB">
        <w:rPr>
          <w:rFonts w:ascii="Times New Roman" w:eastAsia="SimSun" w:hAnsi="Times New Roman" w:cs="Times New Roman"/>
          <w:b/>
          <w:bCs/>
          <w:sz w:val="24"/>
          <w:szCs w:val="24"/>
          <w:lang w:eastAsia="zh-CN"/>
        </w:rPr>
        <w:t xml:space="preserve"> </w:t>
      </w:r>
      <w:r w:rsidRPr="003C6AAB">
        <w:rPr>
          <w:rFonts w:ascii="Times New Roman" w:eastAsia="SimSun" w:hAnsi="Times New Roman" w:cs="Times New Roman"/>
          <w:sz w:val="24"/>
          <w:szCs w:val="24"/>
          <w:lang w:eastAsia="zh-CN"/>
        </w:rPr>
        <w:t>(r = –0.422), indicating that higher leverage may undermine reporting quality. Moderate positive correlations exist between FRQ and audit committee meeting frequency (ACM) (r = 0.487) and size (ACSIZ) (r = 0.41), implying that committee diligence and optimal size contribute to better reporting outcomes</w:t>
      </w:r>
      <w:r w:rsidRPr="003C6AAB">
        <w:rPr>
          <w:rFonts w:ascii="Times New Roman" w:eastAsia="SimSun" w:hAnsi="Times New Roman" w:cs="Times New Roman"/>
          <w:b/>
          <w:bCs/>
          <w:sz w:val="24"/>
          <w:szCs w:val="24"/>
          <w:lang w:eastAsia="zh-CN"/>
        </w:rPr>
        <w:t>.</w:t>
      </w:r>
    </w:p>
    <w:p w:rsidR="003C6AAB" w:rsidRPr="003C6AAB" w:rsidRDefault="003C6AAB" w:rsidP="003C6AAB">
      <w:pPr>
        <w:keepNext/>
        <w:keepLines/>
        <w:spacing w:before="40" w:after="0" w:line="240" w:lineRule="auto"/>
        <w:jc w:val="both"/>
        <w:outlineLvl w:val="1"/>
        <w:rPr>
          <w:rFonts w:ascii="Times New Roman" w:eastAsia="Times New Roman" w:hAnsi="Times New Roman" w:cs="Times New Roman"/>
          <w:b/>
          <w:bCs/>
          <w:sz w:val="24"/>
          <w:szCs w:val="24"/>
          <w:lang w:eastAsia="zh-CN"/>
        </w:rPr>
      </w:pPr>
      <w:r w:rsidRPr="003C6AAB">
        <w:rPr>
          <w:rFonts w:ascii="Times New Roman" w:eastAsia="Times New Roman" w:hAnsi="Times New Roman" w:cs="Times New Roman"/>
          <w:b/>
          <w:bCs/>
          <w:sz w:val="24"/>
          <w:szCs w:val="24"/>
          <w:lang w:eastAsia="zh-CN"/>
        </w:rPr>
        <w:lastRenderedPageBreak/>
        <w:t>Table 3-- Regression Study on Factors Influencing FRQ</w:t>
      </w:r>
    </w:p>
    <w:tbl>
      <w:tblPr>
        <w:tblW w:w="0" w:type="auto"/>
        <w:tblInd w:w="30" w:type="dxa"/>
        <w:tblBorders>
          <w:top w:val="single" w:sz="4" w:space="0" w:color="auto"/>
        </w:tblBorders>
        <w:tblLayout w:type="fixed"/>
        <w:tblCellMar>
          <w:left w:w="0" w:type="dxa"/>
          <w:right w:w="0" w:type="dxa"/>
        </w:tblCellMar>
        <w:tblLook w:val="0000" w:firstRow="0" w:lastRow="0" w:firstColumn="0" w:lastColumn="0" w:noHBand="0" w:noVBand="0"/>
      </w:tblPr>
      <w:tblGrid>
        <w:gridCol w:w="2220"/>
        <w:gridCol w:w="1350"/>
        <w:gridCol w:w="1350"/>
        <w:gridCol w:w="900"/>
        <w:gridCol w:w="1440"/>
        <w:gridCol w:w="1080"/>
      </w:tblGrid>
      <w:tr w:rsidR="003C6AAB" w:rsidRPr="003C6AAB" w:rsidTr="006925BD">
        <w:trPr>
          <w:trHeight w:val="225"/>
        </w:trPr>
        <w:tc>
          <w:tcPr>
            <w:tcW w:w="4920" w:type="dxa"/>
            <w:gridSpan w:val="3"/>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Dependent Variable: FRQ</w:t>
            </w:r>
          </w:p>
        </w:tc>
        <w:tc>
          <w:tcPr>
            <w:tcW w:w="234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val="225"/>
        </w:trPr>
        <w:tc>
          <w:tcPr>
            <w:tcW w:w="4920" w:type="dxa"/>
            <w:gridSpan w:val="3"/>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Method: Least Squares</w:t>
            </w:r>
          </w:p>
        </w:tc>
        <w:tc>
          <w:tcPr>
            <w:tcW w:w="234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val="225"/>
        </w:trPr>
        <w:tc>
          <w:tcPr>
            <w:tcW w:w="7260" w:type="dxa"/>
            <w:gridSpan w:val="5"/>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Included observations: 77 after adjustments</w:t>
            </w:r>
          </w:p>
        </w:tc>
        <w:tc>
          <w:tcPr>
            <w:tcW w:w="1080" w:type="dxa"/>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hRule="exact" w:val="90"/>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25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44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hRule="exact" w:val="135"/>
        </w:trPr>
        <w:tc>
          <w:tcPr>
            <w:tcW w:w="2220" w:type="dxa"/>
            <w:tcBorders>
              <w:bottom w:val="nil"/>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tcBorders>
              <w:bottom w:val="nil"/>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250" w:type="dxa"/>
            <w:gridSpan w:val="2"/>
            <w:tcBorders>
              <w:bottom w:val="nil"/>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440" w:type="dxa"/>
            <w:tcBorders>
              <w:bottom w:val="nil"/>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tcBorders>
              <w:bottom w:val="nil"/>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val="225"/>
        </w:trPr>
        <w:tc>
          <w:tcPr>
            <w:tcW w:w="2220" w:type="dxa"/>
            <w:tcBorders>
              <w:top w:val="nil"/>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Variable</w:t>
            </w:r>
          </w:p>
        </w:tc>
        <w:tc>
          <w:tcPr>
            <w:tcW w:w="1350" w:type="dxa"/>
            <w:tcBorders>
              <w:top w:val="nil"/>
            </w:tcBorders>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Coefficient</w:t>
            </w:r>
          </w:p>
        </w:tc>
        <w:tc>
          <w:tcPr>
            <w:tcW w:w="2250" w:type="dxa"/>
            <w:gridSpan w:val="2"/>
            <w:tcBorders>
              <w:top w:val="nil"/>
            </w:tcBorders>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Std. Error</w:t>
            </w:r>
          </w:p>
        </w:tc>
        <w:tc>
          <w:tcPr>
            <w:tcW w:w="1440" w:type="dxa"/>
            <w:tcBorders>
              <w:top w:val="nil"/>
            </w:tcBorders>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t-Statistic</w:t>
            </w:r>
          </w:p>
        </w:tc>
        <w:tc>
          <w:tcPr>
            <w:tcW w:w="1080" w:type="dxa"/>
            <w:tcBorders>
              <w:top w:val="nil"/>
            </w:tcBorders>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Prob.  </w:t>
            </w:r>
          </w:p>
        </w:tc>
      </w:tr>
      <w:tr w:rsidR="003C6AAB" w:rsidRPr="003C6AAB" w:rsidTr="006925BD">
        <w:trPr>
          <w:trHeight w:hRule="exact" w:val="90"/>
        </w:trPr>
        <w:tc>
          <w:tcPr>
            <w:tcW w:w="2220" w:type="dxa"/>
            <w:tcBorders>
              <w:top w:val="nil"/>
              <w:bottom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tcBorders>
              <w:top w:val="nil"/>
              <w:bottom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250" w:type="dxa"/>
            <w:gridSpan w:val="2"/>
            <w:tcBorders>
              <w:top w:val="nil"/>
              <w:bottom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440" w:type="dxa"/>
            <w:tcBorders>
              <w:top w:val="nil"/>
              <w:bottom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tcBorders>
              <w:top w:val="nil"/>
              <w:bottom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hRule="exact" w:val="90"/>
        </w:trPr>
        <w:tc>
          <w:tcPr>
            <w:tcW w:w="2220" w:type="dxa"/>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250" w:type="dxa"/>
            <w:gridSpan w:val="2"/>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440" w:type="dxa"/>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tcBorders>
              <w:top w:val="single" w:sz="4" w:space="0" w:color="auto"/>
            </w:tcBorders>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C</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-1.510752</w:t>
            </w:r>
          </w:p>
        </w:tc>
        <w:tc>
          <w:tcPr>
            <w:tcW w:w="225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0.153576</w:t>
            </w:r>
          </w:p>
        </w:tc>
        <w:tc>
          <w:tcPr>
            <w:tcW w:w="144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-9.837111</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0.0000</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ACIDP</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0.001916</w:t>
            </w:r>
          </w:p>
        </w:tc>
        <w:tc>
          <w:tcPr>
            <w:tcW w:w="225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0.000845</w:t>
            </w:r>
          </w:p>
        </w:tc>
        <w:tc>
          <w:tcPr>
            <w:tcW w:w="144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2.267456</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0.0252</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ACM</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-0.007786</w:t>
            </w:r>
          </w:p>
        </w:tc>
        <w:tc>
          <w:tcPr>
            <w:tcW w:w="225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0.015287</w:t>
            </w:r>
          </w:p>
        </w:tc>
        <w:tc>
          <w:tcPr>
            <w:tcW w:w="144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-0.509321</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0.6114</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ACSIZ</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-0.051311</w:t>
            </w:r>
          </w:p>
        </w:tc>
        <w:tc>
          <w:tcPr>
            <w:tcW w:w="225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0.018167</w:t>
            </w:r>
          </w:p>
        </w:tc>
        <w:tc>
          <w:tcPr>
            <w:tcW w:w="144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-2.824406</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0.0055</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OGCSIZE</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0.274923</w:t>
            </w:r>
          </w:p>
        </w:tc>
        <w:tc>
          <w:tcPr>
            <w:tcW w:w="225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0.023774</w:t>
            </w:r>
          </w:p>
        </w:tc>
        <w:tc>
          <w:tcPr>
            <w:tcW w:w="144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11.56401</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0.0000</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OGLEV</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0.000205</w:t>
            </w:r>
          </w:p>
        </w:tc>
        <w:tc>
          <w:tcPr>
            <w:tcW w:w="225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0.000240</w:t>
            </w:r>
          </w:p>
        </w:tc>
        <w:tc>
          <w:tcPr>
            <w:tcW w:w="144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0.854167</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0.3937</w:t>
            </w:r>
          </w:p>
        </w:tc>
      </w:tr>
      <w:tr w:rsidR="003C6AAB" w:rsidRPr="003C6AAB" w:rsidTr="006925BD">
        <w:trPr>
          <w:trHeight w:hRule="exact" w:val="90"/>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25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44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hRule="exact" w:val="13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25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44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R-squared</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0.591414</w:t>
            </w:r>
          </w:p>
        </w:tc>
        <w:tc>
          <w:tcPr>
            <w:tcW w:w="3690" w:type="dxa"/>
            <w:gridSpan w:val="3"/>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Mean dependent var</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0.381136</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Adjusted R-squared</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0.574805</w:t>
            </w:r>
          </w:p>
        </w:tc>
        <w:tc>
          <w:tcPr>
            <w:tcW w:w="3690" w:type="dxa"/>
            <w:gridSpan w:val="3"/>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S.D. dependent var</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0.273380</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S.E. of regression</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0.178263</w:t>
            </w:r>
          </w:p>
        </w:tc>
        <w:tc>
          <w:tcPr>
            <w:tcW w:w="3690" w:type="dxa"/>
            <w:gridSpan w:val="3"/>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Akaike info criterion</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-0.565717</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Sum square </w:t>
            </w:r>
            <w:proofErr w:type="spellStart"/>
            <w:r w:rsidRPr="003C6AAB">
              <w:rPr>
                <w:rFonts w:ascii="Times New Roman" w:eastAsia="SimSun" w:hAnsi="Times New Roman" w:cs="Times New Roman"/>
                <w:sz w:val="24"/>
                <w:szCs w:val="24"/>
                <w:lang w:eastAsia="zh-CN"/>
              </w:rPr>
              <w:t>dresid</w:t>
            </w:r>
            <w:proofErr w:type="spellEnd"/>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3.908659</w:t>
            </w:r>
          </w:p>
        </w:tc>
        <w:tc>
          <w:tcPr>
            <w:tcW w:w="3690" w:type="dxa"/>
            <w:gridSpan w:val="3"/>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Schwarz criterion</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-0.432702</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Log likelihood</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42.48877</w:t>
            </w:r>
          </w:p>
        </w:tc>
        <w:tc>
          <w:tcPr>
            <w:tcW w:w="3690" w:type="dxa"/>
            <w:gridSpan w:val="3"/>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xml:space="preserve">    Hannan-Quinn </w:t>
            </w:r>
            <w:proofErr w:type="spellStart"/>
            <w:r w:rsidRPr="003C6AAB">
              <w:rPr>
                <w:rFonts w:ascii="Times New Roman" w:eastAsia="SimSun" w:hAnsi="Times New Roman" w:cs="Times New Roman"/>
                <w:sz w:val="24"/>
                <w:szCs w:val="24"/>
                <w:lang w:eastAsia="zh-CN"/>
              </w:rPr>
              <w:t>criter</w:t>
            </w:r>
            <w:proofErr w:type="spellEnd"/>
            <w:r w:rsidRPr="003C6AAB">
              <w:rPr>
                <w:rFonts w:ascii="Times New Roman" w:eastAsia="SimSun" w:hAnsi="Times New Roman" w:cs="Times New Roman"/>
                <w:sz w:val="24"/>
                <w:szCs w:val="24"/>
                <w:lang w:eastAsia="zh-CN"/>
              </w:rPr>
              <w:t>.</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-0.511671</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F-statistic</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35.60772</w:t>
            </w:r>
          </w:p>
        </w:tc>
        <w:tc>
          <w:tcPr>
            <w:tcW w:w="3690" w:type="dxa"/>
            <w:gridSpan w:val="3"/>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    Durbin-Watson stat</w:t>
            </w: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1.913340</w:t>
            </w:r>
          </w:p>
        </w:tc>
      </w:tr>
      <w:tr w:rsidR="003C6AAB" w:rsidRPr="003C6AAB" w:rsidTr="006925BD">
        <w:trPr>
          <w:trHeight w:val="22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Prob(F-statistic)</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r w:rsidRPr="003C6AAB">
              <w:rPr>
                <w:rFonts w:ascii="Times New Roman" w:eastAsia="SimSun" w:hAnsi="Times New Roman" w:cs="Times New Roman"/>
                <w:sz w:val="24"/>
                <w:szCs w:val="24"/>
                <w:lang w:eastAsia="zh-CN"/>
              </w:rPr>
              <w:t>0.000030</w:t>
            </w:r>
          </w:p>
        </w:tc>
        <w:tc>
          <w:tcPr>
            <w:tcW w:w="135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p>
        </w:tc>
        <w:tc>
          <w:tcPr>
            <w:tcW w:w="2340" w:type="dxa"/>
            <w:gridSpan w:val="2"/>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ind w:right="10"/>
              <w:jc w:val="both"/>
              <w:rPr>
                <w:rFonts w:ascii="Times New Roman" w:eastAsia="SimSun" w:hAnsi="Times New Roman" w:cs="Times New Roman"/>
                <w:sz w:val="24"/>
                <w:szCs w:val="24"/>
                <w:lang w:eastAsia="zh-CN"/>
              </w:rPr>
            </w:pPr>
          </w:p>
        </w:tc>
      </w:tr>
      <w:tr w:rsidR="003C6AAB" w:rsidRPr="003C6AAB" w:rsidTr="006925BD">
        <w:trPr>
          <w:trHeight w:hRule="exact" w:val="90"/>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34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3C6AAB" w:rsidRPr="003C6AAB" w:rsidTr="006925BD">
        <w:trPr>
          <w:trHeight w:hRule="exact" w:val="135"/>
        </w:trPr>
        <w:tc>
          <w:tcPr>
            <w:tcW w:w="222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35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340" w:type="dxa"/>
            <w:gridSpan w:val="2"/>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080" w:type="dxa"/>
            <w:vAlign w:val="bottom"/>
          </w:tcPr>
          <w:p w:rsidR="003C6AAB" w:rsidRPr="003C6AAB" w:rsidRDefault="003C6AAB" w:rsidP="003C6AAB">
            <w:pPr>
              <w:autoSpaceDE w:val="0"/>
              <w:autoSpaceDN w:val="0"/>
              <w:adjustRightInd w:val="0"/>
              <w:spacing w:after="0" w:line="240" w:lineRule="auto"/>
              <w:jc w:val="both"/>
              <w:rPr>
                <w:rFonts w:ascii="Times New Roman" w:eastAsia="SimSun" w:hAnsi="Times New Roman" w:cs="Times New Roman"/>
                <w:sz w:val="24"/>
                <w:szCs w:val="24"/>
                <w:lang w:eastAsia="zh-CN"/>
              </w:rPr>
            </w:pPr>
          </w:p>
        </w:tc>
      </w:tr>
    </w:tbl>
    <w:p w:rsidR="003C6AAB" w:rsidRPr="003C6AAB" w:rsidRDefault="003C6AAB" w:rsidP="003C6AAB">
      <w:pPr>
        <w:pBdr>
          <w:top w:val="single" w:sz="4" w:space="1" w:color="auto"/>
        </w:pBdr>
        <w:spacing w:line="240" w:lineRule="auto"/>
        <w:jc w:val="both"/>
        <w:rPr>
          <w:rFonts w:ascii="Times New Roman" w:eastAsia="SimSun" w:hAnsi="Times New Roman" w:cs="Times New Roman"/>
          <w:b/>
          <w:sz w:val="24"/>
          <w:szCs w:val="24"/>
          <w:lang w:eastAsia="zh-CN"/>
        </w:rPr>
      </w:pPr>
      <w:r w:rsidRPr="003C6AAB">
        <w:rPr>
          <w:rFonts w:ascii="Times New Roman" w:eastAsia="SimSun" w:hAnsi="Times New Roman" w:cs="Times New Roman"/>
          <w:b/>
          <w:sz w:val="24"/>
          <w:szCs w:val="24"/>
          <w:lang w:eastAsia="zh-CN"/>
        </w:rPr>
        <w:t>Source: Researchers’ Computation 2025</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The results from the panel OLS regression analysis (Table 3) offer additional clarity on the relationships under investigation. Audit committee independence (ACIDP) demonstrates a positive and statistically significant impact on financial reporting quality (FRQ) (β = 0.00192, t = 2.2674, p &lt; 0.05), reinforcing the argument that independent audit committees improve oversight and reduce earnings manipulation, as supported by Islam et al. (2023); </w:t>
      </w:r>
      <w:proofErr w:type="spellStart"/>
      <w:r w:rsidRPr="003C6AAB">
        <w:rPr>
          <w:rFonts w:ascii="Times New Roman" w:eastAsia="Times New Roman" w:hAnsi="Times New Roman" w:cs="Times New Roman"/>
          <w:sz w:val="24"/>
          <w:szCs w:val="24"/>
        </w:rPr>
        <w:t>Algrady</w:t>
      </w:r>
      <w:proofErr w:type="spellEnd"/>
      <w:r w:rsidRPr="003C6AAB">
        <w:rPr>
          <w:rFonts w:ascii="Times New Roman" w:eastAsia="Times New Roman" w:hAnsi="Times New Roman" w:cs="Times New Roman"/>
          <w:sz w:val="24"/>
          <w:szCs w:val="24"/>
        </w:rPr>
        <w:t xml:space="preserve"> et al. (2025); Ryu et al. (2021); Essien (2024); </w:t>
      </w:r>
      <w:proofErr w:type="spellStart"/>
      <w:r w:rsidRPr="003C6AAB">
        <w:rPr>
          <w:rFonts w:ascii="Times New Roman" w:eastAsia="Times New Roman" w:hAnsi="Times New Roman" w:cs="Times New Roman"/>
          <w:sz w:val="24"/>
          <w:szCs w:val="24"/>
        </w:rPr>
        <w:t>Komal</w:t>
      </w:r>
      <w:proofErr w:type="spellEnd"/>
      <w:r w:rsidRPr="003C6AAB">
        <w:rPr>
          <w:rFonts w:ascii="Times New Roman" w:eastAsia="Times New Roman" w:hAnsi="Times New Roman" w:cs="Times New Roman"/>
          <w:sz w:val="24"/>
          <w:szCs w:val="24"/>
        </w:rPr>
        <w:t xml:space="preserve"> et al. (2022); Safari-</w:t>
      </w:r>
      <w:proofErr w:type="spellStart"/>
      <w:r w:rsidRPr="003C6AAB">
        <w:rPr>
          <w:rFonts w:ascii="Times New Roman" w:eastAsia="Times New Roman" w:hAnsi="Times New Roman" w:cs="Times New Roman"/>
          <w:sz w:val="24"/>
          <w:szCs w:val="24"/>
        </w:rPr>
        <w:t>Gerayli</w:t>
      </w:r>
      <w:proofErr w:type="spellEnd"/>
      <w:r w:rsidRPr="003C6AAB">
        <w:rPr>
          <w:rFonts w:ascii="Times New Roman" w:eastAsia="Times New Roman" w:hAnsi="Times New Roman" w:cs="Times New Roman"/>
          <w:sz w:val="24"/>
          <w:szCs w:val="24"/>
        </w:rPr>
        <w:t xml:space="preserve"> (2021). Conversely, this outcome contrasts with the findings of </w:t>
      </w:r>
      <w:proofErr w:type="spellStart"/>
      <w:r w:rsidRPr="003C6AAB">
        <w:rPr>
          <w:rFonts w:ascii="Times New Roman" w:eastAsia="Times New Roman" w:hAnsi="Times New Roman" w:cs="Times New Roman"/>
          <w:sz w:val="24"/>
          <w:szCs w:val="24"/>
        </w:rPr>
        <w:t>Alhababsah</w:t>
      </w:r>
      <w:proofErr w:type="spellEnd"/>
      <w:r w:rsidRPr="003C6AAB">
        <w:rPr>
          <w:rFonts w:ascii="Times New Roman" w:eastAsia="Times New Roman" w:hAnsi="Times New Roman" w:cs="Times New Roman"/>
          <w:sz w:val="24"/>
          <w:szCs w:val="24"/>
        </w:rPr>
        <w:t xml:space="preserve"> (2022) and Cross and Swart (2022). Furthermore, the frequency of audit committee meetings (ACM) is negatively related to FRQ (β = –0.00779, p &gt; 0.05), although the relationship is not statistically significant. This implies that frequent meetings alone may not necessarily enhance oversight effectiveness, a view consistent with</w:t>
      </w:r>
      <w:r w:rsidRPr="003C6AAB">
        <w:rPr>
          <w:rFonts w:ascii="Calibri" w:eastAsia="SimSun" w:hAnsi="Calibri" w:cs="Times New Roman"/>
          <w:lang w:eastAsia="zh-CN"/>
        </w:rPr>
        <w:t xml:space="preserve"> </w:t>
      </w:r>
      <w:proofErr w:type="spellStart"/>
      <w:r w:rsidRPr="003C6AAB">
        <w:rPr>
          <w:rFonts w:ascii="Times New Roman" w:eastAsia="Times New Roman" w:hAnsi="Times New Roman" w:cs="Times New Roman"/>
          <w:sz w:val="24"/>
          <w:szCs w:val="24"/>
        </w:rPr>
        <w:t>Musah</w:t>
      </w:r>
      <w:proofErr w:type="spellEnd"/>
      <w:r w:rsidRPr="003C6AAB">
        <w:rPr>
          <w:rFonts w:ascii="Times New Roman" w:eastAsia="Times New Roman" w:hAnsi="Times New Roman" w:cs="Times New Roman"/>
          <w:sz w:val="24"/>
          <w:szCs w:val="24"/>
        </w:rPr>
        <w:t xml:space="preserve"> et al. (2025), but contrary to the conclusions of</w:t>
      </w:r>
      <w:r w:rsidRPr="003C6AAB">
        <w:rPr>
          <w:rFonts w:ascii="Times New Roman" w:eastAsia="SimSun" w:hAnsi="Times New Roman" w:cs="Times New Roman"/>
          <w:color w:val="222222"/>
          <w:sz w:val="24"/>
          <w:szCs w:val="24"/>
          <w:shd w:val="clear" w:color="auto" w:fill="FFFFFF"/>
          <w:lang w:eastAsia="zh-CN"/>
        </w:rPr>
        <w:t xml:space="preserve"> Okafor</w:t>
      </w:r>
      <w:r w:rsidRPr="003C6AAB">
        <w:rPr>
          <w:rFonts w:ascii="Times New Roman" w:eastAsia="SimSun" w:hAnsi="Times New Roman" w:cs="Times New Roman"/>
          <w:sz w:val="24"/>
          <w:szCs w:val="24"/>
          <w:lang w:eastAsia="zh-CN"/>
        </w:rPr>
        <w:t xml:space="preserve"> (2024); Goodwin and </w:t>
      </w:r>
      <w:proofErr w:type="spellStart"/>
      <w:r w:rsidRPr="003C6AAB">
        <w:rPr>
          <w:rFonts w:ascii="Times New Roman" w:eastAsia="SimSun" w:hAnsi="Times New Roman" w:cs="Times New Roman"/>
          <w:sz w:val="24"/>
          <w:szCs w:val="24"/>
          <w:lang w:eastAsia="zh-CN"/>
        </w:rPr>
        <w:t>Seow</w:t>
      </w:r>
      <w:proofErr w:type="spellEnd"/>
      <w:r w:rsidRPr="003C6AAB">
        <w:rPr>
          <w:rFonts w:ascii="Times New Roman" w:eastAsia="SimSun" w:hAnsi="Times New Roman" w:cs="Times New Roman"/>
          <w:sz w:val="24"/>
          <w:szCs w:val="24"/>
          <w:lang w:eastAsia="zh-CN"/>
        </w:rPr>
        <w:t xml:space="preserve"> (2022); Ismail et al. (2022</w:t>
      </w:r>
      <w:r w:rsidRPr="003C6AAB">
        <w:rPr>
          <w:rFonts w:ascii="Times New Roman" w:eastAsia="Times New Roman" w:hAnsi="Times New Roman" w:cs="Times New Roman"/>
          <w:sz w:val="24"/>
          <w:szCs w:val="24"/>
        </w:rPr>
        <w:t xml:space="preserve">). Regarding audit committee size (ACSIZ), the analysis reveals a statistically significant negative relationship with FRQ (β = 0.05131, p &lt; 0.05), suggesting that excessively large committees might impair accountability and delay decision-making processes. This finding aligns with the studies by </w:t>
      </w:r>
      <w:proofErr w:type="spellStart"/>
      <w:r w:rsidRPr="003C6AAB">
        <w:rPr>
          <w:rFonts w:ascii="Times New Roman" w:eastAsia="Times New Roman" w:hAnsi="Times New Roman" w:cs="Times New Roman"/>
          <w:sz w:val="24"/>
          <w:szCs w:val="24"/>
        </w:rPr>
        <w:t>Onmonya</w:t>
      </w:r>
      <w:proofErr w:type="spellEnd"/>
      <w:r w:rsidRPr="003C6AAB">
        <w:rPr>
          <w:rFonts w:ascii="Times New Roman" w:eastAsia="Times New Roman" w:hAnsi="Times New Roman" w:cs="Times New Roman"/>
          <w:sz w:val="24"/>
          <w:szCs w:val="24"/>
        </w:rPr>
        <w:t xml:space="preserve"> and </w:t>
      </w:r>
      <w:proofErr w:type="spellStart"/>
      <w:r w:rsidRPr="003C6AAB">
        <w:rPr>
          <w:rFonts w:ascii="Times New Roman" w:eastAsia="Times New Roman" w:hAnsi="Times New Roman" w:cs="Times New Roman"/>
          <w:sz w:val="24"/>
          <w:szCs w:val="24"/>
        </w:rPr>
        <w:t>Ebire</w:t>
      </w:r>
      <w:proofErr w:type="spellEnd"/>
      <w:r w:rsidRPr="003C6AAB">
        <w:rPr>
          <w:rFonts w:ascii="Times New Roman" w:eastAsia="Times New Roman" w:hAnsi="Times New Roman" w:cs="Times New Roman"/>
          <w:sz w:val="24"/>
          <w:szCs w:val="24"/>
        </w:rPr>
        <w:t xml:space="preserve"> (2023) although it contradicts the </w:t>
      </w:r>
      <w:proofErr w:type="gramStart"/>
      <w:r w:rsidRPr="003C6AAB">
        <w:rPr>
          <w:rFonts w:ascii="Times New Roman" w:eastAsia="Times New Roman" w:hAnsi="Times New Roman" w:cs="Times New Roman"/>
          <w:sz w:val="24"/>
          <w:szCs w:val="24"/>
        </w:rPr>
        <w:t xml:space="preserve">outcome  </w:t>
      </w:r>
      <w:proofErr w:type="spellStart"/>
      <w:r w:rsidRPr="003C6AAB">
        <w:rPr>
          <w:rFonts w:ascii="Times New Roman" w:eastAsia="Times New Roman" w:hAnsi="Times New Roman" w:cs="Times New Roman"/>
          <w:sz w:val="24"/>
          <w:szCs w:val="24"/>
        </w:rPr>
        <w:t>Benichou</w:t>
      </w:r>
      <w:proofErr w:type="spellEnd"/>
      <w:proofErr w:type="gramEnd"/>
      <w:r w:rsidRPr="003C6AAB">
        <w:rPr>
          <w:rFonts w:ascii="Times New Roman" w:eastAsia="Times New Roman" w:hAnsi="Times New Roman" w:cs="Times New Roman"/>
          <w:sz w:val="24"/>
          <w:szCs w:val="24"/>
        </w:rPr>
        <w:t xml:space="preserve"> (2024); </w:t>
      </w:r>
      <w:proofErr w:type="spellStart"/>
      <w:r w:rsidRPr="003C6AAB">
        <w:rPr>
          <w:rFonts w:ascii="Times New Roman" w:eastAsia="Times New Roman" w:hAnsi="Times New Roman" w:cs="Times New Roman"/>
          <w:sz w:val="24"/>
          <w:szCs w:val="24"/>
        </w:rPr>
        <w:t>Asri</w:t>
      </w:r>
      <w:proofErr w:type="spellEnd"/>
      <w:r w:rsidRPr="003C6AAB">
        <w:rPr>
          <w:rFonts w:ascii="Times New Roman" w:eastAsia="Times New Roman" w:hAnsi="Times New Roman" w:cs="Times New Roman"/>
          <w:sz w:val="24"/>
          <w:szCs w:val="24"/>
        </w:rPr>
        <w:t>, (2024), ;Agyei-Mensah (2022).</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lastRenderedPageBreak/>
        <w:t>The findings of study reveal that Firm size (OGCSIZE) (β = 0.27492, p &lt; 0.05) has statistically significant positive relationships with FRQ while leverage (OGLEV) (β = 0.00021, p &gt; 0.05) has statistically insignificant positive relationships with FRQ, implying that structural characteristics alone may not be strong drivers of reporting quality in the oil and gas industry. Overall, the evidence underscores audit committee independence as the most influential factor in ensuring high-quality financial reporting, while also pointing out the drawbacks of large committee size and the limited contribution of meeting frequency. These findings provide a useful basis for discussing governance mechanisms that can strengthen transparency and accountability within Nigeria’s oil and gas sector.</w:t>
      </w:r>
    </w:p>
    <w:p w:rsidR="003C6AAB" w:rsidRPr="003C6AAB" w:rsidRDefault="003C6AAB" w:rsidP="003C6AA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AAB">
        <w:rPr>
          <w:rFonts w:ascii="Times New Roman" w:eastAsia="Times New Roman" w:hAnsi="Times New Roman" w:cs="Times New Roman"/>
          <w:b/>
          <w:bCs/>
          <w:sz w:val="24"/>
          <w:szCs w:val="24"/>
        </w:rPr>
        <w:t>5. Conclusion and Recommendations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This study assessed how audit committee attributes specifically independence, size, and meeting frequency affect the financial reporting quality of Nigerian oil and gas firms. The findings emphasize that independence plays a pivotal role in promoting credible and trustworthy financial disclosures, underscoring its importance as a governance mechanism. By contrast, the effects of meeting frequency was less consistent, indicating that structural and procedural features alone may not be sufficient to enhance reporting outcomes. Given the oil and gas sector’s strategic relevance and the high level of regulatory scrutiny it faces, strengthening audit committee performance is critical for improving transparency, safeguarding investor confidence, and ensuring long-term corporate sustainability.</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Accordingly, the study recommends that regulatory bodies such as the Financial Reporting Council of Nigeria (FRCN) and the Nigerian Exchange Group (NGX) intensify oversight and enforcement of governance provisions, particularly those addressing audit committee structure and responsibilities. In addition, firms should focus on appointing committee members with strong financial expertise and industry-specific knowledge to provide effective oversight of the sector’s complex reporting obligations.</w:t>
      </w:r>
    </w:p>
    <w:p w:rsidR="003C6AAB" w:rsidRPr="003C6AAB" w:rsidRDefault="003C6AAB" w:rsidP="003C6AAB">
      <w:pPr>
        <w:spacing w:before="100" w:beforeAutospacing="1" w:after="100" w:afterAutospacing="1" w:line="360" w:lineRule="auto"/>
        <w:jc w:val="both"/>
        <w:rPr>
          <w:rFonts w:ascii="Times New Roman" w:eastAsia="Times New Roman" w:hAnsi="Times New Roman" w:cs="Times New Roman"/>
          <w:sz w:val="24"/>
          <w:szCs w:val="24"/>
        </w:rPr>
      </w:pPr>
      <w:r w:rsidRPr="003C6AAB">
        <w:rPr>
          <w:rFonts w:ascii="Times New Roman" w:eastAsia="Times New Roman" w:hAnsi="Times New Roman" w:cs="Times New Roman"/>
          <w:sz w:val="24"/>
          <w:szCs w:val="24"/>
        </w:rPr>
        <w:t xml:space="preserve">Although the findings offer valuable insights, this research is not without limitations. Expanding the scope to include other industries in Nigeria could provide a broader perspective on sector-specific governance challenges. Additionally, extending the time horizon of future studies may </w:t>
      </w:r>
      <w:r w:rsidRPr="003C6AAB">
        <w:rPr>
          <w:rFonts w:ascii="Times New Roman" w:eastAsia="Times New Roman" w:hAnsi="Times New Roman" w:cs="Times New Roman"/>
          <w:sz w:val="24"/>
          <w:szCs w:val="24"/>
        </w:rPr>
        <w:lastRenderedPageBreak/>
        <w:t>capture the impact of evolving audit committee practices on reporting quality, thereby offering deeper understanding of governance effectiveness in changing economic contexts.</w:t>
      </w:r>
    </w:p>
    <w:p w:rsidR="00D6339B" w:rsidRDefault="00D6339B" w:rsidP="00D6339B">
      <w:r>
        <w:t>Disclaimer (Artificial intelligence)</w:t>
      </w:r>
    </w:p>
    <w:p w:rsidR="00D6339B" w:rsidRDefault="00D6339B" w:rsidP="00D6339B">
      <w:r>
        <w:t xml:space="preserve">Option 1: </w:t>
      </w:r>
    </w:p>
    <w:p w:rsidR="00D6339B" w:rsidRDefault="00D6339B" w:rsidP="00D6339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6339B" w:rsidRDefault="00D6339B" w:rsidP="00D6339B">
      <w:r>
        <w:t xml:space="preserve">Option 2: </w:t>
      </w:r>
    </w:p>
    <w:p w:rsidR="00D6339B" w:rsidRDefault="00D6339B" w:rsidP="00D6339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6339B" w:rsidRDefault="00D6339B" w:rsidP="00D6339B">
      <w:r>
        <w:t>Details of the AI usage are given below:</w:t>
      </w:r>
    </w:p>
    <w:p w:rsidR="00D6339B" w:rsidRDefault="00D6339B" w:rsidP="00D6339B">
      <w:r>
        <w:t>1.</w:t>
      </w:r>
    </w:p>
    <w:p w:rsidR="00D6339B" w:rsidRDefault="00D6339B" w:rsidP="00D6339B">
      <w:r>
        <w:t>2.</w:t>
      </w:r>
    </w:p>
    <w:p w:rsidR="00D6339B" w:rsidRPr="00D047BB" w:rsidRDefault="00D6339B" w:rsidP="00D6339B">
      <w:r>
        <w:t>3.</w:t>
      </w:r>
    </w:p>
    <w:p w:rsidR="00D6339B" w:rsidRPr="0063354D" w:rsidRDefault="00D6339B" w:rsidP="00D6339B"/>
    <w:p w:rsidR="00D6339B" w:rsidRPr="00F7241A" w:rsidRDefault="00D6339B" w:rsidP="00D6339B"/>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
    <w:p w:rsidR="00D6339B" w:rsidRDefault="00D6339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3C6AAB" w:rsidRPr="003C6AAB" w:rsidRDefault="003C6AAB" w:rsidP="003C6AAB">
      <w:pPr>
        <w:spacing w:line="240" w:lineRule="auto"/>
        <w:ind w:left="785" w:hangingChars="327" w:hanging="785"/>
        <w:jc w:val="both"/>
        <w:rPr>
          <w:rFonts w:ascii="Times New Roman" w:hAnsi="Times New Roman" w:cs="Times New Roman"/>
          <w:sz w:val="24"/>
          <w:szCs w:val="24"/>
        </w:rPr>
      </w:pPr>
      <w:bookmarkStart w:id="0" w:name="_GoBack"/>
      <w:bookmarkEnd w:id="0"/>
      <w:r w:rsidRPr="003C6AAB">
        <w:rPr>
          <w:rFonts w:ascii="Times New Roman" w:hAnsi="Times New Roman" w:cs="Times New Roman"/>
          <w:color w:val="222222"/>
          <w:sz w:val="24"/>
          <w:szCs w:val="24"/>
          <w:shd w:val="clear" w:color="auto" w:fill="FFFFFF"/>
        </w:rPr>
        <w:t>Agyei-Mensah, B. K. (2022). Impact of audit committee attributes on financial reporting quality and timeliness: an empirical study. </w:t>
      </w:r>
      <w:r w:rsidRPr="003C6AAB">
        <w:rPr>
          <w:rFonts w:ascii="Times New Roman" w:hAnsi="Times New Roman" w:cs="Times New Roman"/>
          <w:i/>
          <w:iCs/>
          <w:color w:val="222222"/>
          <w:sz w:val="24"/>
          <w:szCs w:val="24"/>
          <w:shd w:val="clear" w:color="auto" w:fill="FFFFFF"/>
        </w:rPr>
        <w:t>Afro-Asian journal of finance and accounting</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12</w:t>
      </w:r>
      <w:r w:rsidRPr="003C6AAB">
        <w:rPr>
          <w:rFonts w:ascii="Times New Roman" w:hAnsi="Times New Roman" w:cs="Times New Roman"/>
          <w:color w:val="222222"/>
          <w:sz w:val="24"/>
          <w:szCs w:val="24"/>
          <w:shd w:val="clear" w:color="auto" w:fill="FFFFFF"/>
        </w:rPr>
        <w:t>(1), 82-104.</w:t>
      </w:r>
    </w:p>
    <w:p w:rsidR="003C6AAB" w:rsidRPr="003C6AAB" w:rsidRDefault="003C6AAB" w:rsidP="003C6AAB">
      <w:pPr>
        <w:spacing w:line="240" w:lineRule="auto"/>
        <w:ind w:left="785" w:hangingChars="327" w:hanging="785"/>
        <w:jc w:val="both"/>
        <w:rPr>
          <w:rFonts w:ascii="Times New Roman" w:hAnsi="Times New Roman" w:cs="Times New Roman"/>
          <w:sz w:val="24"/>
          <w:szCs w:val="24"/>
        </w:rPr>
      </w:pPr>
      <w:r w:rsidRPr="003C6AAB">
        <w:rPr>
          <w:rFonts w:ascii="Times New Roman" w:hAnsi="Times New Roman" w:cs="Times New Roman"/>
          <w:color w:val="222222"/>
          <w:sz w:val="24"/>
          <w:szCs w:val="24"/>
          <w:shd w:val="clear" w:color="auto" w:fill="FFFFFF"/>
        </w:rPr>
        <w:t>Agyemang, J. K. (2020). The relationship between audit committee characteristics and financial performance of listed banks in Ghana. </w:t>
      </w:r>
      <w:r w:rsidRPr="003C6AAB">
        <w:rPr>
          <w:rFonts w:ascii="Times New Roman" w:hAnsi="Times New Roman" w:cs="Times New Roman"/>
          <w:i/>
          <w:iCs/>
          <w:color w:val="222222"/>
          <w:sz w:val="24"/>
          <w:szCs w:val="24"/>
          <w:shd w:val="clear" w:color="auto" w:fill="FFFFFF"/>
        </w:rPr>
        <w:t>Research Journal of Finance and Accounting</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11</w:t>
      </w:r>
      <w:r w:rsidRPr="003C6AAB">
        <w:rPr>
          <w:rFonts w:ascii="Times New Roman" w:hAnsi="Times New Roman" w:cs="Times New Roman"/>
          <w:color w:val="222222"/>
          <w:sz w:val="24"/>
          <w:szCs w:val="24"/>
          <w:shd w:val="clear" w:color="auto" w:fill="FFFFFF"/>
        </w:rPr>
        <w:t>(2), 145-166.</w:t>
      </w:r>
    </w:p>
    <w:p w:rsidR="003C6AAB" w:rsidRPr="003C6AAB" w:rsidRDefault="003C6AAB" w:rsidP="003C6AAB">
      <w:pPr>
        <w:spacing w:line="240" w:lineRule="auto"/>
        <w:ind w:left="785" w:hangingChars="327" w:hanging="785"/>
        <w:jc w:val="both"/>
        <w:rPr>
          <w:rFonts w:ascii="Times New Roman" w:hAnsi="Times New Roman" w:cs="Times New Roman"/>
          <w:sz w:val="24"/>
          <w:szCs w:val="24"/>
        </w:rPr>
      </w:pPr>
      <w:proofErr w:type="spellStart"/>
      <w:r w:rsidRPr="003C6AAB">
        <w:rPr>
          <w:rFonts w:ascii="Times New Roman" w:hAnsi="Times New Roman" w:cs="Times New Roman"/>
          <w:color w:val="222222"/>
          <w:sz w:val="24"/>
          <w:szCs w:val="24"/>
          <w:shd w:val="clear" w:color="auto" w:fill="FFFFFF"/>
        </w:rPr>
        <w:t>Aigienohuwa</w:t>
      </w:r>
      <w:proofErr w:type="spellEnd"/>
      <w:r w:rsidRPr="003C6AAB">
        <w:rPr>
          <w:rFonts w:ascii="Times New Roman" w:hAnsi="Times New Roman" w:cs="Times New Roman"/>
          <w:color w:val="222222"/>
          <w:sz w:val="24"/>
          <w:szCs w:val="24"/>
          <w:shd w:val="clear" w:color="auto" w:fill="FFFFFF"/>
        </w:rPr>
        <w:t xml:space="preserve">, O., &amp; </w:t>
      </w:r>
      <w:proofErr w:type="spellStart"/>
      <w:r w:rsidRPr="003C6AAB">
        <w:rPr>
          <w:rFonts w:ascii="Times New Roman" w:hAnsi="Times New Roman" w:cs="Times New Roman"/>
          <w:color w:val="222222"/>
          <w:sz w:val="24"/>
          <w:szCs w:val="24"/>
          <w:shd w:val="clear" w:color="auto" w:fill="FFFFFF"/>
        </w:rPr>
        <w:t>Irowa-Omoregie</w:t>
      </w:r>
      <w:proofErr w:type="spellEnd"/>
      <w:r w:rsidRPr="003C6AAB">
        <w:rPr>
          <w:rFonts w:ascii="Times New Roman" w:hAnsi="Times New Roman" w:cs="Times New Roman"/>
          <w:color w:val="222222"/>
          <w:sz w:val="24"/>
          <w:szCs w:val="24"/>
          <w:shd w:val="clear" w:color="auto" w:fill="FFFFFF"/>
        </w:rPr>
        <w:t>, O. (2025). Optimizing scale efficiency: examining audit committee size and diligence in Nigerian manufacturing firms. </w:t>
      </w:r>
      <w:r w:rsidRPr="003C6AAB">
        <w:rPr>
          <w:rFonts w:ascii="Times New Roman" w:hAnsi="Times New Roman" w:cs="Times New Roman"/>
          <w:i/>
          <w:iCs/>
          <w:color w:val="222222"/>
          <w:sz w:val="24"/>
          <w:szCs w:val="24"/>
          <w:shd w:val="clear" w:color="auto" w:fill="FFFFFF"/>
        </w:rPr>
        <w:t>UMYU Journal of Accounting and Finance Research</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8</w:t>
      </w:r>
      <w:r w:rsidRPr="003C6AAB">
        <w:rPr>
          <w:rFonts w:ascii="Times New Roman" w:hAnsi="Times New Roman" w:cs="Times New Roman"/>
          <w:color w:val="222222"/>
          <w:sz w:val="24"/>
          <w:szCs w:val="24"/>
          <w:shd w:val="clear" w:color="auto" w:fill="FFFFFF"/>
        </w:rPr>
        <w:t>(1), 113-126.</w:t>
      </w:r>
    </w:p>
    <w:p w:rsidR="003C6AAB" w:rsidRPr="003C6AAB" w:rsidRDefault="003C6AAB" w:rsidP="003C6AAB">
      <w:pPr>
        <w:pStyle w:val="NormalWeb"/>
        <w:ind w:left="785" w:hangingChars="327" w:hanging="785"/>
        <w:jc w:val="both"/>
        <w:rPr>
          <w:color w:val="222222"/>
          <w:shd w:val="clear" w:color="auto" w:fill="FFFFFF"/>
        </w:rPr>
      </w:pPr>
      <w:proofErr w:type="spellStart"/>
      <w:r w:rsidRPr="003C6AAB">
        <w:rPr>
          <w:color w:val="222222"/>
          <w:shd w:val="clear" w:color="auto" w:fill="FFFFFF"/>
        </w:rPr>
        <w:lastRenderedPageBreak/>
        <w:t>Algrady</w:t>
      </w:r>
      <w:proofErr w:type="spellEnd"/>
      <w:r w:rsidRPr="003C6AAB">
        <w:rPr>
          <w:color w:val="222222"/>
          <w:shd w:val="clear" w:color="auto" w:fill="FFFFFF"/>
        </w:rPr>
        <w:t>, S. M., Huang, R., &amp; Al-</w:t>
      </w:r>
      <w:proofErr w:type="spellStart"/>
      <w:r w:rsidRPr="003C6AAB">
        <w:rPr>
          <w:color w:val="222222"/>
          <w:shd w:val="clear" w:color="auto" w:fill="FFFFFF"/>
        </w:rPr>
        <w:t>Matari</w:t>
      </w:r>
      <w:proofErr w:type="spellEnd"/>
      <w:r w:rsidRPr="003C6AAB">
        <w:rPr>
          <w:color w:val="222222"/>
          <w:shd w:val="clear" w:color="auto" w:fill="FFFFFF"/>
        </w:rPr>
        <w:t xml:space="preserve">, E. M. (2025). How do audit committee characteristics affect the quality of financial information? Evidence </w:t>
      </w:r>
      <w:proofErr w:type="gramStart"/>
      <w:r w:rsidRPr="003C6AAB">
        <w:rPr>
          <w:color w:val="222222"/>
          <w:shd w:val="clear" w:color="auto" w:fill="FFFFFF"/>
        </w:rPr>
        <w:t>From</w:t>
      </w:r>
      <w:proofErr w:type="gramEnd"/>
      <w:r w:rsidRPr="003C6AAB">
        <w:rPr>
          <w:color w:val="222222"/>
          <w:shd w:val="clear" w:color="auto" w:fill="FFFFFF"/>
        </w:rPr>
        <w:t xml:space="preserve"> Saudi Arabia and United Arab Emirates Companies. </w:t>
      </w:r>
      <w:r w:rsidRPr="003C6AAB">
        <w:rPr>
          <w:i/>
          <w:iCs/>
          <w:color w:val="222222"/>
          <w:shd w:val="clear" w:color="auto" w:fill="FFFFFF"/>
        </w:rPr>
        <w:t>SAGE Open</w:t>
      </w:r>
      <w:r w:rsidRPr="003C6AAB">
        <w:rPr>
          <w:color w:val="222222"/>
          <w:shd w:val="clear" w:color="auto" w:fill="FFFFFF"/>
        </w:rPr>
        <w:t>, </w:t>
      </w:r>
      <w:r w:rsidRPr="003C6AAB">
        <w:rPr>
          <w:i/>
          <w:iCs/>
          <w:color w:val="222222"/>
          <w:shd w:val="clear" w:color="auto" w:fill="FFFFFF"/>
        </w:rPr>
        <w:t>15</w:t>
      </w:r>
      <w:r w:rsidRPr="003C6AAB">
        <w:rPr>
          <w:color w:val="222222"/>
          <w:shd w:val="clear" w:color="auto" w:fill="FFFFFF"/>
        </w:rPr>
        <w:t>(2), 21582440251317803.</w:t>
      </w:r>
    </w:p>
    <w:p w:rsidR="003C6AAB" w:rsidRPr="003C6AAB" w:rsidRDefault="003C6AAB" w:rsidP="003C6AAB">
      <w:pPr>
        <w:pStyle w:val="NormalWeb"/>
        <w:ind w:left="785" w:hangingChars="327" w:hanging="785"/>
        <w:jc w:val="both"/>
        <w:rPr>
          <w:color w:val="222222"/>
          <w:shd w:val="clear" w:color="auto" w:fill="FFFFFF"/>
        </w:rPr>
      </w:pPr>
      <w:r w:rsidRPr="003C6AAB">
        <w:rPr>
          <w:color w:val="222222"/>
          <w:shd w:val="clear" w:color="auto" w:fill="FFFFFF"/>
        </w:rPr>
        <w:t xml:space="preserve">Ali, M. H., &amp; </w:t>
      </w:r>
      <w:proofErr w:type="spellStart"/>
      <w:r w:rsidRPr="003C6AAB">
        <w:rPr>
          <w:color w:val="222222"/>
          <w:shd w:val="clear" w:color="auto" w:fill="FFFFFF"/>
        </w:rPr>
        <w:t>Meah</w:t>
      </w:r>
      <w:proofErr w:type="spellEnd"/>
      <w:r w:rsidRPr="003C6AAB">
        <w:rPr>
          <w:color w:val="222222"/>
          <w:shd w:val="clear" w:color="auto" w:fill="FFFFFF"/>
        </w:rPr>
        <w:t>, M. R. (2021). Factors of audit committee independence: an empirical study from an emerging economy. </w:t>
      </w:r>
      <w:r w:rsidRPr="003C6AAB">
        <w:rPr>
          <w:i/>
          <w:iCs/>
          <w:color w:val="222222"/>
          <w:shd w:val="clear" w:color="auto" w:fill="FFFFFF"/>
        </w:rPr>
        <w:t>Cogent Business &amp; Management</w:t>
      </w:r>
      <w:r w:rsidRPr="003C6AAB">
        <w:rPr>
          <w:color w:val="222222"/>
          <w:shd w:val="clear" w:color="auto" w:fill="FFFFFF"/>
        </w:rPr>
        <w:t>, </w:t>
      </w:r>
      <w:r w:rsidRPr="003C6AAB">
        <w:rPr>
          <w:i/>
          <w:iCs/>
          <w:color w:val="222222"/>
          <w:shd w:val="clear" w:color="auto" w:fill="FFFFFF"/>
        </w:rPr>
        <w:t>8</w:t>
      </w:r>
      <w:r w:rsidRPr="003C6AAB">
        <w:rPr>
          <w:color w:val="222222"/>
          <w:shd w:val="clear" w:color="auto" w:fill="FFFFFF"/>
        </w:rPr>
        <w:t>(1), 1888678.</w:t>
      </w:r>
    </w:p>
    <w:p w:rsidR="003C6AAB" w:rsidRPr="003C6AAB" w:rsidRDefault="003C6AAB" w:rsidP="003C6AAB">
      <w:pPr>
        <w:pStyle w:val="NormalWeb"/>
        <w:ind w:left="785" w:hangingChars="327" w:hanging="785"/>
        <w:jc w:val="both"/>
        <w:rPr>
          <w:rStyle w:val="Strong"/>
          <w:b w:val="0"/>
        </w:rPr>
      </w:pPr>
      <w:proofErr w:type="spellStart"/>
      <w:r w:rsidRPr="003C6AAB">
        <w:rPr>
          <w:color w:val="222222"/>
          <w:shd w:val="clear" w:color="auto" w:fill="FFFFFF"/>
        </w:rPr>
        <w:t>Alhababsah</w:t>
      </w:r>
      <w:proofErr w:type="spellEnd"/>
      <w:r w:rsidRPr="003C6AAB">
        <w:rPr>
          <w:color w:val="222222"/>
          <w:shd w:val="clear" w:color="auto" w:fill="FFFFFF"/>
        </w:rPr>
        <w:t>, S. (2022). Audit committees’ oversight role in developing countries: evidence from Jordan. </w:t>
      </w:r>
      <w:r w:rsidRPr="003C6AAB">
        <w:rPr>
          <w:i/>
          <w:iCs/>
          <w:color w:val="222222"/>
          <w:shd w:val="clear" w:color="auto" w:fill="FFFFFF"/>
        </w:rPr>
        <w:t>Corporate Governance: The International Journal of Business in Society</w:t>
      </w:r>
      <w:r w:rsidRPr="003C6AAB">
        <w:rPr>
          <w:color w:val="222222"/>
          <w:shd w:val="clear" w:color="auto" w:fill="FFFFFF"/>
        </w:rPr>
        <w:t>, </w:t>
      </w:r>
      <w:r w:rsidRPr="003C6AAB">
        <w:rPr>
          <w:i/>
          <w:iCs/>
          <w:color w:val="222222"/>
          <w:shd w:val="clear" w:color="auto" w:fill="FFFFFF"/>
        </w:rPr>
        <w:t>22</w:t>
      </w:r>
      <w:r w:rsidRPr="003C6AAB">
        <w:rPr>
          <w:color w:val="222222"/>
          <w:shd w:val="clear" w:color="auto" w:fill="FFFFFF"/>
        </w:rPr>
        <w:t>(6), 1275-1292.</w:t>
      </w:r>
    </w:p>
    <w:p w:rsidR="003C6AAB" w:rsidRPr="003C6AAB" w:rsidRDefault="003C6AAB" w:rsidP="003C6AAB">
      <w:pPr>
        <w:pStyle w:val="NormalWeb"/>
        <w:ind w:left="785" w:hangingChars="327" w:hanging="785"/>
        <w:jc w:val="both"/>
      </w:pPr>
      <w:proofErr w:type="spellStart"/>
      <w:r w:rsidRPr="003C6AAB">
        <w:rPr>
          <w:rStyle w:val="Strong"/>
          <w:b w:val="0"/>
        </w:rPr>
        <w:t>Alqatamin</w:t>
      </w:r>
      <w:proofErr w:type="spellEnd"/>
      <w:r w:rsidRPr="003C6AAB">
        <w:rPr>
          <w:rStyle w:val="Strong"/>
          <w:b w:val="0"/>
        </w:rPr>
        <w:t xml:space="preserve">, D. A., &amp; </w:t>
      </w:r>
      <w:proofErr w:type="spellStart"/>
      <w:r w:rsidRPr="003C6AAB">
        <w:rPr>
          <w:rStyle w:val="Strong"/>
          <w:b w:val="0"/>
        </w:rPr>
        <w:t>Alqatamin</w:t>
      </w:r>
      <w:proofErr w:type="spellEnd"/>
      <w:r w:rsidRPr="003C6AAB">
        <w:rPr>
          <w:rStyle w:val="Strong"/>
          <w:b w:val="0"/>
        </w:rPr>
        <w:t>, R. M.</w:t>
      </w:r>
      <w:r w:rsidRPr="003C6AAB">
        <w:t xml:space="preserve"> (2024). Audit committee characteristics and financial reporting quality: Evidence from the emerging market. </w:t>
      </w:r>
      <w:r w:rsidRPr="003C6AAB">
        <w:rPr>
          <w:rStyle w:val="Emphasis"/>
        </w:rPr>
        <w:t>Risk Governance and Control: Financial Markets &amp; Institutions, 14</w:t>
      </w:r>
      <w:r w:rsidRPr="003C6AAB">
        <w:t xml:space="preserve">(3), 86–95. </w:t>
      </w:r>
      <w:hyperlink r:id="rId4" w:tgtFrame="_new" w:history="1">
        <w:r w:rsidRPr="003C6AAB">
          <w:rPr>
            <w:rStyle w:val="Hyperlink"/>
            <w:rFonts w:eastAsiaTheme="majorEastAsia"/>
          </w:rPr>
          <w:t>https://doi.org/10.22495/rgcv14i3p9</w:t>
        </w:r>
      </w:hyperlink>
      <w:r w:rsidRPr="003C6AAB">
        <w:t xml:space="preserve"> </w:t>
      </w:r>
    </w:p>
    <w:p w:rsidR="003C6AAB" w:rsidRPr="003C6AAB" w:rsidRDefault="003C6AAB" w:rsidP="003C6AAB">
      <w:pPr>
        <w:spacing w:line="240" w:lineRule="auto"/>
        <w:ind w:left="785" w:hangingChars="327" w:hanging="785"/>
        <w:jc w:val="both"/>
        <w:rPr>
          <w:rFonts w:ascii="Times New Roman" w:hAnsi="Times New Roman" w:cs="Times New Roman"/>
          <w:sz w:val="24"/>
          <w:szCs w:val="24"/>
        </w:rPr>
      </w:pPr>
      <w:r w:rsidRPr="003C6AAB">
        <w:rPr>
          <w:rFonts w:ascii="Times New Roman" w:hAnsi="Times New Roman" w:cs="Times New Roman"/>
          <w:sz w:val="24"/>
          <w:szCs w:val="24"/>
        </w:rPr>
        <w:t xml:space="preserve">Aly, D. A. R. M., Hasan, A., </w:t>
      </w:r>
      <w:proofErr w:type="spellStart"/>
      <w:r w:rsidRPr="003C6AAB">
        <w:rPr>
          <w:rFonts w:ascii="Times New Roman" w:hAnsi="Times New Roman" w:cs="Times New Roman"/>
          <w:sz w:val="24"/>
          <w:szCs w:val="24"/>
        </w:rPr>
        <w:t>Obioru</w:t>
      </w:r>
      <w:proofErr w:type="spellEnd"/>
      <w:r w:rsidRPr="003C6AAB">
        <w:rPr>
          <w:rFonts w:ascii="Times New Roman" w:hAnsi="Times New Roman" w:cs="Times New Roman"/>
          <w:sz w:val="24"/>
          <w:szCs w:val="24"/>
        </w:rPr>
        <w:t xml:space="preserve">, B., &amp; </w:t>
      </w:r>
      <w:proofErr w:type="spellStart"/>
      <w:r w:rsidRPr="003C6AAB">
        <w:rPr>
          <w:rFonts w:ascii="Times New Roman" w:hAnsi="Times New Roman" w:cs="Times New Roman"/>
          <w:sz w:val="24"/>
          <w:szCs w:val="24"/>
        </w:rPr>
        <w:t>Nakpodia</w:t>
      </w:r>
      <w:proofErr w:type="spellEnd"/>
      <w:r w:rsidRPr="003C6AAB">
        <w:rPr>
          <w:rFonts w:ascii="Times New Roman" w:hAnsi="Times New Roman" w:cs="Times New Roman"/>
          <w:sz w:val="24"/>
          <w:szCs w:val="24"/>
        </w:rPr>
        <w:t xml:space="preserve">, F. (2024). Corporate governance and environmental disclosure: A comparative analysis. </w:t>
      </w:r>
      <w:r w:rsidRPr="003C6AAB">
        <w:rPr>
          <w:rFonts w:ascii="Times New Roman" w:hAnsi="Times New Roman" w:cs="Times New Roman"/>
          <w:i/>
          <w:sz w:val="24"/>
          <w:szCs w:val="24"/>
        </w:rPr>
        <w:t>Corporate Governance: The International Journal of Business in Society</w:t>
      </w:r>
      <w:r w:rsidRPr="003C6AAB">
        <w:rPr>
          <w:rFonts w:ascii="Times New Roman" w:hAnsi="Times New Roman" w:cs="Times New Roman"/>
          <w:sz w:val="24"/>
          <w:szCs w:val="24"/>
        </w:rPr>
        <w:t>, 24(8), 210-236.</w:t>
      </w:r>
    </w:p>
    <w:p w:rsidR="003C6AAB" w:rsidRPr="003C6AAB" w:rsidRDefault="003C6AAB" w:rsidP="003C6AAB">
      <w:pPr>
        <w:spacing w:line="240" w:lineRule="auto"/>
        <w:ind w:left="785" w:hangingChars="327" w:hanging="785"/>
        <w:jc w:val="both"/>
        <w:rPr>
          <w:rFonts w:ascii="Times New Roman" w:hAnsi="Times New Roman" w:cs="Times New Roman"/>
          <w:sz w:val="24"/>
          <w:szCs w:val="24"/>
        </w:rPr>
      </w:pPr>
      <w:proofErr w:type="spellStart"/>
      <w:r w:rsidRPr="003C6AAB">
        <w:rPr>
          <w:rFonts w:ascii="Times New Roman" w:hAnsi="Times New Roman" w:cs="Times New Roman"/>
          <w:color w:val="222222"/>
          <w:sz w:val="24"/>
          <w:szCs w:val="24"/>
          <w:shd w:val="clear" w:color="auto" w:fill="FFFFFF"/>
        </w:rPr>
        <w:t>Asri</w:t>
      </w:r>
      <w:proofErr w:type="spellEnd"/>
      <w:r w:rsidRPr="003C6AAB">
        <w:rPr>
          <w:rFonts w:ascii="Times New Roman" w:hAnsi="Times New Roman" w:cs="Times New Roman"/>
          <w:color w:val="222222"/>
          <w:sz w:val="24"/>
          <w:szCs w:val="24"/>
          <w:shd w:val="clear" w:color="auto" w:fill="FFFFFF"/>
        </w:rPr>
        <w:t>, M. (2024). Exploring the impact of committee structure and composition on corporate governance practices. </w:t>
      </w:r>
      <w:r w:rsidRPr="003C6AAB">
        <w:rPr>
          <w:rFonts w:ascii="Times New Roman" w:hAnsi="Times New Roman" w:cs="Times New Roman"/>
          <w:i/>
          <w:iCs/>
          <w:color w:val="222222"/>
          <w:sz w:val="24"/>
          <w:szCs w:val="24"/>
          <w:shd w:val="clear" w:color="auto" w:fill="FFFFFF"/>
        </w:rPr>
        <w:t>Advances in Managerial Auditing Research</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2</w:t>
      </w:r>
      <w:r w:rsidRPr="003C6AAB">
        <w:rPr>
          <w:rFonts w:ascii="Times New Roman" w:hAnsi="Times New Roman" w:cs="Times New Roman"/>
          <w:color w:val="222222"/>
          <w:sz w:val="24"/>
          <w:szCs w:val="24"/>
          <w:shd w:val="clear" w:color="auto" w:fill="FFFFFF"/>
        </w:rPr>
        <w:t>(1), 26-39.</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Bako, P. M. (2024). Audit committee attributes, audit quality and performance of oil and gas companies. </w:t>
      </w:r>
      <w:r w:rsidRPr="003C6AAB">
        <w:rPr>
          <w:rFonts w:ascii="Times New Roman" w:hAnsi="Times New Roman" w:cs="Times New Roman"/>
          <w:i/>
          <w:iCs/>
          <w:color w:val="222222"/>
          <w:sz w:val="24"/>
          <w:szCs w:val="24"/>
          <w:shd w:val="clear" w:color="auto" w:fill="FFFFFF"/>
        </w:rPr>
        <w:t>International Journal of Financial, Accounting, and Management (IJFAM)</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5</w:t>
      </w:r>
      <w:r w:rsidRPr="003C6AAB">
        <w:rPr>
          <w:rFonts w:ascii="Times New Roman" w:hAnsi="Times New Roman" w:cs="Times New Roman"/>
          <w:color w:val="222222"/>
          <w:sz w:val="24"/>
          <w:szCs w:val="24"/>
          <w:shd w:val="clear" w:color="auto" w:fill="FFFFFF"/>
        </w:rPr>
        <w:t>(4), 511-522.</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Benichou</w:t>
      </w:r>
      <w:proofErr w:type="spellEnd"/>
      <w:r w:rsidRPr="003C6AAB">
        <w:rPr>
          <w:rFonts w:ascii="Times New Roman" w:hAnsi="Times New Roman" w:cs="Times New Roman"/>
          <w:color w:val="222222"/>
          <w:sz w:val="24"/>
          <w:szCs w:val="24"/>
          <w:shd w:val="clear" w:color="auto" w:fill="FFFFFF"/>
        </w:rPr>
        <w:t>, M. (2024). Audit committee and board of directors: A synergy for effective corporate governance. </w:t>
      </w:r>
      <w:r w:rsidRPr="003C6AAB">
        <w:rPr>
          <w:rFonts w:ascii="Times New Roman" w:hAnsi="Times New Roman" w:cs="Times New Roman"/>
          <w:i/>
          <w:iCs/>
          <w:color w:val="222222"/>
          <w:sz w:val="24"/>
          <w:szCs w:val="24"/>
          <w:shd w:val="clear" w:color="auto" w:fill="FFFFFF"/>
        </w:rPr>
        <w:t>International Journal of Professional Business Review: Int. J. Prof. Bus. Rev.</w:t>
      </w:r>
      <w:r w:rsidRPr="003C6AAB">
        <w:rPr>
          <w:rFonts w:ascii="Times New Roman" w:hAnsi="Times New Roman" w:cs="Times New Roman"/>
          <w:color w:val="222222"/>
          <w:sz w:val="24"/>
          <w:szCs w:val="24"/>
          <w:shd w:val="clear" w:color="auto" w:fill="FFFFFF"/>
        </w:rPr>
        <w:t>,</w:t>
      </w:r>
      <w:r w:rsidRPr="003C6AAB">
        <w:rPr>
          <w:rFonts w:ascii="Times New Roman" w:hAnsi="Times New Roman" w:cs="Times New Roman"/>
          <w:i/>
          <w:iCs/>
          <w:color w:val="222222"/>
          <w:sz w:val="24"/>
          <w:szCs w:val="24"/>
          <w:shd w:val="clear" w:color="auto" w:fill="FFFFFF"/>
        </w:rPr>
        <w:t>9</w:t>
      </w:r>
      <w:r w:rsidRPr="003C6AAB">
        <w:rPr>
          <w:rFonts w:ascii="Times New Roman" w:hAnsi="Times New Roman" w:cs="Times New Roman"/>
          <w:color w:val="222222"/>
          <w:sz w:val="24"/>
          <w:szCs w:val="24"/>
          <w:shd w:val="clear" w:color="auto" w:fill="FFFFFF"/>
        </w:rPr>
        <w:t>(12), 4- 12.</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Boluwaji</w:t>
      </w:r>
      <w:proofErr w:type="spellEnd"/>
      <w:r w:rsidRPr="003C6AAB">
        <w:rPr>
          <w:rFonts w:ascii="Times New Roman" w:hAnsi="Times New Roman" w:cs="Times New Roman"/>
          <w:color w:val="222222"/>
          <w:sz w:val="24"/>
          <w:szCs w:val="24"/>
          <w:shd w:val="clear" w:color="auto" w:fill="FFFFFF"/>
        </w:rPr>
        <w:t xml:space="preserve">, O., &amp; </w:t>
      </w:r>
      <w:proofErr w:type="spellStart"/>
      <w:r w:rsidRPr="003C6AAB">
        <w:rPr>
          <w:rFonts w:ascii="Times New Roman" w:hAnsi="Times New Roman" w:cs="Times New Roman"/>
          <w:color w:val="222222"/>
          <w:sz w:val="24"/>
          <w:szCs w:val="24"/>
          <w:shd w:val="clear" w:color="auto" w:fill="FFFFFF"/>
        </w:rPr>
        <w:t>Osatuyi</w:t>
      </w:r>
      <w:proofErr w:type="spellEnd"/>
      <w:r w:rsidRPr="003C6AAB">
        <w:rPr>
          <w:rFonts w:ascii="Times New Roman" w:hAnsi="Times New Roman" w:cs="Times New Roman"/>
          <w:color w:val="222222"/>
          <w:sz w:val="24"/>
          <w:szCs w:val="24"/>
          <w:shd w:val="clear" w:color="auto" w:fill="FFFFFF"/>
        </w:rPr>
        <w:t>, O. (2023). Effect of whistleblowing mechanisms on the financial reporting quality of quoted multinational oil and gas firms in Nigeria. </w:t>
      </w:r>
      <w:r w:rsidRPr="003C6AAB">
        <w:rPr>
          <w:rFonts w:ascii="Times New Roman" w:hAnsi="Times New Roman" w:cs="Times New Roman"/>
          <w:i/>
          <w:iCs/>
          <w:color w:val="222222"/>
          <w:sz w:val="24"/>
          <w:szCs w:val="24"/>
          <w:shd w:val="clear" w:color="auto" w:fill="FFFFFF"/>
        </w:rPr>
        <w:t>Asian Journal of Economics, Business and Accounting</w:t>
      </w:r>
      <w:r w:rsidRPr="003C6AAB">
        <w:rPr>
          <w:rFonts w:ascii="Times New Roman" w:hAnsi="Times New Roman" w:cs="Times New Roman"/>
          <w:color w:val="222222"/>
          <w:sz w:val="24"/>
          <w:szCs w:val="24"/>
          <w:shd w:val="clear" w:color="auto" w:fill="FFFFFF"/>
        </w:rPr>
        <w:t>.</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Cross, D., &amp; Swart, J. (2022). The (</w:t>
      </w:r>
      <w:proofErr w:type="spellStart"/>
      <w:r w:rsidRPr="003C6AAB">
        <w:rPr>
          <w:rFonts w:ascii="Times New Roman" w:hAnsi="Times New Roman" w:cs="Times New Roman"/>
          <w:color w:val="222222"/>
          <w:sz w:val="24"/>
          <w:szCs w:val="24"/>
          <w:shd w:val="clear" w:color="auto" w:fill="FFFFFF"/>
        </w:rPr>
        <w:t>ir</w:t>
      </w:r>
      <w:proofErr w:type="spellEnd"/>
      <w:r w:rsidRPr="003C6AAB">
        <w:rPr>
          <w:rFonts w:ascii="Times New Roman" w:hAnsi="Times New Roman" w:cs="Times New Roman"/>
          <w:color w:val="222222"/>
          <w:sz w:val="24"/>
          <w:szCs w:val="24"/>
          <w:shd w:val="clear" w:color="auto" w:fill="FFFFFF"/>
        </w:rPr>
        <w:t>) relevance of human resource management in independent work: Challenging assumptions. </w:t>
      </w:r>
      <w:r w:rsidRPr="003C6AAB">
        <w:rPr>
          <w:rFonts w:ascii="Times New Roman" w:hAnsi="Times New Roman" w:cs="Times New Roman"/>
          <w:i/>
          <w:iCs/>
          <w:color w:val="222222"/>
          <w:sz w:val="24"/>
          <w:szCs w:val="24"/>
          <w:shd w:val="clear" w:color="auto" w:fill="FFFFFF"/>
        </w:rPr>
        <w:t>Human Resource Management Journal</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32</w:t>
      </w:r>
      <w:r w:rsidRPr="003C6AAB">
        <w:rPr>
          <w:rFonts w:ascii="Times New Roman" w:hAnsi="Times New Roman" w:cs="Times New Roman"/>
          <w:color w:val="222222"/>
          <w:sz w:val="24"/>
          <w:szCs w:val="24"/>
          <w:shd w:val="clear" w:color="auto" w:fill="FFFFFF"/>
        </w:rPr>
        <w:t>(1), 232-246.</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Dewi</w:t>
      </w:r>
      <w:proofErr w:type="spellEnd"/>
      <w:r w:rsidRPr="003C6AAB">
        <w:rPr>
          <w:rFonts w:ascii="Times New Roman" w:hAnsi="Times New Roman" w:cs="Times New Roman"/>
          <w:color w:val="222222"/>
          <w:sz w:val="24"/>
          <w:szCs w:val="24"/>
          <w:shd w:val="clear" w:color="auto" w:fill="FFFFFF"/>
        </w:rPr>
        <w:t xml:space="preserve">, I. G. A. R. P., </w:t>
      </w:r>
      <w:proofErr w:type="spellStart"/>
      <w:r w:rsidRPr="003C6AAB">
        <w:rPr>
          <w:rFonts w:ascii="Times New Roman" w:hAnsi="Times New Roman" w:cs="Times New Roman"/>
          <w:color w:val="222222"/>
          <w:sz w:val="24"/>
          <w:szCs w:val="24"/>
          <w:shd w:val="clear" w:color="auto" w:fill="FFFFFF"/>
        </w:rPr>
        <w:t>Suartana</w:t>
      </w:r>
      <w:proofErr w:type="spellEnd"/>
      <w:r w:rsidRPr="003C6AAB">
        <w:rPr>
          <w:rFonts w:ascii="Times New Roman" w:hAnsi="Times New Roman" w:cs="Times New Roman"/>
          <w:color w:val="222222"/>
          <w:sz w:val="24"/>
          <w:szCs w:val="24"/>
          <w:shd w:val="clear" w:color="auto" w:fill="FFFFFF"/>
        </w:rPr>
        <w:t xml:space="preserve">, W., </w:t>
      </w:r>
      <w:proofErr w:type="spellStart"/>
      <w:r w:rsidRPr="003C6AAB">
        <w:rPr>
          <w:rFonts w:ascii="Times New Roman" w:hAnsi="Times New Roman" w:cs="Times New Roman"/>
          <w:color w:val="222222"/>
          <w:sz w:val="24"/>
          <w:szCs w:val="24"/>
          <w:shd w:val="clear" w:color="auto" w:fill="FFFFFF"/>
        </w:rPr>
        <w:t>Yasa</w:t>
      </w:r>
      <w:proofErr w:type="spellEnd"/>
      <w:r w:rsidRPr="003C6AAB">
        <w:rPr>
          <w:rFonts w:ascii="Times New Roman" w:hAnsi="Times New Roman" w:cs="Times New Roman"/>
          <w:color w:val="222222"/>
          <w:sz w:val="24"/>
          <w:szCs w:val="24"/>
          <w:shd w:val="clear" w:color="auto" w:fill="FFFFFF"/>
        </w:rPr>
        <w:t xml:space="preserve">, G., &amp; </w:t>
      </w:r>
      <w:proofErr w:type="spellStart"/>
      <w:r w:rsidRPr="003C6AAB">
        <w:rPr>
          <w:rFonts w:ascii="Times New Roman" w:hAnsi="Times New Roman" w:cs="Times New Roman"/>
          <w:color w:val="222222"/>
          <w:sz w:val="24"/>
          <w:szCs w:val="24"/>
          <w:shd w:val="clear" w:color="auto" w:fill="FFFFFF"/>
        </w:rPr>
        <w:t>Budiartha</w:t>
      </w:r>
      <w:proofErr w:type="spellEnd"/>
      <w:r w:rsidRPr="003C6AAB">
        <w:rPr>
          <w:rFonts w:ascii="Times New Roman" w:hAnsi="Times New Roman" w:cs="Times New Roman"/>
          <w:color w:val="222222"/>
          <w:sz w:val="24"/>
          <w:szCs w:val="24"/>
          <w:shd w:val="clear" w:color="auto" w:fill="FFFFFF"/>
        </w:rPr>
        <w:t>, K. (2024). Determinants and consequences of financial reporting quality: A systematic literature review. </w:t>
      </w:r>
      <w:r w:rsidRPr="003C6AAB">
        <w:rPr>
          <w:rFonts w:ascii="Times New Roman" w:hAnsi="Times New Roman" w:cs="Times New Roman"/>
          <w:i/>
          <w:iCs/>
          <w:color w:val="222222"/>
          <w:sz w:val="24"/>
          <w:szCs w:val="24"/>
          <w:shd w:val="clear" w:color="auto" w:fill="FFFFFF"/>
        </w:rPr>
        <w:t>JRAK</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16</w:t>
      </w:r>
      <w:r w:rsidRPr="003C6AAB">
        <w:rPr>
          <w:rFonts w:ascii="Times New Roman" w:hAnsi="Times New Roman" w:cs="Times New Roman"/>
          <w:color w:val="222222"/>
          <w:sz w:val="24"/>
          <w:szCs w:val="24"/>
          <w:shd w:val="clear" w:color="auto" w:fill="FFFFFF"/>
        </w:rPr>
        <w:t>(1), 9-22.</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Elmashtawy</w:t>
      </w:r>
      <w:proofErr w:type="spellEnd"/>
      <w:r w:rsidRPr="003C6AAB">
        <w:rPr>
          <w:rFonts w:ascii="Times New Roman" w:hAnsi="Times New Roman" w:cs="Times New Roman"/>
          <w:color w:val="222222"/>
          <w:sz w:val="24"/>
          <w:szCs w:val="24"/>
          <w:shd w:val="clear" w:color="auto" w:fill="FFFFFF"/>
        </w:rPr>
        <w:t xml:space="preserve">, A., Che </w:t>
      </w:r>
      <w:proofErr w:type="spellStart"/>
      <w:r w:rsidRPr="003C6AAB">
        <w:rPr>
          <w:rFonts w:ascii="Times New Roman" w:hAnsi="Times New Roman" w:cs="Times New Roman"/>
          <w:color w:val="222222"/>
          <w:sz w:val="24"/>
          <w:szCs w:val="24"/>
          <w:shd w:val="clear" w:color="auto" w:fill="FFFFFF"/>
        </w:rPr>
        <w:t>Haat</w:t>
      </w:r>
      <w:proofErr w:type="spellEnd"/>
      <w:r w:rsidRPr="003C6AAB">
        <w:rPr>
          <w:rFonts w:ascii="Times New Roman" w:hAnsi="Times New Roman" w:cs="Times New Roman"/>
          <w:color w:val="222222"/>
          <w:sz w:val="24"/>
          <w:szCs w:val="24"/>
          <w:shd w:val="clear" w:color="auto" w:fill="FFFFFF"/>
        </w:rPr>
        <w:t xml:space="preserve">, M. H., Ismail, S., &amp; </w:t>
      </w:r>
      <w:proofErr w:type="spellStart"/>
      <w:r w:rsidRPr="003C6AAB">
        <w:rPr>
          <w:rFonts w:ascii="Times New Roman" w:hAnsi="Times New Roman" w:cs="Times New Roman"/>
          <w:color w:val="222222"/>
          <w:sz w:val="24"/>
          <w:szCs w:val="24"/>
          <w:shd w:val="clear" w:color="auto" w:fill="FFFFFF"/>
        </w:rPr>
        <w:t>Almaqtari</w:t>
      </w:r>
      <w:proofErr w:type="spellEnd"/>
      <w:r w:rsidRPr="003C6AAB">
        <w:rPr>
          <w:rFonts w:ascii="Times New Roman" w:hAnsi="Times New Roman" w:cs="Times New Roman"/>
          <w:color w:val="222222"/>
          <w:sz w:val="24"/>
          <w:szCs w:val="24"/>
          <w:shd w:val="clear" w:color="auto" w:fill="FFFFFF"/>
        </w:rPr>
        <w:t>, F. A. (2024). The moderating effect of the interaction between joint audit and accounting conservatism on the association between corporate governance and corporate performance. </w:t>
      </w:r>
      <w:r w:rsidRPr="003C6AAB">
        <w:rPr>
          <w:rFonts w:ascii="Times New Roman" w:hAnsi="Times New Roman" w:cs="Times New Roman"/>
          <w:i/>
          <w:iCs/>
          <w:color w:val="222222"/>
          <w:sz w:val="24"/>
          <w:szCs w:val="24"/>
          <w:shd w:val="clear" w:color="auto" w:fill="FFFFFF"/>
        </w:rPr>
        <w:t>Cogent Business &amp; Management</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11</w:t>
      </w:r>
      <w:r w:rsidRPr="003C6AAB">
        <w:rPr>
          <w:rFonts w:ascii="Times New Roman" w:hAnsi="Times New Roman" w:cs="Times New Roman"/>
          <w:color w:val="222222"/>
          <w:sz w:val="24"/>
          <w:szCs w:val="24"/>
          <w:shd w:val="clear" w:color="auto" w:fill="FFFFFF"/>
        </w:rPr>
        <w:t>(1), 2284803.</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Essien, E. O. (2024). Audit committee size and financial reporting quality of listed non-financial firms in sub-Saharan Africa: The moderating role of board independence. </w:t>
      </w:r>
      <w:r w:rsidRPr="003C6AAB">
        <w:rPr>
          <w:rFonts w:ascii="Times New Roman" w:hAnsi="Times New Roman" w:cs="Times New Roman"/>
          <w:i/>
          <w:iCs/>
          <w:color w:val="222222"/>
          <w:sz w:val="24"/>
          <w:szCs w:val="24"/>
          <w:shd w:val="clear" w:color="auto" w:fill="FFFFFF"/>
        </w:rPr>
        <w:t xml:space="preserve">International </w:t>
      </w:r>
      <w:r w:rsidRPr="003C6AAB">
        <w:rPr>
          <w:rFonts w:ascii="Times New Roman" w:hAnsi="Times New Roman" w:cs="Times New Roman"/>
          <w:i/>
          <w:iCs/>
          <w:color w:val="222222"/>
          <w:sz w:val="24"/>
          <w:szCs w:val="24"/>
          <w:shd w:val="clear" w:color="auto" w:fill="FFFFFF"/>
        </w:rPr>
        <w:lastRenderedPageBreak/>
        <w:t>Institute for Academic Research and Development Journal of Accounting and Financial Management</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10</w:t>
      </w:r>
      <w:r w:rsidRPr="003C6AAB">
        <w:rPr>
          <w:rFonts w:ascii="Times New Roman" w:hAnsi="Times New Roman" w:cs="Times New Roman"/>
          <w:color w:val="222222"/>
          <w:sz w:val="24"/>
          <w:szCs w:val="24"/>
          <w:shd w:val="clear" w:color="auto" w:fill="FFFFFF"/>
        </w:rPr>
        <w:t>(8), 1-20.</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 xml:space="preserve">Goodwin, J., &amp; </w:t>
      </w:r>
      <w:proofErr w:type="spellStart"/>
      <w:r w:rsidRPr="003C6AAB">
        <w:rPr>
          <w:rFonts w:ascii="Times New Roman" w:hAnsi="Times New Roman" w:cs="Times New Roman"/>
          <w:color w:val="222222"/>
          <w:sz w:val="24"/>
          <w:szCs w:val="24"/>
          <w:shd w:val="clear" w:color="auto" w:fill="FFFFFF"/>
        </w:rPr>
        <w:t>Seow</w:t>
      </w:r>
      <w:proofErr w:type="spellEnd"/>
      <w:r w:rsidRPr="003C6AAB">
        <w:rPr>
          <w:rFonts w:ascii="Times New Roman" w:hAnsi="Times New Roman" w:cs="Times New Roman"/>
          <w:color w:val="222222"/>
          <w:sz w:val="24"/>
          <w:szCs w:val="24"/>
          <w:shd w:val="clear" w:color="auto" w:fill="FFFFFF"/>
        </w:rPr>
        <w:t>, J. L. (2002). The influence of corporate governance mechanisms on the quality of financial reporting and auditing: Perceptions of auditors and directors in Singapore. </w:t>
      </w:r>
      <w:r w:rsidRPr="003C6AAB">
        <w:rPr>
          <w:rFonts w:ascii="Times New Roman" w:hAnsi="Times New Roman" w:cs="Times New Roman"/>
          <w:i/>
          <w:iCs/>
          <w:color w:val="222222"/>
          <w:sz w:val="24"/>
          <w:szCs w:val="24"/>
          <w:shd w:val="clear" w:color="auto" w:fill="FFFFFF"/>
        </w:rPr>
        <w:t>Accounting &amp; Finance</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42</w:t>
      </w:r>
      <w:r w:rsidRPr="003C6AAB">
        <w:rPr>
          <w:rFonts w:ascii="Times New Roman" w:hAnsi="Times New Roman" w:cs="Times New Roman"/>
          <w:color w:val="222222"/>
          <w:sz w:val="24"/>
          <w:szCs w:val="24"/>
          <w:shd w:val="clear" w:color="auto" w:fill="FFFFFF"/>
        </w:rPr>
        <w:t>(3), 195-223.</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 xml:space="preserve">Islam, M., </w:t>
      </w:r>
      <w:proofErr w:type="spellStart"/>
      <w:r w:rsidRPr="003C6AAB">
        <w:rPr>
          <w:rFonts w:ascii="Times New Roman" w:hAnsi="Times New Roman" w:cs="Times New Roman"/>
          <w:color w:val="222222"/>
          <w:sz w:val="24"/>
          <w:szCs w:val="24"/>
          <w:shd w:val="clear" w:color="auto" w:fill="FFFFFF"/>
        </w:rPr>
        <w:t>Slof</w:t>
      </w:r>
      <w:proofErr w:type="spellEnd"/>
      <w:r w:rsidRPr="003C6AAB">
        <w:rPr>
          <w:rFonts w:ascii="Times New Roman" w:hAnsi="Times New Roman" w:cs="Times New Roman"/>
          <w:color w:val="222222"/>
          <w:sz w:val="24"/>
          <w:szCs w:val="24"/>
          <w:shd w:val="clear" w:color="auto" w:fill="FFFFFF"/>
        </w:rPr>
        <w:t xml:space="preserve">, J., &amp; </w:t>
      </w:r>
      <w:proofErr w:type="spellStart"/>
      <w:r w:rsidRPr="003C6AAB">
        <w:rPr>
          <w:rFonts w:ascii="Times New Roman" w:hAnsi="Times New Roman" w:cs="Times New Roman"/>
          <w:color w:val="222222"/>
          <w:sz w:val="24"/>
          <w:szCs w:val="24"/>
          <w:shd w:val="clear" w:color="auto" w:fill="FFFFFF"/>
        </w:rPr>
        <w:t>Albitar</w:t>
      </w:r>
      <w:proofErr w:type="spellEnd"/>
      <w:r w:rsidRPr="003C6AAB">
        <w:rPr>
          <w:rFonts w:ascii="Times New Roman" w:hAnsi="Times New Roman" w:cs="Times New Roman"/>
          <w:color w:val="222222"/>
          <w:sz w:val="24"/>
          <w:szCs w:val="24"/>
          <w:shd w:val="clear" w:color="auto" w:fill="FFFFFF"/>
        </w:rPr>
        <w:t>, K. (2023). The mediation effect of audit committee quality and internal audit function quality on the firm size–financial reporting quality nexus. </w:t>
      </w:r>
      <w:r w:rsidRPr="003C6AAB">
        <w:rPr>
          <w:rFonts w:ascii="Times New Roman" w:hAnsi="Times New Roman" w:cs="Times New Roman"/>
          <w:i/>
          <w:iCs/>
          <w:color w:val="222222"/>
          <w:sz w:val="24"/>
          <w:szCs w:val="24"/>
          <w:shd w:val="clear" w:color="auto" w:fill="FFFFFF"/>
        </w:rPr>
        <w:t>Journal of Applied Accounting Research</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24</w:t>
      </w:r>
      <w:r w:rsidRPr="003C6AAB">
        <w:rPr>
          <w:rFonts w:ascii="Times New Roman" w:hAnsi="Times New Roman" w:cs="Times New Roman"/>
          <w:color w:val="222222"/>
          <w:sz w:val="24"/>
          <w:szCs w:val="24"/>
          <w:shd w:val="clear" w:color="auto" w:fill="FFFFFF"/>
        </w:rPr>
        <w:t>(5), 839-858.</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 xml:space="preserve">Ismail, R., </w:t>
      </w:r>
      <w:proofErr w:type="spellStart"/>
      <w:r w:rsidRPr="003C6AAB">
        <w:rPr>
          <w:rFonts w:ascii="Times New Roman" w:hAnsi="Times New Roman" w:cs="Times New Roman"/>
          <w:color w:val="222222"/>
          <w:sz w:val="24"/>
          <w:szCs w:val="24"/>
          <w:shd w:val="clear" w:color="auto" w:fill="FFFFFF"/>
        </w:rPr>
        <w:t>Mohd</w:t>
      </w:r>
      <w:proofErr w:type="spellEnd"/>
      <w:r w:rsidRPr="003C6AAB">
        <w:rPr>
          <w:rFonts w:ascii="Times New Roman" w:hAnsi="Times New Roman" w:cs="Times New Roman"/>
          <w:color w:val="222222"/>
          <w:sz w:val="24"/>
          <w:szCs w:val="24"/>
          <w:shd w:val="clear" w:color="auto" w:fill="FFFFFF"/>
        </w:rPr>
        <w:t xml:space="preserve">-Saleh, N., &amp; </w:t>
      </w:r>
      <w:proofErr w:type="spellStart"/>
      <w:r w:rsidRPr="003C6AAB">
        <w:rPr>
          <w:rFonts w:ascii="Times New Roman" w:hAnsi="Times New Roman" w:cs="Times New Roman"/>
          <w:color w:val="222222"/>
          <w:sz w:val="24"/>
          <w:szCs w:val="24"/>
          <w:shd w:val="clear" w:color="auto" w:fill="FFFFFF"/>
        </w:rPr>
        <w:t>Yakob</w:t>
      </w:r>
      <w:proofErr w:type="spellEnd"/>
      <w:r w:rsidRPr="003C6AAB">
        <w:rPr>
          <w:rFonts w:ascii="Times New Roman" w:hAnsi="Times New Roman" w:cs="Times New Roman"/>
          <w:color w:val="222222"/>
          <w:sz w:val="24"/>
          <w:szCs w:val="24"/>
          <w:shd w:val="clear" w:color="auto" w:fill="FFFFFF"/>
        </w:rPr>
        <w:t>, R. (2022). Audit committee effectiveness, internal audit function and financial reporting lag: evidence from Malaysia. </w:t>
      </w:r>
      <w:r w:rsidRPr="003C6AAB">
        <w:rPr>
          <w:rFonts w:ascii="Times New Roman" w:hAnsi="Times New Roman" w:cs="Times New Roman"/>
          <w:i/>
          <w:iCs/>
          <w:color w:val="222222"/>
          <w:sz w:val="24"/>
          <w:szCs w:val="24"/>
          <w:shd w:val="clear" w:color="auto" w:fill="FFFFFF"/>
        </w:rPr>
        <w:t>Asian Academy of Management Journal of Accounting and Finance</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18</w:t>
      </w:r>
      <w:r w:rsidRPr="003C6AAB">
        <w:rPr>
          <w:rFonts w:ascii="Times New Roman" w:hAnsi="Times New Roman" w:cs="Times New Roman"/>
          <w:color w:val="222222"/>
          <w:sz w:val="24"/>
          <w:szCs w:val="24"/>
          <w:shd w:val="clear" w:color="auto" w:fill="FFFFFF"/>
        </w:rPr>
        <w:t>(2), 169-193.</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Jamil, N. N. (2020). The power of political connections: review on the impacts of audit committee and corporate governance. </w:t>
      </w:r>
      <w:r w:rsidRPr="003C6AAB">
        <w:rPr>
          <w:rFonts w:ascii="Times New Roman" w:hAnsi="Times New Roman" w:cs="Times New Roman"/>
          <w:i/>
          <w:iCs/>
          <w:color w:val="222222"/>
          <w:sz w:val="24"/>
          <w:szCs w:val="24"/>
          <w:shd w:val="clear" w:color="auto" w:fill="FFFFFF"/>
        </w:rPr>
        <w:t>Power</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10</w:t>
      </w:r>
      <w:r w:rsidRPr="003C6AAB">
        <w:rPr>
          <w:rFonts w:ascii="Times New Roman" w:hAnsi="Times New Roman" w:cs="Times New Roman"/>
          <w:color w:val="222222"/>
          <w:sz w:val="24"/>
          <w:szCs w:val="24"/>
          <w:shd w:val="clear" w:color="auto" w:fill="FFFFFF"/>
        </w:rPr>
        <w:t>(2), 1-15.</w:t>
      </w:r>
    </w:p>
    <w:p w:rsidR="003C6AAB" w:rsidRPr="003C6AAB" w:rsidRDefault="003C6AAB" w:rsidP="003C6AAB">
      <w:pPr>
        <w:pStyle w:val="NormalWeb"/>
        <w:ind w:left="785" w:hangingChars="327" w:hanging="785"/>
        <w:jc w:val="both"/>
      </w:pPr>
      <w:r w:rsidRPr="003C6AAB">
        <w:rPr>
          <w:rStyle w:val="Strong"/>
          <w:b w:val="0"/>
        </w:rPr>
        <w:t xml:space="preserve">Jensen, M. C., &amp; </w:t>
      </w:r>
      <w:proofErr w:type="spellStart"/>
      <w:r w:rsidRPr="003C6AAB">
        <w:rPr>
          <w:rStyle w:val="Strong"/>
          <w:b w:val="0"/>
        </w:rPr>
        <w:t>Meckling</w:t>
      </w:r>
      <w:proofErr w:type="spellEnd"/>
      <w:r w:rsidRPr="003C6AAB">
        <w:rPr>
          <w:rStyle w:val="Strong"/>
          <w:b w:val="0"/>
        </w:rPr>
        <w:t>, W. H.</w:t>
      </w:r>
      <w:r w:rsidRPr="003C6AAB">
        <w:rPr>
          <w:b/>
        </w:rPr>
        <w:t xml:space="preserve"> </w:t>
      </w:r>
      <w:r w:rsidRPr="003C6AAB">
        <w:t xml:space="preserve">(1976). Theory of the firm: Managerial behavior, agency costs and ownership structure. </w:t>
      </w:r>
      <w:r w:rsidRPr="003C6AAB">
        <w:rPr>
          <w:rStyle w:val="Emphasis"/>
        </w:rPr>
        <w:t>Journal of Financial Economics, 3</w:t>
      </w:r>
      <w:r w:rsidRPr="003C6AAB">
        <w:t xml:space="preserve">(4), 305–360. </w:t>
      </w:r>
      <w:hyperlink r:id="rId5" w:history="1">
        <w:r w:rsidRPr="003C6AAB">
          <w:rPr>
            <w:rStyle w:val="Hyperlink"/>
          </w:rPr>
          <w:t>https://doi.org/10.1016/0304-405X(76)90026-X</w:t>
        </w:r>
      </w:hyperlink>
      <w:r w:rsidRPr="003C6AAB">
        <w:t xml:space="preserve"> </w:t>
      </w:r>
    </w:p>
    <w:p w:rsidR="003C6AAB" w:rsidRPr="003C6AAB" w:rsidRDefault="003C6AAB" w:rsidP="003C6AAB">
      <w:pPr>
        <w:pStyle w:val="NormalWeb"/>
        <w:ind w:left="785" w:hangingChars="327" w:hanging="785"/>
        <w:jc w:val="both"/>
      </w:pPr>
      <w:proofErr w:type="spellStart"/>
      <w:r w:rsidRPr="003C6AAB">
        <w:rPr>
          <w:color w:val="222222"/>
          <w:shd w:val="clear" w:color="auto" w:fill="FFFFFF"/>
        </w:rPr>
        <w:t>Komal</w:t>
      </w:r>
      <w:proofErr w:type="spellEnd"/>
      <w:r w:rsidRPr="003C6AAB">
        <w:rPr>
          <w:color w:val="222222"/>
          <w:shd w:val="clear" w:color="auto" w:fill="FFFFFF"/>
        </w:rPr>
        <w:t>, B., Bilal, Ye, C., &amp; Salem, R. (2022). The impact of audit committee effectiveness on firms’ outcomes in China: a systematic review. </w:t>
      </w:r>
      <w:r w:rsidRPr="003C6AAB">
        <w:rPr>
          <w:i/>
          <w:iCs/>
          <w:color w:val="222222"/>
          <w:shd w:val="clear" w:color="auto" w:fill="FFFFFF"/>
        </w:rPr>
        <w:t>International Journal of Accounting &amp; Information Management</w:t>
      </w:r>
      <w:r w:rsidRPr="003C6AAB">
        <w:rPr>
          <w:color w:val="222222"/>
          <w:shd w:val="clear" w:color="auto" w:fill="FFFFFF"/>
        </w:rPr>
        <w:t>, </w:t>
      </w:r>
      <w:r w:rsidRPr="003C6AAB">
        <w:rPr>
          <w:i/>
          <w:iCs/>
          <w:color w:val="222222"/>
          <w:shd w:val="clear" w:color="auto" w:fill="FFFFFF"/>
        </w:rPr>
        <w:t>30</w:t>
      </w:r>
      <w:r w:rsidRPr="003C6AAB">
        <w:rPr>
          <w:color w:val="222222"/>
          <w:shd w:val="clear" w:color="auto" w:fill="FFFFFF"/>
        </w:rPr>
        <w:t>(5), 583-599.</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 xml:space="preserve">Mia, M. A., </w:t>
      </w:r>
      <w:proofErr w:type="spellStart"/>
      <w:r w:rsidRPr="003C6AAB">
        <w:rPr>
          <w:rFonts w:ascii="Times New Roman" w:hAnsi="Times New Roman" w:cs="Times New Roman"/>
          <w:color w:val="222222"/>
          <w:sz w:val="24"/>
          <w:szCs w:val="24"/>
          <w:shd w:val="clear" w:color="auto" w:fill="FFFFFF"/>
        </w:rPr>
        <w:t>Sangwan</w:t>
      </w:r>
      <w:proofErr w:type="spellEnd"/>
      <w:r w:rsidRPr="003C6AAB">
        <w:rPr>
          <w:rFonts w:ascii="Times New Roman" w:hAnsi="Times New Roman" w:cs="Times New Roman"/>
          <w:color w:val="222222"/>
          <w:sz w:val="24"/>
          <w:szCs w:val="24"/>
          <w:shd w:val="clear" w:color="auto" w:fill="FFFFFF"/>
        </w:rPr>
        <w:t>, S., &amp; Hossain, M. I. (2025). Board gender diversity and donations in the microfinance industry: evidence from emerging economies. </w:t>
      </w:r>
      <w:r w:rsidRPr="003C6AAB">
        <w:rPr>
          <w:rFonts w:ascii="Times New Roman" w:hAnsi="Times New Roman" w:cs="Times New Roman"/>
          <w:i/>
          <w:iCs/>
          <w:color w:val="222222"/>
          <w:sz w:val="24"/>
          <w:szCs w:val="24"/>
          <w:shd w:val="clear" w:color="auto" w:fill="FFFFFF"/>
        </w:rPr>
        <w:t>Journal of Sustainable Finance &amp; Investment</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15</w:t>
      </w:r>
      <w:r w:rsidRPr="003C6AAB">
        <w:rPr>
          <w:rFonts w:ascii="Times New Roman" w:hAnsi="Times New Roman" w:cs="Times New Roman"/>
          <w:color w:val="222222"/>
          <w:sz w:val="24"/>
          <w:szCs w:val="24"/>
          <w:shd w:val="clear" w:color="auto" w:fill="FFFFFF"/>
        </w:rPr>
        <w:t>(4), 896-926.</w:t>
      </w:r>
    </w:p>
    <w:p w:rsidR="003C6AAB" w:rsidRPr="003C6AAB" w:rsidRDefault="003C6AAB" w:rsidP="003C6AAB">
      <w:pPr>
        <w:pStyle w:val="NormalWeb"/>
        <w:ind w:left="785" w:hangingChars="327" w:hanging="785"/>
        <w:jc w:val="both"/>
      </w:pPr>
      <w:r w:rsidRPr="003C6AAB">
        <w:rPr>
          <w:rStyle w:val="Strong"/>
          <w:b w:val="0"/>
        </w:rPr>
        <w:t xml:space="preserve">Muhammed, I. K., </w:t>
      </w:r>
      <w:proofErr w:type="spellStart"/>
      <w:r w:rsidRPr="003C6AAB">
        <w:rPr>
          <w:rStyle w:val="Strong"/>
          <w:b w:val="0"/>
        </w:rPr>
        <w:t>Abdulyakeen</w:t>
      </w:r>
      <w:proofErr w:type="spellEnd"/>
      <w:r w:rsidRPr="003C6AAB">
        <w:rPr>
          <w:rStyle w:val="Strong"/>
          <w:b w:val="0"/>
        </w:rPr>
        <w:t xml:space="preserve">, G., </w:t>
      </w:r>
      <w:proofErr w:type="spellStart"/>
      <w:r w:rsidRPr="003C6AAB">
        <w:rPr>
          <w:rStyle w:val="Strong"/>
          <w:b w:val="0"/>
        </w:rPr>
        <w:t>Ajide</w:t>
      </w:r>
      <w:proofErr w:type="spellEnd"/>
      <w:r w:rsidRPr="003C6AAB">
        <w:rPr>
          <w:rStyle w:val="Strong"/>
          <w:b w:val="0"/>
        </w:rPr>
        <w:t xml:space="preserve">, K. T., &amp; </w:t>
      </w:r>
      <w:proofErr w:type="spellStart"/>
      <w:r w:rsidRPr="003C6AAB">
        <w:rPr>
          <w:rStyle w:val="Strong"/>
          <w:b w:val="0"/>
        </w:rPr>
        <w:t>Oyaleke</w:t>
      </w:r>
      <w:proofErr w:type="spellEnd"/>
      <w:r w:rsidRPr="003C6AAB">
        <w:rPr>
          <w:rStyle w:val="Strong"/>
          <w:b w:val="0"/>
        </w:rPr>
        <w:t>, K. O.</w:t>
      </w:r>
      <w:r w:rsidRPr="003C6AAB">
        <w:t xml:space="preserve"> (2024). Audit committee’s attributes and quality of financial reporting on listed consumer goods firms in Nigeria. </w:t>
      </w:r>
      <w:proofErr w:type="spellStart"/>
      <w:r w:rsidRPr="003C6AAB">
        <w:rPr>
          <w:rStyle w:val="Emphasis"/>
        </w:rPr>
        <w:t>Malete</w:t>
      </w:r>
      <w:proofErr w:type="spellEnd"/>
      <w:r w:rsidRPr="003C6AAB">
        <w:rPr>
          <w:rStyle w:val="Emphasis"/>
        </w:rPr>
        <w:t xml:space="preserve"> Journal of Accounting and Finance, 4</w:t>
      </w:r>
      <w:r w:rsidRPr="003C6AAB">
        <w:t>(2), 209–224. Available online at: https://majaf.com.ng/index.php/majaf/index</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Musah</w:t>
      </w:r>
      <w:proofErr w:type="spellEnd"/>
      <w:r w:rsidRPr="003C6AAB">
        <w:rPr>
          <w:rFonts w:ascii="Times New Roman" w:hAnsi="Times New Roman" w:cs="Times New Roman"/>
          <w:color w:val="222222"/>
          <w:sz w:val="24"/>
          <w:szCs w:val="24"/>
          <w:shd w:val="clear" w:color="auto" w:fill="FFFFFF"/>
        </w:rPr>
        <w:t xml:space="preserve">, A., </w:t>
      </w:r>
      <w:proofErr w:type="spellStart"/>
      <w:r w:rsidRPr="003C6AAB">
        <w:rPr>
          <w:rFonts w:ascii="Times New Roman" w:hAnsi="Times New Roman" w:cs="Times New Roman"/>
          <w:color w:val="222222"/>
          <w:sz w:val="24"/>
          <w:szCs w:val="24"/>
          <w:shd w:val="clear" w:color="auto" w:fill="FFFFFF"/>
        </w:rPr>
        <w:t>Ayaiga</w:t>
      </w:r>
      <w:proofErr w:type="spellEnd"/>
      <w:r w:rsidRPr="003C6AAB">
        <w:rPr>
          <w:rFonts w:ascii="Times New Roman" w:hAnsi="Times New Roman" w:cs="Times New Roman"/>
          <w:color w:val="222222"/>
          <w:sz w:val="24"/>
          <w:szCs w:val="24"/>
          <w:shd w:val="clear" w:color="auto" w:fill="FFFFFF"/>
        </w:rPr>
        <w:t xml:space="preserve">, C., </w:t>
      </w:r>
      <w:proofErr w:type="spellStart"/>
      <w:r w:rsidRPr="003C6AAB">
        <w:rPr>
          <w:rFonts w:ascii="Times New Roman" w:hAnsi="Times New Roman" w:cs="Times New Roman"/>
          <w:color w:val="222222"/>
          <w:sz w:val="24"/>
          <w:szCs w:val="24"/>
          <w:shd w:val="clear" w:color="auto" w:fill="FFFFFF"/>
        </w:rPr>
        <w:t>Blay</w:t>
      </w:r>
      <w:proofErr w:type="spellEnd"/>
      <w:r w:rsidRPr="003C6AAB">
        <w:rPr>
          <w:rFonts w:ascii="Times New Roman" w:hAnsi="Times New Roman" w:cs="Times New Roman"/>
          <w:color w:val="222222"/>
          <w:sz w:val="24"/>
          <w:szCs w:val="24"/>
          <w:shd w:val="clear" w:color="auto" w:fill="FFFFFF"/>
        </w:rPr>
        <w:t>, M. W., &amp; Okyere, D. O. (2025). The influence of audit committee characteristics on firm profitability in Ghana. </w:t>
      </w:r>
      <w:r w:rsidRPr="003C6AAB">
        <w:rPr>
          <w:rFonts w:ascii="Times New Roman" w:hAnsi="Times New Roman" w:cs="Times New Roman"/>
          <w:i/>
          <w:iCs/>
          <w:color w:val="222222"/>
          <w:sz w:val="24"/>
          <w:szCs w:val="24"/>
          <w:shd w:val="clear" w:color="auto" w:fill="FFFFFF"/>
        </w:rPr>
        <w:t>The Indonesian Journal of Accounting Research</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28</w:t>
      </w:r>
      <w:r w:rsidRPr="003C6AAB">
        <w:rPr>
          <w:rFonts w:ascii="Times New Roman" w:hAnsi="Times New Roman" w:cs="Times New Roman"/>
          <w:color w:val="222222"/>
          <w:sz w:val="24"/>
          <w:szCs w:val="24"/>
          <w:shd w:val="clear" w:color="auto" w:fill="FFFFFF"/>
        </w:rPr>
        <w:t>(1), 121-148.</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Ojali</w:t>
      </w:r>
      <w:proofErr w:type="spellEnd"/>
      <w:r w:rsidRPr="003C6AAB">
        <w:rPr>
          <w:rFonts w:ascii="Times New Roman" w:hAnsi="Times New Roman" w:cs="Times New Roman"/>
          <w:color w:val="222222"/>
          <w:sz w:val="24"/>
          <w:szCs w:val="24"/>
          <w:shd w:val="clear" w:color="auto" w:fill="FFFFFF"/>
        </w:rPr>
        <w:t xml:space="preserve">, J. S., </w:t>
      </w:r>
      <w:proofErr w:type="spellStart"/>
      <w:r w:rsidRPr="003C6AAB">
        <w:rPr>
          <w:rFonts w:ascii="Times New Roman" w:hAnsi="Times New Roman" w:cs="Times New Roman"/>
          <w:color w:val="222222"/>
          <w:sz w:val="24"/>
          <w:szCs w:val="24"/>
          <w:shd w:val="clear" w:color="auto" w:fill="FFFFFF"/>
        </w:rPr>
        <w:t>Adamu</w:t>
      </w:r>
      <w:proofErr w:type="spellEnd"/>
      <w:r w:rsidRPr="003C6AAB">
        <w:rPr>
          <w:rFonts w:ascii="Times New Roman" w:hAnsi="Times New Roman" w:cs="Times New Roman"/>
          <w:color w:val="222222"/>
          <w:sz w:val="24"/>
          <w:szCs w:val="24"/>
          <w:shd w:val="clear" w:color="auto" w:fill="FFFFFF"/>
        </w:rPr>
        <w:t xml:space="preserve">, I. A., &amp; </w:t>
      </w:r>
      <w:proofErr w:type="spellStart"/>
      <w:r w:rsidRPr="003C6AAB">
        <w:rPr>
          <w:rFonts w:ascii="Times New Roman" w:hAnsi="Times New Roman" w:cs="Times New Roman"/>
          <w:color w:val="222222"/>
          <w:sz w:val="24"/>
          <w:szCs w:val="24"/>
          <w:shd w:val="clear" w:color="auto" w:fill="FFFFFF"/>
        </w:rPr>
        <w:t>Shawai</w:t>
      </w:r>
      <w:proofErr w:type="spellEnd"/>
      <w:r w:rsidRPr="003C6AAB">
        <w:rPr>
          <w:rFonts w:ascii="Times New Roman" w:hAnsi="Times New Roman" w:cs="Times New Roman"/>
          <w:color w:val="222222"/>
          <w:sz w:val="24"/>
          <w:szCs w:val="24"/>
          <w:shd w:val="clear" w:color="auto" w:fill="FFFFFF"/>
        </w:rPr>
        <w:t>, A. S. (2023). Audit committee characteristics and audit delay among Nigerian oil and gas companies. </w:t>
      </w:r>
      <w:r w:rsidRPr="003C6AAB">
        <w:rPr>
          <w:rFonts w:ascii="Times New Roman" w:hAnsi="Times New Roman" w:cs="Times New Roman"/>
          <w:i/>
          <w:iCs/>
          <w:color w:val="222222"/>
          <w:sz w:val="24"/>
          <w:szCs w:val="24"/>
          <w:shd w:val="clear" w:color="auto" w:fill="FFFFFF"/>
        </w:rPr>
        <w:t>FUDMA Journal of Accounting and Finance Research [FUJAFR]</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w:t>
      </w:r>
      <w:r w:rsidRPr="003C6AAB">
        <w:rPr>
          <w:rFonts w:ascii="Times New Roman" w:hAnsi="Times New Roman" w:cs="Times New Roman"/>
          <w:color w:val="222222"/>
          <w:sz w:val="24"/>
          <w:szCs w:val="24"/>
          <w:shd w:val="clear" w:color="auto" w:fill="FFFFFF"/>
        </w:rPr>
        <w:t>(1), 136-156.</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t>Okafor, E. C. (2024). Exploring audit committee effectiveness and its impact on financial reporting quality in sub-Saharan Africa’s non-financial firms. </w:t>
      </w:r>
      <w:r w:rsidRPr="003C6AAB">
        <w:rPr>
          <w:rFonts w:ascii="Times New Roman" w:hAnsi="Times New Roman" w:cs="Times New Roman"/>
          <w:i/>
          <w:iCs/>
          <w:color w:val="222222"/>
          <w:sz w:val="24"/>
          <w:szCs w:val="24"/>
          <w:shd w:val="clear" w:color="auto" w:fill="FFFFFF"/>
        </w:rPr>
        <w:t>Journal of Global Business and economic Research</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11</w:t>
      </w:r>
      <w:r w:rsidRPr="003C6AAB">
        <w:rPr>
          <w:rFonts w:ascii="Times New Roman" w:hAnsi="Times New Roman" w:cs="Times New Roman"/>
          <w:color w:val="222222"/>
          <w:sz w:val="24"/>
          <w:szCs w:val="24"/>
          <w:shd w:val="clear" w:color="auto" w:fill="FFFFFF"/>
        </w:rPr>
        <w:t>(2), 1-27.</w:t>
      </w:r>
    </w:p>
    <w:p w:rsidR="003C6AAB" w:rsidRPr="003C6AAB" w:rsidRDefault="003C6AAB" w:rsidP="003C6AAB">
      <w:pPr>
        <w:pStyle w:val="NormalWeb"/>
        <w:ind w:left="785" w:hangingChars="327" w:hanging="785"/>
        <w:jc w:val="both"/>
      </w:pPr>
      <w:proofErr w:type="spellStart"/>
      <w:r w:rsidRPr="003C6AAB">
        <w:rPr>
          <w:rStyle w:val="Strong"/>
          <w:b w:val="0"/>
        </w:rPr>
        <w:lastRenderedPageBreak/>
        <w:t>Olaoye</w:t>
      </w:r>
      <w:proofErr w:type="spellEnd"/>
      <w:r w:rsidRPr="003C6AAB">
        <w:rPr>
          <w:rStyle w:val="Strong"/>
          <w:b w:val="0"/>
        </w:rPr>
        <w:t>, F. O., &amp; Bamidele, V. O.</w:t>
      </w:r>
      <w:r w:rsidRPr="003C6AAB">
        <w:t xml:space="preserve"> (2023). Effect of audit committee characteristics on financial reporting quality of listed deposit money banks in Nigeria. </w:t>
      </w:r>
      <w:proofErr w:type="spellStart"/>
      <w:r w:rsidRPr="003C6AAB">
        <w:rPr>
          <w:rStyle w:val="Emphasis"/>
        </w:rPr>
        <w:t>Fuoye</w:t>
      </w:r>
      <w:proofErr w:type="spellEnd"/>
      <w:r w:rsidRPr="003C6AAB">
        <w:rPr>
          <w:rStyle w:val="Emphasis"/>
        </w:rPr>
        <w:t xml:space="preserve"> Journal of Management, Innovation and Entrepreneurship, 2</w:t>
      </w:r>
      <w:r w:rsidRPr="003C6AAB">
        <w:t>(2), 165–175.</w:t>
      </w:r>
    </w:p>
    <w:p w:rsidR="003C6AAB" w:rsidRPr="003C6AAB" w:rsidRDefault="003C6AAB" w:rsidP="003C6AAB">
      <w:pPr>
        <w:pStyle w:val="NormalWeb"/>
        <w:ind w:left="785" w:hangingChars="327" w:hanging="785"/>
        <w:jc w:val="both"/>
      </w:pPr>
      <w:proofErr w:type="spellStart"/>
      <w:r w:rsidRPr="003C6AAB">
        <w:rPr>
          <w:color w:val="222222"/>
          <w:shd w:val="clear" w:color="auto" w:fill="FFFFFF"/>
        </w:rPr>
        <w:t>Onmonya</w:t>
      </w:r>
      <w:proofErr w:type="spellEnd"/>
      <w:r w:rsidRPr="003C6AAB">
        <w:rPr>
          <w:color w:val="222222"/>
          <w:shd w:val="clear" w:color="auto" w:fill="FFFFFF"/>
        </w:rPr>
        <w:t xml:space="preserve">, L. O., &amp; </w:t>
      </w:r>
      <w:proofErr w:type="spellStart"/>
      <w:r w:rsidRPr="003C6AAB">
        <w:rPr>
          <w:color w:val="222222"/>
          <w:shd w:val="clear" w:color="auto" w:fill="FFFFFF"/>
        </w:rPr>
        <w:t>Ebire</w:t>
      </w:r>
      <w:proofErr w:type="spellEnd"/>
      <w:r w:rsidRPr="003C6AAB">
        <w:rPr>
          <w:color w:val="222222"/>
          <w:shd w:val="clear" w:color="auto" w:fill="FFFFFF"/>
        </w:rPr>
        <w:t>, K. (2023). Audit committee characteristics and corporate performance: Evidence from listed conglomerates in Nigeria. </w:t>
      </w:r>
      <w:r w:rsidRPr="003C6AAB">
        <w:rPr>
          <w:i/>
          <w:iCs/>
          <w:color w:val="222222"/>
          <w:shd w:val="clear" w:color="auto" w:fill="FFFFFF"/>
        </w:rPr>
        <w:t>Asian Journal of Economics, Business and Accounting</w:t>
      </w:r>
      <w:r w:rsidRPr="003C6AAB">
        <w:rPr>
          <w:color w:val="222222"/>
          <w:shd w:val="clear" w:color="auto" w:fill="FFFFFF"/>
        </w:rPr>
        <w:t>, </w:t>
      </w:r>
      <w:r w:rsidRPr="003C6AAB">
        <w:rPr>
          <w:i/>
          <w:iCs/>
          <w:color w:val="222222"/>
          <w:shd w:val="clear" w:color="auto" w:fill="FFFFFF"/>
        </w:rPr>
        <w:t>23</w:t>
      </w:r>
      <w:r w:rsidRPr="003C6AAB">
        <w:rPr>
          <w:color w:val="222222"/>
          <w:shd w:val="clear" w:color="auto" w:fill="FFFFFF"/>
        </w:rPr>
        <w:t>(17), 113-121.</w:t>
      </w:r>
    </w:p>
    <w:p w:rsidR="003C6AAB" w:rsidRPr="003C6AAB" w:rsidRDefault="003C6AAB" w:rsidP="003C6AAB">
      <w:pPr>
        <w:pStyle w:val="NormalWeb"/>
        <w:ind w:left="785" w:hangingChars="327" w:hanging="785"/>
        <w:jc w:val="both"/>
      </w:pPr>
      <w:proofErr w:type="spellStart"/>
      <w:r w:rsidRPr="003C6AAB">
        <w:rPr>
          <w:color w:val="222222"/>
          <w:shd w:val="clear" w:color="auto" w:fill="FFFFFF"/>
        </w:rPr>
        <w:t>Oon</w:t>
      </w:r>
      <w:proofErr w:type="spellEnd"/>
      <w:r w:rsidRPr="003C6AAB">
        <w:rPr>
          <w:color w:val="222222"/>
          <w:shd w:val="clear" w:color="auto" w:fill="FFFFFF"/>
        </w:rPr>
        <w:t>, E. Y. N., Hossain, M. A., &amp; Yahaya, M. B. (2025). Board meeting frequency and firm performance: unpacking the moderating effects of monitoring and advisory roles. </w:t>
      </w:r>
      <w:r w:rsidRPr="003C6AAB">
        <w:rPr>
          <w:i/>
          <w:iCs/>
          <w:color w:val="222222"/>
          <w:shd w:val="clear" w:color="auto" w:fill="FFFFFF"/>
        </w:rPr>
        <w:t>Corporate Governance: The International Journal of Business in Society</w:t>
      </w:r>
      <w:r w:rsidRPr="003C6AAB">
        <w:rPr>
          <w:color w:val="222222"/>
          <w:shd w:val="clear" w:color="auto" w:fill="FFFFFF"/>
        </w:rPr>
        <w:t>.</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Style w:val="Strong"/>
          <w:rFonts w:ascii="Times New Roman" w:hAnsi="Times New Roman" w:cs="Times New Roman"/>
          <w:b w:val="0"/>
          <w:sz w:val="24"/>
          <w:szCs w:val="24"/>
        </w:rPr>
        <w:t>Peekate</w:t>
      </w:r>
      <w:proofErr w:type="spellEnd"/>
      <w:r w:rsidRPr="003C6AAB">
        <w:rPr>
          <w:rStyle w:val="Strong"/>
          <w:rFonts w:ascii="Times New Roman" w:hAnsi="Times New Roman" w:cs="Times New Roman"/>
          <w:b w:val="0"/>
          <w:sz w:val="24"/>
          <w:szCs w:val="24"/>
        </w:rPr>
        <w:t>, F. K.</w:t>
      </w:r>
      <w:r w:rsidRPr="003C6AAB">
        <w:rPr>
          <w:rFonts w:ascii="Times New Roman" w:hAnsi="Times New Roman" w:cs="Times New Roman"/>
          <w:sz w:val="24"/>
          <w:szCs w:val="24"/>
        </w:rPr>
        <w:t xml:space="preserve"> (2025). Audit committee size and quality of financial reporting of listed consumer’s goods manufacturing companies in Nigeria. </w:t>
      </w:r>
      <w:r w:rsidRPr="003C6AAB">
        <w:rPr>
          <w:rStyle w:val="Emphasis"/>
          <w:rFonts w:ascii="Times New Roman" w:hAnsi="Times New Roman" w:cs="Times New Roman"/>
          <w:sz w:val="24"/>
          <w:szCs w:val="24"/>
        </w:rPr>
        <w:t>BW Academic Journal, 2</w:t>
      </w:r>
      <w:r w:rsidRPr="003C6AAB">
        <w:rPr>
          <w:rFonts w:ascii="Times New Roman" w:hAnsi="Times New Roman" w:cs="Times New Roman"/>
          <w:sz w:val="24"/>
          <w:szCs w:val="24"/>
        </w:rPr>
        <w:t xml:space="preserve">, 51–68. </w:t>
      </w:r>
      <w:hyperlink r:id="rId6" w:tgtFrame="_new" w:history="1">
        <w:r w:rsidRPr="003C6AAB">
          <w:rPr>
            <w:rStyle w:val="Hyperlink"/>
            <w:rFonts w:ascii="Times New Roman" w:eastAsiaTheme="majorEastAsia" w:hAnsi="Times New Roman" w:cs="Times New Roman"/>
            <w:sz w:val="24"/>
            <w:szCs w:val="24"/>
          </w:rPr>
          <w:t>https://bwjournal.org/index.php/bsjournal/article/view/2959</w:t>
        </w:r>
      </w:hyperlink>
    </w:p>
    <w:p w:rsidR="003C6AAB" w:rsidRPr="003C6AAB" w:rsidRDefault="003C6AAB" w:rsidP="003C6AAB">
      <w:pPr>
        <w:pStyle w:val="NormalWeb"/>
        <w:ind w:left="785" w:hangingChars="327" w:hanging="785"/>
        <w:jc w:val="both"/>
      </w:pPr>
      <w:r w:rsidRPr="003C6AAB">
        <w:rPr>
          <w:rStyle w:val="Strong"/>
          <w:b w:val="0"/>
        </w:rPr>
        <w:t xml:space="preserve">Pfeffer, J., &amp; </w:t>
      </w:r>
      <w:proofErr w:type="spellStart"/>
      <w:r w:rsidRPr="003C6AAB">
        <w:rPr>
          <w:rStyle w:val="Strong"/>
          <w:b w:val="0"/>
        </w:rPr>
        <w:t>Salancik</w:t>
      </w:r>
      <w:proofErr w:type="spellEnd"/>
      <w:r w:rsidRPr="003C6AAB">
        <w:rPr>
          <w:rStyle w:val="Strong"/>
          <w:b w:val="0"/>
        </w:rPr>
        <w:t>, G. R</w:t>
      </w:r>
      <w:r w:rsidRPr="003C6AAB">
        <w:rPr>
          <w:rStyle w:val="Strong"/>
        </w:rPr>
        <w:t>.</w:t>
      </w:r>
      <w:r w:rsidRPr="003C6AAB">
        <w:t xml:space="preserve"> (1978). </w:t>
      </w:r>
      <w:r w:rsidRPr="003C6AAB">
        <w:rPr>
          <w:rStyle w:val="Emphasis"/>
        </w:rPr>
        <w:t>The external control of organizations: A resource dependence perspective</w:t>
      </w:r>
      <w:r w:rsidRPr="003C6AAB">
        <w:t xml:space="preserve">. University of Illinois at Urbana-Champaign's Academy for Entrepreneurial Leadership Historical Research Reference in Entrepreneurship. </w:t>
      </w:r>
      <w:hyperlink w:history="1">
        <w:r w:rsidRPr="003C6AAB">
          <w:rPr>
            <w:rStyle w:val="Hyperlink"/>
            <w:rFonts w:eastAsiaTheme="majorEastAsia"/>
          </w:rPr>
          <w:t>https:// ssrn.com/abstract=1496213</w:t>
        </w:r>
      </w:hyperlink>
      <w:r w:rsidRPr="003C6AAB">
        <w:t xml:space="preserve"> </w:t>
      </w:r>
    </w:p>
    <w:p w:rsidR="003C6AAB" w:rsidRPr="003C6AAB" w:rsidRDefault="003C6AAB" w:rsidP="003C6AAB">
      <w:pPr>
        <w:pStyle w:val="NormalWeb"/>
        <w:ind w:left="785" w:hangingChars="327" w:hanging="785"/>
        <w:jc w:val="both"/>
        <w:rPr>
          <w:color w:val="222222"/>
          <w:shd w:val="clear" w:color="auto" w:fill="FFFFFF"/>
        </w:rPr>
      </w:pPr>
      <w:r w:rsidRPr="003C6AAB">
        <w:rPr>
          <w:color w:val="222222"/>
          <w:shd w:val="clear" w:color="auto" w:fill="FFFFFF"/>
        </w:rPr>
        <w:t xml:space="preserve">Ryu, H., </w:t>
      </w:r>
      <w:proofErr w:type="spellStart"/>
      <w:r w:rsidRPr="003C6AAB">
        <w:rPr>
          <w:color w:val="222222"/>
          <w:shd w:val="clear" w:color="auto" w:fill="FFFFFF"/>
        </w:rPr>
        <w:t>Chae</w:t>
      </w:r>
      <w:proofErr w:type="spellEnd"/>
      <w:r w:rsidRPr="003C6AAB">
        <w:rPr>
          <w:color w:val="222222"/>
          <w:shd w:val="clear" w:color="auto" w:fill="FFFFFF"/>
        </w:rPr>
        <w:t xml:space="preserve">, S. J., &amp; Song, B. (2021). Corporate social responsibility, audit committee expertise, and financial reporting: Empirical evidence from </w:t>
      </w:r>
      <w:proofErr w:type="spellStart"/>
      <w:r w:rsidRPr="003C6AAB">
        <w:rPr>
          <w:color w:val="222222"/>
          <w:shd w:val="clear" w:color="auto" w:fill="FFFFFF"/>
        </w:rPr>
        <w:t>korea</w:t>
      </w:r>
      <w:proofErr w:type="spellEnd"/>
      <w:r w:rsidRPr="003C6AAB">
        <w:rPr>
          <w:color w:val="222222"/>
          <w:shd w:val="clear" w:color="auto" w:fill="FFFFFF"/>
        </w:rPr>
        <w:t>. </w:t>
      </w:r>
      <w:r w:rsidRPr="003C6AAB">
        <w:rPr>
          <w:i/>
          <w:iCs/>
          <w:color w:val="222222"/>
          <w:shd w:val="clear" w:color="auto" w:fill="FFFFFF"/>
        </w:rPr>
        <w:t>Sustainability</w:t>
      </w:r>
      <w:r w:rsidRPr="003C6AAB">
        <w:rPr>
          <w:color w:val="222222"/>
          <w:shd w:val="clear" w:color="auto" w:fill="FFFFFF"/>
        </w:rPr>
        <w:t>, </w:t>
      </w:r>
      <w:r w:rsidRPr="003C6AAB">
        <w:rPr>
          <w:i/>
          <w:iCs/>
          <w:color w:val="222222"/>
          <w:shd w:val="clear" w:color="auto" w:fill="FFFFFF"/>
        </w:rPr>
        <w:t>13</w:t>
      </w:r>
      <w:r w:rsidRPr="003C6AAB">
        <w:rPr>
          <w:color w:val="222222"/>
          <w:shd w:val="clear" w:color="auto" w:fill="FFFFFF"/>
        </w:rPr>
        <w:t>(19), 10517.</w:t>
      </w:r>
    </w:p>
    <w:p w:rsidR="003C6AAB" w:rsidRPr="003C6AAB" w:rsidRDefault="003C6AAB" w:rsidP="003C6AAB">
      <w:pPr>
        <w:pStyle w:val="NormalWeb"/>
        <w:ind w:left="785" w:hangingChars="327" w:hanging="785"/>
        <w:jc w:val="both"/>
      </w:pPr>
      <w:r w:rsidRPr="003C6AAB">
        <w:t xml:space="preserve">Safari </w:t>
      </w:r>
      <w:proofErr w:type="spellStart"/>
      <w:r w:rsidRPr="003C6AAB">
        <w:t>Gerayli</w:t>
      </w:r>
      <w:proofErr w:type="spellEnd"/>
      <w:r w:rsidRPr="003C6AAB">
        <w:t xml:space="preserve">, M., Rezaei </w:t>
      </w:r>
      <w:proofErr w:type="spellStart"/>
      <w:r w:rsidRPr="003C6AAB">
        <w:t>Pitenoei</w:t>
      </w:r>
      <w:proofErr w:type="spellEnd"/>
      <w:r w:rsidRPr="003C6AAB">
        <w:t xml:space="preserve">, Y., &amp; </w:t>
      </w:r>
      <w:proofErr w:type="spellStart"/>
      <w:r w:rsidRPr="003C6AAB">
        <w:t>Abdollahi</w:t>
      </w:r>
      <w:proofErr w:type="spellEnd"/>
      <w:r w:rsidRPr="003C6AAB">
        <w:t xml:space="preserve">, A. (2021). Do audit committee characteristics improve financial reporting quality in emerging markets? Evidence from Iran. </w:t>
      </w:r>
      <w:r w:rsidRPr="003C6AAB">
        <w:rPr>
          <w:i/>
        </w:rPr>
        <w:t>Asian Review of Accounting</w:t>
      </w:r>
      <w:r w:rsidRPr="003C6AAB">
        <w:t>, 29(2), 251-267.</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Salawu</w:t>
      </w:r>
      <w:proofErr w:type="spellEnd"/>
      <w:r w:rsidRPr="003C6AAB">
        <w:rPr>
          <w:rFonts w:ascii="Times New Roman" w:hAnsi="Times New Roman" w:cs="Times New Roman"/>
          <w:color w:val="222222"/>
          <w:sz w:val="24"/>
          <w:szCs w:val="24"/>
          <w:shd w:val="clear" w:color="auto" w:fill="FFFFFF"/>
        </w:rPr>
        <w:t xml:space="preserve">, M., Adeyemi, S., &amp; </w:t>
      </w:r>
      <w:proofErr w:type="spellStart"/>
      <w:r w:rsidRPr="003C6AAB">
        <w:rPr>
          <w:rFonts w:ascii="Times New Roman" w:hAnsi="Times New Roman" w:cs="Times New Roman"/>
          <w:color w:val="222222"/>
          <w:sz w:val="24"/>
          <w:szCs w:val="24"/>
          <w:shd w:val="clear" w:color="auto" w:fill="FFFFFF"/>
        </w:rPr>
        <w:t>Obigbemi</w:t>
      </w:r>
      <w:proofErr w:type="spellEnd"/>
      <w:r w:rsidRPr="003C6AAB">
        <w:rPr>
          <w:rFonts w:ascii="Times New Roman" w:hAnsi="Times New Roman" w:cs="Times New Roman"/>
          <w:color w:val="222222"/>
          <w:sz w:val="24"/>
          <w:szCs w:val="24"/>
          <w:shd w:val="clear" w:color="auto" w:fill="FFFFFF"/>
        </w:rPr>
        <w:t>, I. (2024). Directors’ compensation and earnings management practices: Evidence from the Nigerian Banking Sector. </w:t>
      </w:r>
      <w:r w:rsidRPr="003C6AAB">
        <w:rPr>
          <w:rFonts w:ascii="Times New Roman" w:hAnsi="Times New Roman" w:cs="Times New Roman"/>
          <w:i/>
          <w:iCs/>
          <w:color w:val="222222"/>
          <w:sz w:val="24"/>
          <w:szCs w:val="24"/>
          <w:shd w:val="clear" w:color="auto" w:fill="FFFFFF"/>
        </w:rPr>
        <w:t xml:space="preserve">International Journal of Business and </w:t>
      </w:r>
      <w:proofErr w:type="spellStart"/>
      <w:r w:rsidRPr="003C6AAB">
        <w:rPr>
          <w:rFonts w:ascii="Times New Roman" w:hAnsi="Times New Roman" w:cs="Times New Roman"/>
          <w:i/>
          <w:iCs/>
          <w:color w:val="222222"/>
          <w:sz w:val="24"/>
          <w:szCs w:val="24"/>
          <w:shd w:val="clear" w:color="auto" w:fill="FFFFFF"/>
        </w:rPr>
        <w:t>Technopreneurship</w:t>
      </w:r>
      <w:proofErr w:type="spellEnd"/>
      <w:r w:rsidRPr="003C6AAB">
        <w:rPr>
          <w:rFonts w:ascii="Times New Roman" w:hAnsi="Times New Roman" w:cs="Times New Roman"/>
          <w:i/>
          <w:iCs/>
          <w:color w:val="222222"/>
          <w:sz w:val="24"/>
          <w:szCs w:val="24"/>
          <w:shd w:val="clear" w:color="auto" w:fill="FFFFFF"/>
        </w:rPr>
        <w:t xml:space="preserve"> (IJBT)</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14</w:t>
      </w:r>
      <w:r w:rsidRPr="003C6AAB">
        <w:rPr>
          <w:rFonts w:ascii="Times New Roman" w:hAnsi="Times New Roman" w:cs="Times New Roman"/>
          <w:color w:val="222222"/>
          <w:sz w:val="24"/>
          <w:szCs w:val="24"/>
          <w:shd w:val="clear" w:color="auto" w:fill="FFFFFF"/>
        </w:rPr>
        <w:t>(1), 63-78.</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Sohail</w:t>
      </w:r>
      <w:proofErr w:type="spellEnd"/>
      <w:r w:rsidRPr="003C6AAB">
        <w:rPr>
          <w:rFonts w:ascii="Times New Roman" w:hAnsi="Times New Roman" w:cs="Times New Roman"/>
          <w:color w:val="222222"/>
          <w:sz w:val="24"/>
          <w:szCs w:val="24"/>
          <w:shd w:val="clear" w:color="auto" w:fill="FFFFFF"/>
        </w:rPr>
        <w:t>, M., &amp; Aziz, B. (2019). Impact of financial reporting quality on firm’s financial performance. </w:t>
      </w:r>
      <w:r w:rsidRPr="003C6AAB">
        <w:rPr>
          <w:rFonts w:ascii="Times New Roman" w:hAnsi="Times New Roman" w:cs="Times New Roman"/>
          <w:i/>
          <w:iCs/>
          <w:color w:val="222222"/>
          <w:sz w:val="24"/>
          <w:szCs w:val="24"/>
          <w:shd w:val="clear" w:color="auto" w:fill="FFFFFF"/>
        </w:rPr>
        <w:t>GSJ</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7</w:t>
      </w:r>
      <w:r w:rsidRPr="003C6AAB">
        <w:rPr>
          <w:rFonts w:ascii="Times New Roman" w:hAnsi="Times New Roman" w:cs="Times New Roman"/>
          <w:color w:val="222222"/>
          <w:sz w:val="24"/>
          <w:szCs w:val="24"/>
          <w:shd w:val="clear" w:color="auto" w:fill="FFFFFF"/>
        </w:rPr>
        <w:t>(7), 468-481.</w:t>
      </w:r>
    </w:p>
    <w:p w:rsidR="003C6AAB" w:rsidRPr="003C6AAB" w:rsidRDefault="003C6AAB" w:rsidP="003C6AAB">
      <w:pPr>
        <w:spacing w:line="240" w:lineRule="auto"/>
        <w:ind w:left="785" w:hangingChars="327" w:hanging="785"/>
        <w:jc w:val="both"/>
        <w:rPr>
          <w:rStyle w:val="Strong"/>
          <w:rFonts w:ascii="Times New Roman" w:hAnsi="Times New Roman" w:cs="Times New Roman"/>
          <w:b w:val="0"/>
          <w:sz w:val="24"/>
          <w:szCs w:val="24"/>
        </w:rPr>
      </w:pPr>
      <w:r w:rsidRPr="003C6AAB">
        <w:rPr>
          <w:rStyle w:val="Strong"/>
          <w:rFonts w:ascii="Times New Roman" w:hAnsi="Times New Roman" w:cs="Times New Roman"/>
          <w:b w:val="0"/>
          <w:sz w:val="24"/>
          <w:szCs w:val="24"/>
        </w:rPr>
        <w:t xml:space="preserve">Ullah, I., Zhao, Q., Zeb, A., Iqbal, A., &amp; </w:t>
      </w:r>
      <w:proofErr w:type="spellStart"/>
      <w:r w:rsidRPr="003C6AAB">
        <w:rPr>
          <w:rStyle w:val="Strong"/>
          <w:rFonts w:ascii="Times New Roman" w:hAnsi="Times New Roman" w:cs="Times New Roman"/>
          <w:b w:val="0"/>
          <w:sz w:val="24"/>
          <w:szCs w:val="24"/>
        </w:rPr>
        <w:t>Arif</w:t>
      </w:r>
      <w:proofErr w:type="spellEnd"/>
      <w:r w:rsidRPr="003C6AAB">
        <w:rPr>
          <w:rStyle w:val="Strong"/>
          <w:rFonts w:ascii="Times New Roman" w:hAnsi="Times New Roman" w:cs="Times New Roman"/>
          <w:b w:val="0"/>
          <w:sz w:val="24"/>
          <w:szCs w:val="24"/>
        </w:rPr>
        <w:t xml:space="preserve"> Khan, M. (2023). Board diversity and financial reporting quality: evidence from China. </w:t>
      </w:r>
      <w:r w:rsidRPr="003C6AAB">
        <w:rPr>
          <w:rStyle w:val="Strong"/>
          <w:rFonts w:ascii="Times New Roman" w:hAnsi="Times New Roman" w:cs="Times New Roman"/>
          <w:b w:val="0"/>
          <w:i/>
          <w:sz w:val="24"/>
          <w:szCs w:val="24"/>
        </w:rPr>
        <w:t>Economic research-</w:t>
      </w:r>
      <w:proofErr w:type="spellStart"/>
      <w:r w:rsidRPr="003C6AAB">
        <w:rPr>
          <w:rStyle w:val="Strong"/>
          <w:rFonts w:ascii="Times New Roman" w:hAnsi="Times New Roman" w:cs="Times New Roman"/>
          <w:b w:val="0"/>
          <w:i/>
          <w:sz w:val="24"/>
          <w:szCs w:val="24"/>
        </w:rPr>
        <w:t>Ekonomska</w:t>
      </w:r>
      <w:proofErr w:type="spellEnd"/>
      <w:r w:rsidRPr="003C6AAB">
        <w:rPr>
          <w:rStyle w:val="Strong"/>
          <w:rFonts w:ascii="Times New Roman" w:hAnsi="Times New Roman" w:cs="Times New Roman"/>
          <w:b w:val="0"/>
          <w:i/>
          <w:sz w:val="24"/>
          <w:szCs w:val="24"/>
        </w:rPr>
        <w:t xml:space="preserve"> </w:t>
      </w:r>
      <w:proofErr w:type="spellStart"/>
      <w:r w:rsidRPr="003C6AAB">
        <w:rPr>
          <w:rStyle w:val="Strong"/>
          <w:rFonts w:ascii="Times New Roman" w:hAnsi="Times New Roman" w:cs="Times New Roman"/>
          <w:b w:val="0"/>
          <w:i/>
          <w:sz w:val="24"/>
          <w:szCs w:val="24"/>
        </w:rPr>
        <w:t>istraživanja</w:t>
      </w:r>
      <w:proofErr w:type="spellEnd"/>
      <w:r w:rsidRPr="003C6AAB">
        <w:rPr>
          <w:rStyle w:val="Strong"/>
          <w:rFonts w:ascii="Times New Roman" w:hAnsi="Times New Roman" w:cs="Times New Roman"/>
          <w:b w:val="0"/>
          <w:sz w:val="24"/>
          <w:szCs w:val="24"/>
        </w:rPr>
        <w:t>, 36(2), 1-14.</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Style w:val="Strong"/>
          <w:rFonts w:ascii="Times New Roman" w:hAnsi="Times New Roman" w:cs="Times New Roman"/>
          <w:b w:val="0"/>
          <w:sz w:val="24"/>
          <w:szCs w:val="24"/>
        </w:rPr>
        <w:t>Uttley</w:t>
      </w:r>
      <w:proofErr w:type="spellEnd"/>
      <w:r w:rsidRPr="003C6AAB">
        <w:rPr>
          <w:rStyle w:val="Strong"/>
          <w:rFonts w:ascii="Times New Roman" w:hAnsi="Times New Roman" w:cs="Times New Roman"/>
          <w:b w:val="0"/>
          <w:sz w:val="24"/>
          <w:szCs w:val="24"/>
        </w:rPr>
        <w:t>, J.</w:t>
      </w:r>
      <w:r w:rsidRPr="003C6AAB">
        <w:rPr>
          <w:rFonts w:ascii="Times New Roman" w:hAnsi="Times New Roman" w:cs="Times New Roman"/>
          <w:sz w:val="24"/>
          <w:szCs w:val="24"/>
        </w:rPr>
        <w:t xml:space="preserve"> (2019). Power analysis, sample size, and assessment of statistical assumptions—Improving the evidential value of lighting research. </w:t>
      </w:r>
      <w:r w:rsidRPr="003C6AAB">
        <w:rPr>
          <w:rStyle w:val="Emphasis"/>
          <w:rFonts w:ascii="Times New Roman" w:hAnsi="Times New Roman" w:cs="Times New Roman"/>
          <w:sz w:val="24"/>
          <w:szCs w:val="24"/>
        </w:rPr>
        <w:t>LEUKOS, 15</w:t>
      </w:r>
      <w:r w:rsidRPr="003C6AAB">
        <w:rPr>
          <w:rFonts w:ascii="Times New Roman" w:hAnsi="Times New Roman" w:cs="Times New Roman"/>
          <w:sz w:val="24"/>
          <w:szCs w:val="24"/>
        </w:rPr>
        <w:t xml:space="preserve">(2-3), 143–162. </w:t>
      </w:r>
      <w:hyperlink r:id="rId7" w:history="1">
        <w:r w:rsidRPr="003C6AAB">
          <w:rPr>
            <w:rStyle w:val="Hyperlink"/>
            <w:rFonts w:ascii="Times New Roman" w:hAnsi="Times New Roman" w:cs="Times New Roman"/>
            <w:sz w:val="24"/>
            <w:szCs w:val="24"/>
          </w:rPr>
          <w:t>https://doi.org/10.1080/15502724.2018.1533851</w:t>
        </w:r>
      </w:hyperlink>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proofErr w:type="spellStart"/>
      <w:r w:rsidRPr="003C6AAB">
        <w:rPr>
          <w:rFonts w:ascii="Times New Roman" w:hAnsi="Times New Roman" w:cs="Times New Roman"/>
          <w:color w:val="222222"/>
          <w:sz w:val="24"/>
          <w:szCs w:val="24"/>
          <w:shd w:val="clear" w:color="auto" w:fill="FFFFFF"/>
        </w:rPr>
        <w:t>Vafeas</w:t>
      </w:r>
      <w:proofErr w:type="spellEnd"/>
      <w:r w:rsidRPr="003C6AAB">
        <w:rPr>
          <w:rFonts w:ascii="Times New Roman" w:hAnsi="Times New Roman" w:cs="Times New Roman"/>
          <w:color w:val="222222"/>
          <w:sz w:val="24"/>
          <w:szCs w:val="24"/>
          <w:shd w:val="clear" w:color="auto" w:fill="FFFFFF"/>
        </w:rPr>
        <w:t xml:space="preserve">, N., &amp; </w:t>
      </w:r>
      <w:proofErr w:type="spellStart"/>
      <w:r w:rsidRPr="003C6AAB">
        <w:rPr>
          <w:rFonts w:ascii="Times New Roman" w:hAnsi="Times New Roman" w:cs="Times New Roman"/>
          <w:color w:val="222222"/>
          <w:sz w:val="24"/>
          <w:szCs w:val="24"/>
          <w:shd w:val="clear" w:color="auto" w:fill="FFFFFF"/>
        </w:rPr>
        <w:t>Vlittis</w:t>
      </w:r>
      <w:proofErr w:type="spellEnd"/>
      <w:r w:rsidRPr="003C6AAB">
        <w:rPr>
          <w:rFonts w:ascii="Times New Roman" w:hAnsi="Times New Roman" w:cs="Times New Roman"/>
          <w:color w:val="222222"/>
          <w:sz w:val="24"/>
          <w:szCs w:val="24"/>
          <w:shd w:val="clear" w:color="auto" w:fill="FFFFFF"/>
        </w:rPr>
        <w:t>, A. (2024). Earnings quality and board meeting frequency. </w:t>
      </w:r>
      <w:r w:rsidRPr="003C6AAB">
        <w:rPr>
          <w:rFonts w:ascii="Times New Roman" w:hAnsi="Times New Roman" w:cs="Times New Roman"/>
          <w:i/>
          <w:iCs/>
          <w:color w:val="222222"/>
          <w:sz w:val="24"/>
          <w:szCs w:val="24"/>
          <w:shd w:val="clear" w:color="auto" w:fill="FFFFFF"/>
        </w:rPr>
        <w:t>Review of Quantitative Finance and Accounting</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62</w:t>
      </w:r>
      <w:r w:rsidRPr="003C6AAB">
        <w:rPr>
          <w:rFonts w:ascii="Times New Roman" w:hAnsi="Times New Roman" w:cs="Times New Roman"/>
          <w:color w:val="222222"/>
          <w:sz w:val="24"/>
          <w:szCs w:val="24"/>
          <w:shd w:val="clear" w:color="auto" w:fill="FFFFFF"/>
        </w:rPr>
        <w:t>(3), 1037-1067.</w:t>
      </w:r>
    </w:p>
    <w:p w:rsidR="003C6AAB" w:rsidRPr="003C6AAB" w:rsidRDefault="003C6AAB" w:rsidP="003C6AAB">
      <w:pPr>
        <w:spacing w:line="240" w:lineRule="auto"/>
        <w:ind w:left="785" w:hangingChars="327" w:hanging="785"/>
        <w:jc w:val="both"/>
        <w:rPr>
          <w:rFonts w:ascii="Times New Roman" w:hAnsi="Times New Roman" w:cs="Times New Roman"/>
          <w:color w:val="222222"/>
          <w:sz w:val="24"/>
          <w:szCs w:val="24"/>
          <w:shd w:val="clear" w:color="auto" w:fill="FFFFFF"/>
        </w:rPr>
      </w:pPr>
      <w:r w:rsidRPr="003C6AAB">
        <w:rPr>
          <w:rFonts w:ascii="Times New Roman" w:hAnsi="Times New Roman" w:cs="Times New Roman"/>
          <w:color w:val="222222"/>
          <w:sz w:val="24"/>
          <w:szCs w:val="24"/>
          <w:shd w:val="clear" w:color="auto" w:fill="FFFFFF"/>
        </w:rPr>
        <w:lastRenderedPageBreak/>
        <w:t xml:space="preserve">Wan Mohammad, W. M., &amp; </w:t>
      </w:r>
      <w:proofErr w:type="spellStart"/>
      <w:r w:rsidRPr="003C6AAB">
        <w:rPr>
          <w:rFonts w:ascii="Times New Roman" w:hAnsi="Times New Roman" w:cs="Times New Roman"/>
          <w:color w:val="222222"/>
          <w:sz w:val="24"/>
          <w:szCs w:val="24"/>
          <w:shd w:val="clear" w:color="auto" w:fill="FFFFFF"/>
        </w:rPr>
        <w:t>Wasiuzzaman</w:t>
      </w:r>
      <w:proofErr w:type="spellEnd"/>
      <w:r w:rsidRPr="003C6AAB">
        <w:rPr>
          <w:rFonts w:ascii="Times New Roman" w:hAnsi="Times New Roman" w:cs="Times New Roman"/>
          <w:color w:val="222222"/>
          <w:sz w:val="24"/>
          <w:szCs w:val="24"/>
          <w:shd w:val="clear" w:color="auto" w:fill="FFFFFF"/>
        </w:rPr>
        <w:t>, S. (2020). Effect of audit committee independence, board ethnicity and family ownership on earnings management in Malaysia. </w:t>
      </w:r>
      <w:r w:rsidRPr="003C6AAB">
        <w:rPr>
          <w:rFonts w:ascii="Times New Roman" w:hAnsi="Times New Roman" w:cs="Times New Roman"/>
          <w:i/>
          <w:iCs/>
          <w:color w:val="222222"/>
          <w:sz w:val="24"/>
          <w:szCs w:val="24"/>
          <w:shd w:val="clear" w:color="auto" w:fill="FFFFFF"/>
        </w:rPr>
        <w:t>Journal of Accounting in Emerging Economies</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10</w:t>
      </w:r>
      <w:r w:rsidRPr="003C6AAB">
        <w:rPr>
          <w:rFonts w:ascii="Times New Roman" w:hAnsi="Times New Roman" w:cs="Times New Roman"/>
          <w:color w:val="222222"/>
          <w:sz w:val="24"/>
          <w:szCs w:val="24"/>
          <w:shd w:val="clear" w:color="auto" w:fill="FFFFFF"/>
        </w:rPr>
        <w:t>(1), 74-99.</w:t>
      </w:r>
    </w:p>
    <w:p w:rsidR="003C6AAB" w:rsidRPr="00D514B6" w:rsidRDefault="003C6AAB" w:rsidP="003C6AAB">
      <w:pPr>
        <w:spacing w:line="240" w:lineRule="auto"/>
        <w:ind w:left="785" w:hangingChars="327" w:hanging="785"/>
        <w:jc w:val="both"/>
        <w:rPr>
          <w:rFonts w:ascii="Times New Roman" w:hAnsi="Times New Roman" w:cs="Times New Roman"/>
          <w:sz w:val="24"/>
          <w:szCs w:val="24"/>
        </w:rPr>
      </w:pPr>
      <w:proofErr w:type="spellStart"/>
      <w:r w:rsidRPr="003C6AAB">
        <w:rPr>
          <w:rFonts w:ascii="Times New Roman" w:hAnsi="Times New Roman" w:cs="Times New Roman"/>
          <w:color w:val="222222"/>
          <w:sz w:val="24"/>
          <w:szCs w:val="24"/>
          <w:shd w:val="clear" w:color="auto" w:fill="FFFFFF"/>
        </w:rPr>
        <w:t>Yawuri</w:t>
      </w:r>
      <w:proofErr w:type="spellEnd"/>
      <w:r w:rsidRPr="003C6AAB">
        <w:rPr>
          <w:rFonts w:ascii="Times New Roman" w:hAnsi="Times New Roman" w:cs="Times New Roman"/>
          <w:color w:val="222222"/>
          <w:sz w:val="24"/>
          <w:szCs w:val="24"/>
          <w:shd w:val="clear" w:color="auto" w:fill="FFFFFF"/>
        </w:rPr>
        <w:t xml:space="preserve">, A. N., </w:t>
      </w:r>
      <w:proofErr w:type="spellStart"/>
      <w:r w:rsidRPr="003C6AAB">
        <w:rPr>
          <w:rFonts w:ascii="Times New Roman" w:hAnsi="Times New Roman" w:cs="Times New Roman"/>
          <w:color w:val="222222"/>
          <w:sz w:val="24"/>
          <w:szCs w:val="24"/>
          <w:shd w:val="clear" w:color="auto" w:fill="FFFFFF"/>
        </w:rPr>
        <w:t>Kighir</w:t>
      </w:r>
      <w:proofErr w:type="spellEnd"/>
      <w:r w:rsidRPr="003C6AAB">
        <w:rPr>
          <w:rFonts w:ascii="Times New Roman" w:hAnsi="Times New Roman" w:cs="Times New Roman"/>
          <w:color w:val="222222"/>
          <w:sz w:val="24"/>
          <w:szCs w:val="24"/>
          <w:shd w:val="clear" w:color="auto" w:fill="FFFFFF"/>
        </w:rPr>
        <w:t xml:space="preserve">, A. E., </w:t>
      </w:r>
      <w:proofErr w:type="spellStart"/>
      <w:r w:rsidRPr="003C6AAB">
        <w:rPr>
          <w:rFonts w:ascii="Times New Roman" w:hAnsi="Times New Roman" w:cs="Times New Roman"/>
          <w:color w:val="222222"/>
          <w:sz w:val="24"/>
          <w:szCs w:val="24"/>
          <w:shd w:val="clear" w:color="auto" w:fill="FFFFFF"/>
        </w:rPr>
        <w:t>Bugaje</w:t>
      </w:r>
      <w:proofErr w:type="spellEnd"/>
      <w:r w:rsidRPr="003C6AAB">
        <w:rPr>
          <w:rFonts w:ascii="Times New Roman" w:hAnsi="Times New Roman" w:cs="Times New Roman"/>
          <w:color w:val="222222"/>
          <w:sz w:val="24"/>
          <w:szCs w:val="24"/>
          <w:shd w:val="clear" w:color="auto" w:fill="FFFFFF"/>
        </w:rPr>
        <w:t xml:space="preserve">, S. Y., &amp; </w:t>
      </w:r>
      <w:proofErr w:type="spellStart"/>
      <w:r w:rsidRPr="003C6AAB">
        <w:rPr>
          <w:rFonts w:ascii="Times New Roman" w:hAnsi="Times New Roman" w:cs="Times New Roman"/>
          <w:color w:val="222222"/>
          <w:sz w:val="24"/>
          <w:szCs w:val="24"/>
          <w:shd w:val="clear" w:color="auto" w:fill="FFFFFF"/>
        </w:rPr>
        <w:t>Obeitoh</w:t>
      </w:r>
      <w:proofErr w:type="spellEnd"/>
      <w:r w:rsidRPr="003C6AAB">
        <w:rPr>
          <w:rFonts w:ascii="Times New Roman" w:hAnsi="Times New Roman" w:cs="Times New Roman"/>
          <w:color w:val="222222"/>
          <w:sz w:val="24"/>
          <w:szCs w:val="24"/>
          <w:shd w:val="clear" w:color="auto" w:fill="FFFFFF"/>
        </w:rPr>
        <w:t>, O. O. (2024). Audit and board committee expertise and financial statement fraud among listed oil and gas firms in Nigeria. </w:t>
      </w:r>
      <w:r w:rsidRPr="003C6AAB">
        <w:rPr>
          <w:rFonts w:ascii="Times New Roman" w:hAnsi="Times New Roman" w:cs="Times New Roman"/>
          <w:i/>
          <w:iCs/>
          <w:color w:val="222222"/>
          <w:sz w:val="24"/>
          <w:szCs w:val="24"/>
          <w:shd w:val="clear" w:color="auto" w:fill="FFFFFF"/>
        </w:rPr>
        <w:t>FUDMA Journal of Accounting and Finance Research [FUJAFR]</w:t>
      </w:r>
      <w:r w:rsidRPr="003C6AAB">
        <w:rPr>
          <w:rFonts w:ascii="Times New Roman" w:hAnsi="Times New Roman" w:cs="Times New Roman"/>
          <w:color w:val="222222"/>
          <w:sz w:val="24"/>
          <w:szCs w:val="24"/>
          <w:shd w:val="clear" w:color="auto" w:fill="FFFFFF"/>
        </w:rPr>
        <w:t>, </w:t>
      </w:r>
      <w:r w:rsidRPr="003C6AAB">
        <w:rPr>
          <w:rFonts w:ascii="Times New Roman" w:hAnsi="Times New Roman" w:cs="Times New Roman"/>
          <w:i/>
          <w:iCs/>
          <w:color w:val="222222"/>
          <w:sz w:val="24"/>
          <w:szCs w:val="24"/>
          <w:shd w:val="clear" w:color="auto" w:fill="FFFFFF"/>
        </w:rPr>
        <w:t>2</w:t>
      </w:r>
      <w:r w:rsidRPr="003C6AAB">
        <w:rPr>
          <w:rFonts w:ascii="Times New Roman" w:hAnsi="Times New Roman" w:cs="Times New Roman"/>
          <w:color w:val="222222"/>
          <w:sz w:val="24"/>
          <w:szCs w:val="24"/>
          <w:shd w:val="clear" w:color="auto" w:fill="FFFFFF"/>
        </w:rPr>
        <w:t>(2), 95-104.</w:t>
      </w:r>
    </w:p>
    <w:p w:rsidR="007F3415" w:rsidRDefault="007F3415"/>
    <w:sectPr w:rsidR="007F3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AAB"/>
    <w:rsid w:val="003C6AAB"/>
    <w:rsid w:val="007F3415"/>
    <w:rsid w:val="00D6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E79A"/>
  <w15:docId w15:val="{464E8909-33A3-4966-B1A0-451E9168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A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AAB"/>
    <w:rPr>
      <w:b/>
      <w:bCs/>
    </w:rPr>
  </w:style>
  <w:style w:type="character" w:styleId="Emphasis">
    <w:name w:val="Emphasis"/>
    <w:basedOn w:val="DefaultParagraphFont"/>
    <w:uiPriority w:val="20"/>
    <w:qFormat/>
    <w:rsid w:val="003C6AAB"/>
    <w:rPr>
      <w:i/>
      <w:iCs/>
    </w:rPr>
  </w:style>
  <w:style w:type="character" w:styleId="Hyperlink">
    <w:name w:val="Hyperlink"/>
    <w:basedOn w:val="DefaultParagraphFont"/>
    <w:uiPriority w:val="99"/>
    <w:unhideWhenUsed/>
    <w:rsid w:val="003C6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0/15502724.2018.15338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wjournal.org/index.php/bsjournal/article/view/2959" TargetMode="External"/><Relationship Id="rId5" Type="http://schemas.openxmlformats.org/officeDocument/2006/relationships/hyperlink" Target="https://doi.org/10.1016/0304-405X(76)90026-X" TargetMode="External"/><Relationship Id="rId4" Type="http://schemas.openxmlformats.org/officeDocument/2006/relationships/hyperlink" Target="https://doi.org/10.22495/rgcv14i3p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4872</Words>
  <Characters>27773</Characters>
  <Application>Microsoft Office Word</Application>
  <DocSecurity>0</DocSecurity>
  <Lines>231</Lines>
  <Paragraphs>65</Paragraphs>
  <ScaleCrop>false</ScaleCrop>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FASUA</dc:creator>
  <cp:lastModifiedBy>SDI 1186</cp:lastModifiedBy>
  <cp:revision>2</cp:revision>
  <dcterms:created xsi:type="dcterms:W3CDTF">2025-10-25T19:38:00Z</dcterms:created>
  <dcterms:modified xsi:type="dcterms:W3CDTF">2025-10-27T11:32:00Z</dcterms:modified>
</cp:coreProperties>
</file>