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3E15" w14:textId="3ED9348F" w:rsidR="00FA2E45" w:rsidRDefault="004079FA" w:rsidP="00D37C9A">
      <w:pPr>
        <w:spacing w:after="0"/>
        <w:jc w:val="center"/>
        <w:rPr>
          <w:rFonts w:ascii="Times New Roman" w:hAnsi="Times New Roman" w:cs="Times New Roman"/>
          <w:b/>
        </w:rPr>
      </w:pPr>
      <w:r w:rsidRPr="008D1642">
        <w:rPr>
          <w:rFonts w:ascii="Times New Roman" w:hAnsi="Times New Roman" w:cs="Times New Roman"/>
          <w:b/>
        </w:rPr>
        <w:t>Does Energy Consumption Reduce Poverty Level</w:t>
      </w:r>
      <w:r w:rsidR="00305800" w:rsidRPr="008D1642">
        <w:rPr>
          <w:rFonts w:ascii="Times New Roman" w:hAnsi="Times New Roman" w:cs="Times New Roman"/>
          <w:b/>
        </w:rPr>
        <w:t>?</w:t>
      </w:r>
      <w:r w:rsidRPr="008D1642">
        <w:rPr>
          <w:rFonts w:ascii="Times New Roman" w:hAnsi="Times New Roman" w:cs="Times New Roman"/>
          <w:b/>
        </w:rPr>
        <w:t xml:space="preserve"> An Empirical Evidence from Nigeria</w:t>
      </w:r>
    </w:p>
    <w:p w14:paraId="2DC22918" w14:textId="0CAF3AB7" w:rsidR="000905FC" w:rsidRDefault="000905FC" w:rsidP="00D37C9A">
      <w:pPr>
        <w:spacing w:after="0"/>
        <w:jc w:val="center"/>
        <w:rPr>
          <w:rFonts w:ascii="Times New Roman" w:hAnsi="Times New Roman" w:cs="Times New Roman"/>
          <w:b/>
        </w:rPr>
      </w:pPr>
    </w:p>
    <w:p w14:paraId="50646990" w14:textId="7ECB8599" w:rsidR="000905FC" w:rsidRDefault="000905FC" w:rsidP="00D37C9A">
      <w:pPr>
        <w:spacing w:after="0"/>
        <w:jc w:val="center"/>
        <w:rPr>
          <w:rFonts w:ascii="Times New Roman" w:hAnsi="Times New Roman" w:cs="Times New Roman"/>
          <w:b/>
        </w:rPr>
      </w:pPr>
    </w:p>
    <w:p w14:paraId="7CAD2349" w14:textId="2808AD94" w:rsidR="000F4E91" w:rsidRPr="000F4E91" w:rsidRDefault="000F4E91" w:rsidP="00D37C9A">
      <w:pPr>
        <w:spacing w:after="0"/>
        <w:jc w:val="center"/>
        <w:rPr>
          <w:rFonts w:ascii="Times New Roman" w:hAnsi="Times New Roman" w:cs="Times New Roman"/>
          <w:bCs/>
        </w:rPr>
      </w:pPr>
      <w:r w:rsidRPr="000F4E91">
        <w:rPr>
          <w:rFonts w:ascii="Times New Roman" w:hAnsi="Times New Roman" w:cs="Times New Roman"/>
          <w:bCs/>
        </w:rPr>
        <w:t>.</w:t>
      </w:r>
    </w:p>
    <w:p w14:paraId="18BEBB2D" w14:textId="5A9B4AC2" w:rsidR="00FA2E45" w:rsidRPr="00D37C9A" w:rsidRDefault="00576ABD" w:rsidP="00D37C9A">
      <w:pPr>
        <w:spacing w:after="0"/>
        <w:rPr>
          <w:rFonts w:ascii="Times New Roman" w:hAnsi="Times New Roman" w:cs="Times New Roman"/>
          <w:bCs/>
        </w:rPr>
      </w:pPr>
      <w:r w:rsidRPr="00D37C9A">
        <w:rPr>
          <w:rFonts w:ascii="Times New Roman" w:hAnsi="Times New Roman" w:cs="Times New Roman"/>
          <w:bCs/>
        </w:rPr>
        <w:t xml:space="preserve">                                                                       </w:t>
      </w:r>
    </w:p>
    <w:p w14:paraId="1A9824E0" w14:textId="77777777" w:rsidR="00FA2E45" w:rsidRPr="00D37C9A" w:rsidRDefault="00FA2E45" w:rsidP="00D37C9A">
      <w:pPr>
        <w:spacing w:after="0"/>
        <w:rPr>
          <w:rFonts w:ascii="Times New Roman" w:hAnsi="Times New Roman" w:cs="Times New Roman"/>
          <w:b/>
        </w:rPr>
      </w:pPr>
    </w:p>
    <w:p w14:paraId="7CEE3A9C" w14:textId="77777777" w:rsidR="004079FA" w:rsidRPr="00D37C9A" w:rsidRDefault="004079FA" w:rsidP="00D37C9A">
      <w:pPr>
        <w:spacing w:after="0"/>
        <w:jc w:val="center"/>
        <w:rPr>
          <w:rFonts w:ascii="Times New Roman" w:hAnsi="Times New Roman" w:cs="Times New Roman"/>
          <w:b/>
        </w:rPr>
      </w:pPr>
      <w:bookmarkStart w:id="0" w:name="_Hlk205172361"/>
    </w:p>
    <w:p w14:paraId="08FFC3CB" w14:textId="0CE65F99" w:rsidR="00FA2E45" w:rsidRPr="00D37C9A" w:rsidRDefault="00FA2E45" w:rsidP="00D37C9A">
      <w:pPr>
        <w:spacing w:after="0"/>
        <w:jc w:val="center"/>
        <w:rPr>
          <w:rFonts w:ascii="Times New Roman" w:hAnsi="Times New Roman" w:cs="Times New Roman"/>
          <w:b/>
        </w:rPr>
      </w:pPr>
      <w:r w:rsidRPr="00D37C9A">
        <w:rPr>
          <w:rFonts w:ascii="Times New Roman" w:hAnsi="Times New Roman" w:cs="Times New Roman"/>
          <w:b/>
        </w:rPr>
        <w:t>Abstract</w:t>
      </w:r>
    </w:p>
    <w:bookmarkEnd w:id="0"/>
    <w:p w14:paraId="5706FB9E" w14:textId="1C15B853" w:rsidR="00FA2E45" w:rsidRPr="00D37C9A" w:rsidRDefault="001B3FA5" w:rsidP="00D37C9A">
      <w:pPr>
        <w:spacing w:after="0"/>
        <w:jc w:val="both"/>
        <w:rPr>
          <w:rFonts w:ascii="Times New Roman" w:hAnsi="Times New Roman" w:cs="Times New Roman"/>
        </w:rPr>
      </w:pPr>
      <w:r>
        <w:rPr>
          <w:rFonts w:ascii="Times New Roman" w:hAnsi="Times New Roman" w:cs="Times New Roman"/>
        </w:rPr>
        <w:t>The rising energy price and poverty level in Nigeria make it imperative to examine how energy consumption has affected poverty in Nigeria</w:t>
      </w:r>
      <w:r w:rsidR="00D23A14" w:rsidRPr="00D37C9A">
        <w:rPr>
          <w:rFonts w:ascii="Times New Roman" w:hAnsi="Times New Roman" w:cs="Times New Roman"/>
        </w:rPr>
        <w:t>.</w:t>
      </w:r>
      <w:r w:rsidR="002E170C" w:rsidRPr="00D37C9A">
        <w:rPr>
          <w:rFonts w:ascii="Times New Roman" w:hAnsi="Times New Roman" w:cs="Times New Roman"/>
        </w:rPr>
        <w:t xml:space="preserve"> To achieved the purpose of the study,</w:t>
      </w:r>
      <w:r w:rsidR="00FA2E45" w:rsidRPr="00D37C9A">
        <w:rPr>
          <w:rFonts w:ascii="Times New Roman" w:hAnsi="Times New Roman" w:cs="Times New Roman"/>
        </w:rPr>
        <w:t xml:space="preserve"> Automotive gas oil (AGO) consumption</w:t>
      </w:r>
      <w:r w:rsidR="00FA2E45" w:rsidRPr="00D37C9A">
        <w:rPr>
          <w:rFonts w:ascii="Times New Roman" w:hAnsi="Times New Roman" w:cs="Times New Roman"/>
          <w:bCs/>
        </w:rPr>
        <w:t xml:space="preserve">, </w:t>
      </w:r>
      <w:r w:rsidR="00FA2E45" w:rsidRPr="00D37C9A">
        <w:rPr>
          <w:rFonts w:ascii="Times New Roman" w:hAnsi="Times New Roman" w:cs="Times New Roman"/>
        </w:rPr>
        <w:t xml:space="preserve">premium motor spirit (PMS) consumption, solar energy consumption, hydropower energy and natural gas-to-power consumption were </w:t>
      </w:r>
      <w:r w:rsidR="00D23A14" w:rsidRPr="00D37C9A">
        <w:rPr>
          <w:rFonts w:ascii="Times New Roman" w:hAnsi="Times New Roman" w:cs="Times New Roman"/>
        </w:rPr>
        <w:t>used</w:t>
      </w:r>
      <w:r w:rsidR="00FA2E45" w:rsidRPr="00D37C9A">
        <w:rPr>
          <w:rFonts w:ascii="Times New Roman" w:hAnsi="Times New Roman" w:cs="Times New Roman"/>
        </w:rPr>
        <w:t xml:space="preserve"> as proxies of energy consumption while poverty rate was </w:t>
      </w:r>
      <w:r w:rsidR="00D23A14" w:rsidRPr="00D37C9A">
        <w:rPr>
          <w:rFonts w:ascii="Times New Roman" w:hAnsi="Times New Roman" w:cs="Times New Roman"/>
        </w:rPr>
        <w:t>adopted</w:t>
      </w:r>
      <w:r w:rsidR="00FA2E45" w:rsidRPr="00D37C9A">
        <w:rPr>
          <w:rFonts w:ascii="Times New Roman" w:hAnsi="Times New Roman" w:cs="Times New Roman"/>
        </w:rPr>
        <w:t xml:space="preserve"> as the indicator of poverty level.  </w:t>
      </w:r>
      <w:r>
        <w:rPr>
          <w:rFonts w:ascii="Times New Roman" w:hAnsi="Times New Roman" w:cs="Times New Roman"/>
        </w:rPr>
        <w:t>A</w:t>
      </w:r>
      <w:r w:rsidR="00FA2E45" w:rsidRPr="00D37C9A">
        <w:rPr>
          <w:rFonts w:ascii="Times New Roman" w:hAnsi="Times New Roman" w:cs="Times New Roman"/>
        </w:rPr>
        <w:t xml:space="preserve">nnual time series data sourced from </w:t>
      </w:r>
      <w:r w:rsidR="00FA2E45" w:rsidRPr="00D37C9A">
        <w:rPr>
          <w:rFonts w:ascii="Times New Roman" w:hAnsi="Times New Roman" w:cs="Times New Roman"/>
          <w:bCs/>
          <w:iCs/>
        </w:rPr>
        <w:t>National Bureau of Statistics, Nigerian National Petroleum Company Ltd</w:t>
      </w:r>
      <w:r w:rsidR="00D23A14" w:rsidRPr="00D37C9A">
        <w:rPr>
          <w:rFonts w:ascii="Times New Roman" w:hAnsi="Times New Roman" w:cs="Times New Roman"/>
          <w:bCs/>
          <w:iCs/>
        </w:rPr>
        <w:t xml:space="preserve"> and</w:t>
      </w:r>
      <w:r w:rsidR="00FA2E45" w:rsidRPr="00D37C9A">
        <w:rPr>
          <w:rFonts w:ascii="Times New Roman" w:hAnsi="Times New Roman" w:cs="Times New Roman"/>
          <w:bCs/>
          <w:iCs/>
        </w:rPr>
        <w:t xml:space="preserve"> </w:t>
      </w:r>
      <w:r>
        <w:rPr>
          <w:rFonts w:ascii="Times New Roman" w:hAnsi="Times New Roman" w:cs="Times New Roman"/>
          <w:bCs/>
          <w:iCs/>
        </w:rPr>
        <w:t xml:space="preserve">the </w:t>
      </w:r>
      <w:r w:rsidR="00FA2E45" w:rsidRPr="00D37C9A">
        <w:rPr>
          <w:rFonts w:ascii="Times New Roman" w:hAnsi="Times New Roman" w:cs="Times New Roman"/>
          <w:bCs/>
          <w:iCs/>
        </w:rPr>
        <w:t>World Bank</w:t>
      </w:r>
      <w:r w:rsidR="00D23A14" w:rsidRPr="00D37C9A">
        <w:rPr>
          <w:rFonts w:ascii="Times New Roman" w:hAnsi="Times New Roman" w:cs="Times New Roman"/>
          <w:bCs/>
          <w:iCs/>
        </w:rPr>
        <w:t xml:space="preserve"> for the period 1990 </w:t>
      </w:r>
      <w:r>
        <w:rPr>
          <w:rFonts w:ascii="Times New Roman" w:hAnsi="Times New Roman" w:cs="Times New Roman"/>
          <w:bCs/>
          <w:iCs/>
        </w:rPr>
        <w:t>–</w:t>
      </w:r>
      <w:r w:rsidR="00D23A14" w:rsidRPr="00D37C9A">
        <w:rPr>
          <w:rFonts w:ascii="Times New Roman" w:hAnsi="Times New Roman" w:cs="Times New Roman"/>
          <w:bCs/>
          <w:iCs/>
        </w:rPr>
        <w:t xml:space="preserve"> 2023</w:t>
      </w:r>
      <w:r>
        <w:rPr>
          <w:rFonts w:ascii="Times New Roman" w:hAnsi="Times New Roman" w:cs="Times New Roman"/>
          <w:bCs/>
          <w:iCs/>
        </w:rPr>
        <w:t xml:space="preserve"> were used and </w:t>
      </w:r>
      <w:r w:rsidR="002E170C" w:rsidRPr="00D37C9A">
        <w:rPr>
          <w:rFonts w:ascii="Times New Roman" w:hAnsi="Times New Roman" w:cs="Times New Roman"/>
        </w:rPr>
        <w:t>analysed</w:t>
      </w:r>
      <w:r w:rsidR="00FA2E45" w:rsidRPr="00D37C9A">
        <w:rPr>
          <w:rFonts w:ascii="Times New Roman" w:hAnsi="Times New Roman" w:cs="Times New Roman"/>
        </w:rPr>
        <w:t xml:space="preserve"> </w:t>
      </w:r>
      <w:r w:rsidR="002E170C" w:rsidRPr="00D37C9A">
        <w:rPr>
          <w:rFonts w:ascii="Times New Roman" w:hAnsi="Times New Roman" w:cs="Times New Roman"/>
        </w:rPr>
        <w:t xml:space="preserve">using the </w:t>
      </w:r>
      <w:r w:rsidR="00FA2E45" w:rsidRPr="00D37C9A">
        <w:rPr>
          <w:rFonts w:ascii="Times New Roman" w:hAnsi="Times New Roman" w:cs="Times New Roman"/>
        </w:rPr>
        <w:t>Autoregressive Distributive Lag estimation technique</w:t>
      </w:r>
      <w:r w:rsidR="00121CAB">
        <w:rPr>
          <w:rFonts w:ascii="Times New Roman" w:hAnsi="Times New Roman" w:cs="Times New Roman"/>
        </w:rPr>
        <w:t xml:space="preserve"> due to mixed order of integration of the variables </w:t>
      </w:r>
      <w:r w:rsidR="0091727C">
        <w:rPr>
          <w:rFonts w:ascii="Times New Roman" w:hAnsi="Times New Roman" w:cs="Times New Roman"/>
        </w:rPr>
        <w:t>and to facilitate the simultaneous estimation of both short-run and long-run nexus among the variables</w:t>
      </w:r>
      <w:r w:rsidR="00FA2E45" w:rsidRPr="00D37C9A">
        <w:rPr>
          <w:rFonts w:ascii="Times New Roman" w:hAnsi="Times New Roman" w:cs="Times New Roman"/>
        </w:rPr>
        <w:t xml:space="preserve">. The findings of the study indicated that: there is </w:t>
      </w:r>
      <w:r w:rsidR="0091727C">
        <w:rPr>
          <w:rFonts w:ascii="Times New Roman" w:hAnsi="Times New Roman" w:cs="Times New Roman"/>
        </w:rPr>
        <w:t xml:space="preserve">a </w:t>
      </w:r>
      <w:r w:rsidR="00FA2E45" w:rsidRPr="00D37C9A">
        <w:rPr>
          <w:rFonts w:ascii="Times New Roman" w:hAnsi="Times New Roman" w:cs="Times New Roman"/>
        </w:rPr>
        <w:t>long-run nexus between energy consumption and poverty rate in Nigeria</w:t>
      </w:r>
      <w:r>
        <w:rPr>
          <w:rFonts w:ascii="Times New Roman" w:hAnsi="Times New Roman" w:cs="Times New Roman"/>
        </w:rPr>
        <w:t>.</w:t>
      </w:r>
      <w:r w:rsidR="00FA2E45" w:rsidRPr="00D37C9A">
        <w:rPr>
          <w:rFonts w:ascii="Times New Roman" w:hAnsi="Times New Roman" w:cs="Times New Roman"/>
        </w:rPr>
        <w:t xml:space="preserve"> AGO consumption</w:t>
      </w:r>
      <w:r w:rsidR="00F15C3E">
        <w:rPr>
          <w:rFonts w:ascii="Times New Roman" w:hAnsi="Times New Roman" w:cs="Times New Roman"/>
        </w:rPr>
        <w:t>,</w:t>
      </w:r>
      <w:r w:rsidR="00FA2E45" w:rsidRPr="00D37C9A">
        <w:rPr>
          <w:rFonts w:ascii="Times New Roman" w:hAnsi="Times New Roman" w:cs="Times New Roman"/>
        </w:rPr>
        <w:t xml:space="preserve"> PMS consumption and solar energy consumption all reduced poverty rate in the short-run and long-run</w:t>
      </w:r>
      <w:r w:rsidR="00F15C3E">
        <w:rPr>
          <w:rFonts w:ascii="Times New Roman" w:hAnsi="Times New Roman" w:cs="Times New Roman"/>
        </w:rPr>
        <w:t>. H</w:t>
      </w:r>
      <w:r w:rsidR="00FA2E45" w:rsidRPr="00D37C9A">
        <w:rPr>
          <w:rFonts w:ascii="Times New Roman" w:hAnsi="Times New Roman" w:cs="Times New Roman"/>
        </w:rPr>
        <w:t>ydropower energy consumption had unfavourable effect on poverty rate in the short-run and long-run</w:t>
      </w:r>
      <w:r w:rsidR="00F15C3E">
        <w:rPr>
          <w:rFonts w:ascii="Times New Roman" w:hAnsi="Times New Roman" w:cs="Times New Roman"/>
        </w:rPr>
        <w:t xml:space="preserve">. Likewise, </w:t>
      </w:r>
      <w:r w:rsidR="00FA2E45" w:rsidRPr="00D37C9A">
        <w:rPr>
          <w:rFonts w:ascii="Times New Roman" w:hAnsi="Times New Roman" w:cs="Times New Roman"/>
        </w:rPr>
        <w:t>natural gas-to-power consumption ha</w:t>
      </w:r>
      <w:r w:rsidR="00F15C3E">
        <w:rPr>
          <w:rFonts w:ascii="Times New Roman" w:hAnsi="Times New Roman" w:cs="Times New Roman"/>
        </w:rPr>
        <w:t>d</w:t>
      </w:r>
      <w:r w:rsidR="00FA2E45" w:rsidRPr="00D37C9A">
        <w:rPr>
          <w:rFonts w:ascii="Times New Roman" w:hAnsi="Times New Roman" w:cs="Times New Roman"/>
        </w:rPr>
        <w:t xml:space="preserve"> unfavourable and substantial effect on poverty rate in the short-run but has a favourable and substantial effect on poverty rate in the long-run</w:t>
      </w:r>
      <w:r w:rsidR="00F15C3E">
        <w:rPr>
          <w:rFonts w:ascii="Times New Roman" w:hAnsi="Times New Roman" w:cs="Times New Roman"/>
        </w:rPr>
        <w:t xml:space="preserve">. </w:t>
      </w:r>
      <w:r w:rsidR="00A10CCD" w:rsidRPr="00D37C9A">
        <w:rPr>
          <w:rFonts w:ascii="Times New Roman" w:hAnsi="Times New Roman" w:cs="Times New Roman"/>
        </w:rPr>
        <w:t xml:space="preserve"> </w:t>
      </w:r>
      <w:r w:rsidR="00F15C3E">
        <w:rPr>
          <w:rFonts w:ascii="Times New Roman" w:hAnsi="Times New Roman" w:cs="Times New Roman"/>
        </w:rPr>
        <w:t>L</w:t>
      </w:r>
      <w:r w:rsidR="00A10CCD" w:rsidRPr="00D37C9A">
        <w:rPr>
          <w:rFonts w:ascii="Times New Roman" w:hAnsi="Times New Roman" w:cs="Times New Roman"/>
        </w:rPr>
        <w:t xml:space="preserve">astly, </w:t>
      </w:r>
      <w:r w:rsidR="00FA2E45" w:rsidRPr="00D37C9A">
        <w:rPr>
          <w:rFonts w:ascii="Times New Roman" w:hAnsi="Times New Roman" w:cs="Times New Roman"/>
        </w:rPr>
        <w:t>AGO consumption</w:t>
      </w:r>
      <w:r w:rsidR="00FA2E45" w:rsidRPr="00D37C9A">
        <w:rPr>
          <w:rFonts w:ascii="Times New Roman" w:hAnsi="Times New Roman" w:cs="Times New Roman"/>
          <w:bCs/>
        </w:rPr>
        <w:t>, PMS consumption</w:t>
      </w:r>
      <w:r w:rsidR="00FA2E45" w:rsidRPr="00D37C9A">
        <w:rPr>
          <w:rFonts w:ascii="Times New Roman" w:hAnsi="Times New Roman" w:cs="Times New Roman"/>
        </w:rPr>
        <w:t>, solar energy consumption, hydropower energy and natural gas-to-power consumption have joint substantial effect on poverty rate in Nigeria</w:t>
      </w:r>
      <w:r w:rsidR="00F15C3E">
        <w:rPr>
          <w:rFonts w:ascii="Times New Roman" w:hAnsi="Times New Roman" w:cs="Times New Roman"/>
        </w:rPr>
        <w:t xml:space="preserve"> given the explanatory power of the variables</w:t>
      </w:r>
      <w:r w:rsidR="00FA2E45" w:rsidRPr="00D37C9A">
        <w:rPr>
          <w:rFonts w:ascii="Times New Roman" w:hAnsi="Times New Roman" w:cs="Times New Roman"/>
        </w:rPr>
        <w:t xml:space="preserve">. </w:t>
      </w:r>
      <w:r w:rsidR="00F15C3E">
        <w:rPr>
          <w:rFonts w:ascii="Times New Roman" w:hAnsi="Times New Roman" w:cs="Times New Roman"/>
        </w:rPr>
        <w:t>Consequent</w:t>
      </w:r>
      <w:r w:rsidR="00A10CCD" w:rsidRPr="00D37C9A">
        <w:rPr>
          <w:rFonts w:ascii="Times New Roman" w:hAnsi="Times New Roman" w:cs="Times New Roman"/>
        </w:rPr>
        <w:t xml:space="preserve"> on these findings, the study </w:t>
      </w:r>
      <w:r w:rsidR="00FA2E45" w:rsidRPr="00D37C9A">
        <w:rPr>
          <w:rFonts w:ascii="Times New Roman" w:hAnsi="Times New Roman" w:cs="Times New Roman"/>
        </w:rPr>
        <w:t>recommend</w:t>
      </w:r>
      <w:r w:rsidR="00F15C3E">
        <w:rPr>
          <w:rFonts w:ascii="Times New Roman" w:hAnsi="Times New Roman" w:cs="Times New Roman"/>
        </w:rPr>
        <w:t>s</w:t>
      </w:r>
      <w:r w:rsidR="00FA2E45" w:rsidRPr="00D37C9A">
        <w:rPr>
          <w:rFonts w:ascii="Times New Roman" w:hAnsi="Times New Roman" w:cs="Times New Roman"/>
        </w:rPr>
        <w:t xml:space="preserve">; </w:t>
      </w:r>
      <w:r w:rsidR="00AC5AB5">
        <w:rPr>
          <w:rFonts w:ascii="Times New Roman" w:hAnsi="Times New Roman" w:cs="Times New Roman"/>
        </w:rPr>
        <w:t>increase</w:t>
      </w:r>
      <w:r w:rsidR="00FA2E45" w:rsidRPr="00D37C9A">
        <w:rPr>
          <w:rFonts w:ascii="Times New Roman" w:hAnsi="Times New Roman" w:cs="Times New Roman"/>
        </w:rPr>
        <w:t xml:space="preserve"> investment in renewable energy source, domestic refining of crude oil and building of gas infrastructure </w:t>
      </w:r>
      <w:r w:rsidR="00AC5AB5">
        <w:rPr>
          <w:rFonts w:ascii="Times New Roman" w:hAnsi="Times New Roman" w:cs="Times New Roman"/>
        </w:rPr>
        <w:t>as possible measures of</w:t>
      </w:r>
      <w:r w:rsidR="00FA2E45" w:rsidRPr="00D37C9A">
        <w:rPr>
          <w:rFonts w:ascii="Times New Roman" w:hAnsi="Times New Roman" w:cs="Times New Roman"/>
        </w:rPr>
        <w:t xml:space="preserve"> stabilis</w:t>
      </w:r>
      <w:r w:rsidR="00AC5AB5">
        <w:rPr>
          <w:rFonts w:ascii="Times New Roman" w:hAnsi="Times New Roman" w:cs="Times New Roman"/>
        </w:rPr>
        <w:t xml:space="preserve">ing </w:t>
      </w:r>
      <w:r w:rsidR="00FA2E45" w:rsidRPr="00D37C9A">
        <w:rPr>
          <w:rFonts w:ascii="Times New Roman" w:hAnsi="Times New Roman" w:cs="Times New Roman"/>
        </w:rPr>
        <w:t>price</w:t>
      </w:r>
      <w:r w:rsidR="00AC5AB5">
        <w:rPr>
          <w:rFonts w:ascii="Times New Roman" w:hAnsi="Times New Roman" w:cs="Times New Roman"/>
        </w:rPr>
        <w:t>s, job creation and poverty reduction</w:t>
      </w:r>
      <w:r w:rsidR="00FA2E45" w:rsidRPr="00D37C9A">
        <w:rPr>
          <w:rFonts w:ascii="Times New Roman" w:hAnsi="Times New Roman" w:cs="Times New Roman"/>
        </w:rPr>
        <w:t xml:space="preserve"> in Nigeria.</w:t>
      </w:r>
    </w:p>
    <w:p w14:paraId="41EFB111" w14:textId="7498EA7C" w:rsidR="00FA2E45" w:rsidRPr="00D37C9A" w:rsidRDefault="00A10CCD" w:rsidP="00D37C9A">
      <w:pPr>
        <w:spacing w:before="240"/>
        <w:jc w:val="both"/>
        <w:rPr>
          <w:rFonts w:ascii="Times New Roman" w:hAnsi="Times New Roman" w:cs="Times New Roman"/>
        </w:rPr>
      </w:pPr>
      <w:r w:rsidRPr="00D37C9A">
        <w:rPr>
          <w:rFonts w:ascii="Times New Roman" w:hAnsi="Times New Roman" w:cs="Times New Roman"/>
          <w:b/>
        </w:rPr>
        <w:t>Keywords:</w:t>
      </w:r>
      <w:r w:rsidRPr="00D37C9A">
        <w:rPr>
          <w:rFonts w:ascii="Times New Roman" w:hAnsi="Times New Roman" w:cs="Times New Roman"/>
        </w:rPr>
        <w:t xml:space="preserve"> Energy Consumption, Poverty Level, Automotive gas oil consumption</w:t>
      </w:r>
      <w:r w:rsidRPr="00D37C9A">
        <w:rPr>
          <w:rFonts w:ascii="Times New Roman" w:hAnsi="Times New Roman" w:cs="Times New Roman"/>
          <w:bCs/>
        </w:rPr>
        <w:t xml:space="preserve">, </w:t>
      </w:r>
      <w:r w:rsidRPr="00D37C9A">
        <w:rPr>
          <w:rFonts w:ascii="Times New Roman" w:hAnsi="Times New Roman" w:cs="Times New Roman"/>
        </w:rPr>
        <w:t>premium motor spirit consumption, solar energy consumption, hydropower energy and natural gas-to-power consumption</w:t>
      </w:r>
    </w:p>
    <w:p w14:paraId="041E2151" w14:textId="4A9A7CEA" w:rsidR="00FA2E45" w:rsidRPr="00D37C9A" w:rsidRDefault="00FA2E45" w:rsidP="00D37C9A">
      <w:pPr>
        <w:spacing w:after="0"/>
        <w:rPr>
          <w:rFonts w:ascii="Times New Roman" w:hAnsi="Times New Roman" w:cs="Times New Roman"/>
          <w:b/>
        </w:rPr>
      </w:pPr>
    </w:p>
    <w:p w14:paraId="23B6F128" w14:textId="77777777" w:rsidR="00934D6E" w:rsidRPr="00D37C9A" w:rsidRDefault="00934D6E" w:rsidP="00D37C9A">
      <w:pPr>
        <w:spacing w:after="0"/>
        <w:rPr>
          <w:rFonts w:ascii="Times New Roman" w:hAnsi="Times New Roman" w:cs="Times New Roman"/>
          <w:b/>
        </w:rPr>
      </w:pPr>
    </w:p>
    <w:p w14:paraId="306F8685" w14:textId="36856A62" w:rsidR="00FA2E45" w:rsidRPr="00D37C9A" w:rsidRDefault="00B81894" w:rsidP="00D37C9A">
      <w:pPr>
        <w:pStyle w:val="ListParagraph"/>
        <w:numPr>
          <w:ilvl w:val="0"/>
          <w:numId w:val="14"/>
        </w:numPr>
        <w:spacing w:after="0"/>
        <w:rPr>
          <w:rFonts w:ascii="Times New Roman" w:hAnsi="Times New Roman" w:cs="Times New Roman"/>
          <w:b/>
        </w:rPr>
      </w:pPr>
      <w:r w:rsidRPr="00D37C9A">
        <w:rPr>
          <w:rFonts w:ascii="Times New Roman" w:hAnsi="Times New Roman" w:cs="Times New Roman"/>
          <w:b/>
        </w:rPr>
        <w:t>Introduction</w:t>
      </w:r>
    </w:p>
    <w:p w14:paraId="35A31321" w14:textId="4DB56015" w:rsidR="00FA2E45" w:rsidRPr="00D37C9A" w:rsidRDefault="00356368" w:rsidP="00D37C9A">
      <w:pPr>
        <w:spacing w:after="0"/>
        <w:jc w:val="both"/>
        <w:rPr>
          <w:rFonts w:ascii="Times New Roman" w:hAnsi="Times New Roman" w:cs="Times New Roman"/>
        </w:rPr>
      </w:pPr>
      <w:r w:rsidRPr="00D37C9A">
        <w:rPr>
          <w:rFonts w:ascii="Times New Roman" w:hAnsi="Times New Roman" w:cs="Times New Roman"/>
        </w:rPr>
        <w:t xml:space="preserve">Over the years, </w:t>
      </w:r>
      <w:r w:rsidR="00FA2E45" w:rsidRPr="00D37C9A">
        <w:rPr>
          <w:rFonts w:ascii="Times New Roman" w:hAnsi="Times New Roman" w:cs="Times New Roman"/>
        </w:rPr>
        <w:t xml:space="preserve">energy </w:t>
      </w:r>
      <w:r w:rsidRPr="00D37C9A">
        <w:rPr>
          <w:rFonts w:ascii="Times New Roman" w:hAnsi="Times New Roman" w:cs="Times New Roman"/>
        </w:rPr>
        <w:t>has been recognized a</w:t>
      </w:r>
      <w:r w:rsidR="00FA2E45" w:rsidRPr="00D37C9A">
        <w:rPr>
          <w:rFonts w:ascii="Times New Roman" w:hAnsi="Times New Roman" w:cs="Times New Roman"/>
        </w:rPr>
        <w:t>s an essential economic resource that greatly affects people's health, education, employment, industrial advancement, and prosperity as a whole. To fully enjoy economic growth and development, there must be an adequate supply of energy and efficient application of that energy. Africa and other emerging nations have social and economic challenges that energy cannot solve on its own</w:t>
      </w:r>
      <w:r w:rsidRPr="00D37C9A">
        <w:rPr>
          <w:rFonts w:ascii="Times New Roman" w:hAnsi="Times New Roman" w:cs="Times New Roman"/>
        </w:rPr>
        <w:t xml:space="preserve"> (Umeh, Ochuba &amp; Ugwo, 2019)</w:t>
      </w:r>
      <w:r w:rsidR="00FA2E45" w:rsidRPr="00D37C9A">
        <w:rPr>
          <w:rFonts w:ascii="Times New Roman" w:hAnsi="Times New Roman" w:cs="Times New Roman"/>
        </w:rPr>
        <w:t>. However, the inability to get inexpensive and dependable energy services is acknowledged as a substantial obstacle to any nation's progress. Consequently, without appropriate energy consumption, affordability of contemporary energy services, and a enough energy capacity, economic growth and development may be hindered (Nkoro, et al 2019).</w:t>
      </w:r>
      <w:r w:rsidRPr="00D37C9A">
        <w:rPr>
          <w:rFonts w:ascii="Times New Roman" w:hAnsi="Times New Roman" w:cs="Times New Roman"/>
        </w:rPr>
        <w:t xml:space="preserve"> E</w:t>
      </w:r>
      <w:r w:rsidR="00FA2E45" w:rsidRPr="00D37C9A">
        <w:rPr>
          <w:rFonts w:ascii="Times New Roman" w:hAnsi="Times New Roman" w:cs="Times New Roman"/>
        </w:rPr>
        <w:t xml:space="preserve">nergy consumption </w:t>
      </w:r>
      <w:r w:rsidR="00FA2E45" w:rsidRPr="00D37C9A">
        <w:rPr>
          <w:rFonts w:ascii="Times New Roman" w:hAnsi="Times New Roman" w:cs="Times New Roman"/>
        </w:rPr>
        <w:lastRenderedPageBreak/>
        <w:t>plays a fundamental role in economic development, serving as a catalyst for industrialization, technological advancement, improved living standards</w:t>
      </w:r>
      <w:r w:rsidRPr="00D37C9A">
        <w:rPr>
          <w:rFonts w:ascii="Times New Roman" w:hAnsi="Times New Roman" w:cs="Times New Roman"/>
        </w:rPr>
        <w:t xml:space="preserve"> and reduced poverty level</w:t>
      </w:r>
      <w:r w:rsidR="00FA2E45" w:rsidRPr="00D37C9A">
        <w:rPr>
          <w:rFonts w:ascii="Times New Roman" w:hAnsi="Times New Roman" w:cs="Times New Roman"/>
        </w:rPr>
        <w:t>. Access to reliable and affordable energy enhances productivity across all sectors, from agriculture and manufacturing to services and digital infrastructure</w:t>
      </w:r>
      <w:r w:rsidRPr="00D37C9A">
        <w:rPr>
          <w:rFonts w:ascii="Times New Roman" w:hAnsi="Times New Roman" w:cs="Times New Roman"/>
        </w:rPr>
        <w:t xml:space="preserve"> which in turn reduces poverty level</w:t>
      </w:r>
      <w:r w:rsidR="00FA2E45" w:rsidRPr="00D37C9A">
        <w:rPr>
          <w:rFonts w:ascii="Times New Roman" w:hAnsi="Times New Roman" w:cs="Times New Roman"/>
        </w:rPr>
        <w:t xml:space="preserve">. As stated by the International Energy Agency (IEA, 2021), nations with higher per capita energy consumption tend to exhibit stronger GDP growth, lower poverty rates, and greater human development indices. One of the most profound impacts of increased energy consumption is its contribution to </w:t>
      </w:r>
      <w:r w:rsidRPr="00D37C9A">
        <w:rPr>
          <w:rFonts w:ascii="Times New Roman" w:hAnsi="Times New Roman" w:cs="Times New Roman"/>
        </w:rPr>
        <w:t xml:space="preserve">poverty reduction and </w:t>
      </w:r>
      <w:r w:rsidR="00FA2E45" w:rsidRPr="00D37C9A">
        <w:rPr>
          <w:rFonts w:ascii="Times New Roman" w:hAnsi="Times New Roman" w:cs="Times New Roman"/>
        </w:rPr>
        <w:t xml:space="preserve">human capital development through improved access to health and education services. In the health sector, electricity is critical for operating medical equipment, preserving vaccines, powering surgical </w:t>
      </w:r>
      <w:r w:rsidR="0091727C" w:rsidRPr="00D37C9A">
        <w:rPr>
          <w:rFonts w:ascii="Times New Roman" w:hAnsi="Times New Roman" w:cs="Times New Roman"/>
        </w:rPr>
        <w:t>theatres</w:t>
      </w:r>
      <w:r w:rsidR="00FA2E45" w:rsidRPr="00D37C9A">
        <w:rPr>
          <w:rFonts w:ascii="Times New Roman" w:hAnsi="Times New Roman" w:cs="Times New Roman"/>
        </w:rPr>
        <w:t>, and maintaining clean and safe environments in clinics and hospitals (</w:t>
      </w:r>
      <w:r w:rsidR="00FA2E45" w:rsidRPr="00D37C9A">
        <w:rPr>
          <w:rFonts w:ascii="Times New Roman" w:hAnsi="Times New Roman" w:cs="Times New Roman"/>
          <w:spacing w:val="-5"/>
          <w:shd w:val="clear" w:color="auto" w:fill="FFFFFF"/>
        </w:rPr>
        <w:t>Dada, 2019)</w:t>
      </w:r>
      <w:r w:rsidR="00FA2E45" w:rsidRPr="00D37C9A">
        <w:rPr>
          <w:rFonts w:ascii="Times New Roman" w:hAnsi="Times New Roman" w:cs="Times New Roman"/>
        </w:rPr>
        <w:t>.</w:t>
      </w:r>
      <w:r w:rsidRPr="00D37C9A">
        <w:rPr>
          <w:rFonts w:ascii="Times New Roman" w:hAnsi="Times New Roman" w:cs="Times New Roman"/>
        </w:rPr>
        <w:t xml:space="preserve"> </w:t>
      </w:r>
      <w:r w:rsidR="00FA2E45" w:rsidRPr="00D37C9A">
        <w:rPr>
          <w:rFonts w:ascii="Times New Roman" w:hAnsi="Times New Roman" w:cs="Times New Roman"/>
        </w:rPr>
        <w:t>As stated by the World Health Organization (WHO), over one billion people globally are served by health facilities without reliable electricity, particularly in sub-Saharan Africa. In Nigeria, expanding energy consumption to rural and underserved areas can drastically improve maternal health outcomes, reduce child mortality, and combat communicable diseases by enhancing healthcare delivery. Similarly, the education sector benefits immensely from adequate energy consumption. Electricity in schools enables the application of information and communication technologies (ICTs), proper lighting, and safe environments conducive to learning. It allows students to study at night and teachers to prepare better instructional materials. As more energy is consumed and distributed equitably, educational attainment improves, leading to a more skilled workforce, greater labo</w:t>
      </w:r>
      <w:r w:rsidR="005C1377">
        <w:rPr>
          <w:rFonts w:ascii="Times New Roman" w:hAnsi="Times New Roman" w:cs="Times New Roman"/>
        </w:rPr>
        <w:t>u</w:t>
      </w:r>
      <w:r w:rsidR="00FA2E45" w:rsidRPr="00D37C9A">
        <w:rPr>
          <w:rFonts w:ascii="Times New Roman" w:hAnsi="Times New Roman" w:cs="Times New Roman"/>
        </w:rPr>
        <w:t>r productivity, increased national income</w:t>
      </w:r>
      <w:r w:rsidRPr="00D37C9A">
        <w:rPr>
          <w:rFonts w:ascii="Times New Roman" w:hAnsi="Times New Roman" w:cs="Times New Roman"/>
        </w:rPr>
        <w:t xml:space="preserve"> and reduced poverty level</w:t>
      </w:r>
      <w:r w:rsidR="00FA2E45" w:rsidRPr="00D37C9A">
        <w:rPr>
          <w:rFonts w:ascii="Times New Roman" w:hAnsi="Times New Roman" w:cs="Times New Roman"/>
        </w:rPr>
        <w:t>. Thus, energy consumption indirectly drives economic development by fostering healthier, more educated populaces who can contribute meaningfully to the economy (</w:t>
      </w:r>
      <w:r w:rsidR="00FA2E45" w:rsidRPr="00D37C9A">
        <w:rPr>
          <w:rFonts w:ascii="Times New Roman" w:hAnsi="Times New Roman" w:cs="Times New Roman"/>
          <w:shd w:val="clear" w:color="auto" w:fill="FFFFFF"/>
        </w:rPr>
        <w:t>Ekeocha, Penzin &amp; Ogbuabor, 2020).</w:t>
      </w:r>
      <w:r w:rsidR="00D43554" w:rsidRPr="00D37C9A">
        <w:rPr>
          <w:rFonts w:ascii="Times New Roman" w:hAnsi="Times New Roman" w:cs="Times New Roman"/>
        </w:rPr>
        <w:t xml:space="preserve"> </w:t>
      </w:r>
      <w:r w:rsidR="00FA2E45" w:rsidRPr="00D37C9A">
        <w:rPr>
          <w:rFonts w:ascii="Times New Roman" w:hAnsi="Times New Roman" w:cs="Times New Roman"/>
        </w:rPr>
        <w:t>Lastly, increased energy consumption has a direct bearing on improved living standards and inclusive growth, which are core elements of economic development. Access to modern energy reduces the burden of manual labo</w:t>
      </w:r>
      <w:r w:rsidR="005C1377">
        <w:rPr>
          <w:rFonts w:ascii="Times New Roman" w:hAnsi="Times New Roman" w:cs="Times New Roman"/>
        </w:rPr>
        <w:t>u</w:t>
      </w:r>
      <w:r w:rsidR="00FA2E45" w:rsidRPr="00D37C9A">
        <w:rPr>
          <w:rFonts w:ascii="Times New Roman" w:hAnsi="Times New Roman" w:cs="Times New Roman"/>
        </w:rPr>
        <w:t xml:space="preserve">r, improves time use, and enhances quality of life. For example, the World Bank (2023) estimates that universal electricity access could lift 500 million people out of poverty globally by 2030. In Nigeria, households with electricity spend 20 percent less on energy than those utilising kerosene and generators. (NBS, 2023). Renewable energy microgrids in Nigeria have increased household incomes by 50 percent by powering small businesses. Since electrification helped reduce severe poverty by 20 percent in Nigeria from 1990 to 2022 (World Bank, 2023), it is clear that there </w:t>
      </w:r>
      <w:r w:rsidR="0091727C" w:rsidRPr="00D37C9A">
        <w:rPr>
          <w:rFonts w:ascii="Times New Roman" w:hAnsi="Times New Roman" w:cs="Times New Roman"/>
        </w:rPr>
        <w:t>exists</w:t>
      </w:r>
      <w:r w:rsidR="00FA2E45" w:rsidRPr="00D37C9A">
        <w:rPr>
          <w:rFonts w:ascii="Times New Roman" w:hAnsi="Times New Roman" w:cs="Times New Roman"/>
        </w:rPr>
        <w:t xml:space="preserve"> a nexus between energy availability and poverty reduction. Drawing from the foregoing this study seeks to appraised the result of energy consumption on economic development in Nigeria.</w:t>
      </w:r>
    </w:p>
    <w:p w14:paraId="17CA9304" w14:textId="77777777" w:rsidR="00356368" w:rsidRPr="00D37C9A" w:rsidRDefault="00356368" w:rsidP="00D37C9A">
      <w:pPr>
        <w:spacing w:after="0"/>
        <w:jc w:val="both"/>
        <w:rPr>
          <w:rFonts w:ascii="Times New Roman" w:hAnsi="Times New Roman" w:cs="Times New Roman"/>
          <w:b/>
        </w:rPr>
      </w:pPr>
    </w:p>
    <w:p w14:paraId="12BE3C64" w14:textId="7083D4CC" w:rsidR="00FA2E45" w:rsidRPr="00D37C9A" w:rsidRDefault="00356368" w:rsidP="00D37C9A">
      <w:pPr>
        <w:spacing w:after="0"/>
        <w:jc w:val="both"/>
        <w:rPr>
          <w:rFonts w:ascii="Times New Roman" w:hAnsi="Times New Roman" w:cs="Times New Roman"/>
        </w:rPr>
      </w:pPr>
      <w:r w:rsidRPr="00D37C9A">
        <w:rPr>
          <w:rFonts w:ascii="Times New Roman" w:hAnsi="Times New Roman" w:cs="Times New Roman"/>
        </w:rPr>
        <w:t xml:space="preserve">However, </w:t>
      </w:r>
      <w:r w:rsidR="00FA2E45" w:rsidRPr="00D37C9A">
        <w:rPr>
          <w:rFonts w:ascii="Times New Roman" w:hAnsi="Times New Roman" w:cs="Times New Roman"/>
        </w:rPr>
        <w:t xml:space="preserve">Nigeria, despite being Africa’s largest oil producer, faces severe energy crises that have stifled exacerbated poverty. Between 1990 and 2023, the nation’s energy sector has been dominated by inefficient consumption patterns, comprising heavy reliance on automated gas oil (AGO/diesel), premium motor spirit (PMS/petrol), and underutilization of renewable energy sources like hydro, solar, and natural gas-to-power. This energy deficit has substantially hindered industrial productivities, increased operational costs, and discouraged foreign investment, contributing to rising poverty. The over-dependence on diesel (AGO) and petrol (PMS) for electricity generation has placed a massive financial burden on businesses and households. Data from the Nigerian National Petroleum Corporation (NNPC, 2022) shows that Nigeria consumes over 12 billion litres of petrol annually, with a substantial portion utilised for backup generators due to grid failures. The cost of fuelling generators consumes about 40 percent of business operating expenses, making </w:t>
      </w:r>
      <w:r w:rsidR="00FA2E45" w:rsidRPr="00D37C9A">
        <w:rPr>
          <w:rFonts w:ascii="Times New Roman" w:hAnsi="Times New Roman" w:cs="Times New Roman"/>
        </w:rPr>
        <w:lastRenderedPageBreak/>
        <w:t>Nigerian goods less competitive in the global market. Additionally, the removal of fuel subsidies in 2023 led to a 300 percent rise in petrol prices, worsening inflation and unemployment likewise reducing disposable income for millions of Nigerians (National Bureau of Statistics [NBS], 2023).</w:t>
      </w:r>
      <w:r w:rsidRPr="00D37C9A">
        <w:rPr>
          <w:rFonts w:ascii="Times New Roman" w:hAnsi="Times New Roman" w:cs="Times New Roman"/>
        </w:rPr>
        <w:t xml:space="preserve"> </w:t>
      </w:r>
      <w:r w:rsidR="00FA2E45" w:rsidRPr="00D37C9A">
        <w:rPr>
          <w:rFonts w:ascii="Times New Roman" w:hAnsi="Times New Roman" w:cs="Times New Roman"/>
        </w:rPr>
        <w:t xml:space="preserve">Furthermore, despite Nigeria’s vast renewable energy potential, solar and hydropower contributions to the energy mix remain below 5 percent (Energy Commission of Nigeria [ECN], 2023). The nation receives an average of 5.5 kWh/m²/day of solar radiation, yet below 1 percent of households use solar energy as their primary power source. Similarly, hydropower, which could provide over 10,000 MW of electricity, currently generates only about 2,000 MW due to poor maintenance of dams and transmission losses. The underutilization of these cleaner energy sources has perpetuated energy poverty, particularly in rural areas where only 26 percent of communities have access to electricity. This energy gap has stifled rural industrialization, limiting job creation and deepening poverty, with 63 percent of Nigeria’s rural populace living below the poverty line (World Bank, 2023). </w:t>
      </w:r>
      <w:r w:rsidRPr="00D37C9A">
        <w:rPr>
          <w:rFonts w:ascii="Times New Roman" w:hAnsi="Times New Roman" w:cs="Times New Roman"/>
        </w:rPr>
        <w:t xml:space="preserve">Drawing from the foregoing, this </w:t>
      </w:r>
      <w:r w:rsidR="00FA2E45" w:rsidRPr="00D37C9A">
        <w:rPr>
          <w:rFonts w:ascii="Times New Roman" w:hAnsi="Times New Roman" w:cs="Times New Roman"/>
        </w:rPr>
        <w:t>study analyse</w:t>
      </w:r>
      <w:bookmarkStart w:id="1" w:name="_Hlk204340464"/>
      <w:r w:rsidRPr="00D37C9A">
        <w:rPr>
          <w:rFonts w:ascii="Times New Roman" w:hAnsi="Times New Roman" w:cs="Times New Roman"/>
        </w:rPr>
        <w:t xml:space="preserve">d </w:t>
      </w:r>
      <w:r w:rsidR="00FA2E45" w:rsidRPr="00D37C9A">
        <w:rPr>
          <w:rFonts w:ascii="Times New Roman" w:hAnsi="Times New Roman" w:cs="Times New Roman"/>
        </w:rPr>
        <w:t>the</w:t>
      </w:r>
      <w:r w:rsidRPr="00D37C9A">
        <w:rPr>
          <w:rFonts w:ascii="Times New Roman" w:hAnsi="Times New Roman" w:cs="Times New Roman"/>
        </w:rPr>
        <w:t xml:space="preserve"> effect </w:t>
      </w:r>
      <w:r w:rsidR="00FA2E45" w:rsidRPr="00D37C9A">
        <w:rPr>
          <w:rFonts w:ascii="Times New Roman" w:hAnsi="Times New Roman" w:cs="Times New Roman"/>
        </w:rPr>
        <w:t xml:space="preserve">energy consumption on </w:t>
      </w:r>
      <w:r w:rsidRPr="00D37C9A">
        <w:rPr>
          <w:rFonts w:ascii="Times New Roman" w:hAnsi="Times New Roman" w:cs="Times New Roman"/>
        </w:rPr>
        <w:t>poverty</w:t>
      </w:r>
      <w:r w:rsidR="00FA2E45" w:rsidRPr="00D37C9A">
        <w:rPr>
          <w:rFonts w:ascii="Times New Roman" w:hAnsi="Times New Roman" w:cs="Times New Roman"/>
        </w:rPr>
        <w:t xml:space="preserve"> in Nigeria </w:t>
      </w:r>
      <w:bookmarkEnd w:id="1"/>
      <w:r w:rsidR="00FA2E45" w:rsidRPr="00D37C9A">
        <w:rPr>
          <w:rFonts w:ascii="Times New Roman" w:hAnsi="Times New Roman" w:cs="Times New Roman"/>
        </w:rPr>
        <w:t xml:space="preserve">between 1990 and 2023.  </w:t>
      </w:r>
      <w:r w:rsidR="008A5D09" w:rsidRPr="00D37C9A">
        <w:rPr>
          <w:rFonts w:ascii="Times New Roman" w:hAnsi="Times New Roman" w:cs="Times New Roman"/>
        </w:rPr>
        <w:t>We shall continue the investigation by reviewing relevant literature, provide the methodology required to achieve the purpose of the study and the results of the analysis</w:t>
      </w:r>
      <w:r w:rsidR="002C78D7" w:rsidRPr="00D37C9A">
        <w:rPr>
          <w:rFonts w:ascii="Times New Roman" w:hAnsi="Times New Roman" w:cs="Times New Roman"/>
        </w:rPr>
        <w:t>. This will be followed by findings and concluding remarks.</w:t>
      </w:r>
    </w:p>
    <w:p w14:paraId="0D288C2B" w14:textId="022DF5F8" w:rsidR="00FA2E45" w:rsidRPr="00D37C9A" w:rsidRDefault="00B81894" w:rsidP="00D37C9A">
      <w:pPr>
        <w:pStyle w:val="ListParagraph"/>
        <w:numPr>
          <w:ilvl w:val="0"/>
          <w:numId w:val="14"/>
        </w:numPr>
        <w:spacing w:before="240" w:after="0"/>
        <w:rPr>
          <w:rFonts w:ascii="Times New Roman" w:hAnsi="Times New Roman" w:cs="Times New Roman"/>
          <w:b/>
        </w:rPr>
      </w:pPr>
      <w:r w:rsidRPr="00D37C9A">
        <w:rPr>
          <w:rFonts w:ascii="Times New Roman" w:hAnsi="Times New Roman" w:cs="Times New Roman"/>
          <w:b/>
        </w:rPr>
        <w:t>Literature Review</w:t>
      </w:r>
    </w:p>
    <w:p w14:paraId="0A995D38" w14:textId="2DF117F0" w:rsidR="00FA2E45" w:rsidRPr="00D37C9A" w:rsidRDefault="00FA2E45" w:rsidP="00D37C9A">
      <w:pPr>
        <w:spacing w:after="0"/>
        <w:rPr>
          <w:rFonts w:ascii="Times New Roman" w:hAnsi="Times New Roman" w:cs="Times New Roman"/>
          <w:b/>
          <w:bCs/>
        </w:rPr>
      </w:pPr>
      <w:r w:rsidRPr="00D37C9A">
        <w:rPr>
          <w:rFonts w:ascii="Times New Roman" w:hAnsi="Times New Roman" w:cs="Times New Roman"/>
          <w:b/>
          <w:bCs/>
        </w:rPr>
        <w:t>Energy Consumption</w:t>
      </w:r>
    </w:p>
    <w:p w14:paraId="7253F3DC" w14:textId="29F7B996" w:rsidR="00FA2E45" w:rsidRPr="00D37C9A" w:rsidRDefault="00FA2E45" w:rsidP="00D37C9A">
      <w:pPr>
        <w:spacing w:after="0"/>
        <w:jc w:val="both"/>
        <w:rPr>
          <w:rFonts w:ascii="Times New Roman" w:hAnsi="Times New Roman" w:cs="Times New Roman"/>
        </w:rPr>
      </w:pPr>
      <w:r w:rsidRPr="00D37C9A">
        <w:rPr>
          <w:rFonts w:ascii="Times New Roman" w:hAnsi="Times New Roman" w:cs="Times New Roman"/>
        </w:rPr>
        <w:t xml:space="preserve">Energy consumption denotes the application of energy in executing diverse tasks or processes. The text outlines the application of energy across various sectors, comprising residential, commercial, industrial, and transportation. It details activities i.e. heating, cooling, lighting, manufacturing, transportation, and electricity generation. Energy consumption is quantified applying units i.e. joules, kilowatt-hours (kWh), or British thermal units (BTUs). Crawford (2012) defines energy consumption as the application of energy resources to facilitate economic activities and meet societal requirements, shaped by variables comprising populace growth, technological progress, and energy policies. Energy consumption comprises the application of energy across multiple sectors, i.e. transportation, industrial processes, residential and commercial buildings, and electricity generation. This usage serves as an indicator of economic activity and living standards (Yergin, 2011). In congruent with the </w:t>
      </w:r>
      <w:r w:rsidR="00B175F5" w:rsidRPr="00D37C9A">
        <w:rPr>
          <w:rFonts w:ascii="Times New Roman" w:hAnsi="Times New Roman" w:cs="Times New Roman"/>
        </w:rPr>
        <w:t>result</w:t>
      </w:r>
      <w:r w:rsidRPr="00D37C9A">
        <w:rPr>
          <w:rFonts w:ascii="Times New Roman" w:hAnsi="Times New Roman" w:cs="Times New Roman"/>
        </w:rPr>
        <w:t xml:space="preserve"> presented by Chu and Majumdar</w:t>
      </w:r>
      <w:r w:rsidR="00B175F5" w:rsidRPr="00D37C9A">
        <w:rPr>
          <w:rFonts w:ascii="Times New Roman" w:hAnsi="Times New Roman" w:cs="Times New Roman"/>
        </w:rPr>
        <w:t xml:space="preserve"> i</w:t>
      </w:r>
      <w:r w:rsidRPr="00D37C9A">
        <w:rPr>
          <w:rFonts w:ascii="Times New Roman" w:hAnsi="Times New Roman" w:cs="Times New Roman"/>
        </w:rPr>
        <w:t xml:space="preserve">n 2012, energy consumption signifies the demand for energy services, illustrating the energy intensity across various economic sectors and the efficiency of energy utilisation. </w:t>
      </w:r>
    </w:p>
    <w:p w14:paraId="19BF249A" w14:textId="1F97666B" w:rsidR="00FA2E45" w:rsidRPr="00D37C9A" w:rsidRDefault="00FA2E45" w:rsidP="00D37C9A">
      <w:pPr>
        <w:spacing w:before="240" w:after="0"/>
        <w:jc w:val="both"/>
        <w:rPr>
          <w:rFonts w:ascii="Times New Roman" w:hAnsi="Times New Roman" w:cs="Times New Roman"/>
          <w:b/>
        </w:rPr>
      </w:pPr>
      <w:r w:rsidRPr="00D37C9A">
        <w:rPr>
          <w:rFonts w:ascii="Times New Roman" w:hAnsi="Times New Roman" w:cs="Times New Roman"/>
          <w:b/>
        </w:rPr>
        <w:t>Poverty Level</w:t>
      </w:r>
    </w:p>
    <w:p w14:paraId="5DCF2C9C" w14:textId="7571B68E" w:rsidR="00FA2E45" w:rsidRPr="00D37C9A" w:rsidRDefault="00B175F5" w:rsidP="00D37C9A">
      <w:pPr>
        <w:spacing w:after="0"/>
        <w:jc w:val="both"/>
        <w:rPr>
          <w:rFonts w:ascii="Times New Roman" w:hAnsi="Times New Roman" w:cs="Times New Roman"/>
        </w:rPr>
      </w:pPr>
      <w:r w:rsidRPr="00D37C9A">
        <w:rPr>
          <w:rFonts w:ascii="Times New Roman" w:hAnsi="Times New Roman" w:cs="Times New Roman"/>
          <w:bCs/>
        </w:rPr>
        <w:t xml:space="preserve">Poverty refers to a state where individuals or families are deprived of resources needed to live a decent life due to insufficient income, leading to exclusion from normal societal activities (Gordon, 2006). </w:t>
      </w:r>
      <w:r w:rsidRPr="00D37C9A">
        <w:rPr>
          <w:rFonts w:ascii="Times New Roman" w:hAnsi="Times New Roman" w:cs="Times New Roman"/>
        </w:rPr>
        <w:t xml:space="preserve">Poverty, according to the </w:t>
      </w:r>
      <w:bookmarkStart w:id="2" w:name="_Hlk85319650"/>
      <w:bookmarkStart w:id="3" w:name="_Hlk113083802"/>
      <w:r w:rsidRPr="00D37C9A">
        <w:rPr>
          <w:rFonts w:ascii="Times New Roman" w:hAnsi="Times New Roman" w:cs="Times New Roman"/>
        </w:rPr>
        <w:t>World Bank (2018</w:t>
      </w:r>
      <w:bookmarkEnd w:id="2"/>
      <w:r w:rsidRPr="00D37C9A">
        <w:rPr>
          <w:rFonts w:ascii="Times New Roman" w:hAnsi="Times New Roman" w:cs="Times New Roman"/>
        </w:rPr>
        <w:t xml:space="preserve">), </w:t>
      </w:r>
      <w:bookmarkEnd w:id="3"/>
      <w:r w:rsidR="00F32BF2">
        <w:rPr>
          <w:rFonts w:ascii="Times New Roman" w:hAnsi="Times New Roman" w:cs="Times New Roman"/>
        </w:rPr>
        <w:t>“</w:t>
      </w:r>
      <w:r w:rsidRPr="00D37C9A">
        <w:rPr>
          <w:rFonts w:ascii="Times New Roman" w:hAnsi="Times New Roman" w:cs="Times New Roman"/>
        </w:rPr>
        <w:t>is construed to be a deprivation in the personal well-being of individuals or a group of people. It comprises people with the inability to attain the necessary materials for living and survival resulting from their low incomes. Poverty is also stated to include elements of poor health conditions, low rate of literacy, inaccessibility to drinkable water and safe environment, lack of adequate security and lack of access to lifechanging opportunities</w:t>
      </w:r>
      <w:r w:rsidR="00F32BF2">
        <w:rPr>
          <w:rFonts w:ascii="Times New Roman" w:hAnsi="Times New Roman" w:cs="Times New Roman"/>
        </w:rPr>
        <w:t>”</w:t>
      </w:r>
      <w:r w:rsidRPr="00D37C9A">
        <w:rPr>
          <w:rFonts w:ascii="Times New Roman" w:hAnsi="Times New Roman" w:cs="Times New Roman"/>
        </w:rPr>
        <w:t xml:space="preserve">. Poverty is a condition of deprivation of basic necessities of life which largely referred to housing, food and clothing. Housing is more than mere shelter because it includes all the infrastructure and services that make housing functional and </w:t>
      </w:r>
      <w:r w:rsidR="00027631" w:rsidRPr="00D37C9A">
        <w:rPr>
          <w:rFonts w:ascii="Times New Roman" w:hAnsi="Times New Roman" w:cs="Times New Roman"/>
        </w:rPr>
        <w:t>liveable</w:t>
      </w:r>
      <w:r w:rsidRPr="00D37C9A">
        <w:rPr>
          <w:rFonts w:ascii="Times New Roman" w:hAnsi="Times New Roman" w:cs="Times New Roman"/>
        </w:rPr>
        <w:t xml:space="preserve">, while food is more than mere filling the stomach with anything edible but nutritional food. In the provision </w:t>
      </w:r>
      <w:r w:rsidRPr="00D37C9A">
        <w:rPr>
          <w:rFonts w:ascii="Times New Roman" w:hAnsi="Times New Roman" w:cs="Times New Roman"/>
        </w:rPr>
        <w:lastRenderedPageBreak/>
        <w:t xml:space="preserve">of food, sustainable agriculture becomes an inevitable pillar. </w:t>
      </w:r>
      <w:r w:rsidR="00F70624" w:rsidRPr="00D37C9A">
        <w:rPr>
          <w:rFonts w:ascii="Times New Roman" w:hAnsi="Times New Roman" w:cs="Times New Roman"/>
        </w:rPr>
        <w:t xml:space="preserve"> </w:t>
      </w:r>
      <w:r w:rsidR="00FA2E45" w:rsidRPr="00D37C9A">
        <w:rPr>
          <w:rFonts w:ascii="Times New Roman" w:hAnsi="Times New Roman" w:cs="Times New Roman"/>
        </w:rPr>
        <w:t>The number of people living in poverty, the size and composition of the household, the education level of the breadwinner, the assets owned by the household, the occupation of the breadwinner, the household's location (rural vs. urban), the sex and race of the breadwinner, and the number of people working in the household are all micro-level factors that contribute to poverty</w:t>
      </w:r>
      <w:r w:rsidR="00E238F1" w:rsidRPr="00D37C9A">
        <w:rPr>
          <w:rFonts w:ascii="Times New Roman" w:hAnsi="Times New Roman" w:cs="Times New Roman"/>
        </w:rPr>
        <w:t xml:space="preserve"> (Arouna, &amp; Richard, 2020).</w:t>
      </w:r>
    </w:p>
    <w:p w14:paraId="079D69F0" w14:textId="7AFA9A39" w:rsidR="00FA2E45" w:rsidRPr="00D37C9A" w:rsidRDefault="00FA2E45" w:rsidP="00D37C9A">
      <w:pPr>
        <w:spacing w:before="240" w:after="0"/>
        <w:rPr>
          <w:rFonts w:ascii="Times New Roman" w:hAnsi="Times New Roman" w:cs="Times New Roman"/>
          <w:b/>
        </w:rPr>
      </w:pPr>
      <w:r w:rsidRPr="00D37C9A">
        <w:rPr>
          <w:rFonts w:ascii="Times New Roman" w:hAnsi="Times New Roman" w:cs="Times New Roman"/>
          <w:b/>
        </w:rPr>
        <w:t>Theoretical Framework</w:t>
      </w:r>
    </w:p>
    <w:p w14:paraId="3CF5CB05" w14:textId="0F5AC3F9" w:rsidR="00F70624" w:rsidRPr="00D37C9A" w:rsidRDefault="00FA2E45" w:rsidP="00D37C9A">
      <w:pPr>
        <w:spacing w:after="0"/>
        <w:jc w:val="both"/>
        <w:rPr>
          <w:rFonts w:ascii="Times New Roman" w:hAnsi="Times New Roman" w:cs="Times New Roman"/>
          <w:b/>
        </w:rPr>
      </w:pPr>
      <w:r w:rsidRPr="00D37C9A">
        <w:rPr>
          <w:rFonts w:ascii="Times New Roman" w:hAnsi="Times New Roman" w:cs="Times New Roman"/>
        </w:rPr>
        <w:t>The baseline theor</w:t>
      </w:r>
      <w:r w:rsidR="00F70624" w:rsidRPr="00D37C9A">
        <w:rPr>
          <w:rFonts w:ascii="Times New Roman" w:hAnsi="Times New Roman" w:cs="Times New Roman"/>
        </w:rPr>
        <w:t xml:space="preserve">y </w:t>
      </w:r>
      <w:r w:rsidRPr="00D37C9A">
        <w:rPr>
          <w:rFonts w:ascii="Times New Roman" w:hAnsi="Times New Roman" w:cs="Times New Roman"/>
        </w:rPr>
        <w:t xml:space="preserve">of this study </w:t>
      </w:r>
      <w:r w:rsidR="00F70624" w:rsidRPr="00D37C9A">
        <w:rPr>
          <w:rFonts w:ascii="Times New Roman" w:hAnsi="Times New Roman" w:cs="Times New Roman"/>
        </w:rPr>
        <w:t xml:space="preserve">is </w:t>
      </w:r>
      <w:r w:rsidRPr="00D37C9A">
        <w:rPr>
          <w:rFonts w:ascii="Times New Roman" w:hAnsi="Times New Roman" w:cs="Times New Roman"/>
        </w:rPr>
        <w:t>Energy Poverty Theory</w:t>
      </w:r>
      <w:r w:rsidR="00F70624" w:rsidRPr="00D37C9A">
        <w:rPr>
          <w:rFonts w:ascii="Times New Roman" w:hAnsi="Times New Roman" w:cs="Times New Roman"/>
        </w:rPr>
        <w:t>.</w:t>
      </w:r>
    </w:p>
    <w:p w14:paraId="06144730" w14:textId="21434C0E" w:rsidR="00FA2E45" w:rsidRPr="00D37C9A" w:rsidRDefault="00FA2E45" w:rsidP="00D37C9A">
      <w:pPr>
        <w:spacing w:after="0"/>
        <w:jc w:val="both"/>
        <w:rPr>
          <w:rFonts w:ascii="Times New Roman" w:hAnsi="Times New Roman" w:cs="Times New Roman"/>
          <w:b/>
        </w:rPr>
      </w:pPr>
      <w:r w:rsidRPr="00D37C9A">
        <w:rPr>
          <w:rFonts w:ascii="Times New Roman" w:hAnsi="Times New Roman" w:cs="Times New Roman"/>
          <w:b/>
        </w:rPr>
        <w:t>Energy Poverty Theory</w:t>
      </w:r>
    </w:p>
    <w:p w14:paraId="52FBA340" w14:textId="77777777" w:rsidR="00FA2E45" w:rsidRPr="00D37C9A" w:rsidRDefault="00FA2E45" w:rsidP="00D37C9A">
      <w:pPr>
        <w:spacing w:after="0"/>
        <w:jc w:val="both"/>
        <w:rPr>
          <w:rFonts w:ascii="Times New Roman" w:hAnsi="Times New Roman" w:cs="Times New Roman"/>
        </w:rPr>
      </w:pPr>
      <w:r w:rsidRPr="00D37C9A">
        <w:rPr>
          <w:rFonts w:ascii="Times New Roman" w:hAnsi="Times New Roman" w:cs="Times New Roman"/>
        </w:rPr>
        <w:t>Energy Poverty Theory delineates the situation in which individuals or households are deprived of access to modern, affordable, reliable, and clean energy services that are crucial for maintaining basic living standards and facilitating economic participation. This theory emphasises that energy poverty extends beyond the lack of electricity; it comprises the inability to obtain adequate energy for cooking, heating, lighting, transportation, communication, and productive activities. The nexus between energy deprivation and broader dimensions of poverty is established, encompassing poor health outcomes, low educational attainment, income inequality, and social exclusion. Energy Poverty Theory is fundamentally as per development economics and human capability theories, i.e. those proposed by Amartya Sen. These theories contend that insufficient access to modern energy limits individuals' capabilities and opportunities to achieve fulfilling lives. For example, in the absence of electricity, children are unable to study at night, clinics cannot maintain the integrity of vaccines, and businesses cannot function effectively, which ultimately reinforces poverty. The Energy Poverty Theory, developed by Boardman in 1991, serves as a substantial theoretical framework for examining the relationships between energy consumption patterns and economic expansion. This theory posits that energy poverty is characterised by the inability of households or businesses to access adequate and affordable energy services, which are essential for maintaining a satisfactory standard of living and ensuring full participation in the economy. This theory, while predominantly utilised in other regions, provides substantial insights within the Nigerian context. Here, a considerable segment of the populace lacks reliable access to electricity and modern cooking fuels, despite the nation's abundant oil and gas reserves. This situation highlights how energy deprivation constrains national development (IEA, 2022). The relevance of the theory to this study lies in its potential to elucidate the paradox of Nigeria's abundant energy resources juxtaposed with energy insecurity and a sluggish economic expansion rate.</w:t>
      </w:r>
    </w:p>
    <w:p w14:paraId="1AB2AB8A" w14:textId="4B24427E" w:rsidR="00FA2E45" w:rsidRPr="00D37C9A" w:rsidRDefault="00FA2E45" w:rsidP="00D37C9A">
      <w:pPr>
        <w:spacing w:before="240" w:after="0"/>
        <w:jc w:val="both"/>
        <w:rPr>
          <w:rFonts w:ascii="Times New Roman" w:hAnsi="Times New Roman" w:cs="Times New Roman"/>
        </w:rPr>
      </w:pPr>
      <w:r w:rsidRPr="00D37C9A">
        <w:rPr>
          <w:rFonts w:ascii="Times New Roman" w:hAnsi="Times New Roman" w:cs="Times New Roman"/>
        </w:rPr>
        <w:t xml:space="preserve">The application of Energy Poverty Theory to the Nigerian development trajectory provides several substantial insights. The analysis begins by addressing the question of why the nation's economy has failed to deliver prosperity to its citizens. It highlights that energy shortages have created a bottleneck in key sectors, comprising manufacturing, healthcare, and educational institutions (Oyedepo, 2012). The theory elucidates how dependence on fossil fuels in Nigeria, along with the inefficient distribution systems, has led to spatial and socioeconomic disparities in energy access, thereby perpetuating regional inequalities in development progress. Third, the theory provides a framework for examining how persistent energy shortages drive households and businesses to resort to expensive and inefficient alternatives, ultimately detracting from productive investments (Ogwumike &amp; Ozughalu, 2016). The observed dynamics illustrate the applicability of the theory in connecting small-scale energy deprivation with large-scale economic </w:t>
      </w:r>
      <w:r w:rsidRPr="00D37C9A">
        <w:rPr>
          <w:rFonts w:ascii="Times New Roman" w:hAnsi="Times New Roman" w:cs="Times New Roman"/>
        </w:rPr>
        <w:lastRenderedPageBreak/>
        <w:t xml:space="preserve">stagnation. The policy implications of Energy Poverty Theory offer substantial guidance for addressing development challenges in Nigeria. This theory indicates that addressing energy poverty involves more than merely increasing energy supply; it necessitates the implementation of targeted interventions aimed at improving the affordability and reliability of energy services, likewise promoting equitable distribution of energy services for low-income populaces (Bhattacharyya, 2019). </w:t>
      </w:r>
    </w:p>
    <w:p w14:paraId="5F0388E7" w14:textId="6CA68373" w:rsidR="00FA2E45" w:rsidRPr="00D37C9A" w:rsidRDefault="00FA2E45" w:rsidP="00D37C9A">
      <w:pPr>
        <w:spacing w:before="240" w:after="0"/>
        <w:jc w:val="both"/>
        <w:rPr>
          <w:rFonts w:ascii="Times New Roman" w:hAnsi="Times New Roman" w:cs="Times New Roman"/>
        </w:rPr>
      </w:pPr>
      <w:r w:rsidRPr="00D37C9A">
        <w:rPr>
          <w:rFonts w:ascii="Times New Roman" w:hAnsi="Times New Roman" w:cs="Times New Roman"/>
        </w:rPr>
        <w:t>This theory expands the understanding of energy poverty, framing it as a condition of social deprivation and injustice</w:t>
      </w:r>
      <w:r w:rsidR="00934D6E" w:rsidRPr="00D37C9A">
        <w:rPr>
          <w:rFonts w:ascii="Times New Roman" w:hAnsi="Times New Roman" w:cs="Times New Roman"/>
        </w:rPr>
        <w:t xml:space="preserve">. </w:t>
      </w:r>
      <w:r w:rsidRPr="00D37C9A">
        <w:rPr>
          <w:rFonts w:ascii="Times New Roman" w:hAnsi="Times New Roman" w:cs="Times New Roman"/>
        </w:rPr>
        <w:t xml:space="preserve">The first aspect addressed energy poverty, which pertains to access to energy services and the fulfilment of fundamental energy needs. The second aspect, fuel poverty, is more focused on the affordability of energy and its relationship to income, particularly in the European context (Guevara et al. 2022). Despite attempts to unify these concepts, there remains a lack of standardisation in definitions and measurement methods, with the majority of research concentrating on measurements rather than theoretical aspects (Guevara et al., 2023). The manifestations of energy poverty are multidimensional regarding health and well-being, as they encompass harms to physical health, emotional well-being, and other essential capabilities. This has been observed in studies utilising the Capabilities Approach as articulated by Nussbaum (Pellicer-Sifres et al. 2021). The strategy emphasises the importance of considering energy poverty as a broader phenomenon linked to issues of injustice and social progress (Popescu et al. 2023). </w:t>
      </w:r>
    </w:p>
    <w:p w14:paraId="25A7E561" w14:textId="35D64BAB" w:rsidR="00FA2E45" w:rsidRPr="00D37C9A" w:rsidRDefault="00FA2E45" w:rsidP="00D37C9A">
      <w:pPr>
        <w:spacing w:after="0"/>
        <w:jc w:val="both"/>
        <w:rPr>
          <w:rFonts w:ascii="Times New Roman" w:hAnsi="Times New Roman" w:cs="Times New Roman"/>
        </w:rPr>
      </w:pPr>
      <w:r w:rsidRPr="00D37C9A">
        <w:rPr>
          <w:rFonts w:ascii="Times New Roman" w:hAnsi="Times New Roman" w:cs="Times New Roman"/>
        </w:rPr>
        <w:t xml:space="preserve">The lack of a universally recognised definition and the diversity of indicators applied to assess energy poverty pose substantial challenges for policy formulation and the achievement of international energy access goals (Liang &amp; Lu, 2017). The implementation of an effective policy response requires a nuanced understanding of energy poverty as a specific form of deprivation, rather than treating it as a general indicator of deprivation related to energy poverty (Cheng et al. 2021). The research on energy poverty encompasses multiple disciplines, comprising engineering and social sciences. Consequently, the development of effective mitigation strategies necessitates interdisciplinary approaches (Jiglau et al. 2023).  There </w:t>
      </w:r>
      <w:r w:rsidR="00027631" w:rsidRPr="00D37C9A">
        <w:rPr>
          <w:rFonts w:ascii="Times New Roman" w:hAnsi="Times New Roman" w:cs="Times New Roman"/>
        </w:rPr>
        <w:t>exists</w:t>
      </w:r>
      <w:r w:rsidRPr="00D37C9A">
        <w:rPr>
          <w:rFonts w:ascii="Times New Roman" w:hAnsi="Times New Roman" w:cs="Times New Roman"/>
        </w:rPr>
        <w:t xml:space="preserve"> a necessity to enhance collaborations across various regions and disciplines to expand research on energy poverty, ensuring its global relevance and applicability (Guevara et al. 2022).</w:t>
      </w:r>
    </w:p>
    <w:p w14:paraId="4D2D7D8E" w14:textId="281CEEDE" w:rsidR="00FA2E45" w:rsidRPr="00D37C9A" w:rsidRDefault="00FA2E45" w:rsidP="00D37C9A">
      <w:pPr>
        <w:spacing w:before="240" w:after="0"/>
        <w:jc w:val="both"/>
        <w:rPr>
          <w:rFonts w:ascii="Times New Roman" w:hAnsi="Times New Roman" w:cs="Times New Roman"/>
          <w:b/>
        </w:rPr>
      </w:pPr>
      <w:r w:rsidRPr="00D37C9A">
        <w:rPr>
          <w:rFonts w:ascii="Times New Roman" w:hAnsi="Times New Roman" w:cs="Times New Roman"/>
          <w:b/>
        </w:rPr>
        <w:t>Empirical Review</w:t>
      </w:r>
    </w:p>
    <w:p w14:paraId="4F4868ED" w14:textId="54A8FC5A" w:rsidR="00F70624" w:rsidRPr="00D37C9A" w:rsidRDefault="00F70624" w:rsidP="00D37C9A">
      <w:pPr>
        <w:jc w:val="both"/>
        <w:rPr>
          <w:rFonts w:ascii="Times New Roman" w:hAnsi="Times New Roman" w:cs="Times New Roman"/>
        </w:rPr>
      </w:pPr>
      <w:r w:rsidRPr="00D37C9A">
        <w:rPr>
          <w:rFonts w:ascii="Times New Roman" w:hAnsi="Times New Roman" w:cs="Times New Roman"/>
        </w:rPr>
        <w:t xml:space="preserve">From 1990 to 2022, Onyekachi et al. (2025) evaluated the result of energy usage on macroeconomic </w:t>
      </w:r>
      <w:r w:rsidR="00B81894" w:rsidRPr="00D37C9A">
        <w:rPr>
          <w:rFonts w:ascii="Times New Roman" w:hAnsi="Times New Roman" w:cs="Times New Roman"/>
        </w:rPr>
        <w:t>performance</w:t>
      </w:r>
      <w:r w:rsidRPr="00D37C9A">
        <w:rPr>
          <w:rFonts w:ascii="Times New Roman" w:hAnsi="Times New Roman" w:cs="Times New Roman"/>
        </w:rPr>
        <w:t xml:space="preserve"> in Nigeria. As per neo-classical growth theory, this work applied the VECM and the Granger causality test as its analytical underpinning. The upshots indicated a dynamic nexus between Nigeria's energy usage and economic development in the extended term. Consistent with the upshots of the Granger Causality test, research has shown that Green energy usage, fossil-based energy consumption, and economic development in Nigeria are not causally related. A key factor influencing Nigeria's GDP growth, in congruent with the upshots, is energy consumption. In congruent with the research, these </w:t>
      </w:r>
      <w:r w:rsidR="00B81894" w:rsidRPr="00D37C9A">
        <w:rPr>
          <w:rFonts w:ascii="Times New Roman" w:hAnsi="Times New Roman" w:cs="Times New Roman"/>
        </w:rPr>
        <w:t>results</w:t>
      </w:r>
      <w:r w:rsidRPr="00D37C9A">
        <w:rPr>
          <w:rFonts w:ascii="Times New Roman" w:hAnsi="Times New Roman" w:cs="Times New Roman"/>
        </w:rPr>
        <w:t xml:space="preserve"> support the idea that the government should upsurge its energy budget and create an institution for energy financing similar to India's Green energy Finance Corporation.</w:t>
      </w:r>
    </w:p>
    <w:p w14:paraId="50547BFF" w14:textId="7921BF2D" w:rsidR="00FA2E45" w:rsidRPr="00D37C9A" w:rsidRDefault="00FA2E45" w:rsidP="00D37C9A">
      <w:pPr>
        <w:jc w:val="both"/>
        <w:rPr>
          <w:rFonts w:ascii="Times New Roman" w:hAnsi="Times New Roman" w:cs="Times New Roman"/>
        </w:rPr>
      </w:pPr>
      <w:r w:rsidRPr="00D37C9A">
        <w:rPr>
          <w:rFonts w:ascii="Times New Roman" w:hAnsi="Times New Roman" w:cs="Times New Roman"/>
        </w:rPr>
        <w:t>Kulu et al. (2024) appraised the nexus between energy usage and GDP growth. Secondary data for the study came from 46 different sub-Saharan African states between 2007 and 2020. In contrast to the beneficial nexus between CO2 intensity and macroeconomic expansion, solid fuel emissions of carbon dioxide (CO2) have the opposite outcome on economic development. Macroeconomic expansion and GDP per energy usage are both beneficially impacted by FDI. The paper delves into the policy implications.</w:t>
      </w:r>
    </w:p>
    <w:p w14:paraId="6473CBC9" w14:textId="206E6E31" w:rsidR="00FA2E45" w:rsidRPr="00D37C9A" w:rsidRDefault="00FA2E45" w:rsidP="00D37C9A">
      <w:pPr>
        <w:jc w:val="both"/>
        <w:rPr>
          <w:rFonts w:ascii="Times New Roman" w:hAnsi="Times New Roman" w:cs="Times New Roman"/>
        </w:rPr>
      </w:pPr>
      <w:bookmarkStart w:id="4" w:name="_Hlk209242427"/>
      <w:r w:rsidRPr="00D37C9A">
        <w:rPr>
          <w:rFonts w:ascii="Times New Roman" w:hAnsi="Times New Roman" w:cs="Times New Roman"/>
        </w:rPr>
        <w:lastRenderedPageBreak/>
        <w:t xml:space="preserve">Using the energy growth nexus as a framework, Mihai et al. (2024) appraised the nexus between carbon emissions, energy consumption, and economic development.  </w:t>
      </w:r>
      <w:bookmarkEnd w:id="4"/>
      <w:r w:rsidRPr="00D37C9A">
        <w:rPr>
          <w:rFonts w:ascii="Times New Roman" w:hAnsi="Times New Roman" w:cs="Times New Roman"/>
        </w:rPr>
        <w:t xml:space="preserve">The </w:t>
      </w:r>
      <w:r w:rsidR="00027631" w:rsidRPr="00D37C9A">
        <w:rPr>
          <w:rFonts w:ascii="Times New Roman" w:hAnsi="Times New Roman" w:cs="Times New Roman"/>
        </w:rPr>
        <w:t>result</w:t>
      </w:r>
      <w:r w:rsidRPr="00D37C9A">
        <w:rPr>
          <w:rFonts w:ascii="Times New Roman" w:hAnsi="Times New Roman" w:cs="Times New Roman"/>
        </w:rPr>
        <w:t xml:space="preserve"> emphasised the significance of energy efficiency</w:t>
      </w:r>
      <w:r w:rsidR="00374BB5" w:rsidRPr="00D37C9A">
        <w:rPr>
          <w:rFonts w:ascii="Times New Roman" w:hAnsi="Times New Roman" w:cs="Times New Roman"/>
        </w:rPr>
        <w:t xml:space="preserve"> in poverty reduction</w:t>
      </w:r>
      <w:r w:rsidRPr="00D37C9A">
        <w:rPr>
          <w:rFonts w:ascii="Times New Roman" w:hAnsi="Times New Roman" w:cs="Times New Roman"/>
        </w:rPr>
        <w:t xml:space="preserve">, the need for comprehensive policies that address emissions from both production and consumption, and prompted questions about whether rising energy usage would upsurge economic productivity or </w:t>
      </w:r>
      <w:r w:rsidR="00027631">
        <w:rPr>
          <w:rFonts w:ascii="Times New Roman" w:hAnsi="Times New Roman" w:cs="Times New Roman"/>
        </w:rPr>
        <w:t>carbon dioxide</w:t>
      </w:r>
      <w:r w:rsidRPr="00D37C9A">
        <w:rPr>
          <w:rFonts w:ascii="Times New Roman" w:hAnsi="Times New Roman" w:cs="Times New Roman"/>
        </w:rPr>
        <w:t xml:space="preserve"> efficiency.</w:t>
      </w:r>
    </w:p>
    <w:p w14:paraId="088A2438" w14:textId="24081C4D" w:rsidR="00FA2E45" w:rsidRPr="00D37C9A" w:rsidRDefault="00FA2E45" w:rsidP="00D37C9A">
      <w:pPr>
        <w:jc w:val="both"/>
        <w:rPr>
          <w:rFonts w:ascii="Times New Roman" w:hAnsi="Times New Roman" w:cs="Times New Roman"/>
        </w:rPr>
      </w:pPr>
      <w:r w:rsidRPr="00D37C9A">
        <w:rPr>
          <w:rFonts w:ascii="Times New Roman" w:hAnsi="Times New Roman" w:cs="Times New Roman"/>
        </w:rPr>
        <w:t xml:space="preserve">In their 2023 study, Mmbaga, Kulindwa, and Kazungu appraised the East African Sub-Region's energy consumption and macroeconomic expansion. Examining the result of health and education as measures of human capital on the energy-economic development link, the study evaluated the East African subregion from 2012 to 2021. Pooled OLS, Fixed Effects, and the Generalised Method of Moments were among the several analytical approaches that we applied. Since there exist a beneficial nexus between present and past economic performance, the </w:t>
      </w:r>
      <w:r w:rsidR="00374BB5" w:rsidRPr="00D37C9A">
        <w:rPr>
          <w:rFonts w:ascii="Times New Roman" w:hAnsi="Times New Roman" w:cs="Times New Roman"/>
        </w:rPr>
        <w:t>result</w:t>
      </w:r>
      <w:r w:rsidRPr="00D37C9A">
        <w:rPr>
          <w:rFonts w:ascii="Times New Roman" w:hAnsi="Times New Roman" w:cs="Times New Roman"/>
        </w:rPr>
        <w:t xml:space="preserve"> demonstrated the importance of historical context in impacting current development goals. </w:t>
      </w:r>
    </w:p>
    <w:p w14:paraId="1BE7ED5F" w14:textId="2434B592" w:rsidR="00FA2E45" w:rsidRPr="00D37C9A" w:rsidRDefault="00FA2E45" w:rsidP="00D37C9A">
      <w:pPr>
        <w:jc w:val="both"/>
        <w:rPr>
          <w:rFonts w:ascii="Times New Roman" w:hAnsi="Times New Roman" w:cs="Times New Roman"/>
        </w:rPr>
      </w:pPr>
      <w:r w:rsidRPr="00D37C9A">
        <w:rPr>
          <w:rFonts w:ascii="Times New Roman" w:hAnsi="Times New Roman" w:cs="Times New Roman"/>
        </w:rPr>
        <w:t>Using data from 1990 to 2019, Chen et al. (2023) performed a comprehensive study on the changes in energy consumption in rising economies. In an effort to control for omitted factor bias, this study applied second-generation econometric methods</w:t>
      </w:r>
      <w:r w:rsidR="00374BB5" w:rsidRPr="00D37C9A">
        <w:rPr>
          <w:rFonts w:ascii="Times New Roman" w:hAnsi="Times New Roman" w:cs="Times New Roman"/>
        </w:rPr>
        <w:t>.</w:t>
      </w:r>
      <w:r w:rsidRPr="00D37C9A">
        <w:rPr>
          <w:rFonts w:ascii="Times New Roman" w:hAnsi="Times New Roman" w:cs="Times New Roman"/>
        </w:rPr>
        <w:t xml:space="preserve"> The </w:t>
      </w:r>
      <w:r w:rsidR="00374BB5" w:rsidRPr="00D37C9A">
        <w:rPr>
          <w:rFonts w:ascii="Times New Roman" w:hAnsi="Times New Roman" w:cs="Times New Roman"/>
        </w:rPr>
        <w:t xml:space="preserve">finding showed that </w:t>
      </w:r>
      <w:r w:rsidRPr="00D37C9A">
        <w:rPr>
          <w:rFonts w:ascii="Times New Roman" w:hAnsi="Times New Roman" w:cs="Times New Roman"/>
        </w:rPr>
        <w:t>decrease in energy usage is −0.008472 percent, which occurs when energy prices upsurge by 1 percent. In the extended term, remittances and energy prices reduce energy use, but educational attainment and economic development upsurge it</w:t>
      </w:r>
    </w:p>
    <w:p w14:paraId="2B8A2696" w14:textId="2C8AB9F1" w:rsidR="00FA2E45" w:rsidRPr="00D37C9A" w:rsidRDefault="00FA2E45" w:rsidP="00D37C9A">
      <w:pPr>
        <w:jc w:val="both"/>
        <w:rPr>
          <w:rFonts w:ascii="Times New Roman" w:hAnsi="Times New Roman" w:cs="Times New Roman"/>
        </w:rPr>
      </w:pPr>
      <w:r w:rsidRPr="00D37C9A">
        <w:rPr>
          <w:rFonts w:ascii="Times New Roman" w:hAnsi="Times New Roman" w:cs="Times New Roman"/>
        </w:rPr>
        <w:t xml:space="preserve">From 1993–2019, Mohammadi et al. (2023) evaluated the nexus between energy consumption and macroeconomic </w:t>
      </w:r>
      <w:r w:rsidR="00374BB5" w:rsidRPr="00D37C9A">
        <w:rPr>
          <w:rFonts w:ascii="Times New Roman" w:hAnsi="Times New Roman" w:cs="Times New Roman"/>
        </w:rPr>
        <w:t>performance</w:t>
      </w:r>
      <w:r w:rsidRPr="00D37C9A">
        <w:rPr>
          <w:rFonts w:ascii="Times New Roman" w:hAnsi="Times New Roman" w:cs="Times New Roman"/>
        </w:rPr>
        <w:t xml:space="preserve"> in a number of developed and emerging nations. The study found an extended term link between macroeconomic expansion and energy demand applying the Pedroni co-integration approach. applying the Dumitrescu and Hurlin heterogeneous panel causality estimation methodology and the totally modified OLS method, we appraised the direction of causality between factors and estimated the extended term parameters. The </w:t>
      </w:r>
      <w:r w:rsidR="00374BB5" w:rsidRPr="00D37C9A">
        <w:rPr>
          <w:rFonts w:ascii="Times New Roman" w:hAnsi="Times New Roman" w:cs="Times New Roman"/>
        </w:rPr>
        <w:t>finding</w:t>
      </w:r>
      <w:r w:rsidRPr="00D37C9A">
        <w:rPr>
          <w:rFonts w:ascii="Times New Roman" w:hAnsi="Times New Roman" w:cs="Times New Roman"/>
        </w:rPr>
        <w:t xml:space="preserve"> revealed that energy usage substantially and beneficially affected the macroeconomic </w:t>
      </w:r>
      <w:r w:rsidR="00374BB5" w:rsidRPr="00D37C9A">
        <w:rPr>
          <w:rFonts w:ascii="Times New Roman" w:hAnsi="Times New Roman" w:cs="Times New Roman"/>
        </w:rPr>
        <w:t xml:space="preserve">performance </w:t>
      </w:r>
      <w:r w:rsidRPr="00D37C9A">
        <w:rPr>
          <w:rFonts w:ascii="Times New Roman" w:hAnsi="Times New Roman" w:cs="Times New Roman"/>
        </w:rPr>
        <w:t xml:space="preserve">of both groups of nations. </w:t>
      </w:r>
    </w:p>
    <w:p w14:paraId="59D076C8" w14:textId="3B1C3CAA" w:rsidR="00374BB5" w:rsidRPr="00D37C9A" w:rsidRDefault="00374BB5" w:rsidP="00D37C9A">
      <w:pPr>
        <w:jc w:val="both"/>
        <w:rPr>
          <w:rFonts w:ascii="Times New Roman" w:hAnsi="Times New Roman" w:cs="Times New Roman"/>
          <w:shd w:val="clear" w:color="auto" w:fill="FFFFFF"/>
          <w:lang w:val="en-US"/>
        </w:rPr>
      </w:pPr>
      <w:r w:rsidRPr="00D37C9A">
        <w:rPr>
          <w:rFonts w:ascii="Times New Roman" w:hAnsi="Times New Roman" w:cs="Times New Roman"/>
          <w:shd w:val="clear" w:color="auto" w:fill="FFFFFF"/>
          <w:lang w:val="en-US"/>
        </w:rPr>
        <w:t xml:space="preserve">By adding breaks into their research, Mukhtar, Abubakar, Ibrahim, Hassan, and Ibrahim 2022 appraised the </w:t>
      </w:r>
      <w:r w:rsidR="00027631" w:rsidRPr="00D37C9A">
        <w:rPr>
          <w:rFonts w:ascii="Times New Roman" w:hAnsi="Times New Roman" w:cs="Times New Roman"/>
          <w:shd w:val="clear" w:color="auto" w:fill="FFFFFF"/>
          <w:lang w:val="en-US"/>
        </w:rPr>
        <w:t>near-term</w:t>
      </w:r>
      <w:r w:rsidRPr="00D37C9A">
        <w:rPr>
          <w:rFonts w:ascii="Times New Roman" w:hAnsi="Times New Roman" w:cs="Times New Roman"/>
          <w:shd w:val="clear" w:color="auto" w:fill="FFFFFF"/>
          <w:lang w:val="en-US"/>
        </w:rPr>
        <w:t xml:space="preserve"> dynamics and the extended term linkage between Nigeria's economic development and natural gas consumption. The methods applied comprise the ARDL model that takes breaks into consideration and the Shahbaz-Omay-Roubaud unit root test that takes both sharp and smooth breaks into account. The findings show that there </w:t>
      </w:r>
      <w:r w:rsidR="00027631" w:rsidRPr="00D37C9A">
        <w:rPr>
          <w:rFonts w:ascii="Times New Roman" w:hAnsi="Times New Roman" w:cs="Times New Roman"/>
          <w:shd w:val="clear" w:color="auto" w:fill="FFFFFF"/>
          <w:lang w:val="en-US"/>
        </w:rPr>
        <w:t>exists</w:t>
      </w:r>
      <w:r w:rsidRPr="00D37C9A">
        <w:rPr>
          <w:rFonts w:ascii="Times New Roman" w:hAnsi="Times New Roman" w:cs="Times New Roman"/>
          <w:shd w:val="clear" w:color="auto" w:fill="FFFFFF"/>
          <w:lang w:val="en-US"/>
        </w:rPr>
        <w:t xml:space="preserve"> a beneficial link between poverty level and natural gas consumption in the short and extended term.</w:t>
      </w:r>
    </w:p>
    <w:p w14:paraId="29C818BF" w14:textId="6E9891DE" w:rsidR="00374BB5" w:rsidRPr="00D37C9A" w:rsidRDefault="00374BB5" w:rsidP="00D37C9A">
      <w:pPr>
        <w:jc w:val="both"/>
        <w:rPr>
          <w:rFonts w:ascii="Times New Roman" w:hAnsi="Times New Roman" w:cs="Times New Roman"/>
        </w:rPr>
      </w:pPr>
      <w:r w:rsidRPr="00D37C9A">
        <w:rPr>
          <w:rFonts w:ascii="Times New Roman" w:hAnsi="Times New Roman" w:cs="Times New Roman"/>
        </w:rPr>
        <w:t xml:space="preserve">Eseyin and Ogunjobi (2021) investigated </w:t>
      </w:r>
      <w:r w:rsidR="00F32BF2">
        <w:rPr>
          <w:rFonts w:ascii="Times New Roman" w:hAnsi="Times New Roman" w:cs="Times New Roman"/>
        </w:rPr>
        <w:t>“</w:t>
      </w:r>
      <w:r w:rsidRPr="00D37C9A">
        <w:rPr>
          <w:rFonts w:ascii="Times New Roman" w:hAnsi="Times New Roman" w:cs="Times New Roman"/>
        </w:rPr>
        <w:t>the impact of sustainable electricity supply on poverty reduction in Nigeria. A time series data from 1981 to 2018 was analysed for this study. The result of the study showed that apart from the fact that poverty level in the past period is found to have a direct and statistically significant effect on the poverty rate in the current period, it was also revealed that lower unemployment rate does not really translate into reduction in the poverty level in Nigeria</w:t>
      </w:r>
      <w:r w:rsidR="00F32BF2">
        <w:rPr>
          <w:rFonts w:ascii="Times New Roman" w:hAnsi="Times New Roman" w:cs="Times New Roman"/>
        </w:rPr>
        <w:t>”</w:t>
      </w:r>
      <w:r w:rsidRPr="00D37C9A">
        <w:rPr>
          <w:rFonts w:ascii="Times New Roman" w:hAnsi="Times New Roman" w:cs="Times New Roman"/>
        </w:rPr>
        <w:t xml:space="preserve">. </w:t>
      </w:r>
    </w:p>
    <w:p w14:paraId="7C6A13DA" w14:textId="51CC14A2" w:rsidR="00374BB5" w:rsidRPr="00D37C9A" w:rsidRDefault="00374BB5" w:rsidP="00D37C9A">
      <w:pPr>
        <w:jc w:val="both"/>
        <w:rPr>
          <w:rFonts w:ascii="Times New Roman" w:hAnsi="Times New Roman" w:cs="Times New Roman"/>
        </w:rPr>
      </w:pPr>
      <w:r w:rsidRPr="00D37C9A">
        <w:rPr>
          <w:rFonts w:ascii="Times New Roman" w:hAnsi="Times New Roman" w:cs="Times New Roman"/>
        </w:rPr>
        <w:t xml:space="preserve">Akintunde, Adagunodo, Akanbi and Ogunleye (2020) investigated </w:t>
      </w:r>
      <w:r w:rsidR="00F32BF2">
        <w:rPr>
          <w:rFonts w:ascii="Times New Roman" w:hAnsi="Times New Roman" w:cs="Times New Roman"/>
        </w:rPr>
        <w:t>“</w:t>
      </w:r>
      <w:r w:rsidRPr="00D37C9A">
        <w:rPr>
          <w:rFonts w:ascii="Times New Roman" w:hAnsi="Times New Roman" w:cs="Times New Roman"/>
        </w:rPr>
        <w:t xml:space="preserve">the interactive effect of poverty and energy consumption on life expectancy in Nigeria from 1980 to 2017. Secondary data were used for the study. Autoregressive Distributive Lag (ARDL) approach was used to </w:t>
      </w:r>
      <w:r w:rsidR="00027631" w:rsidRPr="00D37C9A">
        <w:rPr>
          <w:rFonts w:ascii="Times New Roman" w:hAnsi="Times New Roman" w:cs="Times New Roman"/>
        </w:rPr>
        <w:t>analyse</w:t>
      </w:r>
      <w:r w:rsidRPr="00D37C9A">
        <w:rPr>
          <w:rFonts w:ascii="Times New Roman" w:hAnsi="Times New Roman" w:cs="Times New Roman"/>
        </w:rPr>
        <w:t xml:space="preserve"> the time series data. The </w:t>
      </w:r>
      <w:r w:rsidRPr="00D37C9A">
        <w:rPr>
          <w:rFonts w:ascii="Times New Roman" w:hAnsi="Times New Roman" w:cs="Times New Roman"/>
        </w:rPr>
        <w:lastRenderedPageBreak/>
        <w:t>study revealed that poverty had negative and significant impact on life expectancy in the short-run and in the long-run. Also, energy consumption had positive and significant impact on life expectancy in the longrun</w:t>
      </w:r>
      <w:r w:rsidR="00F32BF2">
        <w:rPr>
          <w:rFonts w:ascii="Times New Roman" w:hAnsi="Times New Roman" w:cs="Times New Roman"/>
        </w:rPr>
        <w:t>”</w:t>
      </w:r>
      <w:r w:rsidRPr="00D37C9A">
        <w:rPr>
          <w:rFonts w:ascii="Times New Roman" w:hAnsi="Times New Roman" w:cs="Times New Roman"/>
        </w:rPr>
        <w:t xml:space="preserve">. </w:t>
      </w:r>
    </w:p>
    <w:p w14:paraId="0C888271" w14:textId="157B7974" w:rsidR="00374BB5" w:rsidRPr="00D37C9A" w:rsidRDefault="00374BB5" w:rsidP="00D37C9A">
      <w:pPr>
        <w:jc w:val="both"/>
        <w:rPr>
          <w:rFonts w:ascii="Times New Roman" w:hAnsi="Times New Roman" w:cs="Times New Roman"/>
        </w:rPr>
      </w:pPr>
      <w:r w:rsidRPr="00D37C9A">
        <w:rPr>
          <w:rFonts w:ascii="Times New Roman" w:hAnsi="Times New Roman" w:cs="Times New Roman"/>
        </w:rPr>
        <w:t xml:space="preserve">Arouna and Richard (2020) investigated </w:t>
      </w:r>
      <w:r w:rsidR="00F32BF2">
        <w:rPr>
          <w:rFonts w:ascii="Times New Roman" w:hAnsi="Times New Roman" w:cs="Times New Roman"/>
        </w:rPr>
        <w:t>“</w:t>
      </w:r>
      <w:r w:rsidRPr="00D37C9A">
        <w:rPr>
          <w:rFonts w:ascii="Times New Roman" w:hAnsi="Times New Roman" w:cs="Times New Roman"/>
        </w:rPr>
        <w:t>the effect of household's access to electricity on poverty in Côte d'Ivoire and how it has varied over the last two decades. The study showed a positive and significant effect of access to electricity on household consumption per capita. Access to electricity increases household consumption per capita by 5.2 to 23.3 percent. The results also highlighted that the lower the regional rate of access to electricity, the higher the regional poverty rate</w:t>
      </w:r>
      <w:r w:rsidR="00F32BF2">
        <w:rPr>
          <w:rFonts w:ascii="Times New Roman" w:hAnsi="Times New Roman" w:cs="Times New Roman"/>
        </w:rPr>
        <w:t>”</w:t>
      </w:r>
      <w:r w:rsidRPr="00D37C9A">
        <w:rPr>
          <w:rFonts w:ascii="Times New Roman" w:hAnsi="Times New Roman" w:cs="Times New Roman"/>
        </w:rPr>
        <w:t>.</w:t>
      </w:r>
    </w:p>
    <w:p w14:paraId="6C00E06C" w14:textId="3E4DA302" w:rsidR="00374BB5" w:rsidRPr="00D37C9A" w:rsidRDefault="00374BB5" w:rsidP="00D37C9A">
      <w:pPr>
        <w:jc w:val="both"/>
        <w:rPr>
          <w:rFonts w:ascii="Times New Roman" w:hAnsi="Times New Roman" w:cs="Times New Roman"/>
        </w:rPr>
      </w:pPr>
      <w:r w:rsidRPr="00D37C9A">
        <w:rPr>
          <w:rFonts w:ascii="Times New Roman" w:hAnsi="Times New Roman" w:cs="Times New Roman"/>
        </w:rPr>
        <w:t xml:space="preserve">Okwanya and Abah (2018) investigated </w:t>
      </w:r>
      <w:r w:rsidR="00F32BF2">
        <w:rPr>
          <w:rFonts w:ascii="Times New Roman" w:hAnsi="Times New Roman" w:cs="Times New Roman"/>
        </w:rPr>
        <w:t>“</w:t>
      </w:r>
      <w:r w:rsidRPr="00D37C9A">
        <w:rPr>
          <w:rFonts w:ascii="Times New Roman" w:hAnsi="Times New Roman" w:cs="Times New Roman"/>
        </w:rPr>
        <w:t>the impact of energy consumption on poverty reduction in a panel of 12 African countries over a period of 1981-2014. Using the Fully Modified Ordinary Least Square (FMOLS) method, the study showed that a long-run negative relationship exists between energy consumption and poverty level, which underscores the importance of energy in poverty reduction in the selected African countries. The result also indicated that other variables such as capital stock and political stability have significant effect on poverty implying that these factors play critical role in reducing poverty</w:t>
      </w:r>
      <w:r w:rsidR="00F32BF2">
        <w:rPr>
          <w:rFonts w:ascii="Times New Roman" w:hAnsi="Times New Roman" w:cs="Times New Roman"/>
        </w:rPr>
        <w:t>”</w:t>
      </w:r>
      <w:r w:rsidRPr="00D37C9A">
        <w:rPr>
          <w:rFonts w:ascii="Times New Roman" w:hAnsi="Times New Roman" w:cs="Times New Roman"/>
        </w:rPr>
        <w:t xml:space="preserve">. </w:t>
      </w:r>
    </w:p>
    <w:p w14:paraId="748B691B" w14:textId="75B87809" w:rsidR="00FA2E45" w:rsidRPr="00D37C9A" w:rsidRDefault="00B81894" w:rsidP="00D37C9A">
      <w:pPr>
        <w:pStyle w:val="ListParagraph"/>
        <w:numPr>
          <w:ilvl w:val="0"/>
          <w:numId w:val="14"/>
        </w:numPr>
        <w:spacing w:after="0"/>
        <w:rPr>
          <w:rFonts w:ascii="Times New Roman" w:hAnsi="Times New Roman" w:cs="Times New Roman"/>
          <w:b/>
        </w:rPr>
      </w:pPr>
      <w:r w:rsidRPr="00D37C9A">
        <w:rPr>
          <w:rFonts w:ascii="Times New Roman" w:hAnsi="Times New Roman" w:cs="Times New Roman"/>
          <w:b/>
        </w:rPr>
        <w:t>Methodology</w:t>
      </w:r>
    </w:p>
    <w:p w14:paraId="6871943E" w14:textId="7069F7C9" w:rsidR="006346BA" w:rsidRPr="00D37C9A" w:rsidRDefault="006346BA" w:rsidP="00D37C9A">
      <w:pPr>
        <w:spacing w:after="0"/>
        <w:jc w:val="both"/>
        <w:rPr>
          <w:rFonts w:ascii="Times New Roman" w:hAnsi="Times New Roman" w:cs="Times New Roman"/>
        </w:rPr>
      </w:pPr>
      <w:r w:rsidRPr="00D37C9A">
        <w:rPr>
          <w:rFonts w:ascii="Times New Roman" w:hAnsi="Times New Roman" w:cs="Times New Roman"/>
        </w:rPr>
        <w:t>A</w:t>
      </w:r>
      <w:r w:rsidR="00FA2E45" w:rsidRPr="00D37C9A">
        <w:rPr>
          <w:rFonts w:ascii="Times New Roman" w:hAnsi="Times New Roman" w:cs="Times New Roman"/>
        </w:rPr>
        <w:t xml:space="preserve">n ex-post facto research strategy was utilised in this investigation. </w:t>
      </w:r>
      <w:r w:rsidRPr="00D37C9A">
        <w:rPr>
          <w:rFonts w:ascii="Times New Roman" w:hAnsi="Times New Roman" w:cs="Times New Roman"/>
        </w:rPr>
        <w:t xml:space="preserve">Yearly time series data from 1990 to 2023 were used and sourced/extracted from </w:t>
      </w:r>
      <w:r w:rsidRPr="00D37C9A">
        <w:rPr>
          <w:rFonts w:ascii="Times New Roman" w:hAnsi="Times New Roman" w:cs="Times New Roman"/>
          <w:bCs/>
          <w:iCs/>
        </w:rPr>
        <w:t>World Development Indicators (WDI) of World Bank, National Bureau of Statistics (NBS), Nigerian National Petroleum Company (NNPC) annual statistical bulletins, and Energy Commission of Nigeria (ECN) reports</w:t>
      </w:r>
      <w:r w:rsidRPr="00D37C9A">
        <w:rPr>
          <w:rFonts w:ascii="Times New Roman" w:hAnsi="Times New Roman" w:cs="Times New Roman"/>
          <w:bCs/>
        </w:rPr>
        <w:t>.</w:t>
      </w:r>
    </w:p>
    <w:p w14:paraId="6DD0CDBD" w14:textId="1D66D54C" w:rsidR="00FA2E45" w:rsidRPr="00D37C9A" w:rsidRDefault="00FA2E45" w:rsidP="00D37C9A">
      <w:pPr>
        <w:spacing w:after="0"/>
        <w:jc w:val="both"/>
        <w:rPr>
          <w:rFonts w:ascii="Times New Roman" w:hAnsi="Times New Roman" w:cs="Times New Roman"/>
          <w:b/>
        </w:rPr>
      </w:pPr>
      <w:r w:rsidRPr="00D37C9A">
        <w:rPr>
          <w:rFonts w:ascii="Times New Roman" w:hAnsi="Times New Roman" w:cs="Times New Roman"/>
          <w:b/>
        </w:rPr>
        <w:t xml:space="preserve">Model Specification  </w:t>
      </w:r>
    </w:p>
    <w:p w14:paraId="200445EB" w14:textId="186EDA1C" w:rsidR="00FA2E45" w:rsidRPr="00D37C9A" w:rsidRDefault="00FA2E45" w:rsidP="00D37C9A">
      <w:pPr>
        <w:shd w:val="clear" w:color="auto" w:fill="FFFFFF"/>
        <w:jc w:val="both"/>
        <w:rPr>
          <w:rFonts w:ascii="Times New Roman" w:hAnsi="Times New Roman" w:cs="Times New Roman"/>
          <w:bCs/>
        </w:rPr>
      </w:pPr>
      <w:bookmarkStart w:id="5" w:name="_Hlk156934309"/>
      <w:r w:rsidRPr="00D37C9A">
        <w:rPr>
          <w:rFonts w:ascii="Times New Roman" w:hAnsi="Times New Roman" w:cs="Times New Roman"/>
        </w:rPr>
        <w:t xml:space="preserve">This section outlines and defines the model utilised in this study to empirically assess the result of energy consumption on </w:t>
      </w:r>
      <w:r w:rsidR="006346BA" w:rsidRPr="00D37C9A">
        <w:rPr>
          <w:rFonts w:ascii="Times New Roman" w:hAnsi="Times New Roman" w:cs="Times New Roman"/>
        </w:rPr>
        <w:t>poverty level</w:t>
      </w:r>
      <w:r w:rsidRPr="00D37C9A">
        <w:rPr>
          <w:rFonts w:ascii="Times New Roman" w:hAnsi="Times New Roman" w:cs="Times New Roman"/>
        </w:rPr>
        <w:t xml:space="preserve"> in Nigeria. The analytical framework of this study </w:t>
      </w:r>
      <w:r w:rsidR="006346BA" w:rsidRPr="00D37C9A">
        <w:rPr>
          <w:rFonts w:ascii="Times New Roman" w:hAnsi="Times New Roman" w:cs="Times New Roman"/>
        </w:rPr>
        <w:t>hinged on</w:t>
      </w:r>
      <w:r w:rsidRPr="00D37C9A">
        <w:rPr>
          <w:rFonts w:ascii="Times New Roman" w:hAnsi="Times New Roman" w:cs="Times New Roman"/>
        </w:rPr>
        <w:t xml:space="preserve"> the Cobb-Douglas Production Function due to its relevance to the research objectives. </w:t>
      </w:r>
      <w:bookmarkEnd w:id="5"/>
      <w:r w:rsidR="006346BA" w:rsidRPr="00D37C9A">
        <w:rPr>
          <w:rFonts w:ascii="Times New Roman" w:hAnsi="Times New Roman" w:cs="Times New Roman"/>
        </w:rPr>
        <w:t>Also, th</w:t>
      </w:r>
      <w:r w:rsidRPr="00D37C9A">
        <w:rPr>
          <w:rFonts w:ascii="Times New Roman" w:hAnsi="Times New Roman" w:cs="Times New Roman"/>
          <w:bCs/>
        </w:rPr>
        <w:t xml:space="preserve">is empirical model is as per the research conducted by Ogungbenle (2021), which analyses the </w:t>
      </w:r>
      <w:r w:rsidR="006346BA" w:rsidRPr="00D37C9A">
        <w:rPr>
          <w:rFonts w:ascii="Times New Roman" w:hAnsi="Times New Roman" w:cs="Times New Roman"/>
          <w:bCs/>
        </w:rPr>
        <w:t>impact</w:t>
      </w:r>
      <w:r w:rsidRPr="00D37C9A">
        <w:rPr>
          <w:rFonts w:ascii="Times New Roman" w:hAnsi="Times New Roman" w:cs="Times New Roman"/>
          <w:bCs/>
        </w:rPr>
        <w:t xml:space="preserve"> of energy consumption on economic expansion in Nigeria. </w:t>
      </w:r>
    </w:p>
    <w:p w14:paraId="5EFB0A9B" w14:textId="7B9C0856" w:rsidR="00FA2E45" w:rsidRPr="00D37C9A" w:rsidRDefault="00FA2E45" w:rsidP="00D37C9A">
      <w:pPr>
        <w:spacing w:after="0"/>
        <w:jc w:val="both"/>
        <w:rPr>
          <w:rFonts w:ascii="Times New Roman" w:hAnsi="Times New Roman" w:cs="Times New Roman"/>
        </w:rPr>
      </w:pPr>
      <w:r w:rsidRPr="00D37C9A">
        <w:rPr>
          <w:rFonts w:ascii="Times New Roman" w:hAnsi="Times New Roman" w:cs="Times New Roman"/>
          <w:bCs/>
        </w:rPr>
        <w:t xml:space="preserve">The </w:t>
      </w:r>
      <w:r w:rsidR="006346BA" w:rsidRPr="00D37C9A">
        <w:rPr>
          <w:rFonts w:ascii="Times New Roman" w:hAnsi="Times New Roman" w:cs="Times New Roman"/>
          <w:bCs/>
        </w:rPr>
        <w:t>modified model for this study is stated as</w:t>
      </w:r>
      <w:r w:rsidRPr="00D37C9A">
        <w:rPr>
          <w:rFonts w:ascii="Times New Roman" w:hAnsi="Times New Roman" w:cs="Times New Roman"/>
          <w:bCs/>
        </w:rPr>
        <w:t>:</w:t>
      </w:r>
    </w:p>
    <w:p w14:paraId="5FD2CC06" w14:textId="7FECE566" w:rsidR="00FA2E45" w:rsidRPr="00D37C9A" w:rsidRDefault="00FA2E45" w:rsidP="00D37C9A">
      <w:pPr>
        <w:spacing w:after="0"/>
        <w:jc w:val="both"/>
        <w:rPr>
          <w:rFonts w:ascii="Times New Roman" w:hAnsi="Times New Roman" w:cs="Times New Roman"/>
        </w:rPr>
      </w:pPr>
      <w:r w:rsidRPr="00D37C9A">
        <w:rPr>
          <w:rFonts w:ascii="Times New Roman" w:hAnsi="Times New Roman" w:cs="Times New Roman"/>
          <w:i/>
          <w:iCs/>
        </w:rPr>
        <w:t>POR = f(AGO, PMS, SEC, HPC, NGC)</w:t>
      </w:r>
      <w:r w:rsidRPr="00D37C9A">
        <w:rPr>
          <w:rFonts w:ascii="Times New Roman" w:hAnsi="Times New Roman" w:cs="Times New Roman"/>
        </w:rPr>
        <w:tab/>
      </w:r>
      <w:r w:rsidRPr="00D37C9A">
        <w:rPr>
          <w:rFonts w:ascii="Times New Roman" w:hAnsi="Times New Roman" w:cs="Times New Roman"/>
        </w:rPr>
        <w:tab/>
      </w:r>
      <w:r w:rsidRPr="00D37C9A">
        <w:rPr>
          <w:rFonts w:ascii="Times New Roman" w:hAnsi="Times New Roman" w:cs="Times New Roman"/>
        </w:rPr>
        <w:tab/>
      </w:r>
      <w:r w:rsidRPr="00D37C9A">
        <w:rPr>
          <w:rFonts w:ascii="Times New Roman" w:hAnsi="Times New Roman" w:cs="Times New Roman"/>
        </w:rPr>
        <w:tab/>
      </w:r>
      <w:r w:rsidRPr="00D37C9A">
        <w:rPr>
          <w:rFonts w:ascii="Times New Roman" w:hAnsi="Times New Roman" w:cs="Times New Roman"/>
        </w:rPr>
        <w:tab/>
        <w:t xml:space="preserve">     </w:t>
      </w:r>
      <w:r w:rsidRPr="00D37C9A">
        <w:rPr>
          <w:rFonts w:ascii="Times New Roman" w:hAnsi="Times New Roman" w:cs="Times New Roman"/>
        </w:rPr>
        <w:tab/>
      </w:r>
      <w:r w:rsidRPr="00D37C9A">
        <w:rPr>
          <w:rFonts w:ascii="Times New Roman" w:hAnsi="Times New Roman" w:cs="Times New Roman"/>
        </w:rPr>
        <w:tab/>
        <w:t xml:space="preserve">  (3.</w:t>
      </w:r>
      <w:r w:rsidR="006346BA" w:rsidRPr="00D37C9A">
        <w:rPr>
          <w:rFonts w:ascii="Times New Roman" w:hAnsi="Times New Roman" w:cs="Times New Roman"/>
        </w:rPr>
        <w:t>1</w:t>
      </w:r>
      <w:r w:rsidRPr="00D37C9A">
        <w:rPr>
          <w:rFonts w:ascii="Times New Roman" w:hAnsi="Times New Roman" w:cs="Times New Roman"/>
        </w:rPr>
        <w:t>)</w:t>
      </w:r>
    </w:p>
    <w:p w14:paraId="0F6A66C9" w14:textId="79C328AB" w:rsidR="00FA2E45" w:rsidRPr="00D37C9A" w:rsidRDefault="00FA2E45" w:rsidP="00D37C9A">
      <w:pPr>
        <w:spacing w:before="240" w:after="0"/>
        <w:rPr>
          <w:rFonts w:ascii="Times New Roman" w:hAnsi="Times New Roman" w:cs="Times New Roman"/>
        </w:rPr>
      </w:pPr>
      <w:r w:rsidRPr="00D37C9A">
        <w:rPr>
          <w:rFonts w:ascii="Times New Roman" w:hAnsi="Times New Roman" w:cs="Times New Roman"/>
        </w:rPr>
        <w:t>The aforementioned model</w:t>
      </w:r>
      <w:r w:rsidR="006346BA" w:rsidRPr="00D37C9A">
        <w:rPr>
          <w:rFonts w:ascii="Times New Roman" w:hAnsi="Times New Roman" w:cs="Times New Roman"/>
        </w:rPr>
        <w:t xml:space="preserve"> is</w:t>
      </w:r>
      <w:r w:rsidRPr="00D37C9A">
        <w:rPr>
          <w:rFonts w:ascii="Times New Roman" w:hAnsi="Times New Roman" w:cs="Times New Roman"/>
        </w:rPr>
        <w:t xml:space="preserve"> reformulated into econometric representations by incorporating constant variables, parameters, and error terms as detailed below: </w:t>
      </w:r>
    </w:p>
    <w:p w14:paraId="7FF5F58C" w14:textId="25CE9FC4" w:rsidR="00FA2E45" w:rsidRPr="00D37C9A" w:rsidRDefault="00FA2E45" w:rsidP="00D37C9A">
      <w:pPr>
        <w:spacing w:after="0"/>
        <w:jc w:val="both"/>
        <w:rPr>
          <w:rFonts w:ascii="Times New Roman" w:hAnsi="Times New Roman" w:cs="Times New Roman"/>
        </w:rPr>
      </w:pPr>
      <w:r w:rsidRPr="00D37C9A">
        <w:rPr>
          <w:rFonts w:ascii="Times New Roman" w:hAnsi="Times New Roman" w:cs="Times New Roman"/>
          <w:i/>
          <w:iCs/>
        </w:rPr>
        <w:t>POR</w:t>
      </w:r>
      <w:r w:rsidRPr="00D37C9A">
        <w:rPr>
          <w:rFonts w:ascii="Times New Roman" w:hAnsi="Times New Roman" w:cs="Times New Roman"/>
          <w:i/>
          <w:iCs/>
          <w:vertAlign w:val="subscript"/>
        </w:rPr>
        <w:t>t</w:t>
      </w:r>
      <w:r w:rsidRPr="00D37C9A">
        <w:rPr>
          <w:rFonts w:ascii="Times New Roman" w:hAnsi="Times New Roman" w:cs="Times New Roman"/>
          <w:i/>
          <w:iCs/>
        </w:rPr>
        <w:t xml:space="preserve"> = β</w:t>
      </w:r>
      <w:r w:rsidRPr="00D37C9A">
        <w:rPr>
          <w:rFonts w:ascii="Times New Roman" w:hAnsi="Times New Roman" w:cs="Times New Roman"/>
          <w:i/>
          <w:iCs/>
          <w:vertAlign w:val="subscript"/>
        </w:rPr>
        <w:t>0</w:t>
      </w:r>
      <w:r w:rsidRPr="00D37C9A">
        <w:rPr>
          <w:rFonts w:ascii="Times New Roman" w:hAnsi="Times New Roman" w:cs="Times New Roman"/>
          <w:i/>
          <w:iCs/>
        </w:rPr>
        <w:t xml:space="preserve"> + β</w:t>
      </w:r>
      <w:r w:rsidRPr="00D37C9A">
        <w:rPr>
          <w:rFonts w:ascii="Times New Roman" w:hAnsi="Times New Roman" w:cs="Times New Roman"/>
          <w:i/>
          <w:iCs/>
          <w:vertAlign w:val="subscript"/>
        </w:rPr>
        <w:t>1</w:t>
      </w:r>
      <w:r w:rsidRPr="00D37C9A">
        <w:rPr>
          <w:rFonts w:ascii="Times New Roman" w:hAnsi="Times New Roman" w:cs="Times New Roman"/>
          <w:i/>
          <w:iCs/>
        </w:rPr>
        <w:t>AGO</w:t>
      </w:r>
      <w:r w:rsidRPr="00D37C9A">
        <w:rPr>
          <w:rFonts w:ascii="Times New Roman" w:hAnsi="Times New Roman" w:cs="Times New Roman"/>
          <w:i/>
          <w:iCs/>
          <w:vertAlign w:val="subscript"/>
        </w:rPr>
        <w:t>t</w:t>
      </w:r>
      <w:r w:rsidRPr="00D37C9A">
        <w:rPr>
          <w:rFonts w:ascii="Times New Roman" w:hAnsi="Times New Roman" w:cs="Times New Roman"/>
          <w:i/>
          <w:iCs/>
        </w:rPr>
        <w:t xml:space="preserve"> + β</w:t>
      </w:r>
      <w:r w:rsidRPr="00D37C9A">
        <w:rPr>
          <w:rFonts w:ascii="Times New Roman" w:hAnsi="Times New Roman" w:cs="Times New Roman"/>
          <w:i/>
          <w:iCs/>
          <w:vertAlign w:val="subscript"/>
        </w:rPr>
        <w:t>2</w:t>
      </w:r>
      <w:r w:rsidRPr="00D37C9A">
        <w:rPr>
          <w:rFonts w:ascii="Times New Roman" w:hAnsi="Times New Roman" w:cs="Times New Roman"/>
          <w:i/>
          <w:iCs/>
        </w:rPr>
        <w:t>PMS</w:t>
      </w:r>
      <w:r w:rsidRPr="00D37C9A">
        <w:rPr>
          <w:rFonts w:ascii="Times New Roman" w:hAnsi="Times New Roman" w:cs="Times New Roman"/>
          <w:i/>
          <w:iCs/>
          <w:vertAlign w:val="subscript"/>
        </w:rPr>
        <w:t xml:space="preserve">t </w:t>
      </w:r>
      <w:r w:rsidRPr="00D37C9A">
        <w:rPr>
          <w:rFonts w:ascii="Times New Roman" w:hAnsi="Times New Roman" w:cs="Times New Roman"/>
          <w:i/>
          <w:iCs/>
        </w:rPr>
        <w:t>+ β</w:t>
      </w:r>
      <w:r w:rsidRPr="00D37C9A">
        <w:rPr>
          <w:rFonts w:ascii="Times New Roman" w:hAnsi="Times New Roman" w:cs="Times New Roman"/>
          <w:i/>
          <w:iCs/>
          <w:vertAlign w:val="subscript"/>
        </w:rPr>
        <w:t>3</w:t>
      </w:r>
      <w:r w:rsidRPr="00D37C9A">
        <w:rPr>
          <w:rFonts w:ascii="Times New Roman" w:hAnsi="Times New Roman" w:cs="Times New Roman"/>
          <w:i/>
          <w:iCs/>
        </w:rPr>
        <w:t>SEC</w:t>
      </w:r>
      <w:r w:rsidRPr="00D37C9A">
        <w:rPr>
          <w:rFonts w:ascii="Times New Roman" w:hAnsi="Times New Roman" w:cs="Times New Roman"/>
          <w:i/>
          <w:iCs/>
          <w:vertAlign w:val="subscript"/>
        </w:rPr>
        <w:t xml:space="preserve">t </w:t>
      </w:r>
      <w:r w:rsidRPr="00D37C9A">
        <w:rPr>
          <w:rFonts w:ascii="Times New Roman" w:hAnsi="Times New Roman" w:cs="Times New Roman"/>
          <w:i/>
          <w:iCs/>
        </w:rPr>
        <w:t>+ β</w:t>
      </w:r>
      <w:r w:rsidRPr="00D37C9A">
        <w:rPr>
          <w:rFonts w:ascii="Times New Roman" w:hAnsi="Times New Roman" w:cs="Times New Roman"/>
          <w:i/>
          <w:iCs/>
          <w:vertAlign w:val="subscript"/>
        </w:rPr>
        <w:t>4</w:t>
      </w:r>
      <w:r w:rsidRPr="00D37C9A">
        <w:rPr>
          <w:rFonts w:ascii="Times New Roman" w:hAnsi="Times New Roman" w:cs="Times New Roman"/>
          <w:i/>
          <w:iCs/>
        </w:rPr>
        <w:t>HPC</w:t>
      </w:r>
      <w:r w:rsidRPr="00D37C9A">
        <w:rPr>
          <w:rFonts w:ascii="Times New Roman" w:hAnsi="Times New Roman" w:cs="Times New Roman"/>
          <w:i/>
          <w:iCs/>
          <w:vertAlign w:val="subscript"/>
        </w:rPr>
        <w:t>t</w:t>
      </w:r>
      <w:r w:rsidRPr="00D37C9A">
        <w:rPr>
          <w:rFonts w:ascii="Times New Roman" w:hAnsi="Times New Roman" w:cs="Times New Roman"/>
          <w:b/>
          <w:bCs/>
          <w:i/>
          <w:iCs/>
        </w:rPr>
        <w:t xml:space="preserve"> </w:t>
      </w:r>
      <w:r w:rsidRPr="00D37C9A">
        <w:rPr>
          <w:rFonts w:ascii="Times New Roman" w:hAnsi="Times New Roman" w:cs="Times New Roman"/>
          <w:i/>
          <w:iCs/>
        </w:rPr>
        <w:t>+ β</w:t>
      </w:r>
      <w:r w:rsidRPr="00D37C9A">
        <w:rPr>
          <w:rFonts w:ascii="Times New Roman" w:hAnsi="Times New Roman" w:cs="Times New Roman"/>
          <w:i/>
          <w:iCs/>
          <w:vertAlign w:val="subscript"/>
        </w:rPr>
        <w:t>5</w:t>
      </w:r>
      <w:r w:rsidRPr="00D37C9A">
        <w:rPr>
          <w:rFonts w:ascii="Times New Roman" w:hAnsi="Times New Roman" w:cs="Times New Roman"/>
          <w:i/>
          <w:iCs/>
        </w:rPr>
        <w:t>NGC</w:t>
      </w:r>
      <w:r w:rsidRPr="00D37C9A">
        <w:rPr>
          <w:rFonts w:ascii="Times New Roman" w:hAnsi="Times New Roman" w:cs="Times New Roman"/>
          <w:i/>
          <w:iCs/>
          <w:vertAlign w:val="subscript"/>
        </w:rPr>
        <w:t>t</w:t>
      </w:r>
      <w:r w:rsidRPr="00D37C9A">
        <w:rPr>
          <w:rFonts w:ascii="Times New Roman" w:hAnsi="Times New Roman" w:cs="Times New Roman"/>
          <w:b/>
          <w:bCs/>
          <w:i/>
          <w:iCs/>
        </w:rPr>
        <w:t xml:space="preserve"> </w:t>
      </w:r>
      <w:r w:rsidRPr="00D37C9A">
        <w:rPr>
          <w:rFonts w:ascii="Times New Roman" w:hAnsi="Times New Roman" w:cs="Times New Roman"/>
          <w:i/>
          <w:iCs/>
        </w:rPr>
        <w:t>+ μ</w:t>
      </w:r>
      <w:r w:rsidRPr="00D37C9A">
        <w:rPr>
          <w:rFonts w:ascii="Times New Roman" w:hAnsi="Times New Roman" w:cs="Times New Roman"/>
          <w:i/>
          <w:iCs/>
          <w:vertAlign w:val="subscript"/>
        </w:rPr>
        <w:t>t</w:t>
      </w:r>
      <w:r w:rsidRPr="00D37C9A">
        <w:rPr>
          <w:rFonts w:ascii="Times New Roman" w:hAnsi="Times New Roman" w:cs="Times New Roman"/>
          <w:b/>
          <w:bCs/>
        </w:rPr>
        <w:t xml:space="preserve"> </w:t>
      </w:r>
      <w:r w:rsidRPr="00D37C9A">
        <w:rPr>
          <w:rFonts w:ascii="Times New Roman" w:hAnsi="Times New Roman" w:cs="Times New Roman"/>
          <w:b/>
        </w:rPr>
        <w:tab/>
      </w:r>
      <w:r w:rsidRPr="00D37C9A">
        <w:rPr>
          <w:rFonts w:ascii="Times New Roman" w:hAnsi="Times New Roman" w:cs="Times New Roman"/>
          <w:b/>
        </w:rPr>
        <w:tab/>
        <w:t xml:space="preserve">   </w:t>
      </w:r>
      <w:r w:rsidRPr="00D37C9A">
        <w:rPr>
          <w:rFonts w:ascii="Times New Roman" w:hAnsi="Times New Roman" w:cs="Times New Roman"/>
          <w:b/>
        </w:rPr>
        <w:tab/>
      </w:r>
      <w:r w:rsidRPr="00D37C9A">
        <w:rPr>
          <w:rFonts w:ascii="Times New Roman" w:hAnsi="Times New Roman" w:cs="Times New Roman"/>
          <w:b/>
        </w:rPr>
        <w:tab/>
        <w:t xml:space="preserve">  </w:t>
      </w:r>
      <w:r w:rsidRPr="00D37C9A">
        <w:rPr>
          <w:rFonts w:ascii="Times New Roman" w:hAnsi="Times New Roman" w:cs="Times New Roman"/>
        </w:rPr>
        <w:t>(3.</w:t>
      </w:r>
      <w:r w:rsidR="006346BA" w:rsidRPr="00D37C9A">
        <w:rPr>
          <w:rFonts w:ascii="Times New Roman" w:hAnsi="Times New Roman" w:cs="Times New Roman"/>
        </w:rPr>
        <w:t>2</w:t>
      </w:r>
      <w:r w:rsidRPr="00D37C9A">
        <w:rPr>
          <w:rFonts w:ascii="Times New Roman" w:hAnsi="Times New Roman" w:cs="Times New Roman"/>
        </w:rPr>
        <w:t>)</w:t>
      </w:r>
    </w:p>
    <w:p w14:paraId="42C3D6B1" w14:textId="77777777" w:rsidR="00B81894" w:rsidRPr="00D37C9A" w:rsidRDefault="00B81894" w:rsidP="00D37C9A">
      <w:pPr>
        <w:spacing w:before="240" w:after="0"/>
        <w:jc w:val="both"/>
        <w:rPr>
          <w:rFonts w:ascii="Times New Roman" w:hAnsi="Times New Roman" w:cs="Times New Roman"/>
        </w:rPr>
      </w:pPr>
      <w:r w:rsidRPr="00D37C9A">
        <w:rPr>
          <w:rFonts w:ascii="Times New Roman" w:hAnsi="Times New Roman" w:cs="Times New Roman"/>
          <w:b/>
        </w:rPr>
        <w:t xml:space="preserve">A Priori Expectation: </w:t>
      </w:r>
      <w:r w:rsidRPr="00D37C9A">
        <w:rPr>
          <w:rFonts w:ascii="Times New Roman" w:hAnsi="Times New Roman" w:cs="Times New Roman"/>
        </w:rPr>
        <w:t>φ</w:t>
      </w:r>
      <w:r w:rsidRPr="00D37C9A">
        <w:rPr>
          <w:rFonts w:ascii="Times New Roman" w:hAnsi="Times New Roman" w:cs="Times New Roman"/>
          <w:vertAlign w:val="subscript"/>
        </w:rPr>
        <w:t xml:space="preserve">1 </w:t>
      </w:r>
      <w:r w:rsidRPr="00D37C9A">
        <w:rPr>
          <w:rFonts w:ascii="Times New Roman" w:hAnsi="Times New Roman" w:cs="Times New Roman"/>
        </w:rPr>
        <w:t>&lt; 0, φ</w:t>
      </w:r>
      <w:r w:rsidRPr="00D37C9A">
        <w:rPr>
          <w:rFonts w:ascii="Times New Roman" w:hAnsi="Times New Roman" w:cs="Times New Roman"/>
          <w:vertAlign w:val="subscript"/>
        </w:rPr>
        <w:t xml:space="preserve">2 </w:t>
      </w:r>
      <w:r w:rsidRPr="00D37C9A">
        <w:rPr>
          <w:rFonts w:ascii="Times New Roman" w:hAnsi="Times New Roman" w:cs="Times New Roman"/>
        </w:rPr>
        <w:t>&lt; 0, φ</w:t>
      </w:r>
      <w:r w:rsidRPr="00D37C9A">
        <w:rPr>
          <w:rFonts w:ascii="Times New Roman" w:hAnsi="Times New Roman" w:cs="Times New Roman"/>
          <w:vertAlign w:val="subscript"/>
        </w:rPr>
        <w:t xml:space="preserve">3 </w:t>
      </w:r>
      <w:r w:rsidRPr="00D37C9A">
        <w:rPr>
          <w:rFonts w:ascii="Times New Roman" w:hAnsi="Times New Roman" w:cs="Times New Roman"/>
        </w:rPr>
        <w:t>&lt; 0, φ</w:t>
      </w:r>
      <w:r w:rsidRPr="00D37C9A">
        <w:rPr>
          <w:rFonts w:ascii="Times New Roman" w:hAnsi="Times New Roman" w:cs="Times New Roman"/>
          <w:vertAlign w:val="subscript"/>
        </w:rPr>
        <w:t xml:space="preserve">4 </w:t>
      </w:r>
      <w:r w:rsidRPr="00D37C9A">
        <w:rPr>
          <w:rFonts w:ascii="Times New Roman" w:hAnsi="Times New Roman" w:cs="Times New Roman"/>
        </w:rPr>
        <w:t>&lt; 0, φ</w:t>
      </w:r>
      <w:r w:rsidRPr="00D37C9A">
        <w:rPr>
          <w:rFonts w:ascii="Times New Roman" w:hAnsi="Times New Roman" w:cs="Times New Roman"/>
          <w:vertAlign w:val="subscript"/>
        </w:rPr>
        <w:t xml:space="preserve">5 </w:t>
      </w:r>
      <w:r w:rsidRPr="00D37C9A">
        <w:rPr>
          <w:rFonts w:ascii="Times New Roman" w:hAnsi="Times New Roman" w:cs="Times New Roman"/>
        </w:rPr>
        <w:t>&lt; 0.</w:t>
      </w:r>
    </w:p>
    <w:p w14:paraId="08D1BEEF" w14:textId="71E5F6B0" w:rsidR="00FA2E45" w:rsidRPr="00D37C9A" w:rsidRDefault="00FA2E45" w:rsidP="00D37C9A">
      <w:pPr>
        <w:spacing w:before="240" w:after="0"/>
        <w:jc w:val="both"/>
        <w:rPr>
          <w:rFonts w:ascii="Times New Roman" w:hAnsi="Times New Roman" w:cs="Times New Roman"/>
        </w:rPr>
      </w:pPr>
      <w:r w:rsidRPr="00D37C9A">
        <w:rPr>
          <w:rFonts w:ascii="Times New Roman" w:hAnsi="Times New Roman" w:cs="Times New Roman"/>
        </w:rPr>
        <w:t>The model (3.</w:t>
      </w:r>
      <w:r w:rsidR="006346BA" w:rsidRPr="00D37C9A">
        <w:rPr>
          <w:rFonts w:ascii="Times New Roman" w:hAnsi="Times New Roman" w:cs="Times New Roman"/>
        </w:rPr>
        <w:t>2</w:t>
      </w:r>
      <w:r w:rsidRPr="00D37C9A">
        <w:rPr>
          <w:rFonts w:ascii="Times New Roman" w:hAnsi="Times New Roman" w:cs="Times New Roman"/>
        </w:rPr>
        <w:t xml:space="preserve">) </w:t>
      </w:r>
      <w:r w:rsidR="006346BA" w:rsidRPr="00D37C9A">
        <w:rPr>
          <w:rFonts w:ascii="Times New Roman" w:hAnsi="Times New Roman" w:cs="Times New Roman"/>
        </w:rPr>
        <w:t>is</w:t>
      </w:r>
      <w:r w:rsidRPr="00D37C9A">
        <w:rPr>
          <w:rFonts w:ascii="Times New Roman" w:hAnsi="Times New Roman" w:cs="Times New Roman"/>
        </w:rPr>
        <w:t xml:space="preserve"> converted into log-linear form as follows: </w:t>
      </w:r>
    </w:p>
    <w:p w14:paraId="71967FF5" w14:textId="79B761C7" w:rsidR="00FA2E45" w:rsidRPr="00D37C9A" w:rsidRDefault="00FA2E45" w:rsidP="00D37C9A">
      <w:pPr>
        <w:spacing w:after="0"/>
        <w:jc w:val="both"/>
        <w:rPr>
          <w:rFonts w:ascii="Times New Roman" w:hAnsi="Times New Roman" w:cs="Times New Roman"/>
        </w:rPr>
      </w:pPr>
      <w:r w:rsidRPr="00D37C9A">
        <w:rPr>
          <w:rFonts w:ascii="Times New Roman" w:hAnsi="Times New Roman" w:cs="Times New Roman"/>
          <w:i/>
          <w:iCs/>
        </w:rPr>
        <w:t>InPOR</w:t>
      </w:r>
      <w:r w:rsidRPr="00D37C9A">
        <w:rPr>
          <w:rFonts w:ascii="Times New Roman" w:hAnsi="Times New Roman" w:cs="Times New Roman"/>
          <w:i/>
          <w:iCs/>
          <w:vertAlign w:val="subscript"/>
        </w:rPr>
        <w:t>t</w:t>
      </w:r>
      <w:r w:rsidRPr="00D37C9A">
        <w:rPr>
          <w:rFonts w:ascii="Times New Roman" w:hAnsi="Times New Roman" w:cs="Times New Roman"/>
          <w:i/>
          <w:iCs/>
        </w:rPr>
        <w:t xml:space="preserve"> = β</w:t>
      </w:r>
      <w:r w:rsidRPr="00D37C9A">
        <w:rPr>
          <w:rFonts w:ascii="Times New Roman" w:hAnsi="Times New Roman" w:cs="Times New Roman"/>
          <w:i/>
          <w:iCs/>
          <w:vertAlign w:val="subscript"/>
        </w:rPr>
        <w:t>0</w:t>
      </w:r>
      <w:r w:rsidRPr="00D37C9A">
        <w:rPr>
          <w:rFonts w:ascii="Times New Roman" w:hAnsi="Times New Roman" w:cs="Times New Roman"/>
          <w:i/>
          <w:iCs/>
        </w:rPr>
        <w:t xml:space="preserve"> + β</w:t>
      </w:r>
      <w:r w:rsidRPr="00D37C9A">
        <w:rPr>
          <w:rFonts w:ascii="Times New Roman" w:hAnsi="Times New Roman" w:cs="Times New Roman"/>
          <w:i/>
          <w:iCs/>
          <w:vertAlign w:val="subscript"/>
        </w:rPr>
        <w:t>1</w:t>
      </w:r>
      <w:r w:rsidRPr="00D37C9A">
        <w:rPr>
          <w:rFonts w:ascii="Times New Roman" w:hAnsi="Times New Roman" w:cs="Times New Roman"/>
          <w:i/>
          <w:iCs/>
        </w:rPr>
        <w:t>InAGO</w:t>
      </w:r>
      <w:r w:rsidRPr="00D37C9A">
        <w:rPr>
          <w:rFonts w:ascii="Times New Roman" w:hAnsi="Times New Roman" w:cs="Times New Roman"/>
          <w:i/>
          <w:iCs/>
          <w:vertAlign w:val="subscript"/>
        </w:rPr>
        <w:t>t</w:t>
      </w:r>
      <w:r w:rsidRPr="00D37C9A">
        <w:rPr>
          <w:rFonts w:ascii="Times New Roman" w:hAnsi="Times New Roman" w:cs="Times New Roman"/>
          <w:i/>
          <w:iCs/>
        </w:rPr>
        <w:t xml:space="preserve"> + β</w:t>
      </w:r>
      <w:r w:rsidRPr="00D37C9A">
        <w:rPr>
          <w:rFonts w:ascii="Times New Roman" w:hAnsi="Times New Roman" w:cs="Times New Roman"/>
          <w:i/>
          <w:iCs/>
          <w:vertAlign w:val="subscript"/>
        </w:rPr>
        <w:t>2</w:t>
      </w:r>
      <w:r w:rsidRPr="00D37C9A">
        <w:rPr>
          <w:rFonts w:ascii="Times New Roman" w:hAnsi="Times New Roman" w:cs="Times New Roman"/>
          <w:i/>
          <w:iCs/>
        </w:rPr>
        <w:t>InPMS</w:t>
      </w:r>
      <w:r w:rsidRPr="00D37C9A">
        <w:rPr>
          <w:rFonts w:ascii="Times New Roman" w:hAnsi="Times New Roman" w:cs="Times New Roman"/>
          <w:i/>
          <w:iCs/>
          <w:vertAlign w:val="subscript"/>
        </w:rPr>
        <w:t xml:space="preserve">t </w:t>
      </w:r>
      <w:r w:rsidRPr="00D37C9A">
        <w:rPr>
          <w:rFonts w:ascii="Times New Roman" w:hAnsi="Times New Roman" w:cs="Times New Roman"/>
          <w:i/>
          <w:iCs/>
        </w:rPr>
        <w:t>+ β</w:t>
      </w:r>
      <w:r w:rsidRPr="00D37C9A">
        <w:rPr>
          <w:rFonts w:ascii="Times New Roman" w:hAnsi="Times New Roman" w:cs="Times New Roman"/>
          <w:i/>
          <w:iCs/>
          <w:vertAlign w:val="subscript"/>
        </w:rPr>
        <w:t>3</w:t>
      </w:r>
      <w:r w:rsidRPr="00D37C9A">
        <w:rPr>
          <w:rFonts w:ascii="Times New Roman" w:hAnsi="Times New Roman" w:cs="Times New Roman"/>
          <w:i/>
          <w:iCs/>
        </w:rPr>
        <w:t>InSEC</w:t>
      </w:r>
      <w:r w:rsidRPr="00D37C9A">
        <w:rPr>
          <w:rFonts w:ascii="Times New Roman" w:hAnsi="Times New Roman" w:cs="Times New Roman"/>
          <w:i/>
          <w:iCs/>
          <w:vertAlign w:val="subscript"/>
        </w:rPr>
        <w:t xml:space="preserve">t </w:t>
      </w:r>
      <w:r w:rsidRPr="00D37C9A">
        <w:rPr>
          <w:rFonts w:ascii="Times New Roman" w:hAnsi="Times New Roman" w:cs="Times New Roman"/>
          <w:i/>
          <w:iCs/>
        </w:rPr>
        <w:t>+ β</w:t>
      </w:r>
      <w:r w:rsidRPr="00D37C9A">
        <w:rPr>
          <w:rFonts w:ascii="Times New Roman" w:hAnsi="Times New Roman" w:cs="Times New Roman"/>
          <w:i/>
          <w:iCs/>
          <w:vertAlign w:val="subscript"/>
        </w:rPr>
        <w:t>4</w:t>
      </w:r>
      <w:r w:rsidRPr="00D37C9A">
        <w:rPr>
          <w:rFonts w:ascii="Times New Roman" w:hAnsi="Times New Roman" w:cs="Times New Roman"/>
          <w:i/>
          <w:iCs/>
        </w:rPr>
        <w:t>InHPC</w:t>
      </w:r>
      <w:r w:rsidRPr="00D37C9A">
        <w:rPr>
          <w:rFonts w:ascii="Times New Roman" w:hAnsi="Times New Roman" w:cs="Times New Roman"/>
          <w:i/>
          <w:iCs/>
          <w:vertAlign w:val="subscript"/>
        </w:rPr>
        <w:t>t</w:t>
      </w:r>
      <w:r w:rsidRPr="00D37C9A">
        <w:rPr>
          <w:rFonts w:ascii="Times New Roman" w:hAnsi="Times New Roman" w:cs="Times New Roman"/>
          <w:b/>
          <w:bCs/>
          <w:i/>
          <w:iCs/>
        </w:rPr>
        <w:t xml:space="preserve"> </w:t>
      </w:r>
      <w:r w:rsidRPr="00D37C9A">
        <w:rPr>
          <w:rFonts w:ascii="Times New Roman" w:hAnsi="Times New Roman" w:cs="Times New Roman"/>
          <w:i/>
          <w:iCs/>
        </w:rPr>
        <w:t>+ β</w:t>
      </w:r>
      <w:r w:rsidRPr="00D37C9A">
        <w:rPr>
          <w:rFonts w:ascii="Times New Roman" w:hAnsi="Times New Roman" w:cs="Times New Roman"/>
          <w:i/>
          <w:iCs/>
          <w:vertAlign w:val="subscript"/>
        </w:rPr>
        <w:t>5</w:t>
      </w:r>
      <w:r w:rsidRPr="00D37C9A">
        <w:rPr>
          <w:rFonts w:ascii="Times New Roman" w:hAnsi="Times New Roman" w:cs="Times New Roman"/>
          <w:i/>
          <w:iCs/>
        </w:rPr>
        <w:t>InNGC</w:t>
      </w:r>
      <w:r w:rsidRPr="00D37C9A">
        <w:rPr>
          <w:rFonts w:ascii="Times New Roman" w:hAnsi="Times New Roman" w:cs="Times New Roman"/>
          <w:i/>
          <w:iCs/>
          <w:vertAlign w:val="subscript"/>
        </w:rPr>
        <w:t>t</w:t>
      </w:r>
      <w:r w:rsidRPr="00D37C9A">
        <w:rPr>
          <w:rFonts w:ascii="Times New Roman" w:hAnsi="Times New Roman" w:cs="Times New Roman"/>
          <w:b/>
          <w:bCs/>
          <w:i/>
          <w:iCs/>
        </w:rPr>
        <w:t xml:space="preserve"> </w:t>
      </w:r>
      <w:r w:rsidRPr="00D37C9A">
        <w:rPr>
          <w:rFonts w:ascii="Times New Roman" w:hAnsi="Times New Roman" w:cs="Times New Roman"/>
          <w:i/>
          <w:iCs/>
        </w:rPr>
        <w:t>+ μ</w:t>
      </w:r>
      <w:r w:rsidRPr="00D37C9A">
        <w:rPr>
          <w:rFonts w:ascii="Times New Roman" w:hAnsi="Times New Roman" w:cs="Times New Roman"/>
          <w:i/>
          <w:iCs/>
          <w:vertAlign w:val="subscript"/>
        </w:rPr>
        <w:t>t</w:t>
      </w:r>
      <w:r w:rsidRPr="00D37C9A">
        <w:rPr>
          <w:rFonts w:ascii="Times New Roman" w:hAnsi="Times New Roman" w:cs="Times New Roman"/>
          <w:b/>
          <w:bCs/>
        </w:rPr>
        <w:t xml:space="preserve"> </w:t>
      </w:r>
      <w:r w:rsidRPr="00D37C9A">
        <w:rPr>
          <w:rFonts w:ascii="Times New Roman" w:hAnsi="Times New Roman" w:cs="Times New Roman"/>
          <w:b/>
        </w:rPr>
        <w:t xml:space="preserve">  </w:t>
      </w:r>
      <w:r w:rsidRPr="00D37C9A">
        <w:rPr>
          <w:rFonts w:ascii="Times New Roman" w:hAnsi="Times New Roman" w:cs="Times New Roman"/>
          <w:b/>
        </w:rPr>
        <w:tab/>
      </w:r>
      <w:r w:rsidRPr="00D37C9A">
        <w:rPr>
          <w:rFonts w:ascii="Times New Roman" w:hAnsi="Times New Roman" w:cs="Times New Roman"/>
          <w:b/>
        </w:rPr>
        <w:tab/>
        <w:t xml:space="preserve">  </w:t>
      </w:r>
      <w:r w:rsidRPr="00D37C9A">
        <w:rPr>
          <w:rFonts w:ascii="Times New Roman" w:hAnsi="Times New Roman" w:cs="Times New Roman"/>
        </w:rPr>
        <w:t>(3.</w:t>
      </w:r>
      <w:r w:rsidR="006346BA" w:rsidRPr="00D37C9A">
        <w:rPr>
          <w:rFonts w:ascii="Times New Roman" w:hAnsi="Times New Roman" w:cs="Times New Roman"/>
        </w:rPr>
        <w:t>3</w:t>
      </w:r>
      <w:r w:rsidRPr="00D37C9A">
        <w:rPr>
          <w:rFonts w:ascii="Times New Roman" w:hAnsi="Times New Roman" w:cs="Times New Roman"/>
        </w:rPr>
        <w:t>)</w:t>
      </w:r>
    </w:p>
    <w:p w14:paraId="679FE76B" w14:textId="5B00E04D" w:rsidR="00FA2E45" w:rsidRPr="00D37C9A" w:rsidRDefault="00FA2E45" w:rsidP="00D37C9A">
      <w:pPr>
        <w:pStyle w:val="NoSpacing"/>
        <w:spacing w:line="276" w:lineRule="auto"/>
        <w:jc w:val="both"/>
        <w:rPr>
          <w:rFonts w:ascii="Times New Roman" w:hAnsi="Times New Roman"/>
        </w:rPr>
      </w:pPr>
      <w:r w:rsidRPr="00D37C9A">
        <w:rPr>
          <w:rFonts w:ascii="Times New Roman" w:hAnsi="Times New Roman"/>
        </w:rPr>
        <w:t xml:space="preserve">The specification of the ARDL model presented above </w:t>
      </w:r>
      <w:r w:rsidR="006346BA" w:rsidRPr="00D37C9A">
        <w:rPr>
          <w:rFonts w:ascii="Times New Roman" w:hAnsi="Times New Roman"/>
        </w:rPr>
        <w:t>is</w:t>
      </w:r>
      <w:r w:rsidRPr="00D37C9A">
        <w:rPr>
          <w:rFonts w:ascii="Times New Roman" w:hAnsi="Times New Roman"/>
        </w:rPr>
        <w:t xml:space="preserve"> as follows:</w:t>
      </w:r>
    </w:p>
    <w:p w14:paraId="7C7DDB1E" w14:textId="2983D6B3" w:rsidR="00FA2E45" w:rsidRPr="00D37C9A" w:rsidRDefault="00FA2E45" w:rsidP="00D37C9A">
      <w:pPr>
        <w:pStyle w:val="Default"/>
        <w:tabs>
          <w:tab w:val="left" w:pos="5220"/>
        </w:tabs>
        <w:spacing w:line="276" w:lineRule="auto"/>
        <w:jc w:val="both"/>
        <w:rPr>
          <w:color w:val="auto"/>
          <w:sz w:val="22"/>
          <w:szCs w:val="22"/>
        </w:rPr>
      </w:pPr>
      <w:bookmarkStart w:id="6" w:name="_Hlk204990230"/>
      <m:oMathPara>
        <m:oMathParaPr>
          <m:jc m:val="left"/>
        </m:oMathParaPr>
        <m:oMath>
          <m:r>
            <m:rPr>
              <m:sty m:val="p"/>
            </m:rPr>
            <w:rPr>
              <w:rFonts w:ascii="Cambria Math" w:eastAsia="Cambria Math" w:hAnsi="Cambria Math"/>
              <w:color w:val="auto"/>
              <w:sz w:val="22"/>
              <w:szCs w:val="22"/>
            </w:rPr>
            <w:lastRenderedPageBreak/>
            <m:t>∆</m:t>
          </m:r>
          <m:r>
            <m:rPr>
              <m:sty m:val="p"/>
            </m:rPr>
            <w:rPr>
              <w:rFonts w:ascii="Cambria Math" w:hAnsi="Cambria Math"/>
              <w:color w:val="auto"/>
              <w:sz w:val="22"/>
              <w:szCs w:val="22"/>
            </w:rPr>
            <m:t>ln</m:t>
          </m:r>
          <m:d>
            <m:dPr>
              <m:ctrlPr>
                <w:rPr>
                  <w:rFonts w:ascii="Cambria Math" w:hAnsi="Cambria Math"/>
                  <w:color w:val="auto"/>
                  <w:sz w:val="22"/>
                  <w:szCs w:val="22"/>
                </w:rPr>
              </m:ctrlPr>
            </m:dPr>
            <m:e>
              <m:sSub>
                <m:sSubPr>
                  <m:ctrlPr>
                    <w:rPr>
                      <w:rFonts w:ascii="Cambria Math" w:hAnsi="Cambria Math"/>
                      <w:i/>
                      <w:iCs/>
                      <w:color w:val="auto"/>
                      <w:sz w:val="22"/>
                      <w:szCs w:val="22"/>
                      <w:vertAlign w:val="subscript"/>
                    </w:rPr>
                  </m:ctrlPr>
                </m:sSubPr>
                <m:e>
                  <m:r>
                    <w:rPr>
                      <w:rFonts w:ascii="Cambria Math" w:hAnsi="Cambria Math"/>
                      <w:color w:val="auto"/>
                      <w:sz w:val="22"/>
                      <w:szCs w:val="22"/>
                    </w:rPr>
                    <m:t>POR</m:t>
                  </m:r>
                </m:e>
                <m:sub>
                  <m:r>
                    <w:rPr>
                      <w:rFonts w:ascii="Cambria Math" w:hAnsi="Cambria Math"/>
                      <w:color w:val="auto"/>
                      <w:sz w:val="22"/>
                      <w:szCs w:val="22"/>
                      <w:vertAlign w:val="subscript"/>
                    </w:rPr>
                    <m:t>t</m:t>
                  </m:r>
                </m:sub>
              </m:sSub>
            </m:e>
          </m:d>
          <m:r>
            <m:rPr>
              <m:sty m:val="p"/>
            </m:rPr>
            <w:rPr>
              <w:rFonts w:ascii="Cambria Math" w:hAnsi="Cambria Math"/>
              <w:color w:val="auto"/>
              <w:sz w:val="22"/>
              <w:szCs w:val="22"/>
            </w:rPr>
            <m:t xml:space="preserve">= </m:t>
          </m:r>
          <m:sSub>
            <m:sSubPr>
              <m:ctrlPr>
                <w:rPr>
                  <w:rFonts w:ascii="Cambria Math" w:hAnsi="Cambria Math"/>
                  <w:bCs/>
                  <w:i/>
                  <w:color w:val="auto"/>
                  <w:sz w:val="22"/>
                  <w:szCs w:val="22"/>
                </w:rPr>
              </m:ctrlPr>
            </m:sSubPr>
            <m:e>
              <m:r>
                <w:rPr>
                  <w:rFonts w:ascii="Cambria Math" w:hAnsi="Cambria Math"/>
                  <w:color w:val="auto"/>
                  <w:sz w:val="22"/>
                  <w:szCs w:val="22"/>
                </w:rPr>
                <m:t>β</m:t>
              </m:r>
            </m:e>
            <m:sub>
              <m:r>
                <w:rPr>
                  <w:rFonts w:ascii="Cambria Math" w:hAnsi="Cambria Math"/>
                  <w:color w:val="auto"/>
                  <w:sz w:val="22"/>
                  <w:szCs w:val="22"/>
                </w:rPr>
                <m:t>0</m:t>
              </m:r>
            </m:sub>
          </m:sSub>
          <m:r>
            <m:rPr>
              <m:sty m:val="p"/>
            </m:rP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β</m:t>
              </m:r>
            </m:e>
            <m:sub>
              <m:r>
                <w:rPr>
                  <w:rFonts w:ascii="Cambria Math" w:hAnsi="Cambria Math"/>
                  <w:color w:val="auto"/>
                  <w:sz w:val="22"/>
                  <w:szCs w:val="22"/>
                </w:rPr>
                <m:t>1i</m:t>
              </m:r>
            </m:sub>
          </m:sSub>
          <m:r>
            <m:rPr>
              <m:sty m:val="p"/>
            </m:rPr>
            <w:rPr>
              <w:rFonts w:ascii="Cambria Math" w:eastAsia="Cambria Math" w:hAnsi="Cambria Math"/>
              <w:color w:val="auto"/>
              <w:sz w:val="22"/>
              <w:szCs w:val="22"/>
            </w:rPr>
            <m:t>∆</m:t>
          </m:r>
          <m:r>
            <m:rPr>
              <m:sty m:val="p"/>
            </m:rPr>
            <w:rPr>
              <w:rFonts w:ascii="Cambria Math" w:hAnsi="Cambria Math"/>
              <w:color w:val="auto"/>
              <w:sz w:val="22"/>
              <w:szCs w:val="22"/>
            </w:rPr>
            <m:t>ln</m:t>
          </m:r>
          <m:d>
            <m:dPr>
              <m:ctrlPr>
                <w:rPr>
                  <w:rFonts w:ascii="Cambria Math" w:hAnsi="Cambria Math"/>
                  <w:color w:val="auto"/>
                  <w:sz w:val="22"/>
                  <w:szCs w:val="22"/>
                </w:rPr>
              </m:ctrlPr>
            </m:dPr>
            <m:e>
              <m:sSub>
                <m:sSubPr>
                  <m:ctrlPr>
                    <w:rPr>
                      <w:rFonts w:ascii="Cambria Math" w:hAnsi="Cambria Math"/>
                      <w:i/>
                      <w:iCs/>
                      <w:color w:val="auto"/>
                      <w:sz w:val="22"/>
                      <w:szCs w:val="22"/>
                      <w:vertAlign w:val="subscript"/>
                    </w:rPr>
                  </m:ctrlPr>
                </m:sSubPr>
                <m:e>
                  <m:r>
                    <w:rPr>
                      <w:rFonts w:ascii="Cambria Math" w:hAnsi="Cambria Math"/>
                      <w:color w:val="auto"/>
                      <w:sz w:val="22"/>
                      <w:szCs w:val="22"/>
                    </w:rPr>
                    <m:t>POR</m:t>
                  </m:r>
                </m:e>
                <m:sub>
                  <m:r>
                    <w:rPr>
                      <w:rFonts w:ascii="Cambria Math" w:hAnsi="Cambria Math"/>
                      <w:color w:val="auto"/>
                      <w:sz w:val="22"/>
                      <w:szCs w:val="22"/>
                      <w:vertAlign w:val="subscript"/>
                    </w:rPr>
                    <m:t>t-1</m:t>
                  </m:r>
                </m:sub>
              </m:sSub>
            </m:e>
          </m:d>
          <m:r>
            <w:rPr>
              <w:rFonts w:ascii="Cambria Math" w:hAnsi="Cambria Math"/>
              <w:color w:val="auto"/>
              <w:sz w:val="22"/>
              <w:szCs w:val="22"/>
            </w:rPr>
            <m:t xml:space="preserve">+ </m:t>
          </m:r>
          <m:sSub>
            <m:sSubPr>
              <m:ctrlPr>
                <w:rPr>
                  <w:rFonts w:ascii="Cambria Math" w:hAnsi="Cambria Math"/>
                  <w:i/>
                  <w:color w:val="auto"/>
                  <w:sz w:val="22"/>
                  <w:szCs w:val="22"/>
                </w:rPr>
              </m:ctrlPr>
            </m:sSubPr>
            <m:e>
              <m:r>
                <w:rPr>
                  <w:rFonts w:ascii="Cambria Math" w:hAnsi="Cambria Math"/>
                  <w:color w:val="auto"/>
                  <w:sz w:val="22"/>
                  <w:szCs w:val="22"/>
                </w:rPr>
                <m:t>β</m:t>
              </m:r>
            </m:e>
            <m:sub>
              <m:r>
                <w:rPr>
                  <w:rFonts w:ascii="Cambria Math" w:hAnsi="Cambria Math"/>
                  <w:color w:val="auto"/>
                  <w:sz w:val="22"/>
                  <w:szCs w:val="22"/>
                </w:rPr>
                <m:t>2i</m:t>
              </m:r>
            </m:sub>
          </m:sSub>
          <m:r>
            <m:rPr>
              <m:sty m:val="p"/>
            </m:rPr>
            <w:rPr>
              <w:rFonts w:ascii="Cambria Math" w:eastAsia="Cambria Math" w:hAnsi="Cambria Math"/>
              <w:color w:val="auto"/>
              <w:sz w:val="22"/>
              <w:szCs w:val="22"/>
            </w:rPr>
            <m:t>∆</m:t>
          </m:r>
          <m:r>
            <m:rPr>
              <m:sty m:val="p"/>
            </m:rPr>
            <w:rPr>
              <w:rFonts w:ascii="Cambria Math" w:hAnsi="Cambria Math"/>
              <w:color w:val="auto"/>
              <w:sz w:val="22"/>
              <w:szCs w:val="22"/>
            </w:rPr>
            <m:t>ln</m:t>
          </m:r>
          <m:d>
            <m:dPr>
              <m:ctrlPr>
                <w:rPr>
                  <w:rFonts w:ascii="Cambria Math" w:hAnsi="Cambria Math"/>
                  <w:color w:val="auto"/>
                  <w:sz w:val="22"/>
                  <w:szCs w:val="22"/>
                </w:rPr>
              </m:ctrlPr>
            </m:dPr>
            <m:e>
              <m:sSub>
                <m:sSubPr>
                  <m:ctrlPr>
                    <w:rPr>
                      <w:rFonts w:ascii="Cambria Math" w:hAnsi="Cambria Math"/>
                      <w:i/>
                      <w:iCs/>
                      <w:color w:val="auto"/>
                      <w:sz w:val="22"/>
                      <w:szCs w:val="22"/>
                      <w:vertAlign w:val="subscript"/>
                    </w:rPr>
                  </m:ctrlPr>
                </m:sSubPr>
                <m:e>
                  <m:r>
                    <w:rPr>
                      <w:rFonts w:ascii="Cambria Math" w:hAnsi="Cambria Math"/>
                      <w:color w:val="auto"/>
                      <w:sz w:val="22"/>
                      <w:szCs w:val="22"/>
                    </w:rPr>
                    <m:t>AGO</m:t>
                  </m:r>
                </m:e>
                <m:sub>
                  <m:r>
                    <w:rPr>
                      <w:rFonts w:ascii="Cambria Math" w:hAnsi="Cambria Math"/>
                      <w:color w:val="auto"/>
                      <w:sz w:val="22"/>
                      <w:szCs w:val="22"/>
                      <w:vertAlign w:val="subscript"/>
                    </w:rPr>
                    <m:t>t-1</m:t>
                  </m:r>
                </m:sub>
              </m:sSub>
            </m:e>
          </m:d>
          <m:r>
            <w:rPr>
              <w:rFonts w:ascii="Cambria Math" w:hAnsi="Cambria Math"/>
              <w:color w:val="auto"/>
              <w:sz w:val="22"/>
              <w:szCs w:val="22"/>
            </w:rPr>
            <m:t xml:space="preserve">+ </m:t>
          </m:r>
          <m:sSub>
            <m:sSubPr>
              <m:ctrlPr>
                <w:rPr>
                  <w:rFonts w:ascii="Cambria Math" w:hAnsi="Cambria Math"/>
                  <w:i/>
                  <w:color w:val="auto"/>
                  <w:sz w:val="22"/>
                  <w:szCs w:val="22"/>
                </w:rPr>
              </m:ctrlPr>
            </m:sSubPr>
            <m:e>
              <m:r>
                <w:rPr>
                  <w:rFonts w:ascii="Cambria Math" w:hAnsi="Cambria Math"/>
                  <w:color w:val="auto"/>
                  <w:sz w:val="22"/>
                  <w:szCs w:val="22"/>
                </w:rPr>
                <m:t>β</m:t>
              </m:r>
            </m:e>
            <m:sub>
              <m:r>
                <w:rPr>
                  <w:rFonts w:ascii="Cambria Math" w:hAnsi="Cambria Math"/>
                  <w:color w:val="auto"/>
                  <w:sz w:val="22"/>
                  <w:szCs w:val="22"/>
                </w:rPr>
                <m:t>3i</m:t>
              </m:r>
            </m:sub>
          </m:sSub>
          <m:r>
            <m:rPr>
              <m:sty m:val="p"/>
            </m:rPr>
            <w:rPr>
              <w:rFonts w:ascii="Cambria Math" w:eastAsia="Cambria Math" w:hAnsi="Cambria Math"/>
              <w:color w:val="auto"/>
              <w:sz w:val="22"/>
              <w:szCs w:val="22"/>
            </w:rPr>
            <m:t>∆</m:t>
          </m:r>
          <m:r>
            <m:rPr>
              <m:sty m:val="p"/>
            </m:rPr>
            <w:rPr>
              <w:rFonts w:ascii="Cambria Math" w:hAnsi="Cambria Math"/>
              <w:color w:val="auto"/>
              <w:sz w:val="22"/>
              <w:szCs w:val="22"/>
            </w:rPr>
            <m:t>ln</m:t>
          </m:r>
          <m:d>
            <m:dPr>
              <m:ctrlPr>
                <w:rPr>
                  <w:rFonts w:ascii="Cambria Math" w:hAnsi="Cambria Math"/>
                  <w:color w:val="auto"/>
                  <w:sz w:val="22"/>
                  <w:szCs w:val="22"/>
                </w:rPr>
              </m:ctrlPr>
            </m:dPr>
            <m:e>
              <m:sSub>
                <m:sSubPr>
                  <m:ctrlPr>
                    <w:rPr>
                      <w:rFonts w:ascii="Cambria Math" w:hAnsi="Cambria Math"/>
                      <w:i/>
                      <w:iCs/>
                      <w:color w:val="auto"/>
                      <w:sz w:val="22"/>
                      <w:szCs w:val="22"/>
                      <w:vertAlign w:val="subscript"/>
                    </w:rPr>
                  </m:ctrlPr>
                </m:sSubPr>
                <m:e>
                  <m:r>
                    <w:rPr>
                      <w:rFonts w:ascii="Cambria Math" w:hAnsi="Cambria Math"/>
                      <w:color w:val="auto"/>
                      <w:sz w:val="22"/>
                      <w:szCs w:val="22"/>
                    </w:rPr>
                    <m:t>PMS</m:t>
                  </m:r>
                </m:e>
                <m:sub>
                  <m:r>
                    <w:rPr>
                      <w:rFonts w:ascii="Cambria Math" w:hAnsi="Cambria Math"/>
                      <w:color w:val="auto"/>
                      <w:sz w:val="22"/>
                      <w:szCs w:val="22"/>
                      <w:vertAlign w:val="subscript"/>
                    </w:rPr>
                    <m:t>t-1</m:t>
                  </m:r>
                </m:sub>
              </m:sSub>
            </m:e>
          </m:d>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β</m:t>
              </m:r>
            </m:e>
            <m:sub>
              <m:r>
                <w:rPr>
                  <w:rFonts w:ascii="Cambria Math" w:hAnsi="Cambria Math"/>
                  <w:color w:val="auto"/>
                  <w:sz w:val="22"/>
                  <w:szCs w:val="22"/>
                </w:rPr>
                <m:t>4i</m:t>
              </m:r>
            </m:sub>
          </m:sSub>
          <m:r>
            <m:rPr>
              <m:sty m:val="p"/>
            </m:rPr>
            <w:rPr>
              <w:rFonts w:ascii="Cambria Math" w:eastAsia="Cambria Math" w:hAnsi="Cambria Math"/>
              <w:color w:val="auto"/>
              <w:sz w:val="22"/>
              <w:szCs w:val="22"/>
            </w:rPr>
            <m:t>∆</m:t>
          </m:r>
          <m:r>
            <m:rPr>
              <m:sty m:val="p"/>
            </m:rPr>
            <w:rPr>
              <w:rFonts w:ascii="Cambria Math" w:hAnsi="Cambria Math"/>
              <w:color w:val="auto"/>
              <w:sz w:val="22"/>
              <w:szCs w:val="22"/>
            </w:rPr>
            <m:t>ln</m:t>
          </m:r>
          <m:d>
            <m:dPr>
              <m:ctrlPr>
                <w:rPr>
                  <w:rFonts w:ascii="Cambria Math" w:hAnsi="Cambria Math"/>
                  <w:color w:val="auto"/>
                  <w:sz w:val="22"/>
                  <w:szCs w:val="22"/>
                </w:rPr>
              </m:ctrlPr>
            </m:dPr>
            <m:e>
              <m:sSub>
                <m:sSubPr>
                  <m:ctrlPr>
                    <w:rPr>
                      <w:rFonts w:ascii="Cambria Math" w:hAnsi="Cambria Math"/>
                      <w:i/>
                      <w:iCs/>
                      <w:color w:val="auto"/>
                      <w:sz w:val="22"/>
                      <w:szCs w:val="22"/>
                      <w:vertAlign w:val="subscript"/>
                    </w:rPr>
                  </m:ctrlPr>
                </m:sSubPr>
                <m:e>
                  <m:r>
                    <w:rPr>
                      <w:rFonts w:ascii="Cambria Math" w:hAnsi="Cambria Math"/>
                      <w:color w:val="auto"/>
                      <w:sz w:val="22"/>
                      <w:szCs w:val="22"/>
                      <w:vertAlign w:val="subscript"/>
                    </w:rPr>
                    <m:t>SEC</m:t>
                  </m:r>
                </m:e>
                <m:sub>
                  <m:r>
                    <w:rPr>
                      <w:rFonts w:ascii="Cambria Math" w:hAnsi="Cambria Math"/>
                      <w:color w:val="auto"/>
                      <w:sz w:val="22"/>
                      <w:szCs w:val="22"/>
                      <w:vertAlign w:val="subscript"/>
                    </w:rPr>
                    <m:t>t-1</m:t>
                  </m:r>
                </m:sub>
              </m:sSub>
            </m:e>
          </m:d>
          <m:r>
            <w:rPr>
              <w:rFonts w:ascii="Cambria Math" w:hAnsi="Cambria Math"/>
              <w:color w:val="auto"/>
              <w:sz w:val="22"/>
              <w:szCs w:val="22"/>
            </w:rPr>
            <m:t xml:space="preserve">+ </m:t>
          </m:r>
          <m:sSub>
            <m:sSubPr>
              <m:ctrlPr>
                <w:rPr>
                  <w:rFonts w:ascii="Cambria Math" w:hAnsi="Cambria Math"/>
                  <w:i/>
                  <w:color w:val="auto"/>
                  <w:sz w:val="22"/>
                  <w:szCs w:val="22"/>
                </w:rPr>
              </m:ctrlPr>
            </m:sSubPr>
            <m:e>
              <m:r>
                <w:rPr>
                  <w:rFonts w:ascii="Cambria Math" w:hAnsi="Cambria Math"/>
                  <w:color w:val="auto"/>
                  <w:sz w:val="22"/>
                  <w:szCs w:val="22"/>
                </w:rPr>
                <m:t>β</m:t>
              </m:r>
            </m:e>
            <m:sub>
              <m:r>
                <w:rPr>
                  <w:rFonts w:ascii="Cambria Math" w:hAnsi="Cambria Math"/>
                  <w:color w:val="auto"/>
                  <w:sz w:val="22"/>
                  <w:szCs w:val="22"/>
                </w:rPr>
                <m:t>5i</m:t>
              </m:r>
            </m:sub>
          </m:sSub>
          <m:r>
            <m:rPr>
              <m:sty m:val="p"/>
            </m:rPr>
            <w:rPr>
              <w:rFonts w:ascii="Cambria Math" w:eastAsia="Cambria Math" w:hAnsi="Cambria Math"/>
              <w:color w:val="auto"/>
              <w:sz w:val="22"/>
              <w:szCs w:val="22"/>
            </w:rPr>
            <m:t>∆</m:t>
          </m:r>
          <m:r>
            <m:rPr>
              <m:sty m:val="p"/>
            </m:rPr>
            <w:rPr>
              <w:rFonts w:ascii="Cambria Math" w:hAnsi="Cambria Math"/>
              <w:color w:val="auto"/>
              <w:sz w:val="22"/>
              <w:szCs w:val="22"/>
            </w:rPr>
            <m:t>ln</m:t>
          </m:r>
          <m:d>
            <m:dPr>
              <m:ctrlPr>
                <w:rPr>
                  <w:rFonts w:ascii="Cambria Math" w:hAnsi="Cambria Math"/>
                  <w:color w:val="auto"/>
                  <w:sz w:val="22"/>
                  <w:szCs w:val="22"/>
                </w:rPr>
              </m:ctrlPr>
            </m:dPr>
            <m:e>
              <m:sSub>
                <m:sSubPr>
                  <m:ctrlPr>
                    <w:rPr>
                      <w:rFonts w:ascii="Cambria Math" w:hAnsi="Cambria Math"/>
                      <w:i/>
                      <w:iCs/>
                      <w:color w:val="auto"/>
                      <w:sz w:val="22"/>
                      <w:szCs w:val="22"/>
                      <w:vertAlign w:val="subscript"/>
                    </w:rPr>
                  </m:ctrlPr>
                </m:sSubPr>
                <m:e>
                  <m:r>
                    <w:rPr>
                      <w:rFonts w:ascii="Cambria Math" w:hAnsi="Cambria Math"/>
                      <w:color w:val="auto"/>
                      <w:sz w:val="22"/>
                      <w:szCs w:val="22"/>
                      <w:vertAlign w:val="subscript"/>
                    </w:rPr>
                    <m:t>HPC</m:t>
                  </m:r>
                </m:e>
                <m:sub>
                  <m:r>
                    <w:rPr>
                      <w:rFonts w:ascii="Cambria Math" w:hAnsi="Cambria Math"/>
                      <w:color w:val="auto"/>
                      <w:sz w:val="22"/>
                      <w:szCs w:val="22"/>
                      <w:vertAlign w:val="subscript"/>
                    </w:rPr>
                    <m:t>t-1</m:t>
                  </m:r>
                </m:sub>
              </m:sSub>
            </m:e>
          </m:d>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β</m:t>
              </m:r>
            </m:e>
            <m:sub>
              <m:r>
                <w:rPr>
                  <w:rFonts w:ascii="Cambria Math" w:hAnsi="Cambria Math"/>
                  <w:color w:val="auto"/>
                  <w:sz w:val="22"/>
                  <w:szCs w:val="22"/>
                </w:rPr>
                <m:t>6i</m:t>
              </m:r>
            </m:sub>
          </m:sSub>
          <m:r>
            <m:rPr>
              <m:sty m:val="p"/>
            </m:rPr>
            <w:rPr>
              <w:rFonts w:ascii="Cambria Math" w:eastAsia="Cambria Math" w:hAnsi="Cambria Math"/>
              <w:color w:val="auto"/>
              <w:sz w:val="22"/>
              <w:szCs w:val="22"/>
            </w:rPr>
            <m:t>∆</m:t>
          </m:r>
          <m:r>
            <m:rPr>
              <m:sty m:val="p"/>
            </m:rPr>
            <w:rPr>
              <w:rFonts w:ascii="Cambria Math" w:hAnsi="Cambria Math"/>
              <w:color w:val="auto"/>
              <w:sz w:val="22"/>
              <w:szCs w:val="22"/>
            </w:rPr>
            <m:t>ln</m:t>
          </m:r>
          <m:d>
            <m:dPr>
              <m:ctrlPr>
                <w:rPr>
                  <w:rFonts w:ascii="Cambria Math" w:hAnsi="Cambria Math"/>
                  <w:color w:val="auto"/>
                  <w:sz w:val="22"/>
                  <w:szCs w:val="22"/>
                </w:rPr>
              </m:ctrlPr>
            </m:dPr>
            <m:e>
              <m:sSub>
                <m:sSubPr>
                  <m:ctrlPr>
                    <w:rPr>
                      <w:rFonts w:ascii="Cambria Math" w:hAnsi="Cambria Math"/>
                      <w:i/>
                      <w:iCs/>
                      <w:color w:val="auto"/>
                      <w:sz w:val="22"/>
                      <w:szCs w:val="22"/>
                      <w:vertAlign w:val="subscript"/>
                    </w:rPr>
                  </m:ctrlPr>
                </m:sSubPr>
                <m:e>
                  <m:r>
                    <w:rPr>
                      <w:rFonts w:ascii="Cambria Math" w:hAnsi="Cambria Math"/>
                      <w:color w:val="auto"/>
                      <w:sz w:val="22"/>
                      <w:szCs w:val="22"/>
                      <w:vertAlign w:val="subscript"/>
                    </w:rPr>
                    <m:t>NGC</m:t>
                  </m:r>
                </m:e>
                <m:sub>
                  <m:r>
                    <w:rPr>
                      <w:rFonts w:ascii="Cambria Math" w:hAnsi="Cambria Math"/>
                      <w:color w:val="auto"/>
                      <w:sz w:val="22"/>
                      <w:szCs w:val="22"/>
                      <w:vertAlign w:val="subscript"/>
                    </w:rPr>
                    <m:t>t-1</m:t>
                  </m:r>
                </m:sub>
              </m:sSub>
            </m:e>
          </m:d>
          <m:r>
            <w:rPr>
              <w:rFonts w:ascii="Cambria Math" w:hAnsi="Cambria Math"/>
              <w:color w:val="auto"/>
              <w:sz w:val="22"/>
              <w:szCs w:val="22"/>
            </w:rPr>
            <m:t xml:space="preserve">+ </m:t>
          </m:r>
          <m:nary>
            <m:naryPr>
              <m:chr m:val="∑"/>
              <m:limLoc m:val="undOvr"/>
              <m:ctrlPr>
                <w:rPr>
                  <w:rFonts w:ascii="Cambria Math" w:hAnsi="Cambria Math"/>
                  <w:color w:val="auto"/>
                  <w:sz w:val="22"/>
                  <w:szCs w:val="22"/>
                </w:rPr>
              </m:ctrlPr>
            </m:naryPr>
            <m:sub>
              <m:r>
                <w:rPr>
                  <w:rFonts w:ascii="Cambria Math" w:hAnsi="Cambria Math"/>
                  <w:color w:val="auto"/>
                  <w:sz w:val="22"/>
                  <w:szCs w:val="22"/>
                </w:rPr>
                <m:t>t=1</m:t>
              </m:r>
            </m:sub>
            <m:sup>
              <m:r>
                <w:rPr>
                  <w:rFonts w:ascii="Cambria Math" w:hAnsi="Cambria Math"/>
                  <w:color w:val="auto"/>
                  <w:sz w:val="22"/>
                  <w:szCs w:val="22"/>
                </w:rPr>
                <m:t>p</m:t>
              </m:r>
            </m:sup>
            <m:e>
              <m:sSub>
                <m:sSubPr>
                  <m:ctrlPr>
                    <w:rPr>
                      <w:rFonts w:ascii="Cambria Math" w:hAnsi="Cambria Math"/>
                      <w:i/>
                      <w:color w:val="auto"/>
                      <w:sz w:val="22"/>
                      <w:szCs w:val="22"/>
                    </w:rPr>
                  </m:ctrlPr>
                </m:sSubPr>
                <m:e>
                  <m:r>
                    <w:rPr>
                      <w:rFonts w:ascii="Cambria Math" w:hAnsi="Cambria Math"/>
                      <w:color w:val="auto"/>
                      <w:sz w:val="22"/>
                      <w:szCs w:val="22"/>
                    </w:rPr>
                    <m:t>φ</m:t>
                  </m:r>
                </m:e>
                <m:sub>
                  <m:r>
                    <w:rPr>
                      <w:rFonts w:ascii="Cambria Math" w:hAnsi="Cambria Math"/>
                      <w:color w:val="auto"/>
                      <w:sz w:val="22"/>
                      <w:szCs w:val="22"/>
                    </w:rPr>
                    <m:t>1i</m:t>
                  </m:r>
                </m:sub>
              </m:sSub>
              <m:r>
                <w:rPr>
                  <w:rFonts w:ascii="Cambria Math" w:hAnsi="Cambria Math"/>
                  <w:color w:val="auto"/>
                  <w:sz w:val="22"/>
                  <w:szCs w:val="22"/>
                </w:rPr>
                <m:t>∆1n(</m:t>
              </m:r>
              <m:sSub>
                <m:sSubPr>
                  <m:ctrlPr>
                    <w:rPr>
                      <w:rFonts w:ascii="Cambria Math" w:hAnsi="Cambria Math"/>
                      <w:i/>
                      <w:color w:val="auto"/>
                      <w:sz w:val="22"/>
                      <w:szCs w:val="22"/>
                    </w:rPr>
                  </m:ctrlPr>
                </m:sSubPr>
                <m:e>
                  <m:r>
                    <w:rPr>
                      <w:rFonts w:ascii="Cambria Math" w:hAnsi="Cambria Math"/>
                      <w:color w:val="auto"/>
                      <w:sz w:val="22"/>
                      <w:szCs w:val="22"/>
                    </w:rPr>
                    <m:t>POR</m:t>
                  </m:r>
                </m:e>
                <m:sub>
                  <m:r>
                    <w:rPr>
                      <w:rFonts w:ascii="Cambria Math" w:hAnsi="Cambria Math"/>
                      <w:color w:val="auto"/>
                      <w:sz w:val="22"/>
                      <w:szCs w:val="22"/>
                    </w:rPr>
                    <m:t>t-1</m:t>
                  </m:r>
                </m:sub>
              </m:sSub>
              <m:r>
                <w:rPr>
                  <w:rFonts w:ascii="Cambria Math" w:hAnsi="Cambria Math"/>
                  <w:color w:val="auto"/>
                  <w:sz w:val="22"/>
                  <w:szCs w:val="22"/>
                </w:rPr>
                <m:t>)</m:t>
              </m:r>
            </m:e>
          </m:nary>
          <m:r>
            <w:rPr>
              <w:rFonts w:ascii="Cambria Math" w:hAnsi="Cambria Math"/>
              <w:color w:val="auto"/>
              <w:sz w:val="22"/>
              <w:szCs w:val="22"/>
            </w:rPr>
            <m:t xml:space="preserve">+ </m:t>
          </m:r>
          <m:nary>
            <m:naryPr>
              <m:chr m:val="∑"/>
              <m:limLoc m:val="undOvr"/>
              <m:ctrlPr>
                <w:rPr>
                  <w:rFonts w:ascii="Cambria Math" w:hAnsi="Cambria Math"/>
                  <w:color w:val="auto"/>
                  <w:sz w:val="22"/>
                  <w:szCs w:val="22"/>
                </w:rPr>
              </m:ctrlPr>
            </m:naryPr>
            <m:sub>
              <m:r>
                <w:rPr>
                  <w:rFonts w:ascii="Cambria Math" w:hAnsi="Cambria Math"/>
                  <w:color w:val="auto"/>
                  <w:sz w:val="22"/>
                  <w:szCs w:val="22"/>
                </w:rPr>
                <m:t>t=1</m:t>
              </m:r>
            </m:sub>
            <m:sup>
              <m:r>
                <w:rPr>
                  <w:rFonts w:ascii="Cambria Math" w:hAnsi="Cambria Math"/>
                  <w:color w:val="auto"/>
                  <w:sz w:val="22"/>
                  <w:szCs w:val="22"/>
                </w:rPr>
                <m:t>q</m:t>
              </m:r>
            </m:sup>
            <m:e>
              <m:sSub>
                <m:sSubPr>
                  <m:ctrlPr>
                    <w:rPr>
                      <w:rFonts w:ascii="Cambria Math" w:hAnsi="Cambria Math"/>
                      <w:i/>
                      <w:color w:val="auto"/>
                      <w:sz w:val="22"/>
                      <w:szCs w:val="22"/>
                    </w:rPr>
                  </m:ctrlPr>
                </m:sSubPr>
                <m:e>
                  <m:r>
                    <w:rPr>
                      <w:rFonts w:ascii="Cambria Math" w:hAnsi="Cambria Math"/>
                      <w:color w:val="auto"/>
                      <w:sz w:val="22"/>
                      <w:szCs w:val="22"/>
                    </w:rPr>
                    <m:t>φ</m:t>
                  </m:r>
                </m:e>
                <m:sub>
                  <m:r>
                    <w:rPr>
                      <w:rFonts w:ascii="Cambria Math" w:hAnsi="Cambria Math"/>
                      <w:color w:val="auto"/>
                      <w:sz w:val="22"/>
                      <w:szCs w:val="22"/>
                    </w:rPr>
                    <m:t>2i</m:t>
                  </m:r>
                </m:sub>
              </m:sSub>
              <m:r>
                <w:rPr>
                  <w:rFonts w:ascii="Cambria Math" w:hAnsi="Cambria Math"/>
                  <w:color w:val="auto"/>
                  <w:sz w:val="22"/>
                  <w:szCs w:val="22"/>
                </w:rPr>
                <m:t>∆1n(</m:t>
              </m:r>
              <m:sSub>
                <m:sSubPr>
                  <m:ctrlPr>
                    <w:rPr>
                      <w:rFonts w:ascii="Cambria Math" w:hAnsi="Cambria Math"/>
                      <w:i/>
                      <w:color w:val="auto"/>
                      <w:sz w:val="22"/>
                      <w:szCs w:val="22"/>
                    </w:rPr>
                  </m:ctrlPr>
                </m:sSubPr>
                <m:e>
                  <m:r>
                    <w:rPr>
                      <w:rFonts w:ascii="Cambria Math" w:hAnsi="Cambria Math"/>
                      <w:color w:val="auto"/>
                      <w:sz w:val="22"/>
                      <w:szCs w:val="22"/>
                    </w:rPr>
                    <m:t>AGO</m:t>
                  </m:r>
                </m:e>
                <m:sub>
                  <m:r>
                    <w:rPr>
                      <w:rFonts w:ascii="Cambria Math" w:hAnsi="Cambria Math"/>
                      <w:color w:val="auto"/>
                      <w:sz w:val="22"/>
                      <w:szCs w:val="22"/>
                    </w:rPr>
                    <m:t>t-1</m:t>
                  </m:r>
                </m:sub>
              </m:sSub>
              <m:r>
                <w:rPr>
                  <w:rFonts w:ascii="Cambria Math" w:hAnsi="Cambria Math"/>
                  <w:color w:val="auto"/>
                  <w:sz w:val="22"/>
                  <w:szCs w:val="22"/>
                </w:rPr>
                <m:t>)</m:t>
              </m:r>
            </m:e>
          </m:nary>
          <m:r>
            <w:rPr>
              <w:rFonts w:ascii="Cambria Math" w:hAnsi="Cambria Math"/>
              <w:color w:val="auto"/>
              <w:sz w:val="22"/>
              <w:szCs w:val="22"/>
            </w:rPr>
            <m:t xml:space="preserve">+ </m:t>
          </m:r>
          <m:nary>
            <m:naryPr>
              <m:chr m:val="∑"/>
              <m:limLoc m:val="undOvr"/>
              <m:ctrlPr>
                <w:rPr>
                  <w:rFonts w:ascii="Cambria Math" w:hAnsi="Cambria Math"/>
                  <w:color w:val="auto"/>
                  <w:sz w:val="22"/>
                  <w:szCs w:val="22"/>
                </w:rPr>
              </m:ctrlPr>
            </m:naryPr>
            <m:sub>
              <m:r>
                <w:rPr>
                  <w:rFonts w:ascii="Cambria Math" w:hAnsi="Cambria Math"/>
                  <w:color w:val="auto"/>
                  <w:sz w:val="22"/>
                  <w:szCs w:val="22"/>
                </w:rPr>
                <m:t>t=1</m:t>
              </m:r>
            </m:sub>
            <m:sup>
              <m:r>
                <w:rPr>
                  <w:rFonts w:ascii="Cambria Math" w:hAnsi="Cambria Math"/>
                  <w:color w:val="auto"/>
                  <w:sz w:val="22"/>
                  <w:szCs w:val="22"/>
                </w:rPr>
                <m:t>p</m:t>
              </m:r>
            </m:sup>
            <m:e>
              <m:sSub>
                <m:sSubPr>
                  <m:ctrlPr>
                    <w:rPr>
                      <w:rFonts w:ascii="Cambria Math" w:hAnsi="Cambria Math"/>
                      <w:i/>
                      <w:color w:val="auto"/>
                      <w:sz w:val="22"/>
                      <w:szCs w:val="22"/>
                    </w:rPr>
                  </m:ctrlPr>
                </m:sSubPr>
                <m:e>
                  <m:r>
                    <w:rPr>
                      <w:rFonts w:ascii="Cambria Math" w:hAnsi="Cambria Math"/>
                      <w:color w:val="auto"/>
                      <w:sz w:val="22"/>
                      <w:szCs w:val="22"/>
                    </w:rPr>
                    <m:t>φ</m:t>
                  </m:r>
                </m:e>
                <m:sub>
                  <m:r>
                    <w:rPr>
                      <w:rFonts w:ascii="Cambria Math" w:hAnsi="Cambria Math"/>
                      <w:color w:val="auto"/>
                      <w:sz w:val="22"/>
                      <w:szCs w:val="22"/>
                    </w:rPr>
                    <m:t>3i</m:t>
                  </m:r>
                </m:sub>
              </m:sSub>
              <m:r>
                <w:rPr>
                  <w:rFonts w:ascii="Cambria Math" w:hAnsi="Cambria Math"/>
                  <w:color w:val="auto"/>
                  <w:sz w:val="22"/>
                  <w:szCs w:val="22"/>
                </w:rPr>
                <m:t>∆1n(</m:t>
              </m:r>
              <m:sSub>
                <m:sSubPr>
                  <m:ctrlPr>
                    <w:rPr>
                      <w:rFonts w:ascii="Cambria Math" w:hAnsi="Cambria Math"/>
                      <w:i/>
                      <w:color w:val="auto"/>
                      <w:sz w:val="22"/>
                      <w:szCs w:val="22"/>
                    </w:rPr>
                  </m:ctrlPr>
                </m:sSubPr>
                <m:e>
                  <m:r>
                    <w:rPr>
                      <w:rFonts w:ascii="Cambria Math" w:hAnsi="Cambria Math"/>
                      <w:color w:val="auto"/>
                      <w:sz w:val="22"/>
                      <w:szCs w:val="22"/>
                    </w:rPr>
                    <m:t>PMS</m:t>
                  </m:r>
                </m:e>
                <m:sub>
                  <m:r>
                    <w:rPr>
                      <w:rFonts w:ascii="Cambria Math" w:hAnsi="Cambria Math"/>
                      <w:color w:val="auto"/>
                      <w:sz w:val="22"/>
                      <w:szCs w:val="22"/>
                    </w:rPr>
                    <m:t>t-1</m:t>
                  </m:r>
                </m:sub>
              </m:sSub>
              <m:r>
                <w:rPr>
                  <w:rFonts w:ascii="Cambria Math" w:hAnsi="Cambria Math"/>
                  <w:color w:val="auto"/>
                  <w:sz w:val="22"/>
                  <w:szCs w:val="22"/>
                </w:rPr>
                <m:t>)</m:t>
              </m:r>
            </m:e>
          </m:nary>
          <m:r>
            <w:rPr>
              <w:rFonts w:ascii="Cambria Math" w:hAnsi="Cambria Math"/>
              <w:color w:val="auto"/>
              <w:sz w:val="22"/>
              <w:szCs w:val="22"/>
            </w:rPr>
            <m:t xml:space="preserve">+ </m:t>
          </m:r>
          <m:nary>
            <m:naryPr>
              <m:chr m:val="∑"/>
              <m:limLoc m:val="undOvr"/>
              <m:ctrlPr>
                <w:rPr>
                  <w:rFonts w:ascii="Cambria Math" w:hAnsi="Cambria Math"/>
                  <w:color w:val="auto"/>
                  <w:sz w:val="22"/>
                  <w:szCs w:val="22"/>
                </w:rPr>
              </m:ctrlPr>
            </m:naryPr>
            <m:sub>
              <m:r>
                <w:rPr>
                  <w:rFonts w:ascii="Cambria Math" w:hAnsi="Cambria Math"/>
                  <w:color w:val="auto"/>
                  <w:sz w:val="22"/>
                  <w:szCs w:val="22"/>
                </w:rPr>
                <m:t>t=1</m:t>
              </m:r>
            </m:sub>
            <m:sup>
              <m:r>
                <w:rPr>
                  <w:rFonts w:ascii="Cambria Math" w:hAnsi="Cambria Math"/>
                  <w:color w:val="auto"/>
                  <w:sz w:val="22"/>
                  <w:szCs w:val="22"/>
                </w:rPr>
                <m:t>q</m:t>
              </m:r>
            </m:sup>
            <m:e>
              <m:sSub>
                <m:sSubPr>
                  <m:ctrlPr>
                    <w:rPr>
                      <w:rFonts w:ascii="Cambria Math" w:hAnsi="Cambria Math"/>
                      <w:i/>
                      <w:color w:val="auto"/>
                      <w:sz w:val="22"/>
                      <w:szCs w:val="22"/>
                    </w:rPr>
                  </m:ctrlPr>
                </m:sSubPr>
                <m:e>
                  <m:r>
                    <w:rPr>
                      <w:rFonts w:ascii="Cambria Math" w:hAnsi="Cambria Math"/>
                      <w:color w:val="auto"/>
                      <w:sz w:val="22"/>
                      <w:szCs w:val="22"/>
                    </w:rPr>
                    <m:t>φ</m:t>
                  </m:r>
                </m:e>
                <m:sub>
                  <m:r>
                    <w:rPr>
                      <w:rFonts w:ascii="Cambria Math" w:hAnsi="Cambria Math"/>
                      <w:color w:val="auto"/>
                      <w:sz w:val="22"/>
                      <w:szCs w:val="22"/>
                    </w:rPr>
                    <m:t>4i</m:t>
                  </m:r>
                </m:sub>
              </m:sSub>
              <m:r>
                <w:rPr>
                  <w:rFonts w:ascii="Cambria Math" w:hAnsi="Cambria Math"/>
                  <w:color w:val="auto"/>
                  <w:sz w:val="22"/>
                  <w:szCs w:val="22"/>
                </w:rPr>
                <m:t>∆1n(</m:t>
              </m:r>
              <m:sSub>
                <m:sSubPr>
                  <m:ctrlPr>
                    <w:rPr>
                      <w:rFonts w:ascii="Cambria Math" w:hAnsi="Cambria Math"/>
                      <w:i/>
                      <w:color w:val="auto"/>
                      <w:sz w:val="22"/>
                      <w:szCs w:val="22"/>
                    </w:rPr>
                  </m:ctrlPr>
                </m:sSubPr>
                <m:e>
                  <m:r>
                    <w:rPr>
                      <w:rFonts w:ascii="Cambria Math" w:hAnsi="Cambria Math"/>
                      <w:color w:val="auto"/>
                      <w:sz w:val="22"/>
                      <w:szCs w:val="22"/>
                    </w:rPr>
                    <m:t>SEC</m:t>
                  </m:r>
                </m:e>
                <m:sub>
                  <m:r>
                    <w:rPr>
                      <w:rFonts w:ascii="Cambria Math" w:hAnsi="Cambria Math"/>
                      <w:color w:val="auto"/>
                      <w:sz w:val="22"/>
                      <w:szCs w:val="22"/>
                    </w:rPr>
                    <m:t>t-1</m:t>
                  </m:r>
                </m:sub>
              </m:sSub>
              <m:r>
                <w:rPr>
                  <w:rFonts w:ascii="Cambria Math" w:hAnsi="Cambria Math"/>
                  <w:color w:val="auto"/>
                  <w:sz w:val="22"/>
                  <w:szCs w:val="22"/>
                </w:rPr>
                <m:t>)</m:t>
              </m:r>
            </m:e>
          </m:nary>
          <m:r>
            <w:rPr>
              <w:rFonts w:ascii="Cambria Math" w:hAnsi="Cambria Math"/>
              <w:color w:val="auto"/>
              <w:sz w:val="22"/>
              <w:szCs w:val="22"/>
            </w:rPr>
            <m:t xml:space="preserve"> </m:t>
          </m:r>
          <m:nary>
            <m:naryPr>
              <m:chr m:val="∑"/>
              <m:limLoc m:val="undOvr"/>
              <m:ctrlPr>
                <w:rPr>
                  <w:rFonts w:ascii="Cambria Math" w:hAnsi="Cambria Math"/>
                  <w:color w:val="auto"/>
                  <w:sz w:val="22"/>
                  <w:szCs w:val="22"/>
                </w:rPr>
              </m:ctrlPr>
            </m:naryPr>
            <m:sub>
              <m:r>
                <w:rPr>
                  <w:rFonts w:ascii="Cambria Math" w:hAnsi="Cambria Math"/>
                  <w:color w:val="auto"/>
                  <w:sz w:val="22"/>
                  <w:szCs w:val="22"/>
                </w:rPr>
                <m:t>t=1</m:t>
              </m:r>
            </m:sub>
            <m:sup>
              <m:r>
                <w:rPr>
                  <w:rFonts w:ascii="Cambria Math" w:hAnsi="Cambria Math"/>
                  <w:color w:val="auto"/>
                  <w:sz w:val="22"/>
                  <w:szCs w:val="22"/>
                </w:rPr>
                <m:t>q</m:t>
              </m:r>
            </m:sup>
            <m:e>
              <m:sSub>
                <m:sSubPr>
                  <m:ctrlPr>
                    <w:rPr>
                      <w:rFonts w:ascii="Cambria Math" w:hAnsi="Cambria Math"/>
                      <w:i/>
                      <w:color w:val="auto"/>
                      <w:sz w:val="22"/>
                      <w:szCs w:val="22"/>
                    </w:rPr>
                  </m:ctrlPr>
                </m:sSubPr>
                <m:e>
                  <m:r>
                    <w:rPr>
                      <w:rFonts w:ascii="Cambria Math" w:hAnsi="Cambria Math"/>
                      <w:color w:val="auto"/>
                      <w:sz w:val="22"/>
                      <w:szCs w:val="22"/>
                    </w:rPr>
                    <m:t>φ</m:t>
                  </m:r>
                </m:e>
                <m:sub>
                  <m:r>
                    <w:rPr>
                      <w:rFonts w:ascii="Cambria Math" w:hAnsi="Cambria Math"/>
                      <w:color w:val="auto"/>
                      <w:sz w:val="22"/>
                      <w:szCs w:val="22"/>
                    </w:rPr>
                    <m:t>5i</m:t>
                  </m:r>
                </m:sub>
              </m:sSub>
              <m:r>
                <w:rPr>
                  <w:rFonts w:ascii="Cambria Math" w:hAnsi="Cambria Math"/>
                  <w:color w:val="auto"/>
                  <w:sz w:val="22"/>
                  <w:szCs w:val="22"/>
                </w:rPr>
                <m:t>∆1n(</m:t>
              </m:r>
              <m:sSub>
                <m:sSubPr>
                  <m:ctrlPr>
                    <w:rPr>
                      <w:rFonts w:ascii="Cambria Math" w:hAnsi="Cambria Math"/>
                      <w:i/>
                      <w:color w:val="auto"/>
                      <w:sz w:val="22"/>
                      <w:szCs w:val="22"/>
                    </w:rPr>
                  </m:ctrlPr>
                </m:sSubPr>
                <m:e>
                  <m:r>
                    <w:rPr>
                      <w:rFonts w:ascii="Cambria Math" w:hAnsi="Cambria Math"/>
                      <w:color w:val="auto"/>
                      <w:sz w:val="22"/>
                      <w:szCs w:val="22"/>
                    </w:rPr>
                    <m:t>HPC</m:t>
                  </m:r>
                </m:e>
                <m:sub>
                  <m:r>
                    <w:rPr>
                      <w:rFonts w:ascii="Cambria Math" w:hAnsi="Cambria Math"/>
                      <w:color w:val="auto"/>
                      <w:sz w:val="22"/>
                      <w:szCs w:val="22"/>
                    </w:rPr>
                    <m:t>t-1</m:t>
                  </m:r>
                </m:sub>
              </m:sSub>
              <m:r>
                <w:rPr>
                  <w:rFonts w:ascii="Cambria Math" w:hAnsi="Cambria Math"/>
                  <w:color w:val="auto"/>
                  <w:sz w:val="22"/>
                  <w:szCs w:val="22"/>
                </w:rPr>
                <m:t>)</m:t>
              </m:r>
            </m:e>
          </m:nary>
          <m:r>
            <w:rPr>
              <w:rFonts w:ascii="Cambria Math" w:hAnsi="Cambria Math"/>
              <w:color w:val="auto"/>
              <w:sz w:val="22"/>
              <w:szCs w:val="22"/>
            </w:rPr>
            <m:t xml:space="preserve"> +</m:t>
          </m:r>
          <m:nary>
            <m:naryPr>
              <m:chr m:val="∑"/>
              <m:limLoc m:val="undOvr"/>
              <m:ctrlPr>
                <w:rPr>
                  <w:rFonts w:ascii="Cambria Math" w:hAnsi="Cambria Math"/>
                  <w:color w:val="auto"/>
                  <w:sz w:val="22"/>
                  <w:szCs w:val="22"/>
                </w:rPr>
              </m:ctrlPr>
            </m:naryPr>
            <m:sub>
              <m:r>
                <w:rPr>
                  <w:rFonts w:ascii="Cambria Math" w:hAnsi="Cambria Math"/>
                  <w:color w:val="auto"/>
                  <w:sz w:val="22"/>
                  <w:szCs w:val="22"/>
                </w:rPr>
                <m:t>t=1</m:t>
              </m:r>
            </m:sub>
            <m:sup>
              <m:r>
                <w:rPr>
                  <w:rFonts w:ascii="Cambria Math" w:hAnsi="Cambria Math"/>
                  <w:color w:val="auto"/>
                  <w:sz w:val="22"/>
                  <w:szCs w:val="22"/>
                </w:rPr>
                <m:t>P</m:t>
              </m:r>
            </m:sup>
            <m:e>
              <m:sSub>
                <m:sSubPr>
                  <m:ctrlPr>
                    <w:rPr>
                      <w:rFonts w:ascii="Cambria Math" w:hAnsi="Cambria Math"/>
                      <w:i/>
                      <w:color w:val="auto"/>
                      <w:sz w:val="22"/>
                      <w:szCs w:val="22"/>
                    </w:rPr>
                  </m:ctrlPr>
                </m:sSubPr>
                <m:e>
                  <m:r>
                    <w:rPr>
                      <w:rFonts w:ascii="Cambria Math" w:hAnsi="Cambria Math"/>
                      <w:color w:val="auto"/>
                      <w:sz w:val="22"/>
                      <w:szCs w:val="22"/>
                    </w:rPr>
                    <m:t>φ</m:t>
                  </m:r>
                </m:e>
                <m:sub>
                  <m:r>
                    <w:rPr>
                      <w:rFonts w:ascii="Cambria Math" w:hAnsi="Cambria Math"/>
                      <w:color w:val="auto"/>
                      <w:sz w:val="22"/>
                      <w:szCs w:val="22"/>
                    </w:rPr>
                    <m:t>6i</m:t>
                  </m:r>
                </m:sub>
              </m:sSub>
              <m:r>
                <w:rPr>
                  <w:rFonts w:ascii="Cambria Math" w:hAnsi="Cambria Math"/>
                  <w:color w:val="auto"/>
                  <w:sz w:val="22"/>
                  <w:szCs w:val="22"/>
                </w:rPr>
                <m:t>∆1n(</m:t>
              </m:r>
              <m:sSub>
                <m:sSubPr>
                  <m:ctrlPr>
                    <w:rPr>
                      <w:rFonts w:ascii="Cambria Math" w:hAnsi="Cambria Math"/>
                      <w:i/>
                      <w:color w:val="auto"/>
                      <w:sz w:val="22"/>
                      <w:szCs w:val="22"/>
                    </w:rPr>
                  </m:ctrlPr>
                </m:sSubPr>
                <m:e>
                  <m:r>
                    <w:rPr>
                      <w:rFonts w:ascii="Cambria Math" w:hAnsi="Cambria Math"/>
                      <w:color w:val="auto"/>
                      <w:sz w:val="22"/>
                      <w:szCs w:val="22"/>
                    </w:rPr>
                    <m:t>NGC</m:t>
                  </m:r>
                </m:e>
                <m:sub>
                  <m:r>
                    <w:rPr>
                      <w:rFonts w:ascii="Cambria Math" w:hAnsi="Cambria Math"/>
                      <w:color w:val="auto"/>
                      <w:sz w:val="22"/>
                      <w:szCs w:val="22"/>
                    </w:rPr>
                    <m:t>t-1</m:t>
                  </m:r>
                </m:sub>
              </m:sSub>
              <m:r>
                <w:rPr>
                  <w:rFonts w:ascii="Cambria Math" w:hAnsi="Cambria Math"/>
                  <w:color w:val="auto"/>
                  <w:sz w:val="22"/>
                  <w:szCs w:val="22"/>
                </w:rPr>
                <m:t>)</m:t>
              </m:r>
            </m:e>
          </m:nary>
          <m:r>
            <w:rPr>
              <w:rFonts w:ascii="Cambria Math" w:hAnsi="Cambria Math"/>
              <w:color w:val="auto"/>
              <w:sz w:val="22"/>
              <w:szCs w:val="22"/>
            </w:rPr>
            <m:t xml:space="preserve">+ </m:t>
          </m:r>
          <m:sSub>
            <m:sSubPr>
              <m:ctrlPr>
                <w:rPr>
                  <w:rFonts w:ascii="Cambria Math" w:hAnsi="Cambria Math"/>
                  <w:i/>
                  <w:iCs/>
                  <w:color w:val="auto"/>
                  <w:sz w:val="22"/>
                  <w:szCs w:val="22"/>
                  <w:vertAlign w:val="subscript"/>
                </w:rPr>
              </m:ctrlPr>
            </m:sSubPr>
            <m:e>
              <m:r>
                <m:rPr>
                  <m:sty m:val="p"/>
                </m:rPr>
                <w:rPr>
                  <w:rFonts w:ascii="Cambria Math" w:hAnsi="Cambria Math"/>
                  <w:color w:val="auto"/>
                  <w:sz w:val="22"/>
                  <w:szCs w:val="22"/>
                </w:rPr>
                <m:t>λ</m:t>
              </m:r>
              <m:r>
                <w:rPr>
                  <w:rFonts w:ascii="Cambria Math" w:hAnsi="Cambria Math"/>
                  <w:color w:val="auto"/>
                  <w:sz w:val="22"/>
                  <w:szCs w:val="22"/>
                </w:rPr>
                <m:t>ECT</m:t>
              </m:r>
            </m:e>
            <m:sub>
              <m:r>
                <w:rPr>
                  <w:rFonts w:ascii="Cambria Math" w:hAnsi="Cambria Math"/>
                  <w:color w:val="auto"/>
                  <w:sz w:val="22"/>
                  <w:szCs w:val="22"/>
                  <w:vertAlign w:val="subscript"/>
                </w:rPr>
                <m:t>t-1</m:t>
              </m:r>
            </m:sub>
          </m:sSub>
          <m:r>
            <w:rPr>
              <w:rFonts w:ascii="Cambria Math" w:hAnsi="Cambria Math"/>
              <w:color w:val="auto"/>
              <w:sz w:val="22"/>
              <w:szCs w:val="22"/>
            </w:rPr>
            <m:t xml:space="preserve">+  </m:t>
          </m:r>
          <m:sSub>
            <m:sSubPr>
              <m:ctrlPr>
                <w:rPr>
                  <w:rFonts w:ascii="Cambria Math" w:hAnsi="Cambria Math"/>
                  <w:color w:val="auto"/>
                  <w:sz w:val="22"/>
                  <w:szCs w:val="22"/>
                  <w:vertAlign w:val="subscript"/>
                </w:rPr>
              </m:ctrlPr>
            </m:sSubPr>
            <m:e>
              <m:r>
                <w:rPr>
                  <w:rFonts w:ascii="Cambria Math" w:hAnsi="Cambria Math"/>
                  <w:color w:val="auto"/>
                  <w:sz w:val="22"/>
                  <w:szCs w:val="22"/>
                </w:rPr>
                <m:t>ε</m:t>
              </m:r>
            </m:e>
            <m:sub>
              <m:r>
                <w:rPr>
                  <w:rFonts w:ascii="Cambria Math" w:hAnsi="Cambria Math"/>
                  <w:color w:val="auto"/>
                  <w:sz w:val="22"/>
                  <w:szCs w:val="22"/>
                  <w:vertAlign w:val="subscript"/>
                </w:rPr>
                <m:t>1i</m:t>
              </m:r>
            </m:sub>
          </m:sSub>
          <m:r>
            <m:rPr>
              <m:sty m:val="p"/>
            </m:rPr>
            <w:rPr>
              <w:rFonts w:ascii="Cambria Math" w:hAnsi="Cambria Math"/>
              <w:color w:val="auto"/>
              <w:sz w:val="22"/>
              <w:szCs w:val="22"/>
              <w:vertAlign w:val="subscript"/>
            </w:rPr>
            <m:t xml:space="preserve"> </m:t>
          </m:r>
          <m:r>
            <w:rPr>
              <w:rFonts w:ascii="Cambria Math" w:hAnsi="Cambria Math"/>
              <w:color w:val="auto"/>
              <w:sz w:val="22"/>
              <w:szCs w:val="22"/>
              <w:vertAlign w:val="subscript"/>
            </w:rPr>
            <m:t xml:space="preserve">                                                                                                                                     </m:t>
          </m:r>
          <m:r>
            <m:rPr>
              <m:sty m:val="p"/>
            </m:rPr>
            <w:rPr>
              <w:rFonts w:ascii="Cambria Math" w:hAnsi="Cambria Math"/>
              <w:color w:val="auto"/>
              <w:sz w:val="22"/>
              <w:szCs w:val="22"/>
            </w:rPr>
            <m:t>(3.4)</m:t>
          </m:r>
        </m:oMath>
      </m:oMathPara>
    </w:p>
    <w:p w14:paraId="4AFD04FC" w14:textId="64BC948F" w:rsidR="00FA2E45" w:rsidRPr="00D37C9A" w:rsidRDefault="00FA2E45" w:rsidP="00D37C9A">
      <w:pPr>
        <w:spacing w:after="0"/>
        <w:jc w:val="both"/>
        <w:rPr>
          <w:rFonts w:ascii="Times New Roman" w:hAnsi="Times New Roman" w:cs="Times New Roman"/>
        </w:rPr>
      </w:pPr>
      <w:bookmarkStart w:id="7" w:name="_Hlk204322345"/>
      <w:bookmarkEnd w:id="6"/>
      <w:r w:rsidRPr="00D37C9A">
        <w:rPr>
          <w:rFonts w:ascii="Times New Roman" w:hAnsi="Times New Roman" w:cs="Times New Roman"/>
        </w:rPr>
        <w:t xml:space="preserve">POR </w:t>
      </w:r>
      <w:r w:rsidRPr="00D37C9A">
        <w:rPr>
          <w:rFonts w:ascii="Times New Roman" w:hAnsi="Times New Roman" w:cs="Times New Roman"/>
        </w:rPr>
        <w:tab/>
        <w:t>= Poverty rate</w:t>
      </w:r>
      <w:r w:rsidR="006346BA" w:rsidRPr="00D37C9A">
        <w:rPr>
          <w:rFonts w:ascii="Times New Roman" w:hAnsi="Times New Roman" w:cs="Times New Roman"/>
        </w:rPr>
        <w:t xml:space="preserve">, </w:t>
      </w:r>
      <w:r w:rsidRPr="00D37C9A">
        <w:rPr>
          <w:rFonts w:ascii="Times New Roman" w:hAnsi="Times New Roman" w:cs="Times New Roman"/>
          <w:bCs/>
        </w:rPr>
        <w:t>AGO</w:t>
      </w:r>
      <w:r w:rsidRPr="00D37C9A">
        <w:rPr>
          <w:rFonts w:ascii="Times New Roman" w:hAnsi="Times New Roman" w:cs="Times New Roman"/>
        </w:rPr>
        <w:t xml:space="preserve"> = </w:t>
      </w:r>
      <w:r w:rsidR="006346BA" w:rsidRPr="00D37C9A">
        <w:rPr>
          <w:rFonts w:ascii="Times New Roman" w:hAnsi="Times New Roman" w:cs="Times New Roman"/>
        </w:rPr>
        <w:t xml:space="preserve">Automotive gas oil consumption, </w:t>
      </w:r>
      <w:r w:rsidRPr="00D37C9A">
        <w:rPr>
          <w:rFonts w:ascii="Times New Roman" w:hAnsi="Times New Roman" w:cs="Times New Roman"/>
        </w:rPr>
        <w:t>PMS = Premium motor spirit consumption</w:t>
      </w:r>
      <w:r w:rsidR="006346BA" w:rsidRPr="00D37C9A">
        <w:rPr>
          <w:rFonts w:ascii="Times New Roman" w:hAnsi="Times New Roman" w:cs="Times New Roman"/>
        </w:rPr>
        <w:t xml:space="preserve">, </w:t>
      </w:r>
      <w:r w:rsidRPr="00D37C9A">
        <w:rPr>
          <w:rFonts w:ascii="Times New Roman" w:hAnsi="Times New Roman" w:cs="Times New Roman"/>
        </w:rPr>
        <w:t>SEC</w:t>
      </w:r>
      <w:r w:rsidR="006346BA" w:rsidRPr="00D37C9A">
        <w:rPr>
          <w:rFonts w:ascii="Times New Roman" w:hAnsi="Times New Roman" w:cs="Times New Roman"/>
        </w:rPr>
        <w:t xml:space="preserve"> </w:t>
      </w:r>
      <w:r w:rsidRPr="00D37C9A">
        <w:rPr>
          <w:rFonts w:ascii="Times New Roman" w:hAnsi="Times New Roman" w:cs="Times New Roman"/>
        </w:rPr>
        <w:t>= Solar energy consumption</w:t>
      </w:r>
      <w:r w:rsidR="006346BA" w:rsidRPr="00D37C9A">
        <w:rPr>
          <w:rFonts w:ascii="Times New Roman" w:hAnsi="Times New Roman" w:cs="Times New Roman"/>
        </w:rPr>
        <w:t xml:space="preserve">, </w:t>
      </w:r>
      <w:r w:rsidRPr="00D37C9A">
        <w:rPr>
          <w:rFonts w:ascii="Times New Roman" w:hAnsi="Times New Roman" w:cs="Times New Roman"/>
        </w:rPr>
        <w:t>HPC</w:t>
      </w:r>
      <w:r w:rsidR="006346BA" w:rsidRPr="00D37C9A">
        <w:rPr>
          <w:rFonts w:ascii="Times New Roman" w:hAnsi="Times New Roman" w:cs="Times New Roman"/>
        </w:rPr>
        <w:t xml:space="preserve"> </w:t>
      </w:r>
      <w:r w:rsidRPr="00D37C9A">
        <w:rPr>
          <w:rFonts w:ascii="Times New Roman" w:hAnsi="Times New Roman" w:cs="Times New Roman"/>
        </w:rPr>
        <w:t>= Hydropower energy</w:t>
      </w:r>
      <w:r w:rsidR="006346BA" w:rsidRPr="00D37C9A">
        <w:rPr>
          <w:rFonts w:ascii="Times New Roman" w:hAnsi="Times New Roman" w:cs="Times New Roman"/>
        </w:rPr>
        <w:t xml:space="preserve">, </w:t>
      </w:r>
      <w:r w:rsidRPr="00D37C9A">
        <w:rPr>
          <w:rFonts w:ascii="Times New Roman" w:hAnsi="Times New Roman" w:cs="Times New Roman"/>
        </w:rPr>
        <w:t>NGC</w:t>
      </w:r>
      <w:r w:rsidRPr="00D37C9A">
        <w:rPr>
          <w:rFonts w:ascii="Times New Roman" w:hAnsi="Times New Roman" w:cs="Times New Roman"/>
        </w:rPr>
        <w:tab/>
        <w:t>= Natural gas-to-power consumption</w:t>
      </w:r>
      <w:r w:rsidR="006346BA" w:rsidRPr="00D37C9A">
        <w:rPr>
          <w:rFonts w:ascii="Times New Roman" w:hAnsi="Times New Roman" w:cs="Times New Roman"/>
        </w:rPr>
        <w:t xml:space="preserve">, </w:t>
      </w:r>
      <w:bookmarkEnd w:id="7"/>
      <w:r w:rsidRPr="00D37C9A">
        <w:rPr>
          <w:rFonts w:ascii="Times New Roman" w:hAnsi="Times New Roman" w:cs="Times New Roman"/>
        </w:rPr>
        <w:t>β</w:t>
      </w:r>
      <w:r w:rsidRPr="00D37C9A">
        <w:rPr>
          <w:rFonts w:ascii="Times New Roman" w:hAnsi="Times New Roman" w:cs="Times New Roman"/>
          <w:vertAlign w:val="subscript"/>
        </w:rPr>
        <w:t>0</w:t>
      </w:r>
      <w:r w:rsidR="006346BA" w:rsidRPr="00D37C9A">
        <w:rPr>
          <w:rFonts w:ascii="Times New Roman" w:hAnsi="Times New Roman" w:cs="Times New Roman"/>
        </w:rPr>
        <w:t xml:space="preserve"> </w:t>
      </w:r>
      <w:r w:rsidRPr="00D37C9A">
        <w:rPr>
          <w:rFonts w:ascii="Times New Roman" w:hAnsi="Times New Roman" w:cs="Times New Roman"/>
        </w:rPr>
        <w:t>= Regression intercept</w:t>
      </w:r>
      <w:r w:rsidR="006346BA" w:rsidRPr="00D37C9A">
        <w:rPr>
          <w:rFonts w:ascii="Times New Roman" w:hAnsi="Times New Roman" w:cs="Times New Roman"/>
        </w:rPr>
        <w:t xml:space="preserve">, </w:t>
      </w:r>
      <w:r w:rsidRPr="00D37C9A">
        <w:rPr>
          <w:rFonts w:ascii="Times New Roman" w:hAnsi="Times New Roman" w:cs="Times New Roman"/>
        </w:rPr>
        <w:t>β</w:t>
      </w:r>
      <w:r w:rsidRPr="00D37C9A">
        <w:rPr>
          <w:rFonts w:ascii="Times New Roman" w:hAnsi="Times New Roman" w:cs="Times New Roman"/>
          <w:vertAlign w:val="subscript"/>
        </w:rPr>
        <w:t>1</w:t>
      </w:r>
      <w:r w:rsidRPr="00D37C9A">
        <w:rPr>
          <w:rFonts w:ascii="Times New Roman" w:hAnsi="Times New Roman" w:cs="Times New Roman"/>
        </w:rPr>
        <w:t xml:space="preserve"> </w:t>
      </w:r>
      <w:r w:rsidR="006346BA" w:rsidRPr="00D37C9A">
        <w:rPr>
          <w:rFonts w:ascii="Times New Roman" w:hAnsi="Times New Roman" w:cs="Times New Roman"/>
        </w:rPr>
        <w:t>- β</w:t>
      </w:r>
      <w:r w:rsidR="006346BA" w:rsidRPr="00D37C9A">
        <w:rPr>
          <w:rFonts w:ascii="Times New Roman" w:hAnsi="Times New Roman" w:cs="Times New Roman"/>
          <w:vertAlign w:val="subscript"/>
        </w:rPr>
        <w:t>6</w:t>
      </w:r>
      <w:r w:rsidR="006346BA" w:rsidRPr="00D37C9A">
        <w:rPr>
          <w:rFonts w:ascii="Times New Roman" w:hAnsi="Times New Roman" w:cs="Times New Roman"/>
        </w:rPr>
        <w:t xml:space="preserve"> </w:t>
      </w:r>
      <w:r w:rsidRPr="00D37C9A">
        <w:rPr>
          <w:rFonts w:ascii="Times New Roman" w:hAnsi="Times New Roman" w:cs="Times New Roman"/>
        </w:rPr>
        <w:t xml:space="preserve">= </w:t>
      </w:r>
      <w:r w:rsidR="006346BA" w:rsidRPr="00D37C9A">
        <w:rPr>
          <w:rFonts w:ascii="Times New Roman" w:hAnsi="Times New Roman" w:cs="Times New Roman"/>
        </w:rPr>
        <w:t xml:space="preserve">Long-run coefficient, </w:t>
      </w:r>
      <m:oMath>
        <m:r>
          <w:rPr>
            <w:rFonts w:ascii="Cambria Math" w:hAnsi="Cambria Math" w:cs="Times New Roman"/>
          </w:rPr>
          <m:t>φ</m:t>
        </m:r>
      </m:oMath>
      <w:r w:rsidRPr="00D37C9A">
        <w:rPr>
          <w:rFonts w:ascii="Times New Roman" w:hAnsi="Times New Roman" w:cs="Times New Roman"/>
          <w:vertAlign w:val="subscript"/>
        </w:rPr>
        <w:t>1-</w:t>
      </w:r>
      <m:oMath>
        <m:r>
          <w:rPr>
            <w:rFonts w:ascii="Cambria Math" w:hAnsi="Cambria Math" w:cs="Times New Roman"/>
          </w:rPr>
          <m:t>φ</m:t>
        </m:r>
      </m:oMath>
      <w:r w:rsidR="006346BA" w:rsidRPr="00D37C9A">
        <w:rPr>
          <w:rFonts w:ascii="Times New Roman" w:hAnsi="Times New Roman" w:cs="Times New Roman"/>
          <w:vertAlign w:val="subscript"/>
        </w:rPr>
        <w:t xml:space="preserve">6 </w:t>
      </w:r>
      <w:r w:rsidRPr="00D37C9A">
        <w:rPr>
          <w:rFonts w:ascii="Times New Roman" w:hAnsi="Times New Roman" w:cs="Times New Roman"/>
        </w:rPr>
        <w:t>= Short</w:t>
      </w:r>
      <w:r w:rsidR="006346BA" w:rsidRPr="00D37C9A">
        <w:rPr>
          <w:rFonts w:ascii="Times New Roman" w:hAnsi="Times New Roman" w:cs="Times New Roman"/>
        </w:rPr>
        <w:t xml:space="preserve">-run coefficient, </w:t>
      </w:r>
      <w:r w:rsidRPr="00D37C9A">
        <w:rPr>
          <w:rFonts w:ascii="Times New Roman" w:hAnsi="Times New Roman" w:cs="Times New Roman"/>
        </w:rPr>
        <w:t>In = Natural log</w:t>
      </w:r>
      <w:r w:rsidR="006346BA" w:rsidRPr="00D37C9A">
        <w:rPr>
          <w:rFonts w:ascii="Times New Roman" w:hAnsi="Times New Roman" w:cs="Times New Roman"/>
        </w:rPr>
        <w:t xml:space="preserve">, </w:t>
      </w:r>
      <w:r w:rsidRPr="00D37C9A">
        <w:rPr>
          <w:rFonts w:ascii="Times New Roman" w:eastAsia="Cambria Math" w:hAnsi="Times New Roman" w:cs="Times New Roman"/>
        </w:rPr>
        <w:t>∆</w:t>
      </w:r>
      <w:r w:rsidRPr="00D37C9A">
        <w:rPr>
          <w:rFonts w:ascii="Times New Roman" w:hAnsi="Times New Roman" w:cs="Times New Roman"/>
          <w:bCs/>
        </w:rPr>
        <w:t xml:space="preserve"> = Difference operator and indicates the optimum lag</w:t>
      </w:r>
      <w:r w:rsidR="006346BA" w:rsidRPr="00D37C9A">
        <w:rPr>
          <w:rFonts w:ascii="Times New Roman" w:hAnsi="Times New Roman" w:cs="Times New Roman"/>
          <w:bCs/>
        </w:rPr>
        <w:t xml:space="preserve">, </w:t>
      </w:r>
      <w:r w:rsidRPr="00D37C9A">
        <w:rPr>
          <w:rFonts w:ascii="Times New Roman" w:hAnsi="Times New Roman" w:cs="Times New Roman"/>
          <w:i/>
          <w:iCs/>
          <w:vertAlign w:val="subscript"/>
        </w:rPr>
        <w:t>t</w:t>
      </w:r>
      <w:r w:rsidRPr="00D37C9A">
        <w:rPr>
          <w:rFonts w:ascii="Times New Roman" w:hAnsi="Times New Roman" w:cs="Times New Roman"/>
        </w:rPr>
        <w:t xml:space="preserve"> = Time subscript</w:t>
      </w:r>
      <w:r w:rsidR="006346BA" w:rsidRPr="00D37C9A">
        <w:rPr>
          <w:rFonts w:ascii="Times New Roman" w:hAnsi="Times New Roman" w:cs="Times New Roman"/>
        </w:rPr>
        <w:t xml:space="preserve">, </w:t>
      </w:r>
      <w:r w:rsidRPr="00D37C9A">
        <w:rPr>
          <w:rFonts w:ascii="Times New Roman" w:hAnsi="Times New Roman" w:cs="Times New Roman"/>
        </w:rPr>
        <w:t>λ = Speed of adjustment which is expected to be below zero</w:t>
      </w:r>
      <w:r w:rsidR="006346BA" w:rsidRPr="00D37C9A">
        <w:rPr>
          <w:rFonts w:ascii="Times New Roman" w:hAnsi="Times New Roman" w:cs="Times New Roman"/>
        </w:rPr>
        <w:t xml:space="preserve">, </w:t>
      </w:r>
      <w:r w:rsidRPr="00D37C9A">
        <w:rPr>
          <w:rFonts w:ascii="Times New Roman" w:hAnsi="Times New Roman" w:cs="Times New Roman"/>
        </w:rPr>
        <w:t>μ</w:t>
      </w:r>
      <w:r w:rsidRPr="00D37C9A">
        <w:rPr>
          <w:rFonts w:ascii="Times New Roman" w:hAnsi="Times New Roman" w:cs="Times New Roman"/>
          <w:vertAlign w:val="subscript"/>
        </w:rPr>
        <w:t>t</w:t>
      </w:r>
      <w:r w:rsidRPr="00D37C9A">
        <w:rPr>
          <w:rFonts w:ascii="Times New Roman" w:hAnsi="Times New Roman" w:cs="Times New Roman"/>
        </w:rPr>
        <w:t xml:space="preserve"> = Error term</w:t>
      </w:r>
    </w:p>
    <w:p w14:paraId="31175D3E" w14:textId="77777777" w:rsidR="006952C7" w:rsidRPr="00D37C9A" w:rsidRDefault="006952C7" w:rsidP="00D37C9A">
      <w:pPr>
        <w:spacing w:after="0"/>
        <w:jc w:val="both"/>
        <w:rPr>
          <w:rFonts w:ascii="Times New Roman" w:hAnsi="Times New Roman" w:cs="Times New Roman"/>
          <w:b/>
        </w:rPr>
      </w:pPr>
    </w:p>
    <w:p w14:paraId="4CBE0EFB" w14:textId="56EB9773" w:rsidR="00FA2E45" w:rsidRPr="00D37C9A" w:rsidRDefault="00FA2E45" w:rsidP="00D37C9A">
      <w:pPr>
        <w:spacing w:after="0"/>
        <w:jc w:val="both"/>
        <w:rPr>
          <w:rFonts w:ascii="Times New Roman" w:hAnsi="Times New Roman" w:cs="Times New Roman"/>
          <w:b/>
        </w:rPr>
      </w:pPr>
      <w:r w:rsidRPr="00D37C9A">
        <w:rPr>
          <w:rFonts w:ascii="Times New Roman" w:hAnsi="Times New Roman" w:cs="Times New Roman"/>
          <w:b/>
        </w:rPr>
        <w:t>Data Analysis Techniques</w:t>
      </w:r>
    </w:p>
    <w:p w14:paraId="32519F28" w14:textId="2F2A793F" w:rsidR="00FA2E45" w:rsidRPr="00D37C9A" w:rsidRDefault="00FA2E45" w:rsidP="00D37C9A">
      <w:pPr>
        <w:jc w:val="both"/>
        <w:rPr>
          <w:rFonts w:ascii="Times New Roman" w:hAnsi="Times New Roman" w:cs="Times New Roman"/>
        </w:rPr>
      </w:pPr>
      <w:r w:rsidRPr="00D37C9A">
        <w:rPr>
          <w:rFonts w:ascii="Times New Roman" w:hAnsi="Times New Roman" w:cs="Times New Roman"/>
        </w:rPr>
        <w:t>To confirm that the estimated model is not spurious and to ascertain if generating a cointegrating regression is feasible, a unit root test</w:t>
      </w:r>
      <w:r w:rsidR="00E024F7" w:rsidRPr="00D37C9A">
        <w:rPr>
          <w:rFonts w:ascii="Times New Roman" w:hAnsi="Times New Roman" w:cs="Times New Roman"/>
        </w:rPr>
        <w:t xml:space="preserve"> using </w:t>
      </w:r>
      <w:r w:rsidR="00E024F7" w:rsidRPr="00D37C9A">
        <w:rPr>
          <w:rFonts w:ascii="Times New Roman" w:hAnsi="Times New Roman" w:cs="Times New Roman"/>
          <w:bCs/>
        </w:rPr>
        <w:t xml:space="preserve">Augmented Dickey-Fuller (ADF) </w:t>
      </w:r>
      <w:r w:rsidR="00027631" w:rsidRPr="00D37C9A">
        <w:rPr>
          <w:rFonts w:ascii="Times New Roman" w:hAnsi="Times New Roman" w:cs="Times New Roman"/>
          <w:bCs/>
        </w:rPr>
        <w:t>approach</w:t>
      </w:r>
      <w:r w:rsidRPr="00D37C9A">
        <w:rPr>
          <w:rFonts w:ascii="Times New Roman" w:hAnsi="Times New Roman" w:cs="Times New Roman"/>
        </w:rPr>
        <w:t xml:space="preserve"> and a </w:t>
      </w:r>
      <w:r w:rsidR="00E024F7" w:rsidRPr="00D37C9A">
        <w:rPr>
          <w:rFonts w:ascii="Times New Roman" w:hAnsi="Times New Roman" w:cs="Times New Roman"/>
        </w:rPr>
        <w:t xml:space="preserve">bound </w:t>
      </w:r>
      <w:r w:rsidRPr="00D37C9A">
        <w:rPr>
          <w:rFonts w:ascii="Times New Roman" w:hAnsi="Times New Roman" w:cs="Times New Roman"/>
        </w:rPr>
        <w:t xml:space="preserve">cointegration test were performed. Because there were both I(0) and I(1) series among the variables, the research utilised the </w:t>
      </w:r>
      <w:r w:rsidR="00E024F7" w:rsidRPr="00D37C9A">
        <w:rPr>
          <w:rFonts w:ascii="Times New Roman" w:hAnsi="Times New Roman" w:cs="Times New Roman"/>
        </w:rPr>
        <w:t xml:space="preserve">autoregressive distributed lag (ARDL) </w:t>
      </w:r>
      <w:r w:rsidRPr="00D37C9A">
        <w:rPr>
          <w:rFonts w:ascii="Times New Roman" w:hAnsi="Times New Roman" w:cs="Times New Roman"/>
        </w:rPr>
        <w:t>approach of Pesaran, Shin, and Smith (2001) for model estimation.</w:t>
      </w:r>
    </w:p>
    <w:p w14:paraId="607F5CCE" w14:textId="5FA84BD7" w:rsidR="00FA2E45" w:rsidRPr="00D37C9A" w:rsidRDefault="006952C7" w:rsidP="00D37C9A">
      <w:pPr>
        <w:pStyle w:val="ListParagraph"/>
        <w:numPr>
          <w:ilvl w:val="0"/>
          <w:numId w:val="14"/>
        </w:numPr>
        <w:spacing w:after="0"/>
        <w:rPr>
          <w:rFonts w:ascii="Times New Roman" w:hAnsi="Times New Roman" w:cs="Times New Roman"/>
          <w:b/>
        </w:rPr>
      </w:pPr>
      <w:r w:rsidRPr="00D37C9A">
        <w:rPr>
          <w:rFonts w:ascii="Times New Roman" w:hAnsi="Times New Roman" w:cs="Times New Roman"/>
          <w:b/>
        </w:rPr>
        <w:tab/>
      </w:r>
      <w:r w:rsidR="00B81894" w:rsidRPr="00D37C9A">
        <w:rPr>
          <w:rFonts w:ascii="Times New Roman" w:hAnsi="Times New Roman" w:cs="Times New Roman"/>
          <w:b/>
        </w:rPr>
        <w:t>Results and Discussion</w:t>
      </w:r>
    </w:p>
    <w:p w14:paraId="111824FA" w14:textId="44D32E2C" w:rsidR="00FA2E45" w:rsidRPr="00D37C9A" w:rsidRDefault="00FA2E45" w:rsidP="00D37C9A">
      <w:pPr>
        <w:spacing w:after="0"/>
        <w:rPr>
          <w:rFonts w:ascii="Times New Roman" w:hAnsi="Times New Roman" w:cs="Times New Roman"/>
          <w:b/>
        </w:rPr>
      </w:pPr>
      <w:r w:rsidRPr="00D37C9A">
        <w:rPr>
          <w:rFonts w:ascii="Times New Roman" w:hAnsi="Times New Roman" w:cs="Times New Roman"/>
          <w:b/>
        </w:rPr>
        <w:t>Results</w:t>
      </w:r>
    </w:p>
    <w:p w14:paraId="664F5200" w14:textId="749F1A55" w:rsidR="00FA2E45" w:rsidRPr="00D37C9A" w:rsidRDefault="00FA2E45" w:rsidP="00D37C9A">
      <w:pPr>
        <w:spacing w:after="0"/>
        <w:jc w:val="both"/>
        <w:rPr>
          <w:rFonts w:ascii="Times New Roman" w:hAnsi="Times New Roman" w:cs="Times New Roman"/>
          <w:b/>
        </w:rPr>
      </w:pPr>
      <w:r w:rsidRPr="00D37C9A">
        <w:rPr>
          <w:rFonts w:ascii="Times New Roman" w:hAnsi="Times New Roman" w:cs="Times New Roman"/>
          <w:b/>
        </w:rPr>
        <w:t xml:space="preserve">Descriptive Statistics </w:t>
      </w:r>
    </w:p>
    <w:p w14:paraId="0C09B946" w14:textId="430FBC02" w:rsidR="00FA2E45" w:rsidRPr="00D37C9A" w:rsidRDefault="006952C7" w:rsidP="00D37C9A">
      <w:pPr>
        <w:spacing w:after="0"/>
        <w:jc w:val="both"/>
        <w:rPr>
          <w:rFonts w:ascii="Times New Roman" w:hAnsi="Times New Roman" w:cs="Times New Roman"/>
        </w:rPr>
      </w:pPr>
      <w:r w:rsidRPr="00D37C9A">
        <w:rPr>
          <w:rFonts w:ascii="Times New Roman" w:hAnsi="Times New Roman" w:cs="Times New Roman"/>
        </w:rPr>
        <w:t>T</w:t>
      </w:r>
      <w:r w:rsidR="00FA2E45" w:rsidRPr="00D37C9A">
        <w:rPr>
          <w:rFonts w:ascii="Times New Roman" w:hAnsi="Times New Roman" w:cs="Times New Roman"/>
        </w:rPr>
        <w:t>he descriptive statistics for all the variables of this study are stated below:</w:t>
      </w:r>
    </w:p>
    <w:p w14:paraId="0A6F386A" w14:textId="78E656B0" w:rsidR="00FA2E45" w:rsidRPr="00D37C9A" w:rsidRDefault="00FA2E45" w:rsidP="00D37C9A">
      <w:pPr>
        <w:spacing w:after="0"/>
        <w:jc w:val="both"/>
        <w:rPr>
          <w:rFonts w:ascii="Times New Roman" w:hAnsi="Times New Roman" w:cs="Times New Roman"/>
          <w:b/>
        </w:rPr>
      </w:pPr>
      <w:r w:rsidRPr="00D37C9A">
        <w:rPr>
          <w:rFonts w:ascii="Times New Roman" w:hAnsi="Times New Roman" w:cs="Times New Roman"/>
          <w:b/>
        </w:rPr>
        <w:t xml:space="preserve">Table 1: Descriptive Statistics </w:t>
      </w:r>
    </w:p>
    <w:tbl>
      <w:tblPr>
        <w:tblW w:w="8880" w:type="dxa"/>
        <w:tblInd w:w="30" w:type="dxa"/>
        <w:tblBorders>
          <w:bottom w:val="single" w:sz="4" w:space="0" w:color="auto"/>
        </w:tblBorders>
        <w:tblLayout w:type="fixed"/>
        <w:tblCellMar>
          <w:left w:w="0" w:type="dxa"/>
          <w:right w:w="0" w:type="dxa"/>
        </w:tblCellMar>
        <w:tblLook w:val="0000" w:firstRow="0" w:lastRow="0" w:firstColumn="0" w:lastColumn="0" w:noHBand="0" w:noVBand="0"/>
      </w:tblPr>
      <w:tblGrid>
        <w:gridCol w:w="1492"/>
        <w:gridCol w:w="1088"/>
        <w:gridCol w:w="1170"/>
        <w:gridCol w:w="1260"/>
        <w:gridCol w:w="1350"/>
        <w:gridCol w:w="1170"/>
        <w:gridCol w:w="1350"/>
      </w:tblGrid>
      <w:tr w:rsidR="00D24E71" w:rsidRPr="00D37C9A" w14:paraId="472E44F6" w14:textId="77777777" w:rsidTr="006952C7">
        <w:trPr>
          <w:trHeight w:val="225"/>
        </w:trPr>
        <w:tc>
          <w:tcPr>
            <w:tcW w:w="1492" w:type="dxa"/>
            <w:tcBorders>
              <w:top w:val="single" w:sz="4" w:space="0" w:color="auto"/>
              <w:bottom w:val="single" w:sz="4" w:space="0" w:color="auto"/>
            </w:tcBorders>
            <w:vAlign w:val="bottom"/>
          </w:tcPr>
          <w:p w14:paraId="67D400DD" w14:textId="77777777" w:rsidR="006952C7" w:rsidRPr="00D37C9A" w:rsidRDefault="006952C7" w:rsidP="00D37C9A">
            <w:pPr>
              <w:autoSpaceDE w:val="0"/>
              <w:autoSpaceDN w:val="0"/>
              <w:adjustRightInd w:val="0"/>
              <w:spacing w:after="0"/>
              <w:jc w:val="center"/>
              <w:rPr>
                <w:rFonts w:ascii="Times New Roman" w:hAnsi="Times New Roman" w:cs="Times New Roman"/>
                <w:b/>
              </w:rPr>
            </w:pPr>
          </w:p>
        </w:tc>
        <w:tc>
          <w:tcPr>
            <w:tcW w:w="1088" w:type="dxa"/>
            <w:tcBorders>
              <w:top w:val="single" w:sz="4" w:space="0" w:color="auto"/>
              <w:bottom w:val="single" w:sz="4" w:space="0" w:color="auto"/>
            </w:tcBorders>
            <w:vAlign w:val="bottom"/>
          </w:tcPr>
          <w:p w14:paraId="4B320DA1"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POR</w:t>
            </w:r>
          </w:p>
        </w:tc>
        <w:tc>
          <w:tcPr>
            <w:tcW w:w="1170" w:type="dxa"/>
            <w:tcBorders>
              <w:top w:val="single" w:sz="4" w:space="0" w:color="auto"/>
              <w:bottom w:val="single" w:sz="4" w:space="0" w:color="auto"/>
            </w:tcBorders>
            <w:vAlign w:val="bottom"/>
          </w:tcPr>
          <w:p w14:paraId="2510B49F"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AGO</w:t>
            </w:r>
          </w:p>
        </w:tc>
        <w:tc>
          <w:tcPr>
            <w:tcW w:w="1260" w:type="dxa"/>
            <w:tcBorders>
              <w:top w:val="single" w:sz="4" w:space="0" w:color="auto"/>
              <w:bottom w:val="single" w:sz="4" w:space="0" w:color="auto"/>
            </w:tcBorders>
            <w:vAlign w:val="bottom"/>
          </w:tcPr>
          <w:p w14:paraId="0CEDFE6C"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PMS</w:t>
            </w:r>
          </w:p>
        </w:tc>
        <w:tc>
          <w:tcPr>
            <w:tcW w:w="1350" w:type="dxa"/>
            <w:tcBorders>
              <w:top w:val="single" w:sz="4" w:space="0" w:color="auto"/>
              <w:bottom w:val="single" w:sz="4" w:space="0" w:color="auto"/>
            </w:tcBorders>
            <w:vAlign w:val="bottom"/>
          </w:tcPr>
          <w:p w14:paraId="214633BA"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SEC</w:t>
            </w:r>
          </w:p>
        </w:tc>
        <w:tc>
          <w:tcPr>
            <w:tcW w:w="1170" w:type="dxa"/>
            <w:tcBorders>
              <w:top w:val="single" w:sz="4" w:space="0" w:color="auto"/>
              <w:bottom w:val="single" w:sz="4" w:space="0" w:color="auto"/>
            </w:tcBorders>
            <w:vAlign w:val="bottom"/>
          </w:tcPr>
          <w:p w14:paraId="1D3B2CC8"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HPC</w:t>
            </w:r>
          </w:p>
        </w:tc>
        <w:tc>
          <w:tcPr>
            <w:tcW w:w="1350" w:type="dxa"/>
            <w:tcBorders>
              <w:top w:val="single" w:sz="4" w:space="0" w:color="auto"/>
              <w:bottom w:val="single" w:sz="4" w:space="0" w:color="auto"/>
            </w:tcBorders>
            <w:vAlign w:val="bottom"/>
          </w:tcPr>
          <w:p w14:paraId="0231AFB4"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NGC</w:t>
            </w:r>
          </w:p>
        </w:tc>
      </w:tr>
      <w:tr w:rsidR="00D24E71" w:rsidRPr="00D37C9A" w14:paraId="02DAE3AB" w14:textId="77777777" w:rsidTr="006952C7">
        <w:trPr>
          <w:trHeight w:val="225"/>
        </w:trPr>
        <w:tc>
          <w:tcPr>
            <w:tcW w:w="1492" w:type="dxa"/>
            <w:tcBorders>
              <w:top w:val="single" w:sz="4" w:space="0" w:color="auto"/>
            </w:tcBorders>
            <w:vAlign w:val="bottom"/>
          </w:tcPr>
          <w:p w14:paraId="55187087" w14:textId="77777777" w:rsidR="006952C7" w:rsidRPr="00D37C9A" w:rsidRDefault="006952C7"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rPr>
              <w:t> Mean</w:t>
            </w:r>
          </w:p>
        </w:tc>
        <w:tc>
          <w:tcPr>
            <w:tcW w:w="1088" w:type="dxa"/>
            <w:tcBorders>
              <w:top w:val="single" w:sz="4" w:space="0" w:color="auto"/>
            </w:tcBorders>
            <w:vAlign w:val="bottom"/>
          </w:tcPr>
          <w:p w14:paraId="25A1CFC0"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54.50294</w:t>
            </w:r>
          </w:p>
        </w:tc>
        <w:tc>
          <w:tcPr>
            <w:tcW w:w="1170" w:type="dxa"/>
            <w:tcBorders>
              <w:top w:val="single" w:sz="4" w:space="0" w:color="auto"/>
            </w:tcBorders>
            <w:vAlign w:val="bottom"/>
          </w:tcPr>
          <w:p w14:paraId="14B2F678"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4910.206</w:t>
            </w:r>
          </w:p>
        </w:tc>
        <w:tc>
          <w:tcPr>
            <w:tcW w:w="1260" w:type="dxa"/>
            <w:tcBorders>
              <w:top w:val="single" w:sz="4" w:space="0" w:color="auto"/>
            </w:tcBorders>
            <w:vAlign w:val="bottom"/>
          </w:tcPr>
          <w:p w14:paraId="30A6116B"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9636.853</w:t>
            </w:r>
          </w:p>
        </w:tc>
        <w:tc>
          <w:tcPr>
            <w:tcW w:w="1350" w:type="dxa"/>
            <w:tcBorders>
              <w:top w:val="single" w:sz="4" w:space="0" w:color="auto"/>
            </w:tcBorders>
            <w:vAlign w:val="bottom"/>
          </w:tcPr>
          <w:p w14:paraId="6DF6F5B5"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81.19265</w:t>
            </w:r>
          </w:p>
        </w:tc>
        <w:tc>
          <w:tcPr>
            <w:tcW w:w="1170" w:type="dxa"/>
            <w:tcBorders>
              <w:top w:val="single" w:sz="4" w:space="0" w:color="auto"/>
            </w:tcBorders>
            <w:vAlign w:val="bottom"/>
          </w:tcPr>
          <w:p w14:paraId="363D17AB"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6338.824</w:t>
            </w:r>
          </w:p>
        </w:tc>
        <w:tc>
          <w:tcPr>
            <w:tcW w:w="1350" w:type="dxa"/>
            <w:tcBorders>
              <w:top w:val="single" w:sz="4" w:space="0" w:color="auto"/>
            </w:tcBorders>
            <w:vAlign w:val="bottom"/>
          </w:tcPr>
          <w:p w14:paraId="60C1B8C9"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194080.7</w:t>
            </w:r>
          </w:p>
        </w:tc>
      </w:tr>
      <w:tr w:rsidR="00D24E71" w:rsidRPr="00D37C9A" w14:paraId="5BD0DAD8" w14:textId="77777777" w:rsidTr="006952C7">
        <w:trPr>
          <w:trHeight w:val="225"/>
        </w:trPr>
        <w:tc>
          <w:tcPr>
            <w:tcW w:w="1492" w:type="dxa"/>
            <w:vAlign w:val="bottom"/>
          </w:tcPr>
          <w:p w14:paraId="225CD923" w14:textId="77777777" w:rsidR="006952C7" w:rsidRPr="00D37C9A" w:rsidRDefault="006952C7"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rPr>
              <w:t> Median</w:t>
            </w:r>
          </w:p>
        </w:tc>
        <w:tc>
          <w:tcPr>
            <w:tcW w:w="1088" w:type="dxa"/>
            <w:vAlign w:val="bottom"/>
          </w:tcPr>
          <w:p w14:paraId="5F02C82A"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54.80000</w:t>
            </w:r>
          </w:p>
        </w:tc>
        <w:tc>
          <w:tcPr>
            <w:tcW w:w="1170" w:type="dxa"/>
            <w:vAlign w:val="bottom"/>
          </w:tcPr>
          <w:p w14:paraId="2BA6F839"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3763.500</w:t>
            </w:r>
          </w:p>
        </w:tc>
        <w:tc>
          <w:tcPr>
            <w:tcW w:w="1260" w:type="dxa"/>
            <w:vAlign w:val="bottom"/>
          </w:tcPr>
          <w:p w14:paraId="3F8D76A1"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9176.500</w:t>
            </w:r>
          </w:p>
        </w:tc>
        <w:tc>
          <w:tcPr>
            <w:tcW w:w="1350" w:type="dxa"/>
            <w:vAlign w:val="bottom"/>
          </w:tcPr>
          <w:p w14:paraId="310CC2C0"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2.250000</w:t>
            </w:r>
          </w:p>
        </w:tc>
        <w:tc>
          <w:tcPr>
            <w:tcW w:w="1170" w:type="dxa"/>
            <w:vAlign w:val="bottom"/>
          </w:tcPr>
          <w:p w14:paraId="5198056F"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5995.000</w:t>
            </w:r>
          </w:p>
        </w:tc>
        <w:tc>
          <w:tcPr>
            <w:tcW w:w="1350" w:type="dxa"/>
            <w:vAlign w:val="bottom"/>
          </w:tcPr>
          <w:p w14:paraId="50154A51"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141580.3</w:t>
            </w:r>
          </w:p>
        </w:tc>
      </w:tr>
      <w:tr w:rsidR="00D24E71" w:rsidRPr="00D37C9A" w14:paraId="15D07F77" w14:textId="77777777" w:rsidTr="006952C7">
        <w:trPr>
          <w:trHeight w:val="225"/>
        </w:trPr>
        <w:tc>
          <w:tcPr>
            <w:tcW w:w="1492" w:type="dxa"/>
            <w:vAlign w:val="bottom"/>
          </w:tcPr>
          <w:p w14:paraId="76686D01" w14:textId="77777777" w:rsidR="006952C7" w:rsidRPr="00D37C9A" w:rsidRDefault="006952C7"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rPr>
              <w:t> Maximum</w:t>
            </w:r>
          </w:p>
        </w:tc>
        <w:tc>
          <w:tcPr>
            <w:tcW w:w="1088" w:type="dxa"/>
            <w:vAlign w:val="bottom"/>
          </w:tcPr>
          <w:p w14:paraId="1F2AA5B8"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66.90000</w:t>
            </w:r>
          </w:p>
        </w:tc>
        <w:tc>
          <w:tcPr>
            <w:tcW w:w="1170" w:type="dxa"/>
            <w:vAlign w:val="bottom"/>
          </w:tcPr>
          <w:p w14:paraId="03230E30"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13920.00</w:t>
            </w:r>
          </w:p>
        </w:tc>
        <w:tc>
          <w:tcPr>
            <w:tcW w:w="1260" w:type="dxa"/>
            <w:vAlign w:val="bottom"/>
          </w:tcPr>
          <w:p w14:paraId="72E3FF42"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18044.00</w:t>
            </w:r>
          </w:p>
        </w:tc>
        <w:tc>
          <w:tcPr>
            <w:tcW w:w="1350" w:type="dxa"/>
            <w:vAlign w:val="bottom"/>
          </w:tcPr>
          <w:p w14:paraId="2FC46D2F"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816.0000</w:t>
            </w:r>
          </w:p>
        </w:tc>
        <w:tc>
          <w:tcPr>
            <w:tcW w:w="1170" w:type="dxa"/>
            <w:vAlign w:val="bottom"/>
          </w:tcPr>
          <w:p w14:paraId="1D9D6557"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8349.000</w:t>
            </w:r>
          </w:p>
        </w:tc>
        <w:tc>
          <w:tcPr>
            <w:tcW w:w="1350" w:type="dxa"/>
            <w:vAlign w:val="bottom"/>
          </w:tcPr>
          <w:p w14:paraId="3A457619"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455258.3</w:t>
            </w:r>
          </w:p>
        </w:tc>
      </w:tr>
      <w:tr w:rsidR="00D24E71" w:rsidRPr="00D37C9A" w14:paraId="679E5442" w14:textId="77777777" w:rsidTr="006952C7">
        <w:trPr>
          <w:trHeight w:val="225"/>
        </w:trPr>
        <w:tc>
          <w:tcPr>
            <w:tcW w:w="1492" w:type="dxa"/>
            <w:vAlign w:val="bottom"/>
          </w:tcPr>
          <w:p w14:paraId="7AB6BEA9" w14:textId="77777777" w:rsidR="006952C7" w:rsidRPr="00D37C9A" w:rsidRDefault="006952C7"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rPr>
              <w:t> Minimum</w:t>
            </w:r>
          </w:p>
        </w:tc>
        <w:tc>
          <w:tcPr>
            <w:tcW w:w="1088" w:type="dxa"/>
            <w:vAlign w:val="bottom"/>
          </w:tcPr>
          <w:p w14:paraId="4FBD4FB5"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38.90000</w:t>
            </w:r>
          </w:p>
        </w:tc>
        <w:tc>
          <w:tcPr>
            <w:tcW w:w="1170" w:type="dxa"/>
            <w:vAlign w:val="bottom"/>
          </w:tcPr>
          <w:p w14:paraId="3681214F"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1137.000</w:t>
            </w:r>
          </w:p>
        </w:tc>
        <w:tc>
          <w:tcPr>
            <w:tcW w:w="1260" w:type="dxa"/>
            <w:vAlign w:val="bottom"/>
          </w:tcPr>
          <w:p w14:paraId="12E792B8"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4640.000</w:t>
            </w:r>
          </w:p>
        </w:tc>
        <w:tc>
          <w:tcPr>
            <w:tcW w:w="1350" w:type="dxa"/>
            <w:vAlign w:val="bottom"/>
          </w:tcPr>
          <w:p w14:paraId="58F4471A"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0.020000</w:t>
            </w:r>
          </w:p>
        </w:tc>
        <w:tc>
          <w:tcPr>
            <w:tcW w:w="1170" w:type="dxa"/>
            <w:vAlign w:val="bottom"/>
          </w:tcPr>
          <w:p w14:paraId="2E589B5F"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4387.000</w:t>
            </w:r>
          </w:p>
        </w:tc>
        <w:tc>
          <w:tcPr>
            <w:tcW w:w="1350" w:type="dxa"/>
            <w:vAlign w:val="bottom"/>
          </w:tcPr>
          <w:p w14:paraId="184D46B5"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45025.50</w:t>
            </w:r>
          </w:p>
        </w:tc>
      </w:tr>
      <w:tr w:rsidR="00D24E71" w:rsidRPr="00D37C9A" w14:paraId="2DFD173D" w14:textId="77777777" w:rsidTr="006952C7">
        <w:trPr>
          <w:trHeight w:val="225"/>
        </w:trPr>
        <w:tc>
          <w:tcPr>
            <w:tcW w:w="1492" w:type="dxa"/>
            <w:vAlign w:val="bottom"/>
          </w:tcPr>
          <w:p w14:paraId="40136542" w14:textId="77777777" w:rsidR="006952C7" w:rsidRPr="00D37C9A" w:rsidRDefault="006952C7"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rPr>
              <w:t> Std. Dev.</w:t>
            </w:r>
          </w:p>
        </w:tc>
        <w:tc>
          <w:tcPr>
            <w:tcW w:w="1088" w:type="dxa"/>
            <w:vAlign w:val="bottom"/>
          </w:tcPr>
          <w:p w14:paraId="4320636D"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7.002142</w:t>
            </w:r>
          </w:p>
        </w:tc>
        <w:tc>
          <w:tcPr>
            <w:tcW w:w="1170" w:type="dxa"/>
            <w:vAlign w:val="bottom"/>
          </w:tcPr>
          <w:p w14:paraId="453BFC97"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3636.787</w:t>
            </w:r>
          </w:p>
        </w:tc>
        <w:tc>
          <w:tcPr>
            <w:tcW w:w="1260" w:type="dxa"/>
            <w:vAlign w:val="bottom"/>
          </w:tcPr>
          <w:p w14:paraId="29560EDD"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3814.660</w:t>
            </w:r>
          </w:p>
        </w:tc>
        <w:tc>
          <w:tcPr>
            <w:tcW w:w="1350" w:type="dxa"/>
            <w:vAlign w:val="bottom"/>
          </w:tcPr>
          <w:p w14:paraId="6584FE3D"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191.3077</w:t>
            </w:r>
          </w:p>
        </w:tc>
        <w:tc>
          <w:tcPr>
            <w:tcW w:w="1170" w:type="dxa"/>
            <w:vAlign w:val="bottom"/>
          </w:tcPr>
          <w:p w14:paraId="3A1A4EB7"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1066.157</w:t>
            </w:r>
          </w:p>
        </w:tc>
        <w:tc>
          <w:tcPr>
            <w:tcW w:w="1350" w:type="dxa"/>
            <w:vAlign w:val="bottom"/>
          </w:tcPr>
          <w:p w14:paraId="1E4A932E"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131464.9</w:t>
            </w:r>
          </w:p>
        </w:tc>
      </w:tr>
      <w:tr w:rsidR="00D24E71" w:rsidRPr="00D37C9A" w14:paraId="5BD6D3B8" w14:textId="77777777" w:rsidTr="006952C7">
        <w:trPr>
          <w:trHeight w:val="225"/>
        </w:trPr>
        <w:tc>
          <w:tcPr>
            <w:tcW w:w="1492" w:type="dxa"/>
            <w:vAlign w:val="bottom"/>
          </w:tcPr>
          <w:p w14:paraId="61715C98" w14:textId="77777777" w:rsidR="006952C7" w:rsidRPr="00D37C9A" w:rsidRDefault="006952C7"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rPr>
              <w:t> Skewness</w:t>
            </w:r>
          </w:p>
        </w:tc>
        <w:tc>
          <w:tcPr>
            <w:tcW w:w="1088" w:type="dxa"/>
            <w:vAlign w:val="bottom"/>
          </w:tcPr>
          <w:p w14:paraId="54FA2077"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-0.506903</w:t>
            </w:r>
          </w:p>
        </w:tc>
        <w:tc>
          <w:tcPr>
            <w:tcW w:w="1170" w:type="dxa"/>
            <w:vAlign w:val="bottom"/>
          </w:tcPr>
          <w:p w14:paraId="443B0255"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0.884877</w:t>
            </w:r>
          </w:p>
        </w:tc>
        <w:tc>
          <w:tcPr>
            <w:tcW w:w="1260" w:type="dxa"/>
            <w:vAlign w:val="bottom"/>
          </w:tcPr>
          <w:p w14:paraId="26D55969"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0.454568</w:t>
            </w:r>
          </w:p>
        </w:tc>
        <w:tc>
          <w:tcPr>
            <w:tcW w:w="1350" w:type="dxa"/>
            <w:vAlign w:val="bottom"/>
          </w:tcPr>
          <w:p w14:paraId="61D3E583"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2.683237</w:t>
            </w:r>
          </w:p>
        </w:tc>
        <w:tc>
          <w:tcPr>
            <w:tcW w:w="1170" w:type="dxa"/>
            <w:vAlign w:val="bottom"/>
          </w:tcPr>
          <w:p w14:paraId="1918C0AA"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0.452437</w:t>
            </w:r>
          </w:p>
        </w:tc>
        <w:tc>
          <w:tcPr>
            <w:tcW w:w="1350" w:type="dxa"/>
            <w:vAlign w:val="bottom"/>
          </w:tcPr>
          <w:p w14:paraId="65A3E6B6"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0.596928</w:t>
            </w:r>
          </w:p>
        </w:tc>
      </w:tr>
      <w:tr w:rsidR="00D24E71" w:rsidRPr="00D37C9A" w14:paraId="143C4CEA" w14:textId="77777777" w:rsidTr="006952C7">
        <w:trPr>
          <w:trHeight w:val="225"/>
        </w:trPr>
        <w:tc>
          <w:tcPr>
            <w:tcW w:w="1492" w:type="dxa"/>
            <w:vAlign w:val="bottom"/>
          </w:tcPr>
          <w:p w14:paraId="5B85207F" w14:textId="77777777" w:rsidR="006952C7" w:rsidRPr="00D37C9A" w:rsidRDefault="006952C7"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rPr>
              <w:t> Kurtosis</w:t>
            </w:r>
          </w:p>
        </w:tc>
        <w:tc>
          <w:tcPr>
            <w:tcW w:w="1088" w:type="dxa"/>
            <w:vAlign w:val="bottom"/>
          </w:tcPr>
          <w:p w14:paraId="1D3C7C22"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3.142225</w:t>
            </w:r>
          </w:p>
        </w:tc>
        <w:tc>
          <w:tcPr>
            <w:tcW w:w="1170" w:type="dxa"/>
            <w:vAlign w:val="bottom"/>
          </w:tcPr>
          <w:p w14:paraId="385DE8B1"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2.769386</w:t>
            </w:r>
          </w:p>
        </w:tc>
        <w:tc>
          <w:tcPr>
            <w:tcW w:w="1260" w:type="dxa"/>
            <w:vAlign w:val="bottom"/>
          </w:tcPr>
          <w:p w14:paraId="05B4A5AC"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2.225742</w:t>
            </w:r>
          </w:p>
        </w:tc>
        <w:tc>
          <w:tcPr>
            <w:tcW w:w="1350" w:type="dxa"/>
            <w:vAlign w:val="bottom"/>
          </w:tcPr>
          <w:p w14:paraId="7E446304"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9.346562</w:t>
            </w:r>
          </w:p>
        </w:tc>
        <w:tc>
          <w:tcPr>
            <w:tcW w:w="1170" w:type="dxa"/>
            <w:vAlign w:val="bottom"/>
          </w:tcPr>
          <w:p w14:paraId="20977EC0"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2.290589</w:t>
            </w:r>
          </w:p>
        </w:tc>
        <w:tc>
          <w:tcPr>
            <w:tcW w:w="1350" w:type="dxa"/>
            <w:vAlign w:val="bottom"/>
          </w:tcPr>
          <w:p w14:paraId="6EE64D9C"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1.892766</w:t>
            </w:r>
          </w:p>
        </w:tc>
      </w:tr>
      <w:tr w:rsidR="00D24E71" w:rsidRPr="00D37C9A" w14:paraId="007BA09E" w14:textId="77777777" w:rsidTr="006952C7">
        <w:trPr>
          <w:trHeight w:val="225"/>
        </w:trPr>
        <w:tc>
          <w:tcPr>
            <w:tcW w:w="1492" w:type="dxa"/>
            <w:vAlign w:val="bottom"/>
          </w:tcPr>
          <w:p w14:paraId="685F6E91" w14:textId="77777777" w:rsidR="006952C7" w:rsidRPr="00D37C9A" w:rsidRDefault="006952C7"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rPr>
              <w:t> Jarque-Bera</w:t>
            </w:r>
          </w:p>
        </w:tc>
        <w:tc>
          <w:tcPr>
            <w:tcW w:w="1088" w:type="dxa"/>
            <w:vAlign w:val="bottom"/>
          </w:tcPr>
          <w:p w14:paraId="3021AE68"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1.484711</w:t>
            </w:r>
          </w:p>
        </w:tc>
        <w:tc>
          <w:tcPr>
            <w:tcW w:w="1170" w:type="dxa"/>
            <w:vAlign w:val="bottom"/>
          </w:tcPr>
          <w:p w14:paraId="25A9E425"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4.512382</w:t>
            </w:r>
          </w:p>
        </w:tc>
        <w:tc>
          <w:tcPr>
            <w:tcW w:w="1260" w:type="dxa"/>
            <w:vAlign w:val="bottom"/>
          </w:tcPr>
          <w:p w14:paraId="01A2214F"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2.020175</w:t>
            </w:r>
          </w:p>
        </w:tc>
        <w:tc>
          <w:tcPr>
            <w:tcW w:w="1350" w:type="dxa"/>
            <w:vAlign w:val="bottom"/>
          </w:tcPr>
          <w:p w14:paraId="43E47A36"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97.86033</w:t>
            </w:r>
          </w:p>
        </w:tc>
        <w:tc>
          <w:tcPr>
            <w:tcW w:w="1170" w:type="dxa"/>
            <w:vAlign w:val="bottom"/>
          </w:tcPr>
          <w:p w14:paraId="2F315165"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1.872922</w:t>
            </w:r>
          </w:p>
        </w:tc>
        <w:tc>
          <w:tcPr>
            <w:tcW w:w="1350" w:type="dxa"/>
            <w:vAlign w:val="bottom"/>
          </w:tcPr>
          <w:p w14:paraId="120C6497"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3.755950</w:t>
            </w:r>
          </w:p>
        </w:tc>
      </w:tr>
      <w:tr w:rsidR="00D24E71" w:rsidRPr="00D37C9A" w14:paraId="428E1260" w14:textId="77777777" w:rsidTr="006952C7">
        <w:trPr>
          <w:trHeight w:val="225"/>
        </w:trPr>
        <w:tc>
          <w:tcPr>
            <w:tcW w:w="1492" w:type="dxa"/>
            <w:vAlign w:val="bottom"/>
          </w:tcPr>
          <w:p w14:paraId="21CD83E0" w14:textId="77777777" w:rsidR="006952C7" w:rsidRPr="00D37C9A" w:rsidRDefault="006952C7"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rPr>
              <w:t> Probability</w:t>
            </w:r>
          </w:p>
        </w:tc>
        <w:tc>
          <w:tcPr>
            <w:tcW w:w="1088" w:type="dxa"/>
            <w:vAlign w:val="bottom"/>
          </w:tcPr>
          <w:p w14:paraId="6448DDE0"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0.475991</w:t>
            </w:r>
          </w:p>
        </w:tc>
        <w:tc>
          <w:tcPr>
            <w:tcW w:w="1170" w:type="dxa"/>
            <w:vAlign w:val="bottom"/>
          </w:tcPr>
          <w:p w14:paraId="4A258445"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0.104749</w:t>
            </w:r>
          </w:p>
        </w:tc>
        <w:tc>
          <w:tcPr>
            <w:tcW w:w="1260" w:type="dxa"/>
            <w:vAlign w:val="bottom"/>
          </w:tcPr>
          <w:p w14:paraId="1C503A7D"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0.364187</w:t>
            </w:r>
          </w:p>
        </w:tc>
        <w:tc>
          <w:tcPr>
            <w:tcW w:w="1350" w:type="dxa"/>
            <w:vAlign w:val="bottom"/>
          </w:tcPr>
          <w:p w14:paraId="4CE084B5"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0.000000</w:t>
            </w:r>
          </w:p>
        </w:tc>
        <w:tc>
          <w:tcPr>
            <w:tcW w:w="1170" w:type="dxa"/>
            <w:vAlign w:val="bottom"/>
          </w:tcPr>
          <w:p w14:paraId="5C4FEF8A"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0.392013</w:t>
            </w:r>
          </w:p>
        </w:tc>
        <w:tc>
          <w:tcPr>
            <w:tcW w:w="1350" w:type="dxa"/>
            <w:vAlign w:val="bottom"/>
          </w:tcPr>
          <w:p w14:paraId="01A56E88"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0.152899</w:t>
            </w:r>
          </w:p>
        </w:tc>
      </w:tr>
      <w:tr w:rsidR="00D24E71" w:rsidRPr="00D37C9A" w14:paraId="55600DCD" w14:textId="77777777" w:rsidTr="006952C7">
        <w:trPr>
          <w:trHeight w:val="225"/>
        </w:trPr>
        <w:tc>
          <w:tcPr>
            <w:tcW w:w="1492" w:type="dxa"/>
            <w:vAlign w:val="bottom"/>
          </w:tcPr>
          <w:p w14:paraId="5F63C4D7" w14:textId="77777777" w:rsidR="006952C7" w:rsidRPr="00D37C9A" w:rsidRDefault="006952C7"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rPr>
              <w:t> Sum</w:t>
            </w:r>
          </w:p>
        </w:tc>
        <w:tc>
          <w:tcPr>
            <w:tcW w:w="1088" w:type="dxa"/>
            <w:vAlign w:val="bottom"/>
          </w:tcPr>
          <w:p w14:paraId="11835ADA"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1853.100</w:t>
            </w:r>
          </w:p>
        </w:tc>
        <w:tc>
          <w:tcPr>
            <w:tcW w:w="1170" w:type="dxa"/>
            <w:vAlign w:val="bottom"/>
          </w:tcPr>
          <w:p w14:paraId="18D58961"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166947.0</w:t>
            </w:r>
          </w:p>
        </w:tc>
        <w:tc>
          <w:tcPr>
            <w:tcW w:w="1260" w:type="dxa"/>
            <w:vAlign w:val="bottom"/>
          </w:tcPr>
          <w:p w14:paraId="530411E6"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327653.0</w:t>
            </w:r>
          </w:p>
        </w:tc>
        <w:tc>
          <w:tcPr>
            <w:tcW w:w="1350" w:type="dxa"/>
            <w:vAlign w:val="bottom"/>
          </w:tcPr>
          <w:p w14:paraId="5E2F7F37"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2760.550</w:t>
            </w:r>
          </w:p>
        </w:tc>
        <w:tc>
          <w:tcPr>
            <w:tcW w:w="1170" w:type="dxa"/>
            <w:vAlign w:val="bottom"/>
          </w:tcPr>
          <w:p w14:paraId="5F3058F0"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215520.0</w:t>
            </w:r>
          </w:p>
        </w:tc>
        <w:tc>
          <w:tcPr>
            <w:tcW w:w="1350" w:type="dxa"/>
            <w:vAlign w:val="bottom"/>
          </w:tcPr>
          <w:p w14:paraId="5CD0E7F8"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6598744.</w:t>
            </w:r>
          </w:p>
        </w:tc>
      </w:tr>
      <w:tr w:rsidR="00D24E71" w:rsidRPr="00D37C9A" w14:paraId="265C6523" w14:textId="77777777" w:rsidTr="006952C7">
        <w:trPr>
          <w:trHeight w:val="225"/>
        </w:trPr>
        <w:tc>
          <w:tcPr>
            <w:tcW w:w="1492" w:type="dxa"/>
            <w:vAlign w:val="bottom"/>
          </w:tcPr>
          <w:p w14:paraId="60FE6336" w14:textId="77777777" w:rsidR="006952C7" w:rsidRPr="00D37C9A" w:rsidRDefault="006952C7"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rPr>
              <w:t> Sum Sq. Dev.</w:t>
            </w:r>
          </w:p>
        </w:tc>
        <w:tc>
          <w:tcPr>
            <w:tcW w:w="1088" w:type="dxa"/>
            <w:vAlign w:val="bottom"/>
          </w:tcPr>
          <w:p w14:paraId="1A31047B"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1617.990</w:t>
            </w:r>
          </w:p>
        </w:tc>
        <w:tc>
          <w:tcPr>
            <w:tcW w:w="1170" w:type="dxa"/>
            <w:vAlign w:val="bottom"/>
          </w:tcPr>
          <w:p w14:paraId="550324D8"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4.36E+08</w:t>
            </w:r>
          </w:p>
        </w:tc>
        <w:tc>
          <w:tcPr>
            <w:tcW w:w="1260" w:type="dxa"/>
            <w:vAlign w:val="bottom"/>
          </w:tcPr>
          <w:p w14:paraId="74A959B8"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4.80E+08</w:t>
            </w:r>
          </w:p>
        </w:tc>
        <w:tc>
          <w:tcPr>
            <w:tcW w:w="1350" w:type="dxa"/>
            <w:vAlign w:val="bottom"/>
          </w:tcPr>
          <w:p w14:paraId="1FE3CD39"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1207754.</w:t>
            </w:r>
          </w:p>
        </w:tc>
        <w:tc>
          <w:tcPr>
            <w:tcW w:w="1170" w:type="dxa"/>
            <w:vAlign w:val="bottom"/>
          </w:tcPr>
          <w:p w14:paraId="0144D469"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37510773</w:t>
            </w:r>
          </w:p>
        </w:tc>
        <w:tc>
          <w:tcPr>
            <w:tcW w:w="1350" w:type="dxa"/>
            <w:vAlign w:val="bottom"/>
          </w:tcPr>
          <w:p w14:paraId="4895654F"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5.70E+11</w:t>
            </w:r>
          </w:p>
        </w:tc>
      </w:tr>
      <w:tr w:rsidR="00D24E71" w:rsidRPr="00D37C9A" w14:paraId="1E5072D2" w14:textId="77777777" w:rsidTr="006952C7">
        <w:trPr>
          <w:trHeight w:val="225"/>
        </w:trPr>
        <w:tc>
          <w:tcPr>
            <w:tcW w:w="1492" w:type="dxa"/>
            <w:vAlign w:val="bottom"/>
          </w:tcPr>
          <w:p w14:paraId="41A0C210" w14:textId="77777777" w:rsidR="006952C7" w:rsidRPr="00D37C9A" w:rsidRDefault="006952C7" w:rsidP="00D37C9A">
            <w:pPr>
              <w:autoSpaceDE w:val="0"/>
              <w:autoSpaceDN w:val="0"/>
              <w:adjustRightInd w:val="0"/>
              <w:spacing w:after="0"/>
              <w:rPr>
                <w:rFonts w:ascii="Times New Roman" w:hAnsi="Times New Roman" w:cs="Times New Roman"/>
                <w:b/>
              </w:rPr>
            </w:pPr>
            <w:r w:rsidRPr="00D37C9A">
              <w:rPr>
                <w:rFonts w:ascii="Times New Roman" w:hAnsi="Times New Roman" w:cs="Times New Roman"/>
                <w:b/>
              </w:rPr>
              <w:t> Observations</w:t>
            </w:r>
          </w:p>
        </w:tc>
        <w:tc>
          <w:tcPr>
            <w:tcW w:w="1088" w:type="dxa"/>
            <w:vAlign w:val="bottom"/>
          </w:tcPr>
          <w:p w14:paraId="4F41AB31"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 34</w:t>
            </w:r>
          </w:p>
        </w:tc>
        <w:tc>
          <w:tcPr>
            <w:tcW w:w="1170" w:type="dxa"/>
            <w:vAlign w:val="bottom"/>
          </w:tcPr>
          <w:p w14:paraId="3A02C719"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 34</w:t>
            </w:r>
          </w:p>
        </w:tc>
        <w:tc>
          <w:tcPr>
            <w:tcW w:w="1260" w:type="dxa"/>
            <w:vAlign w:val="bottom"/>
          </w:tcPr>
          <w:p w14:paraId="179CDCBB"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 34</w:t>
            </w:r>
          </w:p>
        </w:tc>
        <w:tc>
          <w:tcPr>
            <w:tcW w:w="1350" w:type="dxa"/>
            <w:vAlign w:val="bottom"/>
          </w:tcPr>
          <w:p w14:paraId="77CCB2D2"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 34</w:t>
            </w:r>
          </w:p>
        </w:tc>
        <w:tc>
          <w:tcPr>
            <w:tcW w:w="1170" w:type="dxa"/>
            <w:vAlign w:val="bottom"/>
          </w:tcPr>
          <w:p w14:paraId="02F507AC"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 34</w:t>
            </w:r>
          </w:p>
        </w:tc>
        <w:tc>
          <w:tcPr>
            <w:tcW w:w="1350" w:type="dxa"/>
            <w:vAlign w:val="bottom"/>
          </w:tcPr>
          <w:p w14:paraId="0D33FBD3"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 34</w:t>
            </w:r>
          </w:p>
        </w:tc>
      </w:tr>
    </w:tbl>
    <w:p w14:paraId="0F51B05C" w14:textId="77777777" w:rsidR="00FA2E45" w:rsidRPr="00D37C9A" w:rsidRDefault="00FA2E45" w:rsidP="00D37C9A">
      <w:pPr>
        <w:jc w:val="both"/>
        <w:rPr>
          <w:rFonts w:ascii="Times New Roman" w:hAnsi="Times New Roman" w:cs="Times New Roman"/>
          <w:i/>
        </w:rPr>
      </w:pPr>
      <w:r w:rsidRPr="00D37C9A">
        <w:rPr>
          <w:rFonts w:ascii="Times New Roman" w:hAnsi="Times New Roman" w:cs="Times New Roman"/>
          <w:b/>
          <w:iCs/>
        </w:rPr>
        <w:t>Source:</w:t>
      </w:r>
      <w:r w:rsidRPr="00D37C9A">
        <w:rPr>
          <w:rFonts w:ascii="Times New Roman" w:hAnsi="Times New Roman" w:cs="Times New Roman"/>
          <w:i/>
        </w:rPr>
        <w:t xml:space="preserve"> Computation by author (2025).</w:t>
      </w:r>
    </w:p>
    <w:p w14:paraId="4BE767FD" w14:textId="522E556D" w:rsidR="00FA2E45" w:rsidRPr="00D37C9A" w:rsidRDefault="00E024F7" w:rsidP="00D37C9A">
      <w:pPr>
        <w:spacing w:before="240" w:after="0"/>
        <w:jc w:val="both"/>
        <w:rPr>
          <w:rFonts w:ascii="Times New Roman" w:hAnsi="Times New Roman" w:cs="Times New Roman"/>
        </w:rPr>
      </w:pPr>
      <w:r w:rsidRPr="00D37C9A">
        <w:rPr>
          <w:rFonts w:ascii="Times New Roman" w:hAnsi="Times New Roman" w:cs="Times New Roman"/>
          <w:bCs/>
        </w:rPr>
        <w:lastRenderedPageBreak/>
        <w:t>Table.1 shows that poverty rate (POR) in Nigeria has a mean of 54.50%, indicating that over the 34-year period, more than half of the population consistently lived below the poverty line. The maximum poverty rate recorded was 66.90% while the minimum was 38.90. The standard deviation is 7.00, implying moderate variability around the mean</w:t>
      </w:r>
      <w:r w:rsidR="00FA2E45" w:rsidRPr="00D37C9A">
        <w:rPr>
          <w:rFonts w:ascii="Times New Roman" w:hAnsi="Times New Roman" w:cs="Times New Roman"/>
        </w:rPr>
        <w:t>.</w:t>
      </w:r>
      <w:r w:rsidRPr="00D37C9A">
        <w:rPr>
          <w:rFonts w:ascii="Times New Roman" w:hAnsi="Times New Roman" w:cs="Times New Roman"/>
        </w:rPr>
        <w:t xml:space="preserve"> </w:t>
      </w:r>
      <w:r w:rsidRPr="00D37C9A">
        <w:rPr>
          <w:rFonts w:ascii="Times New Roman" w:hAnsi="Times New Roman" w:cs="Times New Roman"/>
          <w:bCs/>
        </w:rPr>
        <w:t>Also, automotive gas oil consumption (AGO) has a mean of 4,910.21 million litres which indicates its vital role in Nigeria’s energy mix. The maximum value is 13,920.00 and minimum is 1,137.00. The standard deviation of 3,636.79 confirm high has</w:t>
      </w:r>
      <w:r w:rsidRPr="00D37C9A">
        <w:rPr>
          <w:rFonts w:ascii="Times New Roman" w:hAnsi="Times New Roman" w:cs="Times New Roman"/>
        </w:rPr>
        <w:t xml:space="preserve"> low deviation or dispersion from the mean</w:t>
      </w:r>
      <w:r w:rsidRPr="00D37C9A">
        <w:rPr>
          <w:rFonts w:ascii="Times New Roman" w:hAnsi="Times New Roman" w:cs="Times New Roman"/>
          <w:bCs/>
        </w:rPr>
        <w:t xml:space="preserve">. Furthermore, premium motor spirit consumption (PMS) has a mean of 9,636.85 million litres. This reflects high and widespread usage, especially in transportation and households. The maximum premium motor spirit consumption (PMS) is 18,044.00 and the minimum premium motor spirit consumption (PMS) is 4,640.00 million litres. The standard deviation of 3,814.66 indicates high </w:t>
      </w:r>
      <w:r w:rsidRPr="00D37C9A">
        <w:rPr>
          <w:rFonts w:ascii="Times New Roman" w:hAnsi="Times New Roman" w:cs="Times New Roman"/>
        </w:rPr>
        <w:t>deviation or dispersion from the mean</w:t>
      </w:r>
      <w:r w:rsidRPr="00D37C9A">
        <w:rPr>
          <w:rFonts w:ascii="Times New Roman" w:hAnsi="Times New Roman" w:cs="Times New Roman"/>
          <w:bCs/>
        </w:rPr>
        <w:t xml:space="preserve">. In addition, solar energy consumption (SEC) has a mean of 81.19 GWh. This indicate relatively low average use and reflects Nigeria’s late entry into solar energy development. The maximum consumption is 816.00 GWh and the minimum is 0.02 GWh. The standard deviation is high at 191.31, emphasizing large </w:t>
      </w:r>
      <w:r w:rsidRPr="00D37C9A">
        <w:rPr>
          <w:rFonts w:ascii="Times New Roman" w:hAnsi="Times New Roman" w:cs="Times New Roman"/>
        </w:rPr>
        <w:t>deviation or dispersion from the mean</w:t>
      </w:r>
      <w:r w:rsidRPr="00D37C9A">
        <w:rPr>
          <w:rFonts w:ascii="Times New Roman" w:hAnsi="Times New Roman" w:cs="Times New Roman"/>
          <w:bCs/>
        </w:rPr>
        <w:t xml:space="preserve">. Moreover, hydropower energy consumption (HPC) has a mean of 6,338.82 GWh. This reflects its consistent and long-standing contribution to Nigeria’s energy sector. The maximum recorded hydropower energy consumption (HPC) is 8,349.00 GWh and the minimum is 4,387.00 GWh. The standard deviation of 1,066.16 reflects moderate </w:t>
      </w:r>
      <w:r w:rsidRPr="00D37C9A">
        <w:rPr>
          <w:rFonts w:ascii="Times New Roman" w:hAnsi="Times New Roman" w:cs="Times New Roman"/>
        </w:rPr>
        <w:t>deviation or dispersion from the mean</w:t>
      </w:r>
      <w:r w:rsidRPr="00D37C9A">
        <w:rPr>
          <w:rFonts w:ascii="Times New Roman" w:hAnsi="Times New Roman" w:cs="Times New Roman"/>
          <w:bCs/>
        </w:rPr>
        <w:t xml:space="preserve">. Lastly, natural gas-to-power consumption (NGC) has a very high mean of 194,080.70 MMSCF, reflecting its increasing importance in power generation. The maximum natural gas-to-power consumption (NGC) of 455,258.30 MMSCF and the minimum of 45,025.50 MMSCF shows massive expansion in natural gas-to-power usage. The standard deviation is also very high at 131,464.90, indicating large </w:t>
      </w:r>
      <w:r w:rsidRPr="00D37C9A">
        <w:rPr>
          <w:rFonts w:ascii="Times New Roman" w:hAnsi="Times New Roman" w:cs="Times New Roman"/>
        </w:rPr>
        <w:t>deviation or dispersion from the mean.</w:t>
      </w:r>
    </w:p>
    <w:p w14:paraId="4D6CC246" w14:textId="77777777" w:rsidR="00E024F7" w:rsidRPr="00D37C9A" w:rsidRDefault="00E024F7" w:rsidP="00D37C9A">
      <w:pPr>
        <w:rPr>
          <w:rFonts w:ascii="Times New Roman" w:hAnsi="Times New Roman" w:cs="Times New Roman"/>
          <w:b/>
          <w:bCs/>
        </w:rPr>
      </w:pPr>
    </w:p>
    <w:p w14:paraId="3C90C85D" w14:textId="2D3E631B" w:rsidR="00FA2E45" w:rsidRPr="00D37C9A" w:rsidRDefault="00FA2E45" w:rsidP="00D37C9A">
      <w:pPr>
        <w:spacing w:after="0"/>
        <w:rPr>
          <w:rFonts w:ascii="Times New Roman" w:hAnsi="Times New Roman" w:cs="Times New Roman"/>
          <w:b/>
          <w:bCs/>
        </w:rPr>
      </w:pPr>
      <w:r w:rsidRPr="00D37C9A">
        <w:rPr>
          <w:rFonts w:ascii="Times New Roman" w:hAnsi="Times New Roman" w:cs="Times New Roman"/>
          <w:b/>
          <w:bCs/>
        </w:rPr>
        <w:t>Unit Root Test</w:t>
      </w:r>
    </w:p>
    <w:p w14:paraId="19635CCC" w14:textId="73BE9D39" w:rsidR="00FA2E45" w:rsidRPr="00D37C9A" w:rsidRDefault="00FA2E45" w:rsidP="00D37C9A">
      <w:pPr>
        <w:pStyle w:val="NoSpacing"/>
        <w:tabs>
          <w:tab w:val="left" w:pos="3969"/>
        </w:tabs>
        <w:spacing w:line="276" w:lineRule="auto"/>
        <w:jc w:val="both"/>
        <w:rPr>
          <w:rFonts w:ascii="Times New Roman" w:eastAsiaTheme="minorHAnsi" w:hAnsi="Times New Roman"/>
          <w:bCs/>
          <w:lang w:val="en-GB"/>
        </w:rPr>
      </w:pPr>
      <w:r w:rsidRPr="00D37C9A">
        <w:rPr>
          <w:rFonts w:ascii="Times New Roman" w:eastAsiaTheme="minorHAnsi" w:hAnsi="Times New Roman"/>
          <w:bCs/>
          <w:lang w:val="en-GB"/>
        </w:rPr>
        <w:t>For the purpose of this study, ADF was utilised to carry out the unit root test and the upshots are presented in Table 2:</w:t>
      </w:r>
    </w:p>
    <w:p w14:paraId="55B4E5E5" w14:textId="5F2E64B4" w:rsidR="00FA2E45" w:rsidRPr="00D37C9A" w:rsidRDefault="00FA2E45" w:rsidP="00D37C9A">
      <w:pPr>
        <w:pStyle w:val="NoSpacing"/>
        <w:tabs>
          <w:tab w:val="left" w:pos="3969"/>
        </w:tabs>
        <w:spacing w:line="276" w:lineRule="auto"/>
        <w:rPr>
          <w:rFonts w:ascii="Times New Roman" w:hAnsi="Times New Roman"/>
          <w:b/>
          <w:bCs/>
        </w:rPr>
      </w:pPr>
      <w:r w:rsidRPr="00D37C9A">
        <w:rPr>
          <w:rFonts w:ascii="Times New Roman" w:hAnsi="Times New Roman"/>
          <w:b/>
          <w:bCs/>
        </w:rPr>
        <w:t xml:space="preserve">Table 2: Augmented Dickey-Fuller (ADF) Test Upshots </w:t>
      </w:r>
    </w:p>
    <w:tbl>
      <w:tblPr>
        <w:tblW w:w="9540" w:type="dxa"/>
        <w:tblBorders>
          <w:top w:val="single" w:sz="4" w:space="0" w:color="auto"/>
          <w:bottom w:val="single" w:sz="4" w:space="0" w:color="auto"/>
        </w:tblBorders>
        <w:tblLayout w:type="fixed"/>
        <w:tblLook w:val="04A0" w:firstRow="1" w:lastRow="0" w:firstColumn="1" w:lastColumn="0" w:noHBand="0" w:noVBand="1"/>
      </w:tblPr>
      <w:tblGrid>
        <w:gridCol w:w="1620"/>
        <w:gridCol w:w="1350"/>
        <w:gridCol w:w="1710"/>
        <w:gridCol w:w="1530"/>
        <w:gridCol w:w="1890"/>
        <w:gridCol w:w="1350"/>
        <w:gridCol w:w="90"/>
      </w:tblGrid>
      <w:tr w:rsidR="00FA2E45" w:rsidRPr="00D37C9A" w14:paraId="70851DC0" w14:textId="77777777" w:rsidTr="00B40C47">
        <w:tc>
          <w:tcPr>
            <w:tcW w:w="1620" w:type="dxa"/>
            <w:tcBorders>
              <w:top w:val="single" w:sz="4" w:space="0" w:color="auto"/>
              <w:bottom w:val="single" w:sz="4" w:space="0" w:color="auto"/>
            </w:tcBorders>
          </w:tcPr>
          <w:p w14:paraId="17E45B5C" w14:textId="77777777" w:rsidR="00FA2E45" w:rsidRPr="00D37C9A" w:rsidRDefault="00FA2E45" w:rsidP="00D37C9A">
            <w:pPr>
              <w:autoSpaceDE w:val="0"/>
              <w:autoSpaceDN w:val="0"/>
              <w:adjustRightInd w:val="0"/>
              <w:spacing w:after="0"/>
              <w:jc w:val="center"/>
              <w:rPr>
                <w:rFonts w:ascii="Times New Roman" w:hAnsi="Times New Roman" w:cs="Times New Roman"/>
                <w:b/>
              </w:rPr>
            </w:pPr>
            <w:bookmarkStart w:id="8" w:name="_Hlk141771681"/>
            <w:r w:rsidRPr="00D37C9A">
              <w:rPr>
                <w:rFonts w:ascii="Times New Roman" w:hAnsi="Times New Roman" w:cs="Times New Roman"/>
                <w:b/>
              </w:rPr>
              <w:t>Variables</w:t>
            </w:r>
          </w:p>
        </w:tc>
        <w:tc>
          <w:tcPr>
            <w:tcW w:w="1350" w:type="dxa"/>
            <w:tcBorders>
              <w:top w:val="single" w:sz="4" w:space="0" w:color="auto"/>
              <w:bottom w:val="single" w:sz="4" w:space="0" w:color="auto"/>
            </w:tcBorders>
          </w:tcPr>
          <w:p w14:paraId="2E9191BE"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ADF</w:t>
            </w:r>
          </w:p>
        </w:tc>
        <w:tc>
          <w:tcPr>
            <w:tcW w:w="1710" w:type="dxa"/>
            <w:tcBorders>
              <w:top w:val="single" w:sz="4" w:space="0" w:color="auto"/>
              <w:bottom w:val="single" w:sz="4" w:space="0" w:color="auto"/>
            </w:tcBorders>
          </w:tcPr>
          <w:p w14:paraId="2190FE24"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b/>
                <w:bCs/>
              </w:rPr>
              <w:t>Mackinnon Critical Value @ 5 percent</w:t>
            </w:r>
          </w:p>
        </w:tc>
        <w:tc>
          <w:tcPr>
            <w:tcW w:w="1530" w:type="dxa"/>
            <w:tcBorders>
              <w:top w:val="single" w:sz="4" w:space="0" w:color="auto"/>
              <w:bottom w:val="single" w:sz="4" w:space="0" w:color="auto"/>
            </w:tcBorders>
          </w:tcPr>
          <w:p w14:paraId="527275EE"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Probability-value</w:t>
            </w:r>
            <w:r w:rsidRPr="00D37C9A">
              <w:rPr>
                <w:rFonts w:ascii="Times New Roman" w:hAnsi="Times New Roman" w:cs="Times New Roman"/>
                <w:b/>
                <w:lang w:val="en-US"/>
              </w:rPr>
              <w:t xml:space="preserve"> (</w:t>
            </w:r>
            <w:r w:rsidRPr="00D37C9A">
              <w:rPr>
                <w:rFonts w:ascii="Times New Roman" w:hAnsi="Times New Roman" w:cs="Times New Roman"/>
                <w:b/>
              </w:rPr>
              <w:t>Prob.*)</w:t>
            </w:r>
            <w:r w:rsidRPr="00D37C9A">
              <w:rPr>
                <w:rFonts w:ascii="Times New Roman" w:hAnsi="Times New Roman" w:cs="Times New Roman"/>
                <w:b/>
                <w:lang w:val="en-US"/>
              </w:rPr>
              <w:t xml:space="preserve"> </w:t>
            </w:r>
          </w:p>
        </w:tc>
        <w:tc>
          <w:tcPr>
            <w:tcW w:w="1890" w:type="dxa"/>
            <w:tcBorders>
              <w:top w:val="single" w:sz="4" w:space="0" w:color="auto"/>
              <w:bottom w:val="single" w:sz="4" w:space="0" w:color="auto"/>
            </w:tcBorders>
          </w:tcPr>
          <w:p w14:paraId="0C2316E9"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Decision</w:t>
            </w:r>
          </w:p>
        </w:tc>
        <w:tc>
          <w:tcPr>
            <w:tcW w:w="1440" w:type="dxa"/>
            <w:gridSpan w:val="2"/>
            <w:tcBorders>
              <w:top w:val="single" w:sz="4" w:space="0" w:color="auto"/>
              <w:bottom w:val="single" w:sz="4" w:space="0" w:color="auto"/>
            </w:tcBorders>
          </w:tcPr>
          <w:p w14:paraId="3932AE41"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Order of</w:t>
            </w:r>
          </w:p>
          <w:p w14:paraId="6853C3A2"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Integration</w:t>
            </w:r>
          </w:p>
        </w:tc>
      </w:tr>
      <w:tr w:rsidR="00FA2E45" w:rsidRPr="00D37C9A" w14:paraId="6EE1D473" w14:textId="77777777" w:rsidTr="00B40C47">
        <w:trPr>
          <w:gridAfter w:val="1"/>
          <w:wAfter w:w="90" w:type="dxa"/>
        </w:trPr>
        <w:tc>
          <w:tcPr>
            <w:tcW w:w="9450" w:type="dxa"/>
            <w:gridSpan w:val="6"/>
            <w:tcBorders>
              <w:top w:val="single" w:sz="4" w:space="0" w:color="auto"/>
              <w:bottom w:val="nil"/>
            </w:tcBorders>
          </w:tcPr>
          <w:p w14:paraId="3DD35147"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b/>
                <w:bCs/>
              </w:rPr>
              <w:t>ADF At Levels</w:t>
            </w:r>
          </w:p>
        </w:tc>
      </w:tr>
      <w:tr w:rsidR="00FA2E45" w:rsidRPr="00D37C9A" w14:paraId="338CFF45" w14:textId="77777777" w:rsidTr="00B40C47">
        <w:tc>
          <w:tcPr>
            <w:tcW w:w="1620" w:type="dxa"/>
            <w:tcBorders>
              <w:top w:val="nil"/>
            </w:tcBorders>
          </w:tcPr>
          <w:p w14:paraId="68A040CD"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eastAsia="Times New Roman" w:hAnsi="Times New Roman" w:cs="Times New Roman"/>
              </w:rPr>
              <w:t>LOG(</w:t>
            </w:r>
            <w:r w:rsidRPr="00D37C9A">
              <w:rPr>
                <w:rFonts w:ascii="Times New Roman" w:hAnsi="Times New Roman" w:cs="Times New Roman"/>
              </w:rPr>
              <w:t>POR)</w:t>
            </w:r>
          </w:p>
        </w:tc>
        <w:tc>
          <w:tcPr>
            <w:tcW w:w="1350" w:type="dxa"/>
            <w:tcBorders>
              <w:top w:val="nil"/>
            </w:tcBorders>
          </w:tcPr>
          <w:p w14:paraId="66E2F095"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-1.845544</w:t>
            </w:r>
          </w:p>
        </w:tc>
        <w:tc>
          <w:tcPr>
            <w:tcW w:w="1710" w:type="dxa"/>
            <w:tcBorders>
              <w:top w:val="nil"/>
            </w:tcBorders>
          </w:tcPr>
          <w:p w14:paraId="2B34647D"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-2.954021</w:t>
            </w:r>
          </w:p>
        </w:tc>
        <w:tc>
          <w:tcPr>
            <w:tcW w:w="1530" w:type="dxa"/>
            <w:tcBorders>
              <w:top w:val="nil"/>
            </w:tcBorders>
          </w:tcPr>
          <w:p w14:paraId="13FFD984"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0.3529</w:t>
            </w:r>
          </w:p>
        </w:tc>
        <w:tc>
          <w:tcPr>
            <w:tcW w:w="1890" w:type="dxa"/>
            <w:tcBorders>
              <w:top w:val="nil"/>
            </w:tcBorders>
          </w:tcPr>
          <w:p w14:paraId="59486914"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Non-stationary</w:t>
            </w:r>
          </w:p>
        </w:tc>
        <w:tc>
          <w:tcPr>
            <w:tcW w:w="1440" w:type="dxa"/>
            <w:gridSpan w:val="2"/>
            <w:tcBorders>
              <w:top w:val="nil"/>
            </w:tcBorders>
          </w:tcPr>
          <w:p w14:paraId="49F41316"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r>
      <w:tr w:rsidR="00FA2E45" w:rsidRPr="00D37C9A" w14:paraId="6B7DDAF7" w14:textId="77777777" w:rsidTr="00B40C47">
        <w:tc>
          <w:tcPr>
            <w:tcW w:w="1620" w:type="dxa"/>
          </w:tcPr>
          <w:p w14:paraId="63F214F9"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eastAsia="Times New Roman" w:hAnsi="Times New Roman" w:cs="Times New Roman"/>
              </w:rPr>
              <w:t>LOG(</w:t>
            </w:r>
            <w:r w:rsidRPr="00D37C9A">
              <w:rPr>
                <w:rFonts w:ascii="Times New Roman" w:hAnsi="Times New Roman" w:cs="Times New Roman"/>
                <w:bCs/>
              </w:rPr>
              <w:t>AGO)</w:t>
            </w:r>
          </w:p>
        </w:tc>
        <w:tc>
          <w:tcPr>
            <w:tcW w:w="1350" w:type="dxa"/>
          </w:tcPr>
          <w:p w14:paraId="591B7EA1"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0.175460</w:t>
            </w:r>
          </w:p>
        </w:tc>
        <w:tc>
          <w:tcPr>
            <w:tcW w:w="1710" w:type="dxa"/>
          </w:tcPr>
          <w:p w14:paraId="0ED5CF17"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-2.960411</w:t>
            </w:r>
          </w:p>
        </w:tc>
        <w:tc>
          <w:tcPr>
            <w:tcW w:w="1530" w:type="dxa"/>
          </w:tcPr>
          <w:p w14:paraId="3B766EB6"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0.9664</w:t>
            </w:r>
          </w:p>
        </w:tc>
        <w:tc>
          <w:tcPr>
            <w:tcW w:w="1890" w:type="dxa"/>
          </w:tcPr>
          <w:p w14:paraId="49820F4A"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Non-stationary</w:t>
            </w:r>
          </w:p>
        </w:tc>
        <w:tc>
          <w:tcPr>
            <w:tcW w:w="1440" w:type="dxa"/>
            <w:gridSpan w:val="2"/>
          </w:tcPr>
          <w:p w14:paraId="1D915530"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r>
      <w:tr w:rsidR="00FA2E45" w:rsidRPr="00D37C9A" w14:paraId="16EFB1E7" w14:textId="77777777" w:rsidTr="00B40C47">
        <w:tc>
          <w:tcPr>
            <w:tcW w:w="1620" w:type="dxa"/>
            <w:tcBorders>
              <w:bottom w:val="nil"/>
            </w:tcBorders>
          </w:tcPr>
          <w:p w14:paraId="56462F57"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rPr>
              <w:t>PMS)</w:t>
            </w:r>
          </w:p>
        </w:tc>
        <w:tc>
          <w:tcPr>
            <w:tcW w:w="1350" w:type="dxa"/>
            <w:tcBorders>
              <w:bottom w:val="nil"/>
            </w:tcBorders>
          </w:tcPr>
          <w:p w14:paraId="5D92EEF3"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-1.130560</w:t>
            </w:r>
          </w:p>
        </w:tc>
        <w:tc>
          <w:tcPr>
            <w:tcW w:w="1710" w:type="dxa"/>
            <w:tcBorders>
              <w:bottom w:val="nil"/>
            </w:tcBorders>
          </w:tcPr>
          <w:p w14:paraId="68E5D204"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-2.963972</w:t>
            </w:r>
          </w:p>
        </w:tc>
        <w:tc>
          <w:tcPr>
            <w:tcW w:w="1530" w:type="dxa"/>
            <w:tcBorders>
              <w:bottom w:val="nil"/>
            </w:tcBorders>
          </w:tcPr>
          <w:p w14:paraId="53B6D950"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0.6903</w:t>
            </w:r>
          </w:p>
        </w:tc>
        <w:tc>
          <w:tcPr>
            <w:tcW w:w="1890" w:type="dxa"/>
            <w:tcBorders>
              <w:bottom w:val="nil"/>
            </w:tcBorders>
          </w:tcPr>
          <w:p w14:paraId="28BBC78D"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Non-stationary</w:t>
            </w:r>
          </w:p>
        </w:tc>
        <w:tc>
          <w:tcPr>
            <w:tcW w:w="1440" w:type="dxa"/>
            <w:gridSpan w:val="2"/>
            <w:tcBorders>
              <w:bottom w:val="nil"/>
            </w:tcBorders>
          </w:tcPr>
          <w:p w14:paraId="46E33EDE"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r>
      <w:tr w:rsidR="00FA2E45" w:rsidRPr="00D37C9A" w14:paraId="6ED407C3" w14:textId="77777777" w:rsidTr="00B40C47">
        <w:tc>
          <w:tcPr>
            <w:tcW w:w="1620" w:type="dxa"/>
            <w:tcBorders>
              <w:top w:val="nil"/>
              <w:bottom w:val="nil"/>
            </w:tcBorders>
          </w:tcPr>
          <w:p w14:paraId="0488A9F0"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rPr>
              <w:t>SEC)</w:t>
            </w:r>
          </w:p>
        </w:tc>
        <w:tc>
          <w:tcPr>
            <w:tcW w:w="1350" w:type="dxa"/>
            <w:tcBorders>
              <w:top w:val="nil"/>
              <w:bottom w:val="nil"/>
            </w:tcBorders>
          </w:tcPr>
          <w:p w14:paraId="09EC0673"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-0.052034</w:t>
            </w:r>
          </w:p>
        </w:tc>
        <w:tc>
          <w:tcPr>
            <w:tcW w:w="1710" w:type="dxa"/>
            <w:tcBorders>
              <w:top w:val="nil"/>
              <w:bottom w:val="nil"/>
            </w:tcBorders>
          </w:tcPr>
          <w:p w14:paraId="3EC02E56"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-2.967767</w:t>
            </w:r>
          </w:p>
        </w:tc>
        <w:tc>
          <w:tcPr>
            <w:tcW w:w="1530" w:type="dxa"/>
            <w:tcBorders>
              <w:top w:val="nil"/>
              <w:bottom w:val="nil"/>
            </w:tcBorders>
          </w:tcPr>
          <w:p w14:paraId="6DBE7ACC"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0.9458</w:t>
            </w:r>
          </w:p>
        </w:tc>
        <w:tc>
          <w:tcPr>
            <w:tcW w:w="1890" w:type="dxa"/>
            <w:tcBorders>
              <w:top w:val="nil"/>
              <w:bottom w:val="nil"/>
            </w:tcBorders>
          </w:tcPr>
          <w:p w14:paraId="3F79D0FB"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Non-stationary</w:t>
            </w:r>
          </w:p>
        </w:tc>
        <w:tc>
          <w:tcPr>
            <w:tcW w:w="1440" w:type="dxa"/>
            <w:gridSpan w:val="2"/>
            <w:tcBorders>
              <w:top w:val="nil"/>
              <w:bottom w:val="nil"/>
            </w:tcBorders>
          </w:tcPr>
          <w:p w14:paraId="3F53042D"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r>
      <w:tr w:rsidR="00FA2E45" w:rsidRPr="00D37C9A" w14:paraId="24E165DD" w14:textId="77777777" w:rsidTr="00B40C47">
        <w:tc>
          <w:tcPr>
            <w:tcW w:w="1620" w:type="dxa"/>
            <w:tcBorders>
              <w:top w:val="nil"/>
              <w:bottom w:val="nil"/>
            </w:tcBorders>
          </w:tcPr>
          <w:p w14:paraId="573AC6BD"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rPr>
              <w:t>HPC)</w:t>
            </w:r>
          </w:p>
        </w:tc>
        <w:tc>
          <w:tcPr>
            <w:tcW w:w="1350" w:type="dxa"/>
            <w:tcBorders>
              <w:top w:val="nil"/>
              <w:bottom w:val="nil"/>
            </w:tcBorders>
          </w:tcPr>
          <w:p w14:paraId="04E72717" w14:textId="77777777" w:rsidR="00FA2E45" w:rsidRPr="00D37C9A" w:rsidRDefault="00FA2E45" w:rsidP="00D37C9A">
            <w:pPr>
              <w:autoSpaceDE w:val="0"/>
              <w:autoSpaceDN w:val="0"/>
              <w:adjustRightInd w:val="0"/>
              <w:spacing w:after="0"/>
              <w:jc w:val="center"/>
              <w:rPr>
                <w:rFonts w:ascii="Times New Roman" w:hAnsi="Times New Roman" w:cs="Times New Roman"/>
                <w:lang w:val="en-US"/>
              </w:rPr>
            </w:pPr>
            <w:r w:rsidRPr="00D37C9A">
              <w:rPr>
                <w:rFonts w:ascii="Times New Roman" w:hAnsi="Times New Roman" w:cs="Times New Roman"/>
              </w:rPr>
              <w:t>-3.011429</w:t>
            </w:r>
          </w:p>
        </w:tc>
        <w:tc>
          <w:tcPr>
            <w:tcW w:w="1710" w:type="dxa"/>
            <w:tcBorders>
              <w:top w:val="nil"/>
              <w:bottom w:val="nil"/>
            </w:tcBorders>
          </w:tcPr>
          <w:p w14:paraId="32D35C72"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-2.954021</w:t>
            </w:r>
          </w:p>
        </w:tc>
        <w:tc>
          <w:tcPr>
            <w:tcW w:w="1530" w:type="dxa"/>
            <w:tcBorders>
              <w:top w:val="nil"/>
              <w:bottom w:val="nil"/>
            </w:tcBorders>
          </w:tcPr>
          <w:p w14:paraId="718E5901"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0.0387</w:t>
            </w:r>
          </w:p>
        </w:tc>
        <w:tc>
          <w:tcPr>
            <w:tcW w:w="1890" w:type="dxa"/>
            <w:tcBorders>
              <w:top w:val="nil"/>
              <w:bottom w:val="nil"/>
            </w:tcBorders>
          </w:tcPr>
          <w:p w14:paraId="7CF96229"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Stationary</w:t>
            </w:r>
          </w:p>
        </w:tc>
        <w:tc>
          <w:tcPr>
            <w:tcW w:w="1440" w:type="dxa"/>
            <w:gridSpan w:val="2"/>
            <w:tcBorders>
              <w:top w:val="nil"/>
              <w:bottom w:val="nil"/>
            </w:tcBorders>
          </w:tcPr>
          <w:p w14:paraId="0637C731"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r>
      <w:tr w:rsidR="00FA2E45" w:rsidRPr="00D37C9A" w14:paraId="2E5A7E0A" w14:textId="77777777" w:rsidTr="00B40C47">
        <w:tc>
          <w:tcPr>
            <w:tcW w:w="1620" w:type="dxa"/>
            <w:tcBorders>
              <w:top w:val="nil"/>
              <w:bottom w:val="single" w:sz="4" w:space="0" w:color="auto"/>
            </w:tcBorders>
          </w:tcPr>
          <w:p w14:paraId="760D9890"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LOG(NGC)</w:t>
            </w:r>
          </w:p>
        </w:tc>
        <w:tc>
          <w:tcPr>
            <w:tcW w:w="1350" w:type="dxa"/>
            <w:tcBorders>
              <w:top w:val="nil"/>
              <w:bottom w:val="single" w:sz="4" w:space="0" w:color="auto"/>
            </w:tcBorders>
          </w:tcPr>
          <w:p w14:paraId="02A2BEE2"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-1.129166</w:t>
            </w:r>
          </w:p>
        </w:tc>
        <w:tc>
          <w:tcPr>
            <w:tcW w:w="1710" w:type="dxa"/>
            <w:tcBorders>
              <w:top w:val="nil"/>
              <w:bottom w:val="single" w:sz="4" w:space="0" w:color="auto"/>
            </w:tcBorders>
          </w:tcPr>
          <w:p w14:paraId="38818D3D"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-2.957110</w:t>
            </w:r>
          </w:p>
        </w:tc>
        <w:tc>
          <w:tcPr>
            <w:tcW w:w="1530" w:type="dxa"/>
            <w:tcBorders>
              <w:top w:val="nil"/>
              <w:bottom w:val="single" w:sz="4" w:space="0" w:color="auto"/>
            </w:tcBorders>
          </w:tcPr>
          <w:p w14:paraId="5D142C49"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0.6919</w:t>
            </w:r>
          </w:p>
        </w:tc>
        <w:tc>
          <w:tcPr>
            <w:tcW w:w="1890" w:type="dxa"/>
            <w:tcBorders>
              <w:top w:val="nil"/>
              <w:bottom w:val="single" w:sz="4" w:space="0" w:color="auto"/>
            </w:tcBorders>
          </w:tcPr>
          <w:p w14:paraId="69F3D62B"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Non-stationary</w:t>
            </w:r>
          </w:p>
        </w:tc>
        <w:tc>
          <w:tcPr>
            <w:tcW w:w="1440" w:type="dxa"/>
            <w:gridSpan w:val="2"/>
            <w:tcBorders>
              <w:top w:val="nil"/>
              <w:bottom w:val="single" w:sz="4" w:space="0" w:color="auto"/>
            </w:tcBorders>
          </w:tcPr>
          <w:p w14:paraId="4A6C0DCE"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r>
      <w:tr w:rsidR="00FA2E45" w:rsidRPr="00D37C9A" w14:paraId="4539C6AA" w14:textId="77777777" w:rsidTr="00B40C47">
        <w:trPr>
          <w:gridAfter w:val="1"/>
          <w:wAfter w:w="90" w:type="dxa"/>
        </w:trPr>
        <w:tc>
          <w:tcPr>
            <w:tcW w:w="9450" w:type="dxa"/>
            <w:gridSpan w:val="6"/>
            <w:tcBorders>
              <w:top w:val="single" w:sz="4" w:space="0" w:color="auto"/>
              <w:bottom w:val="nil"/>
            </w:tcBorders>
          </w:tcPr>
          <w:p w14:paraId="60A2162E" w14:textId="77777777" w:rsidR="00FA2E45" w:rsidRPr="00D37C9A" w:rsidRDefault="00FA2E45" w:rsidP="00D37C9A">
            <w:pPr>
              <w:autoSpaceDE w:val="0"/>
              <w:autoSpaceDN w:val="0"/>
              <w:adjustRightInd w:val="0"/>
              <w:jc w:val="center"/>
              <w:rPr>
                <w:rFonts w:ascii="Times New Roman" w:hAnsi="Times New Roman" w:cs="Times New Roman"/>
              </w:rPr>
            </w:pPr>
            <w:r w:rsidRPr="00D37C9A">
              <w:rPr>
                <w:rFonts w:ascii="Times New Roman" w:hAnsi="Times New Roman" w:cs="Times New Roman"/>
                <w:b/>
                <w:bCs/>
              </w:rPr>
              <w:t>ADF At First Difference</w:t>
            </w:r>
          </w:p>
        </w:tc>
      </w:tr>
      <w:tr w:rsidR="00FA2E45" w:rsidRPr="00D37C9A" w14:paraId="49A33889" w14:textId="77777777" w:rsidTr="00B40C47">
        <w:tc>
          <w:tcPr>
            <w:tcW w:w="1620" w:type="dxa"/>
            <w:tcBorders>
              <w:top w:val="single" w:sz="4" w:space="0" w:color="auto"/>
              <w:bottom w:val="nil"/>
            </w:tcBorders>
          </w:tcPr>
          <w:p w14:paraId="54874D6F"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eastAsia="Times New Roman" w:hAnsi="Times New Roman" w:cs="Times New Roman"/>
              </w:rPr>
              <w:t>LOG(</w:t>
            </w:r>
            <w:r w:rsidRPr="00D37C9A">
              <w:rPr>
                <w:rFonts w:ascii="Times New Roman" w:hAnsi="Times New Roman" w:cs="Times New Roman"/>
              </w:rPr>
              <w:t>POR)</w:t>
            </w:r>
          </w:p>
        </w:tc>
        <w:tc>
          <w:tcPr>
            <w:tcW w:w="1350" w:type="dxa"/>
            <w:tcBorders>
              <w:top w:val="single" w:sz="4" w:space="0" w:color="auto"/>
              <w:bottom w:val="nil"/>
            </w:tcBorders>
          </w:tcPr>
          <w:p w14:paraId="65B287D2"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rPr>
              <w:t>-6.277640</w:t>
            </w:r>
          </w:p>
        </w:tc>
        <w:tc>
          <w:tcPr>
            <w:tcW w:w="1710" w:type="dxa"/>
            <w:tcBorders>
              <w:top w:val="single" w:sz="4" w:space="0" w:color="auto"/>
              <w:bottom w:val="nil"/>
            </w:tcBorders>
          </w:tcPr>
          <w:p w14:paraId="0D115DBB"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rPr>
              <w:t>-2.957110</w:t>
            </w:r>
          </w:p>
        </w:tc>
        <w:tc>
          <w:tcPr>
            <w:tcW w:w="1530" w:type="dxa"/>
            <w:tcBorders>
              <w:top w:val="single" w:sz="4" w:space="0" w:color="auto"/>
              <w:bottom w:val="nil"/>
            </w:tcBorders>
          </w:tcPr>
          <w:p w14:paraId="6E458B9F"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rPr>
              <w:t>0.0000</w:t>
            </w:r>
          </w:p>
        </w:tc>
        <w:tc>
          <w:tcPr>
            <w:tcW w:w="1890" w:type="dxa"/>
            <w:tcBorders>
              <w:top w:val="single" w:sz="4" w:space="0" w:color="auto"/>
              <w:bottom w:val="nil"/>
            </w:tcBorders>
          </w:tcPr>
          <w:p w14:paraId="7D0A57E8"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rPr>
              <w:t>Stationary</w:t>
            </w:r>
          </w:p>
        </w:tc>
        <w:tc>
          <w:tcPr>
            <w:tcW w:w="1440" w:type="dxa"/>
            <w:gridSpan w:val="2"/>
            <w:tcBorders>
              <w:top w:val="single" w:sz="4" w:space="0" w:color="auto"/>
              <w:bottom w:val="nil"/>
            </w:tcBorders>
          </w:tcPr>
          <w:p w14:paraId="10DB56F2"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rPr>
              <w:t>I(1)</w:t>
            </w:r>
          </w:p>
        </w:tc>
      </w:tr>
      <w:tr w:rsidR="00FA2E45" w:rsidRPr="00D37C9A" w14:paraId="4F63A6D8" w14:textId="77777777" w:rsidTr="00B40C47">
        <w:tc>
          <w:tcPr>
            <w:tcW w:w="1620" w:type="dxa"/>
          </w:tcPr>
          <w:p w14:paraId="1DC04BB2"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eastAsia="Times New Roman" w:hAnsi="Times New Roman" w:cs="Times New Roman"/>
              </w:rPr>
              <w:t>LOG(</w:t>
            </w:r>
            <w:r w:rsidRPr="00D37C9A">
              <w:rPr>
                <w:rFonts w:ascii="Times New Roman" w:hAnsi="Times New Roman" w:cs="Times New Roman"/>
                <w:bCs/>
              </w:rPr>
              <w:t>AGO)</w:t>
            </w:r>
          </w:p>
        </w:tc>
        <w:tc>
          <w:tcPr>
            <w:tcW w:w="1350" w:type="dxa"/>
          </w:tcPr>
          <w:p w14:paraId="7524BC5C"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-6.063057</w:t>
            </w:r>
          </w:p>
        </w:tc>
        <w:tc>
          <w:tcPr>
            <w:tcW w:w="1710" w:type="dxa"/>
          </w:tcPr>
          <w:p w14:paraId="1D5B0751"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-2.960411</w:t>
            </w:r>
          </w:p>
        </w:tc>
        <w:tc>
          <w:tcPr>
            <w:tcW w:w="1530" w:type="dxa"/>
          </w:tcPr>
          <w:p w14:paraId="4834657F"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0.0000</w:t>
            </w:r>
          </w:p>
        </w:tc>
        <w:tc>
          <w:tcPr>
            <w:tcW w:w="1890" w:type="dxa"/>
          </w:tcPr>
          <w:p w14:paraId="1D26A662"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rPr>
              <w:t>Stationary</w:t>
            </w:r>
          </w:p>
        </w:tc>
        <w:tc>
          <w:tcPr>
            <w:tcW w:w="1440" w:type="dxa"/>
            <w:gridSpan w:val="2"/>
          </w:tcPr>
          <w:p w14:paraId="6EC9D0FF"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rPr>
              <w:t>I(1)</w:t>
            </w:r>
          </w:p>
        </w:tc>
      </w:tr>
      <w:tr w:rsidR="00FA2E45" w:rsidRPr="00D37C9A" w14:paraId="5222B814" w14:textId="77777777" w:rsidTr="00B40C47">
        <w:tc>
          <w:tcPr>
            <w:tcW w:w="1620" w:type="dxa"/>
          </w:tcPr>
          <w:p w14:paraId="3D048F00"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lastRenderedPageBreak/>
              <w:t>LOG(</w:t>
            </w:r>
            <w:r w:rsidRPr="00D37C9A">
              <w:rPr>
                <w:rFonts w:ascii="Times New Roman" w:hAnsi="Times New Roman" w:cs="Times New Roman"/>
              </w:rPr>
              <w:t>PMS)</w:t>
            </w:r>
          </w:p>
        </w:tc>
        <w:tc>
          <w:tcPr>
            <w:tcW w:w="1350" w:type="dxa"/>
          </w:tcPr>
          <w:p w14:paraId="72EEC75E"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-8.776263</w:t>
            </w:r>
          </w:p>
        </w:tc>
        <w:tc>
          <w:tcPr>
            <w:tcW w:w="1710" w:type="dxa"/>
          </w:tcPr>
          <w:p w14:paraId="4D634F38"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-2.960411</w:t>
            </w:r>
          </w:p>
        </w:tc>
        <w:tc>
          <w:tcPr>
            <w:tcW w:w="1530" w:type="dxa"/>
          </w:tcPr>
          <w:p w14:paraId="75E2EABC"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0.0000</w:t>
            </w:r>
          </w:p>
        </w:tc>
        <w:tc>
          <w:tcPr>
            <w:tcW w:w="1890" w:type="dxa"/>
          </w:tcPr>
          <w:p w14:paraId="1D5434DF"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rPr>
              <w:t>Stationary</w:t>
            </w:r>
          </w:p>
        </w:tc>
        <w:tc>
          <w:tcPr>
            <w:tcW w:w="1440" w:type="dxa"/>
            <w:gridSpan w:val="2"/>
          </w:tcPr>
          <w:p w14:paraId="427D0B2E"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rPr>
              <w:t>I(1)</w:t>
            </w:r>
          </w:p>
        </w:tc>
      </w:tr>
      <w:tr w:rsidR="00FA2E45" w:rsidRPr="00D37C9A" w14:paraId="1FDFA13D" w14:textId="77777777" w:rsidTr="00B40C47">
        <w:tc>
          <w:tcPr>
            <w:tcW w:w="1620" w:type="dxa"/>
          </w:tcPr>
          <w:p w14:paraId="18FCC557"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rPr>
              <w:t>SEC)</w:t>
            </w:r>
          </w:p>
        </w:tc>
        <w:tc>
          <w:tcPr>
            <w:tcW w:w="1350" w:type="dxa"/>
          </w:tcPr>
          <w:p w14:paraId="342B4790"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-5.980101</w:t>
            </w:r>
          </w:p>
        </w:tc>
        <w:tc>
          <w:tcPr>
            <w:tcW w:w="1710" w:type="dxa"/>
          </w:tcPr>
          <w:p w14:paraId="7B65388C"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-2.957110</w:t>
            </w:r>
          </w:p>
        </w:tc>
        <w:tc>
          <w:tcPr>
            <w:tcW w:w="1530" w:type="dxa"/>
          </w:tcPr>
          <w:p w14:paraId="75375FDF"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0.0000</w:t>
            </w:r>
          </w:p>
        </w:tc>
        <w:tc>
          <w:tcPr>
            <w:tcW w:w="1890" w:type="dxa"/>
          </w:tcPr>
          <w:p w14:paraId="6865E884"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rPr>
              <w:t>Stationary</w:t>
            </w:r>
          </w:p>
        </w:tc>
        <w:tc>
          <w:tcPr>
            <w:tcW w:w="1440" w:type="dxa"/>
            <w:gridSpan w:val="2"/>
          </w:tcPr>
          <w:p w14:paraId="28960F8F"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rPr>
              <w:t>I(1)</w:t>
            </w:r>
          </w:p>
        </w:tc>
      </w:tr>
      <w:tr w:rsidR="00FA2E45" w:rsidRPr="00D37C9A" w14:paraId="4859CF7A" w14:textId="77777777" w:rsidTr="00B40C47">
        <w:tc>
          <w:tcPr>
            <w:tcW w:w="1620" w:type="dxa"/>
          </w:tcPr>
          <w:p w14:paraId="61397527"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rPr>
              <w:t>HPC)</w:t>
            </w:r>
          </w:p>
        </w:tc>
        <w:tc>
          <w:tcPr>
            <w:tcW w:w="1350" w:type="dxa"/>
          </w:tcPr>
          <w:p w14:paraId="74504AC2"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w:t>
            </w:r>
          </w:p>
        </w:tc>
        <w:tc>
          <w:tcPr>
            <w:tcW w:w="1710" w:type="dxa"/>
          </w:tcPr>
          <w:p w14:paraId="4750DC67"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w:t>
            </w:r>
          </w:p>
        </w:tc>
        <w:tc>
          <w:tcPr>
            <w:tcW w:w="1530" w:type="dxa"/>
          </w:tcPr>
          <w:p w14:paraId="042432DD"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w:t>
            </w:r>
          </w:p>
        </w:tc>
        <w:tc>
          <w:tcPr>
            <w:tcW w:w="1890" w:type="dxa"/>
          </w:tcPr>
          <w:p w14:paraId="7BBFFAC9"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rPr>
              <w:t>-</w:t>
            </w:r>
          </w:p>
        </w:tc>
        <w:tc>
          <w:tcPr>
            <w:tcW w:w="1440" w:type="dxa"/>
            <w:gridSpan w:val="2"/>
          </w:tcPr>
          <w:p w14:paraId="0F04DB32"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rPr>
              <w:t>I(0)</w:t>
            </w:r>
          </w:p>
        </w:tc>
      </w:tr>
      <w:tr w:rsidR="00FA2E45" w:rsidRPr="00D37C9A" w14:paraId="1FDF55A3" w14:textId="77777777" w:rsidTr="00B40C47">
        <w:tc>
          <w:tcPr>
            <w:tcW w:w="1620" w:type="dxa"/>
          </w:tcPr>
          <w:p w14:paraId="38794BA5"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LOG(NGC)</w:t>
            </w:r>
          </w:p>
        </w:tc>
        <w:tc>
          <w:tcPr>
            <w:tcW w:w="1350" w:type="dxa"/>
          </w:tcPr>
          <w:p w14:paraId="2057C7FE"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-7.775854</w:t>
            </w:r>
          </w:p>
        </w:tc>
        <w:tc>
          <w:tcPr>
            <w:tcW w:w="1710" w:type="dxa"/>
          </w:tcPr>
          <w:p w14:paraId="62A026F3"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-2.957110</w:t>
            </w:r>
          </w:p>
        </w:tc>
        <w:tc>
          <w:tcPr>
            <w:tcW w:w="1530" w:type="dxa"/>
          </w:tcPr>
          <w:p w14:paraId="350323A7"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0.0000</w:t>
            </w:r>
          </w:p>
        </w:tc>
        <w:tc>
          <w:tcPr>
            <w:tcW w:w="1890" w:type="dxa"/>
          </w:tcPr>
          <w:p w14:paraId="547B7C4F"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Stationary</w:t>
            </w:r>
          </w:p>
        </w:tc>
        <w:tc>
          <w:tcPr>
            <w:tcW w:w="1440" w:type="dxa"/>
            <w:gridSpan w:val="2"/>
          </w:tcPr>
          <w:p w14:paraId="205CB6D9"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I(1)</w:t>
            </w:r>
          </w:p>
        </w:tc>
      </w:tr>
    </w:tbl>
    <w:bookmarkEnd w:id="8"/>
    <w:p w14:paraId="55E50789" w14:textId="77777777" w:rsidR="00FA2E45" w:rsidRPr="00D37C9A" w:rsidRDefault="00FA2E45" w:rsidP="00D37C9A">
      <w:pPr>
        <w:jc w:val="both"/>
        <w:rPr>
          <w:rFonts w:ascii="Times New Roman" w:hAnsi="Times New Roman" w:cs="Times New Roman"/>
          <w:i/>
        </w:rPr>
      </w:pPr>
      <w:r w:rsidRPr="00D37C9A">
        <w:rPr>
          <w:rFonts w:ascii="Times New Roman" w:hAnsi="Times New Roman" w:cs="Times New Roman"/>
          <w:b/>
          <w:iCs/>
        </w:rPr>
        <w:t>Source:</w:t>
      </w:r>
      <w:r w:rsidRPr="00D37C9A">
        <w:rPr>
          <w:rFonts w:ascii="Times New Roman" w:hAnsi="Times New Roman" w:cs="Times New Roman"/>
          <w:i/>
        </w:rPr>
        <w:t xml:space="preserve"> Computation by author (2025).</w:t>
      </w:r>
    </w:p>
    <w:p w14:paraId="20035327" w14:textId="75C0D3C5" w:rsidR="00E024F7" w:rsidRPr="00D37C9A" w:rsidRDefault="00FA2E45" w:rsidP="00D37C9A">
      <w:pPr>
        <w:spacing w:after="160"/>
        <w:jc w:val="both"/>
        <w:rPr>
          <w:rFonts w:ascii="Times New Roman" w:hAnsi="Times New Roman" w:cs="Times New Roman"/>
          <w:bCs/>
          <w:iCs/>
        </w:rPr>
      </w:pPr>
      <w:bookmarkStart w:id="9" w:name="_Hlk197872421"/>
      <w:r w:rsidRPr="00D37C9A">
        <w:rPr>
          <w:rFonts w:ascii="Times New Roman" w:hAnsi="Times New Roman" w:cs="Times New Roman"/>
        </w:rPr>
        <w:t xml:space="preserve">The ADF unit root test result presented in Table 2 </w:t>
      </w:r>
      <w:r w:rsidR="00E024F7" w:rsidRPr="00D37C9A">
        <w:rPr>
          <w:rFonts w:ascii="Times New Roman" w:hAnsi="Times New Roman" w:cs="Times New Roman"/>
        </w:rPr>
        <w:t xml:space="preserve">showed that hydropower energy consumption (HPC) is stationary at level or integrated of order zero, I(0). On the other hand, poverty rate (POR), automotive gas oil consumption (AGO), premium motor spirit consumption (PMS), solar energy consumption (SEC) and natural gas-to-power consumption (NGC), were all </w:t>
      </w:r>
      <w:r w:rsidR="00E024F7" w:rsidRPr="00D37C9A">
        <w:rPr>
          <w:rFonts w:ascii="Times New Roman" w:hAnsi="Times New Roman" w:cs="Times New Roman"/>
          <w:bCs/>
          <w:iCs/>
        </w:rPr>
        <w:t>stationary at first difference or integrated of order one, I(1). Since the dataset contains a mix of I(0) and I(1) variables, traditional regression techniques like Ordinary Least Squares (OLS) are inappropriate. Instead, methods such as the Autoregressive Distributed Lag (ARDL) model or cointegration approaches are more suitable, as they can handle both I(0) and I(1) series. Ignoring these integration properties could lead to misleading or spurious results in estimating the impact of energy consumption on economic development indicators in Nigeria.</w:t>
      </w:r>
    </w:p>
    <w:p w14:paraId="21859FEE" w14:textId="4F5DC786" w:rsidR="00E024F7" w:rsidRPr="00D37C9A" w:rsidRDefault="00FA2E45" w:rsidP="00D37C9A">
      <w:pPr>
        <w:tabs>
          <w:tab w:val="left" w:pos="270"/>
          <w:tab w:val="left" w:pos="10710"/>
          <w:tab w:val="left" w:pos="11160"/>
          <w:tab w:val="left" w:pos="11250"/>
        </w:tabs>
        <w:spacing w:after="0"/>
        <w:jc w:val="both"/>
        <w:rPr>
          <w:rFonts w:ascii="Times New Roman" w:hAnsi="Times New Roman" w:cs="Times New Roman"/>
          <w:bCs/>
          <w:iCs/>
        </w:rPr>
      </w:pPr>
      <w:r w:rsidRPr="00D37C9A">
        <w:rPr>
          <w:rFonts w:ascii="Times New Roman" w:hAnsi="Times New Roman" w:cs="Times New Roman"/>
          <w:b/>
          <w:bCs/>
          <w:iCs/>
        </w:rPr>
        <w:t xml:space="preserve">Correlation Analysis </w:t>
      </w:r>
    </w:p>
    <w:p w14:paraId="1E5530F9" w14:textId="0484CA64" w:rsidR="00FA2E45" w:rsidRPr="00D37C9A" w:rsidRDefault="00FA2E45" w:rsidP="00D37C9A">
      <w:pPr>
        <w:spacing w:after="0"/>
        <w:jc w:val="both"/>
        <w:rPr>
          <w:rFonts w:ascii="Times New Roman" w:hAnsi="Times New Roman" w:cs="Times New Roman"/>
          <w:bCs/>
          <w:iCs/>
        </w:rPr>
      </w:pPr>
      <w:r w:rsidRPr="00D37C9A">
        <w:rPr>
          <w:rFonts w:ascii="Times New Roman" w:hAnsi="Times New Roman" w:cs="Times New Roman"/>
          <w:bCs/>
          <w:iCs/>
        </w:rPr>
        <w:t>Table 3 displays the upshots of the correlation matrix of model one (POR model):</w:t>
      </w:r>
    </w:p>
    <w:p w14:paraId="45448D2F" w14:textId="5CD7FAA6" w:rsidR="00FA2E45" w:rsidRPr="00D37C9A" w:rsidRDefault="00FA2E45" w:rsidP="00D37C9A">
      <w:pPr>
        <w:spacing w:after="0"/>
        <w:rPr>
          <w:rFonts w:ascii="Times New Roman" w:hAnsi="Times New Roman" w:cs="Times New Roman"/>
          <w:b/>
          <w:bCs/>
        </w:rPr>
      </w:pPr>
      <w:r w:rsidRPr="00D37C9A">
        <w:rPr>
          <w:rFonts w:ascii="Times New Roman" w:hAnsi="Times New Roman" w:cs="Times New Roman"/>
          <w:b/>
          <w:bCs/>
        </w:rPr>
        <w:t xml:space="preserve">Table 3: Correlation Matrix of </w:t>
      </w:r>
      <w:r w:rsidRPr="00D37C9A">
        <w:rPr>
          <w:rFonts w:ascii="Times New Roman" w:hAnsi="Times New Roman" w:cs="Times New Roman"/>
          <w:b/>
          <w:bCs/>
          <w:iCs/>
        </w:rPr>
        <w:t>POR Model</w:t>
      </w:r>
    </w:p>
    <w:tbl>
      <w:tblPr>
        <w:tblW w:w="10136" w:type="dxa"/>
        <w:tblBorders>
          <w:top w:val="single" w:sz="4" w:space="0" w:color="auto"/>
          <w:bottom w:val="single" w:sz="4" w:space="0" w:color="auto"/>
        </w:tblBorders>
        <w:tblLook w:val="04A0" w:firstRow="1" w:lastRow="0" w:firstColumn="1" w:lastColumn="0" w:noHBand="0" w:noVBand="1"/>
      </w:tblPr>
      <w:tblGrid>
        <w:gridCol w:w="1391"/>
        <w:gridCol w:w="1523"/>
        <w:gridCol w:w="1456"/>
        <w:gridCol w:w="1530"/>
        <w:gridCol w:w="1377"/>
        <w:gridCol w:w="1416"/>
        <w:gridCol w:w="1443"/>
      </w:tblGrid>
      <w:tr w:rsidR="00FA2E45" w:rsidRPr="00D37C9A" w14:paraId="22175D6B" w14:textId="77777777" w:rsidTr="00B40C47">
        <w:trPr>
          <w:trHeight w:val="300"/>
        </w:trPr>
        <w:tc>
          <w:tcPr>
            <w:tcW w:w="1391" w:type="dxa"/>
            <w:tcBorders>
              <w:top w:val="single" w:sz="4" w:space="0" w:color="auto"/>
              <w:bottom w:val="single" w:sz="4" w:space="0" w:color="auto"/>
            </w:tcBorders>
            <w:noWrap/>
            <w:hideMark/>
          </w:tcPr>
          <w:p w14:paraId="71E91DE9" w14:textId="77777777" w:rsidR="00FA2E45" w:rsidRPr="00D37C9A" w:rsidRDefault="00FA2E45" w:rsidP="00D37C9A">
            <w:pPr>
              <w:spacing w:after="0"/>
              <w:rPr>
                <w:rFonts w:ascii="Times New Roman" w:hAnsi="Times New Roman" w:cs="Times New Roman"/>
                <w:b/>
                <w:bCs/>
              </w:rPr>
            </w:pPr>
          </w:p>
        </w:tc>
        <w:tc>
          <w:tcPr>
            <w:tcW w:w="1523" w:type="dxa"/>
            <w:tcBorders>
              <w:top w:val="single" w:sz="4" w:space="0" w:color="auto"/>
              <w:bottom w:val="single" w:sz="4" w:space="0" w:color="auto"/>
            </w:tcBorders>
            <w:noWrap/>
            <w:hideMark/>
          </w:tcPr>
          <w:p w14:paraId="172D6BAF" w14:textId="77777777" w:rsidR="00FA2E45" w:rsidRPr="00D37C9A" w:rsidRDefault="00FA2E45" w:rsidP="00D37C9A">
            <w:pPr>
              <w:spacing w:after="0"/>
              <w:jc w:val="center"/>
              <w:rPr>
                <w:rFonts w:ascii="Times New Roman" w:hAnsi="Times New Roman" w:cs="Times New Roman"/>
                <w:b/>
              </w:rPr>
            </w:pPr>
            <w:r w:rsidRPr="00D37C9A">
              <w:rPr>
                <w:rFonts w:ascii="Times New Roman" w:eastAsia="Times New Roman" w:hAnsi="Times New Roman" w:cs="Times New Roman"/>
                <w:b/>
              </w:rPr>
              <w:t>LOG(</w:t>
            </w:r>
            <w:r w:rsidRPr="00D37C9A">
              <w:rPr>
                <w:rFonts w:ascii="Times New Roman" w:hAnsi="Times New Roman" w:cs="Times New Roman"/>
                <w:b/>
              </w:rPr>
              <w:t>POR)</w:t>
            </w:r>
          </w:p>
        </w:tc>
        <w:tc>
          <w:tcPr>
            <w:tcW w:w="1456" w:type="dxa"/>
            <w:tcBorders>
              <w:top w:val="single" w:sz="4" w:space="0" w:color="auto"/>
              <w:bottom w:val="single" w:sz="4" w:space="0" w:color="auto"/>
            </w:tcBorders>
            <w:noWrap/>
            <w:hideMark/>
          </w:tcPr>
          <w:p w14:paraId="4488CBC0" w14:textId="77777777" w:rsidR="00FA2E45" w:rsidRPr="00D37C9A" w:rsidRDefault="00FA2E45" w:rsidP="00D37C9A">
            <w:pPr>
              <w:spacing w:after="0"/>
              <w:jc w:val="center"/>
              <w:rPr>
                <w:rFonts w:ascii="Times New Roman" w:hAnsi="Times New Roman" w:cs="Times New Roman"/>
                <w:b/>
              </w:rPr>
            </w:pPr>
            <w:r w:rsidRPr="00D37C9A">
              <w:rPr>
                <w:rFonts w:ascii="Times New Roman" w:eastAsia="Times New Roman" w:hAnsi="Times New Roman" w:cs="Times New Roman"/>
                <w:b/>
              </w:rPr>
              <w:t>LOG(</w:t>
            </w:r>
            <w:r w:rsidRPr="00D37C9A">
              <w:rPr>
                <w:rFonts w:ascii="Times New Roman" w:hAnsi="Times New Roman" w:cs="Times New Roman"/>
                <w:b/>
                <w:bCs/>
              </w:rPr>
              <w:t>AGO)</w:t>
            </w:r>
          </w:p>
        </w:tc>
        <w:tc>
          <w:tcPr>
            <w:tcW w:w="1530" w:type="dxa"/>
            <w:tcBorders>
              <w:top w:val="single" w:sz="4" w:space="0" w:color="auto"/>
              <w:bottom w:val="single" w:sz="4" w:space="0" w:color="auto"/>
            </w:tcBorders>
            <w:noWrap/>
            <w:hideMark/>
          </w:tcPr>
          <w:p w14:paraId="4EFD60E9" w14:textId="77777777" w:rsidR="00FA2E45" w:rsidRPr="00D37C9A" w:rsidRDefault="00FA2E45" w:rsidP="00D37C9A">
            <w:pPr>
              <w:spacing w:after="0"/>
              <w:jc w:val="center"/>
              <w:rPr>
                <w:rFonts w:ascii="Times New Roman" w:hAnsi="Times New Roman" w:cs="Times New Roman"/>
                <w:b/>
              </w:rPr>
            </w:pPr>
            <w:r w:rsidRPr="00D37C9A">
              <w:rPr>
                <w:rFonts w:ascii="Times New Roman" w:eastAsia="Times New Roman" w:hAnsi="Times New Roman" w:cs="Times New Roman"/>
                <w:b/>
              </w:rPr>
              <w:t>LOG(</w:t>
            </w:r>
            <w:r w:rsidRPr="00D37C9A">
              <w:rPr>
                <w:rFonts w:ascii="Times New Roman" w:hAnsi="Times New Roman" w:cs="Times New Roman"/>
                <w:b/>
              </w:rPr>
              <w:t>PMS)</w:t>
            </w:r>
          </w:p>
        </w:tc>
        <w:tc>
          <w:tcPr>
            <w:tcW w:w="1377" w:type="dxa"/>
            <w:tcBorders>
              <w:top w:val="single" w:sz="4" w:space="0" w:color="auto"/>
              <w:bottom w:val="single" w:sz="4" w:space="0" w:color="auto"/>
            </w:tcBorders>
            <w:noWrap/>
          </w:tcPr>
          <w:p w14:paraId="697BB484" w14:textId="77777777" w:rsidR="00FA2E45" w:rsidRPr="00D37C9A" w:rsidRDefault="00FA2E45" w:rsidP="00D37C9A">
            <w:pPr>
              <w:spacing w:after="0"/>
              <w:jc w:val="center"/>
              <w:rPr>
                <w:rFonts w:ascii="Times New Roman" w:hAnsi="Times New Roman" w:cs="Times New Roman"/>
                <w:b/>
              </w:rPr>
            </w:pPr>
            <w:r w:rsidRPr="00D37C9A">
              <w:rPr>
                <w:rFonts w:ascii="Times New Roman" w:eastAsia="Times New Roman" w:hAnsi="Times New Roman" w:cs="Times New Roman"/>
                <w:b/>
              </w:rPr>
              <w:t>LOG(</w:t>
            </w:r>
            <w:r w:rsidRPr="00D37C9A">
              <w:rPr>
                <w:rFonts w:ascii="Times New Roman" w:hAnsi="Times New Roman" w:cs="Times New Roman"/>
                <w:b/>
              </w:rPr>
              <w:t>SEC)</w:t>
            </w:r>
          </w:p>
        </w:tc>
        <w:tc>
          <w:tcPr>
            <w:tcW w:w="1416" w:type="dxa"/>
            <w:tcBorders>
              <w:top w:val="single" w:sz="4" w:space="0" w:color="auto"/>
              <w:bottom w:val="single" w:sz="4" w:space="0" w:color="auto"/>
            </w:tcBorders>
          </w:tcPr>
          <w:p w14:paraId="49C91F0B" w14:textId="77777777" w:rsidR="00FA2E45" w:rsidRPr="00D37C9A" w:rsidRDefault="00FA2E45" w:rsidP="00D37C9A">
            <w:pPr>
              <w:spacing w:after="0"/>
              <w:jc w:val="center"/>
              <w:rPr>
                <w:rFonts w:ascii="Times New Roman" w:eastAsia="Calibri" w:hAnsi="Times New Roman" w:cs="Times New Roman"/>
                <w:b/>
              </w:rPr>
            </w:pPr>
            <w:r w:rsidRPr="00D37C9A">
              <w:rPr>
                <w:rFonts w:ascii="Times New Roman" w:eastAsia="Times New Roman" w:hAnsi="Times New Roman" w:cs="Times New Roman"/>
                <w:b/>
              </w:rPr>
              <w:t>LOG(</w:t>
            </w:r>
            <w:r w:rsidRPr="00D37C9A">
              <w:rPr>
                <w:rFonts w:ascii="Times New Roman" w:hAnsi="Times New Roman" w:cs="Times New Roman"/>
                <w:b/>
              </w:rPr>
              <w:t>HPC)</w:t>
            </w:r>
          </w:p>
        </w:tc>
        <w:tc>
          <w:tcPr>
            <w:tcW w:w="1443" w:type="dxa"/>
            <w:tcBorders>
              <w:top w:val="single" w:sz="4" w:space="0" w:color="auto"/>
              <w:bottom w:val="single" w:sz="4" w:space="0" w:color="auto"/>
            </w:tcBorders>
          </w:tcPr>
          <w:p w14:paraId="43B8C2D6" w14:textId="77777777" w:rsidR="00FA2E45" w:rsidRPr="00D37C9A" w:rsidRDefault="00FA2E45" w:rsidP="00D37C9A">
            <w:pPr>
              <w:spacing w:after="0"/>
              <w:jc w:val="center"/>
              <w:rPr>
                <w:rFonts w:ascii="Times New Roman" w:hAnsi="Times New Roman" w:cs="Times New Roman"/>
                <w:b/>
              </w:rPr>
            </w:pPr>
            <w:r w:rsidRPr="00D37C9A">
              <w:rPr>
                <w:rFonts w:ascii="Times New Roman" w:eastAsia="Times New Roman" w:hAnsi="Times New Roman" w:cs="Times New Roman"/>
                <w:b/>
              </w:rPr>
              <w:t>LOG(NGC)</w:t>
            </w:r>
          </w:p>
        </w:tc>
      </w:tr>
      <w:tr w:rsidR="00FA2E45" w:rsidRPr="00D37C9A" w14:paraId="1C28FF78" w14:textId="77777777" w:rsidTr="00B40C47">
        <w:trPr>
          <w:trHeight w:val="300"/>
        </w:trPr>
        <w:tc>
          <w:tcPr>
            <w:tcW w:w="1391" w:type="dxa"/>
            <w:tcBorders>
              <w:top w:val="single" w:sz="4" w:space="0" w:color="auto"/>
            </w:tcBorders>
            <w:noWrap/>
            <w:hideMark/>
          </w:tcPr>
          <w:p w14:paraId="756784E5"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rPr>
              <w:t>POR)</w:t>
            </w:r>
          </w:p>
        </w:tc>
        <w:tc>
          <w:tcPr>
            <w:tcW w:w="1523" w:type="dxa"/>
            <w:tcBorders>
              <w:top w:val="single" w:sz="4" w:space="0" w:color="auto"/>
            </w:tcBorders>
            <w:noWrap/>
            <w:vAlign w:val="bottom"/>
            <w:hideMark/>
          </w:tcPr>
          <w:p w14:paraId="1F6239C8"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1</w:t>
            </w:r>
          </w:p>
        </w:tc>
        <w:tc>
          <w:tcPr>
            <w:tcW w:w="1456" w:type="dxa"/>
            <w:tcBorders>
              <w:top w:val="single" w:sz="4" w:space="0" w:color="auto"/>
            </w:tcBorders>
            <w:noWrap/>
            <w:vAlign w:val="bottom"/>
          </w:tcPr>
          <w:p w14:paraId="164F7969" w14:textId="77777777" w:rsidR="00FA2E45" w:rsidRPr="00D37C9A" w:rsidRDefault="00FA2E45" w:rsidP="00D37C9A">
            <w:pPr>
              <w:spacing w:after="0"/>
              <w:jc w:val="center"/>
              <w:rPr>
                <w:rFonts w:ascii="Times New Roman" w:eastAsia="Times New Roman" w:hAnsi="Times New Roman" w:cs="Times New Roman"/>
              </w:rPr>
            </w:pPr>
          </w:p>
        </w:tc>
        <w:tc>
          <w:tcPr>
            <w:tcW w:w="1530" w:type="dxa"/>
            <w:tcBorders>
              <w:top w:val="single" w:sz="4" w:space="0" w:color="auto"/>
            </w:tcBorders>
            <w:noWrap/>
            <w:vAlign w:val="bottom"/>
          </w:tcPr>
          <w:p w14:paraId="01F17D20" w14:textId="77777777" w:rsidR="00FA2E45" w:rsidRPr="00D37C9A" w:rsidRDefault="00FA2E45" w:rsidP="00D37C9A">
            <w:pPr>
              <w:spacing w:after="0"/>
              <w:jc w:val="center"/>
              <w:rPr>
                <w:rFonts w:ascii="Times New Roman" w:eastAsia="Times New Roman" w:hAnsi="Times New Roman" w:cs="Times New Roman"/>
              </w:rPr>
            </w:pPr>
          </w:p>
        </w:tc>
        <w:tc>
          <w:tcPr>
            <w:tcW w:w="1377" w:type="dxa"/>
            <w:tcBorders>
              <w:top w:val="single" w:sz="4" w:space="0" w:color="auto"/>
            </w:tcBorders>
            <w:noWrap/>
            <w:vAlign w:val="bottom"/>
          </w:tcPr>
          <w:p w14:paraId="2859EF25" w14:textId="77777777" w:rsidR="00FA2E45" w:rsidRPr="00D37C9A" w:rsidRDefault="00FA2E45" w:rsidP="00D37C9A">
            <w:pPr>
              <w:spacing w:after="0"/>
              <w:jc w:val="center"/>
              <w:rPr>
                <w:rFonts w:ascii="Times New Roman" w:eastAsia="Times New Roman" w:hAnsi="Times New Roman" w:cs="Times New Roman"/>
              </w:rPr>
            </w:pPr>
          </w:p>
        </w:tc>
        <w:tc>
          <w:tcPr>
            <w:tcW w:w="1416" w:type="dxa"/>
            <w:tcBorders>
              <w:top w:val="single" w:sz="4" w:space="0" w:color="auto"/>
            </w:tcBorders>
            <w:vAlign w:val="bottom"/>
          </w:tcPr>
          <w:p w14:paraId="1D3832F7" w14:textId="77777777" w:rsidR="00FA2E45" w:rsidRPr="00D37C9A" w:rsidRDefault="00FA2E45" w:rsidP="00D37C9A">
            <w:pPr>
              <w:spacing w:after="0"/>
              <w:jc w:val="center"/>
              <w:rPr>
                <w:rFonts w:ascii="Times New Roman" w:eastAsia="Times New Roman" w:hAnsi="Times New Roman" w:cs="Times New Roman"/>
              </w:rPr>
            </w:pPr>
          </w:p>
        </w:tc>
        <w:tc>
          <w:tcPr>
            <w:tcW w:w="1443" w:type="dxa"/>
            <w:tcBorders>
              <w:top w:val="single" w:sz="4" w:space="0" w:color="auto"/>
            </w:tcBorders>
            <w:vAlign w:val="bottom"/>
          </w:tcPr>
          <w:p w14:paraId="1007F404" w14:textId="77777777" w:rsidR="00FA2E45" w:rsidRPr="00D37C9A" w:rsidRDefault="00FA2E45" w:rsidP="00D37C9A">
            <w:pPr>
              <w:spacing w:after="0"/>
              <w:jc w:val="center"/>
              <w:rPr>
                <w:rFonts w:ascii="Times New Roman" w:eastAsia="Times New Roman" w:hAnsi="Times New Roman" w:cs="Times New Roman"/>
              </w:rPr>
            </w:pPr>
          </w:p>
        </w:tc>
      </w:tr>
      <w:tr w:rsidR="00FA2E45" w:rsidRPr="00D37C9A" w14:paraId="04582DE1" w14:textId="77777777" w:rsidTr="00B40C47">
        <w:trPr>
          <w:trHeight w:val="300"/>
        </w:trPr>
        <w:tc>
          <w:tcPr>
            <w:tcW w:w="1391" w:type="dxa"/>
            <w:noWrap/>
            <w:hideMark/>
          </w:tcPr>
          <w:p w14:paraId="6BDD530B"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bCs/>
              </w:rPr>
              <w:t>AGO)</w:t>
            </w:r>
          </w:p>
        </w:tc>
        <w:tc>
          <w:tcPr>
            <w:tcW w:w="1523" w:type="dxa"/>
            <w:noWrap/>
            <w:vAlign w:val="bottom"/>
            <w:hideMark/>
          </w:tcPr>
          <w:p w14:paraId="24C7AC88"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-0.163689</w:t>
            </w:r>
          </w:p>
        </w:tc>
        <w:tc>
          <w:tcPr>
            <w:tcW w:w="1456" w:type="dxa"/>
            <w:noWrap/>
            <w:vAlign w:val="bottom"/>
            <w:hideMark/>
          </w:tcPr>
          <w:p w14:paraId="1B32A7AA"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1</w:t>
            </w:r>
          </w:p>
        </w:tc>
        <w:tc>
          <w:tcPr>
            <w:tcW w:w="1530" w:type="dxa"/>
            <w:noWrap/>
            <w:vAlign w:val="bottom"/>
          </w:tcPr>
          <w:p w14:paraId="0156D876" w14:textId="77777777" w:rsidR="00FA2E45" w:rsidRPr="00D37C9A" w:rsidRDefault="00FA2E45" w:rsidP="00D37C9A">
            <w:pPr>
              <w:spacing w:after="0"/>
              <w:jc w:val="center"/>
              <w:rPr>
                <w:rFonts w:ascii="Times New Roman" w:eastAsia="Times New Roman" w:hAnsi="Times New Roman" w:cs="Times New Roman"/>
              </w:rPr>
            </w:pPr>
          </w:p>
        </w:tc>
        <w:tc>
          <w:tcPr>
            <w:tcW w:w="1377" w:type="dxa"/>
            <w:noWrap/>
            <w:vAlign w:val="bottom"/>
          </w:tcPr>
          <w:p w14:paraId="7BBAE714" w14:textId="77777777" w:rsidR="00FA2E45" w:rsidRPr="00D37C9A" w:rsidRDefault="00FA2E45" w:rsidP="00D37C9A">
            <w:pPr>
              <w:spacing w:after="0"/>
              <w:jc w:val="center"/>
              <w:rPr>
                <w:rFonts w:ascii="Times New Roman" w:eastAsia="Times New Roman" w:hAnsi="Times New Roman" w:cs="Times New Roman"/>
              </w:rPr>
            </w:pPr>
          </w:p>
        </w:tc>
        <w:tc>
          <w:tcPr>
            <w:tcW w:w="1416" w:type="dxa"/>
            <w:vAlign w:val="bottom"/>
          </w:tcPr>
          <w:p w14:paraId="4C3FDDA8" w14:textId="77777777" w:rsidR="00FA2E45" w:rsidRPr="00D37C9A" w:rsidRDefault="00FA2E45" w:rsidP="00D37C9A">
            <w:pPr>
              <w:spacing w:after="0"/>
              <w:jc w:val="center"/>
              <w:rPr>
                <w:rFonts w:ascii="Times New Roman" w:eastAsia="Times New Roman" w:hAnsi="Times New Roman" w:cs="Times New Roman"/>
              </w:rPr>
            </w:pPr>
          </w:p>
        </w:tc>
        <w:tc>
          <w:tcPr>
            <w:tcW w:w="1443" w:type="dxa"/>
            <w:vAlign w:val="bottom"/>
          </w:tcPr>
          <w:p w14:paraId="492750EB" w14:textId="77777777" w:rsidR="00FA2E45" w:rsidRPr="00D37C9A" w:rsidRDefault="00FA2E45" w:rsidP="00D37C9A">
            <w:pPr>
              <w:spacing w:after="0"/>
              <w:jc w:val="center"/>
              <w:rPr>
                <w:rFonts w:ascii="Times New Roman" w:eastAsia="Times New Roman" w:hAnsi="Times New Roman" w:cs="Times New Roman"/>
              </w:rPr>
            </w:pPr>
          </w:p>
        </w:tc>
      </w:tr>
      <w:tr w:rsidR="00FA2E45" w:rsidRPr="00D37C9A" w14:paraId="3737C297" w14:textId="77777777" w:rsidTr="00B40C47">
        <w:trPr>
          <w:trHeight w:val="300"/>
        </w:trPr>
        <w:tc>
          <w:tcPr>
            <w:tcW w:w="1391" w:type="dxa"/>
            <w:noWrap/>
          </w:tcPr>
          <w:p w14:paraId="45E4B06F"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rPr>
              <w:t>PMS)</w:t>
            </w:r>
          </w:p>
        </w:tc>
        <w:tc>
          <w:tcPr>
            <w:tcW w:w="1523" w:type="dxa"/>
            <w:noWrap/>
            <w:vAlign w:val="bottom"/>
            <w:hideMark/>
          </w:tcPr>
          <w:p w14:paraId="715165CB"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-0.548797</w:t>
            </w:r>
          </w:p>
        </w:tc>
        <w:tc>
          <w:tcPr>
            <w:tcW w:w="1456" w:type="dxa"/>
            <w:noWrap/>
            <w:vAlign w:val="bottom"/>
            <w:hideMark/>
          </w:tcPr>
          <w:p w14:paraId="5ABB03EC"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0.29141</w:t>
            </w:r>
          </w:p>
        </w:tc>
        <w:tc>
          <w:tcPr>
            <w:tcW w:w="1530" w:type="dxa"/>
            <w:noWrap/>
            <w:vAlign w:val="bottom"/>
            <w:hideMark/>
          </w:tcPr>
          <w:p w14:paraId="53925338"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1</w:t>
            </w:r>
          </w:p>
        </w:tc>
        <w:tc>
          <w:tcPr>
            <w:tcW w:w="1377" w:type="dxa"/>
            <w:noWrap/>
            <w:vAlign w:val="bottom"/>
          </w:tcPr>
          <w:p w14:paraId="2F8F670F" w14:textId="77777777" w:rsidR="00FA2E45" w:rsidRPr="00D37C9A" w:rsidRDefault="00FA2E45" w:rsidP="00D37C9A">
            <w:pPr>
              <w:spacing w:after="0"/>
              <w:jc w:val="center"/>
              <w:rPr>
                <w:rFonts w:ascii="Times New Roman" w:eastAsia="Times New Roman" w:hAnsi="Times New Roman" w:cs="Times New Roman"/>
              </w:rPr>
            </w:pPr>
          </w:p>
        </w:tc>
        <w:tc>
          <w:tcPr>
            <w:tcW w:w="1416" w:type="dxa"/>
            <w:vAlign w:val="bottom"/>
          </w:tcPr>
          <w:p w14:paraId="2B716A84" w14:textId="77777777" w:rsidR="00FA2E45" w:rsidRPr="00D37C9A" w:rsidRDefault="00FA2E45" w:rsidP="00D37C9A">
            <w:pPr>
              <w:spacing w:after="0"/>
              <w:jc w:val="center"/>
              <w:rPr>
                <w:rFonts w:ascii="Times New Roman" w:eastAsia="Times New Roman" w:hAnsi="Times New Roman" w:cs="Times New Roman"/>
              </w:rPr>
            </w:pPr>
          </w:p>
        </w:tc>
        <w:tc>
          <w:tcPr>
            <w:tcW w:w="1443" w:type="dxa"/>
            <w:vAlign w:val="bottom"/>
          </w:tcPr>
          <w:p w14:paraId="3910090B" w14:textId="77777777" w:rsidR="00FA2E45" w:rsidRPr="00D37C9A" w:rsidRDefault="00FA2E45" w:rsidP="00D37C9A">
            <w:pPr>
              <w:spacing w:after="0"/>
              <w:jc w:val="center"/>
              <w:rPr>
                <w:rFonts w:ascii="Times New Roman" w:eastAsia="Times New Roman" w:hAnsi="Times New Roman" w:cs="Times New Roman"/>
              </w:rPr>
            </w:pPr>
          </w:p>
        </w:tc>
      </w:tr>
      <w:tr w:rsidR="00FA2E45" w:rsidRPr="00D37C9A" w14:paraId="5F493622" w14:textId="77777777" w:rsidTr="00B40C47">
        <w:trPr>
          <w:trHeight w:val="300"/>
        </w:trPr>
        <w:tc>
          <w:tcPr>
            <w:tcW w:w="1391" w:type="dxa"/>
            <w:noWrap/>
            <w:hideMark/>
          </w:tcPr>
          <w:p w14:paraId="7130DB4B"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rPr>
              <w:t>SEC)</w:t>
            </w:r>
          </w:p>
        </w:tc>
        <w:tc>
          <w:tcPr>
            <w:tcW w:w="1523" w:type="dxa"/>
            <w:noWrap/>
            <w:vAlign w:val="bottom"/>
            <w:hideMark/>
          </w:tcPr>
          <w:p w14:paraId="7A59AE2D"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-0.297684</w:t>
            </w:r>
          </w:p>
        </w:tc>
        <w:tc>
          <w:tcPr>
            <w:tcW w:w="1456" w:type="dxa"/>
            <w:noWrap/>
            <w:vAlign w:val="bottom"/>
            <w:hideMark/>
          </w:tcPr>
          <w:p w14:paraId="5D7BDDC5"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0.47097</w:t>
            </w:r>
          </w:p>
        </w:tc>
        <w:tc>
          <w:tcPr>
            <w:tcW w:w="1530" w:type="dxa"/>
            <w:noWrap/>
            <w:vAlign w:val="bottom"/>
            <w:hideMark/>
          </w:tcPr>
          <w:p w14:paraId="73F7BE48"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0.265493</w:t>
            </w:r>
          </w:p>
        </w:tc>
        <w:tc>
          <w:tcPr>
            <w:tcW w:w="1377" w:type="dxa"/>
            <w:noWrap/>
            <w:vAlign w:val="bottom"/>
            <w:hideMark/>
          </w:tcPr>
          <w:p w14:paraId="024BC9B2"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1</w:t>
            </w:r>
          </w:p>
        </w:tc>
        <w:tc>
          <w:tcPr>
            <w:tcW w:w="1416" w:type="dxa"/>
            <w:vAlign w:val="bottom"/>
          </w:tcPr>
          <w:p w14:paraId="308556C1" w14:textId="77777777" w:rsidR="00FA2E45" w:rsidRPr="00D37C9A" w:rsidRDefault="00FA2E45" w:rsidP="00D37C9A">
            <w:pPr>
              <w:spacing w:after="0"/>
              <w:jc w:val="center"/>
              <w:rPr>
                <w:rFonts w:ascii="Times New Roman" w:eastAsia="Times New Roman" w:hAnsi="Times New Roman" w:cs="Times New Roman"/>
              </w:rPr>
            </w:pPr>
          </w:p>
        </w:tc>
        <w:tc>
          <w:tcPr>
            <w:tcW w:w="1443" w:type="dxa"/>
            <w:vAlign w:val="bottom"/>
          </w:tcPr>
          <w:p w14:paraId="065E0096" w14:textId="77777777" w:rsidR="00FA2E45" w:rsidRPr="00D37C9A" w:rsidRDefault="00FA2E45" w:rsidP="00D37C9A">
            <w:pPr>
              <w:spacing w:after="0"/>
              <w:jc w:val="center"/>
              <w:rPr>
                <w:rFonts w:ascii="Times New Roman" w:eastAsia="Times New Roman" w:hAnsi="Times New Roman" w:cs="Times New Roman"/>
              </w:rPr>
            </w:pPr>
          </w:p>
        </w:tc>
      </w:tr>
      <w:tr w:rsidR="00FA2E45" w:rsidRPr="00D37C9A" w14:paraId="7C9FC55A" w14:textId="77777777" w:rsidTr="00B40C47">
        <w:trPr>
          <w:trHeight w:val="300"/>
        </w:trPr>
        <w:tc>
          <w:tcPr>
            <w:tcW w:w="1391" w:type="dxa"/>
            <w:noWrap/>
          </w:tcPr>
          <w:p w14:paraId="16AEA6AC"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rPr>
              <w:t>HPC)</w:t>
            </w:r>
          </w:p>
        </w:tc>
        <w:tc>
          <w:tcPr>
            <w:tcW w:w="1523" w:type="dxa"/>
            <w:noWrap/>
            <w:vAlign w:val="bottom"/>
          </w:tcPr>
          <w:p w14:paraId="453CD2AD"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-0.238899</w:t>
            </w:r>
          </w:p>
        </w:tc>
        <w:tc>
          <w:tcPr>
            <w:tcW w:w="1456" w:type="dxa"/>
            <w:noWrap/>
            <w:vAlign w:val="bottom"/>
          </w:tcPr>
          <w:p w14:paraId="496B078C"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0.470941</w:t>
            </w:r>
          </w:p>
        </w:tc>
        <w:tc>
          <w:tcPr>
            <w:tcW w:w="1530" w:type="dxa"/>
            <w:noWrap/>
            <w:vAlign w:val="bottom"/>
          </w:tcPr>
          <w:p w14:paraId="2A0D5164"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0.46373</w:t>
            </w:r>
          </w:p>
        </w:tc>
        <w:tc>
          <w:tcPr>
            <w:tcW w:w="1377" w:type="dxa"/>
            <w:noWrap/>
            <w:vAlign w:val="bottom"/>
          </w:tcPr>
          <w:p w14:paraId="5BF82066"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0.511715</w:t>
            </w:r>
          </w:p>
        </w:tc>
        <w:tc>
          <w:tcPr>
            <w:tcW w:w="1416" w:type="dxa"/>
            <w:vAlign w:val="bottom"/>
          </w:tcPr>
          <w:p w14:paraId="58FFD64D"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1</w:t>
            </w:r>
          </w:p>
        </w:tc>
        <w:tc>
          <w:tcPr>
            <w:tcW w:w="1443" w:type="dxa"/>
            <w:vAlign w:val="bottom"/>
          </w:tcPr>
          <w:p w14:paraId="69CD1B5E" w14:textId="77777777" w:rsidR="00FA2E45" w:rsidRPr="00D37C9A" w:rsidRDefault="00FA2E45" w:rsidP="00D37C9A">
            <w:pPr>
              <w:spacing w:after="0"/>
              <w:jc w:val="center"/>
              <w:rPr>
                <w:rFonts w:ascii="Times New Roman" w:eastAsia="Times New Roman" w:hAnsi="Times New Roman" w:cs="Times New Roman"/>
              </w:rPr>
            </w:pPr>
          </w:p>
        </w:tc>
      </w:tr>
      <w:tr w:rsidR="00FA2E45" w:rsidRPr="00D37C9A" w14:paraId="35D5B6B6" w14:textId="77777777" w:rsidTr="00B40C47">
        <w:trPr>
          <w:trHeight w:val="300"/>
        </w:trPr>
        <w:tc>
          <w:tcPr>
            <w:tcW w:w="1391" w:type="dxa"/>
            <w:noWrap/>
          </w:tcPr>
          <w:p w14:paraId="18631698"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LOG(NGC)</w:t>
            </w:r>
          </w:p>
        </w:tc>
        <w:tc>
          <w:tcPr>
            <w:tcW w:w="1523" w:type="dxa"/>
            <w:noWrap/>
            <w:vAlign w:val="bottom"/>
          </w:tcPr>
          <w:p w14:paraId="2C66734D"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-0.521219</w:t>
            </w:r>
          </w:p>
        </w:tc>
        <w:tc>
          <w:tcPr>
            <w:tcW w:w="1456" w:type="dxa"/>
            <w:noWrap/>
            <w:vAlign w:val="bottom"/>
          </w:tcPr>
          <w:p w14:paraId="71621FA5"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0.488784</w:t>
            </w:r>
          </w:p>
        </w:tc>
        <w:tc>
          <w:tcPr>
            <w:tcW w:w="1530" w:type="dxa"/>
            <w:noWrap/>
            <w:vAlign w:val="bottom"/>
          </w:tcPr>
          <w:p w14:paraId="5C64F281"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0.5861</w:t>
            </w:r>
          </w:p>
        </w:tc>
        <w:tc>
          <w:tcPr>
            <w:tcW w:w="1377" w:type="dxa"/>
            <w:noWrap/>
            <w:vAlign w:val="bottom"/>
          </w:tcPr>
          <w:p w14:paraId="27B8188E"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0.681269</w:t>
            </w:r>
          </w:p>
        </w:tc>
        <w:tc>
          <w:tcPr>
            <w:tcW w:w="1416" w:type="dxa"/>
            <w:vAlign w:val="bottom"/>
          </w:tcPr>
          <w:p w14:paraId="5C92C352"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0.445077</w:t>
            </w:r>
          </w:p>
        </w:tc>
        <w:tc>
          <w:tcPr>
            <w:tcW w:w="1443" w:type="dxa"/>
            <w:vAlign w:val="bottom"/>
          </w:tcPr>
          <w:p w14:paraId="055C026D"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1</w:t>
            </w:r>
          </w:p>
        </w:tc>
      </w:tr>
    </w:tbl>
    <w:p w14:paraId="62CF36E9" w14:textId="77777777" w:rsidR="00FA2E45" w:rsidRPr="00D37C9A" w:rsidRDefault="00FA2E45" w:rsidP="00D37C9A">
      <w:pPr>
        <w:jc w:val="both"/>
        <w:rPr>
          <w:rFonts w:ascii="Times New Roman" w:hAnsi="Times New Roman" w:cs="Times New Roman"/>
          <w:i/>
        </w:rPr>
      </w:pPr>
      <w:r w:rsidRPr="00D37C9A">
        <w:rPr>
          <w:rFonts w:ascii="Times New Roman" w:hAnsi="Times New Roman" w:cs="Times New Roman"/>
          <w:b/>
          <w:iCs/>
        </w:rPr>
        <w:t>Source:</w:t>
      </w:r>
      <w:r w:rsidRPr="00D37C9A">
        <w:rPr>
          <w:rFonts w:ascii="Times New Roman" w:hAnsi="Times New Roman" w:cs="Times New Roman"/>
          <w:i/>
        </w:rPr>
        <w:t xml:space="preserve"> Computation by author (2025).</w:t>
      </w:r>
    </w:p>
    <w:p w14:paraId="703A3183" w14:textId="6B13FDF0" w:rsidR="00FA2E45" w:rsidRPr="00D37C9A" w:rsidRDefault="00FA2E45" w:rsidP="00D37C9A">
      <w:pPr>
        <w:spacing w:after="160"/>
        <w:jc w:val="both"/>
        <w:rPr>
          <w:rFonts w:ascii="Times New Roman" w:hAnsi="Times New Roman" w:cs="Times New Roman"/>
          <w:bCs/>
        </w:rPr>
      </w:pPr>
      <w:r w:rsidRPr="00D37C9A">
        <w:rPr>
          <w:rFonts w:ascii="Times New Roman" w:eastAsia="Times New Roman" w:hAnsi="Times New Roman" w:cs="Times New Roman"/>
          <w:lang w:val="en-US"/>
          <w14:ligatures w14:val="none"/>
        </w:rPr>
        <w:t xml:space="preserve">The table presents a correlation matrix showing the strength and direction of linear relationships between the dependent variable, poverty rate (POR), and the explanatory variables, </w:t>
      </w:r>
      <w:r w:rsidRPr="00D37C9A">
        <w:rPr>
          <w:rFonts w:ascii="Times New Roman" w:hAnsi="Times New Roman" w:cs="Times New Roman"/>
        </w:rPr>
        <w:t>AGO consumption (AGO), PMS consumption, solar energy consumption, hydropower energy consumption, and natural gas-to-power consumption</w:t>
      </w:r>
      <w:r w:rsidRPr="00D37C9A">
        <w:rPr>
          <w:rFonts w:ascii="Times New Roman" w:eastAsia="Times New Roman" w:hAnsi="Times New Roman" w:cs="Times New Roman"/>
          <w:lang w:val="en-US"/>
          <w14:ligatures w14:val="none"/>
        </w:rPr>
        <w:t xml:space="preserve">. </w:t>
      </w:r>
      <w:r w:rsidR="00E024F7" w:rsidRPr="00D37C9A">
        <w:rPr>
          <w:rFonts w:ascii="Times New Roman" w:eastAsia="Times New Roman" w:hAnsi="Times New Roman" w:cs="Times New Roman"/>
          <w:lang w:val="en-US"/>
          <w14:ligatures w14:val="none"/>
        </w:rPr>
        <w:t>The results showed that a</w:t>
      </w:r>
      <w:r w:rsidRPr="00D37C9A">
        <w:rPr>
          <w:rFonts w:ascii="Times New Roman" w:eastAsia="Times New Roman" w:hAnsi="Times New Roman" w:cs="Times New Roman"/>
          <w:lang w:val="en-US"/>
          <w14:ligatures w14:val="none"/>
        </w:rPr>
        <w:t xml:space="preserve">ll </w:t>
      </w:r>
      <w:r w:rsidR="00027631" w:rsidRPr="00D37C9A">
        <w:rPr>
          <w:rFonts w:ascii="Times New Roman" w:eastAsia="Times New Roman" w:hAnsi="Times New Roman" w:cs="Times New Roman"/>
          <w:lang w:val="en-US"/>
          <w14:ligatures w14:val="none"/>
        </w:rPr>
        <w:t>correlation</w:t>
      </w:r>
      <w:r w:rsidR="00E024F7" w:rsidRPr="00D37C9A">
        <w:rPr>
          <w:rFonts w:ascii="Times New Roman" w:eastAsia="Times New Roman" w:hAnsi="Times New Roman" w:cs="Times New Roman"/>
          <w:lang w:val="en-US"/>
          <w14:ligatures w14:val="none"/>
        </w:rPr>
        <w:t xml:space="preserve"> coefficients </w:t>
      </w:r>
      <w:r w:rsidRPr="00D37C9A">
        <w:rPr>
          <w:rFonts w:ascii="Times New Roman" w:eastAsia="Times New Roman" w:hAnsi="Times New Roman" w:cs="Times New Roman"/>
          <w:lang w:val="en-US"/>
          <w14:ligatures w14:val="none"/>
        </w:rPr>
        <w:t>are below the critical threshold of 0.80, indicating that none of them suggest a multicollinearity problem. Therefore, we can confidently conclude that multicollinearity is not a concern in this model, and the independent variables can be utilised together in a regression analysis without fear of inflated standard errors or unstable co-efficient estimates.</w:t>
      </w:r>
    </w:p>
    <w:p w14:paraId="6F84622E" w14:textId="24341EEA" w:rsidR="00FA2E45" w:rsidRPr="00D37C9A" w:rsidRDefault="00FA2E45" w:rsidP="00D37C9A">
      <w:pPr>
        <w:tabs>
          <w:tab w:val="left" w:pos="270"/>
          <w:tab w:val="left" w:pos="10710"/>
          <w:tab w:val="left" w:pos="11160"/>
          <w:tab w:val="left" w:pos="11250"/>
        </w:tabs>
        <w:spacing w:before="240" w:after="0"/>
        <w:jc w:val="both"/>
        <w:rPr>
          <w:rFonts w:ascii="Times New Roman" w:hAnsi="Times New Roman" w:cs="Times New Roman"/>
          <w:b/>
          <w:bCs/>
          <w:iCs/>
        </w:rPr>
      </w:pPr>
      <w:r w:rsidRPr="00D37C9A">
        <w:rPr>
          <w:rFonts w:ascii="Times New Roman" w:hAnsi="Times New Roman" w:cs="Times New Roman"/>
          <w:b/>
          <w:bCs/>
        </w:rPr>
        <w:t>Bounds Cointegration</w:t>
      </w:r>
    </w:p>
    <w:p w14:paraId="44B76B5B" w14:textId="71F8288F" w:rsidR="00FA2E45" w:rsidRPr="00D37C9A" w:rsidRDefault="00FA2E45" w:rsidP="00D37C9A">
      <w:pPr>
        <w:spacing w:after="0"/>
        <w:jc w:val="both"/>
        <w:rPr>
          <w:rFonts w:ascii="Times New Roman" w:hAnsi="Times New Roman" w:cs="Times New Roman"/>
          <w:bCs/>
        </w:rPr>
      </w:pPr>
      <w:bookmarkStart w:id="10" w:name="_Hlk197922912"/>
      <w:r w:rsidRPr="00D37C9A">
        <w:rPr>
          <w:rFonts w:ascii="Times New Roman" w:hAnsi="Times New Roman" w:cs="Times New Roman"/>
          <w:bCs/>
        </w:rPr>
        <w:t>Table 4 displays the upshots of the bound cointegration test for model one (the POR model):</w:t>
      </w:r>
    </w:p>
    <w:p w14:paraId="4B9E6A95" w14:textId="17E6FA5B" w:rsidR="00FA2E45" w:rsidRPr="00D37C9A" w:rsidRDefault="00FA2E45" w:rsidP="00D37C9A">
      <w:pPr>
        <w:spacing w:after="0"/>
        <w:jc w:val="both"/>
        <w:rPr>
          <w:rFonts w:ascii="Times New Roman" w:hAnsi="Times New Roman" w:cs="Times New Roman"/>
          <w:b/>
          <w:bCs/>
        </w:rPr>
      </w:pPr>
      <w:r w:rsidRPr="00D37C9A">
        <w:rPr>
          <w:rFonts w:ascii="Times New Roman" w:hAnsi="Times New Roman" w:cs="Times New Roman"/>
          <w:b/>
          <w:bCs/>
        </w:rPr>
        <w:t xml:space="preserve">Table 4: ARDL Bound Cointegration Test Result of </w:t>
      </w:r>
      <w:r w:rsidRPr="00D37C9A">
        <w:rPr>
          <w:rFonts w:ascii="Times New Roman" w:hAnsi="Times New Roman" w:cs="Times New Roman"/>
          <w:b/>
          <w:bCs/>
          <w:iCs/>
        </w:rPr>
        <w:t>POR Model</w:t>
      </w:r>
    </w:p>
    <w:tbl>
      <w:tblPr>
        <w:tblW w:w="9360" w:type="dxa"/>
        <w:tblBorders>
          <w:top w:val="single" w:sz="4" w:space="0" w:color="auto"/>
          <w:bottom w:val="single" w:sz="4" w:space="0" w:color="auto"/>
        </w:tblBorders>
        <w:tblLook w:val="04A0" w:firstRow="1" w:lastRow="0" w:firstColumn="1" w:lastColumn="0" w:noHBand="0" w:noVBand="1"/>
      </w:tblPr>
      <w:tblGrid>
        <w:gridCol w:w="1698"/>
        <w:gridCol w:w="3228"/>
        <w:gridCol w:w="2326"/>
        <w:gridCol w:w="2108"/>
      </w:tblGrid>
      <w:tr w:rsidR="00FA2E45" w:rsidRPr="00D37C9A" w14:paraId="75132A98" w14:textId="77777777" w:rsidTr="00B40C47">
        <w:trPr>
          <w:trHeight w:val="221"/>
        </w:trPr>
        <w:tc>
          <w:tcPr>
            <w:tcW w:w="1698" w:type="dxa"/>
            <w:tcBorders>
              <w:bottom w:val="nil"/>
            </w:tcBorders>
          </w:tcPr>
          <w:p w14:paraId="176BBEE2"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b/>
              </w:rPr>
              <w:t xml:space="preserve">Test Statistic </w:t>
            </w:r>
          </w:p>
        </w:tc>
        <w:tc>
          <w:tcPr>
            <w:tcW w:w="3228" w:type="dxa"/>
            <w:tcBorders>
              <w:bottom w:val="nil"/>
            </w:tcBorders>
          </w:tcPr>
          <w:p w14:paraId="1B869508"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b/>
              </w:rPr>
              <w:t> Value</w:t>
            </w:r>
          </w:p>
        </w:tc>
        <w:tc>
          <w:tcPr>
            <w:tcW w:w="2326" w:type="dxa"/>
            <w:tcBorders>
              <w:bottom w:val="nil"/>
            </w:tcBorders>
          </w:tcPr>
          <w:p w14:paraId="15101ED6"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p>
        </w:tc>
        <w:tc>
          <w:tcPr>
            <w:tcW w:w="2108" w:type="dxa"/>
            <w:tcBorders>
              <w:bottom w:val="nil"/>
            </w:tcBorders>
          </w:tcPr>
          <w:p w14:paraId="267BC3CC" w14:textId="77777777" w:rsidR="00FA2E45" w:rsidRPr="00D37C9A" w:rsidRDefault="00FA2E45" w:rsidP="00D37C9A">
            <w:pPr>
              <w:autoSpaceDE w:val="0"/>
              <w:autoSpaceDN w:val="0"/>
              <w:adjustRightInd w:val="0"/>
              <w:spacing w:after="0"/>
              <w:jc w:val="center"/>
              <w:rPr>
                <w:rFonts w:ascii="Times New Roman" w:hAnsi="Times New Roman" w:cs="Times New Roman"/>
                <w:b/>
              </w:rPr>
            </w:pPr>
          </w:p>
        </w:tc>
      </w:tr>
      <w:tr w:rsidR="00FA2E45" w:rsidRPr="00D37C9A" w14:paraId="21452D79" w14:textId="77777777" w:rsidTr="00B40C47">
        <w:trPr>
          <w:trHeight w:val="228"/>
        </w:trPr>
        <w:tc>
          <w:tcPr>
            <w:tcW w:w="1698" w:type="dxa"/>
            <w:tcBorders>
              <w:top w:val="nil"/>
              <w:bottom w:val="single" w:sz="4" w:space="0" w:color="auto"/>
            </w:tcBorders>
          </w:tcPr>
          <w:p w14:paraId="7B55FFFA"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F-statistic</w:t>
            </w:r>
          </w:p>
        </w:tc>
        <w:tc>
          <w:tcPr>
            <w:tcW w:w="3228" w:type="dxa"/>
            <w:tcBorders>
              <w:top w:val="nil"/>
              <w:bottom w:val="single" w:sz="4" w:space="0" w:color="auto"/>
            </w:tcBorders>
          </w:tcPr>
          <w:p w14:paraId="2D4A1647"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8.861133</w:t>
            </w:r>
          </w:p>
        </w:tc>
        <w:tc>
          <w:tcPr>
            <w:tcW w:w="2326" w:type="dxa"/>
            <w:tcBorders>
              <w:top w:val="nil"/>
              <w:bottom w:val="single" w:sz="4" w:space="0" w:color="auto"/>
            </w:tcBorders>
          </w:tcPr>
          <w:p w14:paraId="0E457065"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2108" w:type="dxa"/>
            <w:tcBorders>
              <w:top w:val="nil"/>
              <w:bottom w:val="single" w:sz="4" w:space="0" w:color="auto"/>
            </w:tcBorders>
          </w:tcPr>
          <w:p w14:paraId="18F59AED"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K</w:t>
            </w:r>
          </w:p>
        </w:tc>
      </w:tr>
      <w:tr w:rsidR="00FA2E45" w:rsidRPr="00D37C9A" w14:paraId="2CE1671F" w14:textId="77777777" w:rsidTr="00B40C47">
        <w:trPr>
          <w:trHeight w:val="228"/>
        </w:trPr>
        <w:tc>
          <w:tcPr>
            <w:tcW w:w="1698" w:type="dxa"/>
            <w:tcBorders>
              <w:top w:val="single" w:sz="4" w:space="0" w:color="auto"/>
            </w:tcBorders>
          </w:tcPr>
          <w:p w14:paraId="75EE3759"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Significance</w:t>
            </w:r>
          </w:p>
        </w:tc>
        <w:tc>
          <w:tcPr>
            <w:tcW w:w="3228" w:type="dxa"/>
            <w:tcBorders>
              <w:top w:val="single" w:sz="4" w:space="0" w:color="auto"/>
            </w:tcBorders>
          </w:tcPr>
          <w:p w14:paraId="4ECE3A9B"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 Lower Bound [I(0)]</w:t>
            </w:r>
          </w:p>
        </w:tc>
        <w:tc>
          <w:tcPr>
            <w:tcW w:w="2326" w:type="dxa"/>
            <w:tcBorders>
              <w:top w:val="single" w:sz="4" w:space="0" w:color="auto"/>
            </w:tcBorders>
          </w:tcPr>
          <w:p w14:paraId="58AB2E17"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Upper Bound [I(1)]</w:t>
            </w:r>
          </w:p>
        </w:tc>
        <w:tc>
          <w:tcPr>
            <w:tcW w:w="2108" w:type="dxa"/>
            <w:tcBorders>
              <w:top w:val="single" w:sz="4" w:space="0" w:color="auto"/>
            </w:tcBorders>
          </w:tcPr>
          <w:p w14:paraId="3A1403C5" w14:textId="77777777" w:rsidR="00FA2E45" w:rsidRPr="00D37C9A" w:rsidRDefault="00FA2E45" w:rsidP="00D37C9A">
            <w:pPr>
              <w:autoSpaceDE w:val="0"/>
              <w:autoSpaceDN w:val="0"/>
              <w:adjustRightInd w:val="0"/>
              <w:spacing w:after="0"/>
              <w:jc w:val="center"/>
              <w:rPr>
                <w:rFonts w:ascii="Times New Roman" w:hAnsi="Times New Roman" w:cs="Times New Roman"/>
                <w:b/>
              </w:rPr>
            </w:pPr>
          </w:p>
        </w:tc>
      </w:tr>
      <w:tr w:rsidR="00FA2E45" w:rsidRPr="00D37C9A" w14:paraId="2E3DA260" w14:textId="77777777" w:rsidTr="00B40C47">
        <w:trPr>
          <w:trHeight w:val="228"/>
        </w:trPr>
        <w:tc>
          <w:tcPr>
            <w:tcW w:w="1698" w:type="dxa"/>
            <w:vAlign w:val="bottom"/>
          </w:tcPr>
          <w:p w14:paraId="5E3DDFD6"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10 percent</w:t>
            </w:r>
          </w:p>
        </w:tc>
        <w:tc>
          <w:tcPr>
            <w:tcW w:w="3228" w:type="dxa"/>
            <w:vAlign w:val="bottom"/>
          </w:tcPr>
          <w:p w14:paraId="06C0EAD7"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2.080</w:t>
            </w:r>
          </w:p>
        </w:tc>
        <w:tc>
          <w:tcPr>
            <w:tcW w:w="2326" w:type="dxa"/>
            <w:vAlign w:val="bottom"/>
          </w:tcPr>
          <w:p w14:paraId="31FDE245"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3.000</w:t>
            </w:r>
          </w:p>
        </w:tc>
        <w:tc>
          <w:tcPr>
            <w:tcW w:w="2108" w:type="dxa"/>
          </w:tcPr>
          <w:p w14:paraId="73DE3253" w14:textId="77777777" w:rsidR="00FA2E45" w:rsidRPr="00D37C9A" w:rsidRDefault="00FA2E45" w:rsidP="00D37C9A">
            <w:pPr>
              <w:spacing w:after="0"/>
              <w:jc w:val="center"/>
              <w:rPr>
                <w:rFonts w:ascii="Times New Roman" w:hAnsi="Times New Roman" w:cs="Times New Roman"/>
              </w:rPr>
            </w:pPr>
            <w:r w:rsidRPr="00D37C9A">
              <w:rPr>
                <w:rFonts w:ascii="Times New Roman" w:hAnsi="Times New Roman" w:cs="Times New Roman"/>
              </w:rPr>
              <w:t>5</w:t>
            </w:r>
          </w:p>
        </w:tc>
      </w:tr>
      <w:tr w:rsidR="00FA2E45" w:rsidRPr="00D37C9A" w14:paraId="3E9854FA" w14:textId="77777777" w:rsidTr="00B40C47">
        <w:trPr>
          <w:trHeight w:val="228"/>
        </w:trPr>
        <w:tc>
          <w:tcPr>
            <w:tcW w:w="1698" w:type="dxa"/>
            <w:vAlign w:val="bottom"/>
          </w:tcPr>
          <w:p w14:paraId="0D8AF90C"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lastRenderedPageBreak/>
              <w:t>5 percent</w:t>
            </w:r>
          </w:p>
        </w:tc>
        <w:tc>
          <w:tcPr>
            <w:tcW w:w="3228" w:type="dxa"/>
            <w:vAlign w:val="bottom"/>
          </w:tcPr>
          <w:p w14:paraId="2780EF5E"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 2.390</w:t>
            </w:r>
          </w:p>
        </w:tc>
        <w:tc>
          <w:tcPr>
            <w:tcW w:w="2326" w:type="dxa"/>
            <w:vAlign w:val="bottom"/>
          </w:tcPr>
          <w:p w14:paraId="186BB0DC"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 3.380</w:t>
            </w:r>
          </w:p>
        </w:tc>
        <w:tc>
          <w:tcPr>
            <w:tcW w:w="2108" w:type="dxa"/>
          </w:tcPr>
          <w:p w14:paraId="766C94E0" w14:textId="77777777" w:rsidR="00FA2E45" w:rsidRPr="00D37C9A" w:rsidRDefault="00FA2E45" w:rsidP="00D37C9A">
            <w:pPr>
              <w:spacing w:after="0"/>
              <w:jc w:val="center"/>
              <w:rPr>
                <w:rFonts w:ascii="Times New Roman" w:hAnsi="Times New Roman" w:cs="Times New Roman"/>
              </w:rPr>
            </w:pPr>
          </w:p>
        </w:tc>
      </w:tr>
      <w:tr w:rsidR="00FA2E45" w:rsidRPr="00D37C9A" w14:paraId="0DCF72EC" w14:textId="77777777" w:rsidTr="00B40C47">
        <w:trPr>
          <w:trHeight w:val="228"/>
        </w:trPr>
        <w:tc>
          <w:tcPr>
            <w:tcW w:w="1698" w:type="dxa"/>
            <w:vAlign w:val="bottom"/>
          </w:tcPr>
          <w:p w14:paraId="7500E18B"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1 percent</w:t>
            </w:r>
          </w:p>
        </w:tc>
        <w:tc>
          <w:tcPr>
            <w:tcW w:w="3228" w:type="dxa"/>
            <w:vAlign w:val="bottom"/>
          </w:tcPr>
          <w:p w14:paraId="3DD992D3"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 3.060</w:t>
            </w:r>
          </w:p>
        </w:tc>
        <w:tc>
          <w:tcPr>
            <w:tcW w:w="2326" w:type="dxa"/>
            <w:vAlign w:val="bottom"/>
          </w:tcPr>
          <w:p w14:paraId="5EE26FE8"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 4.150</w:t>
            </w:r>
          </w:p>
        </w:tc>
        <w:tc>
          <w:tcPr>
            <w:tcW w:w="2108" w:type="dxa"/>
          </w:tcPr>
          <w:p w14:paraId="2FEC0D85" w14:textId="77777777" w:rsidR="00FA2E45" w:rsidRPr="00D37C9A" w:rsidRDefault="00FA2E45" w:rsidP="00D37C9A">
            <w:pPr>
              <w:spacing w:after="0"/>
              <w:jc w:val="center"/>
              <w:rPr>
                <w:rFonts w:ascii="Times New Roman" w:hAnsi="Times New Roman" w:cs="Times New Roman"/>
              </w:rPr>
            </w:pPr>
          </w:p>
        </w:tc>
      </w:tr>
    </w:tbl>
    <w:p w14:paraId="6A7885C6" w14:textId="77777777" w:rsidR="00FA2E45" w:rsidRPr="00D37C9A" w:rsidRDefault="00FA2E45" w:rsidP="00D37C9A">
      <w:pPr>
        <w:jc w:val="both"/>
        <w:rPr>
          <w:rFonts w:ascii="Times New Roman" w:hAnsi="Times New Roman" w:cs="Times New Roman"/>
          <w:i/>
        </w:rPr>
      </w:pPr>
      <w:r w:rsidRPr="00D37C9A">
        <w:rPr>
          <w:rFonts w:ascii="Times New Roman" w:hAnsi="Times New Roman" w:cs="Times New Roman"/>
          <w:b/>
          <w:iCs/>
        </w:rPr>
        <w:t>Source:</w:t>
      </w:r>
      <w:r w:rsidRPr="00D37C9A">
        <w:rPr>
          <w:rFonts w:ascii="Times New Roman" w:hAnsi="Times New Roman" w:cs="Times New Roman"/>
          <w:i/>
        </w:rPr>
        <w:t xml:space="preserve"> Computation by author (2025).</w:t>
      </w:r>
    </w:p>
    <w:p w14:paraId="3E6887CE" w14:textId="4742BA36" w:rsidR="00DB76BA" w:rsidRPr="00D37C9A" w:rsidRDefault="00FA2E45" w:rsidP="00D37C9A">
      <w:pPr>
        <w:tabs>
          <w:tab w:val="left" w:pos="2925"/>
        </w:tabs>
        <w:spacing w:after="0"/>
        <w:jc w:val="both"/>
        <w:rPr>
          <w:rFonts w:ascii="Times New Roman" w:hAnsi="Times New Roman" w:cs="Times New Roman"/>
          <w:bCs/>
        </w:rPr>
      </w:pPr>
      <w:r w:rsidRPr="00D37C9A">
        <w:rPr>
          <w:rFonts w:ascii="Times New Roman" w:hAnsi="Times New Roman" w:cs="Times New Roman"/>
          <w:bCs/>
        </w:rPr>
        <w:t xml:space="preserve">The </w:t>
      </w:r>
      <w:r w:rsidR="00E024F7" w:rsidRPr="00D37C9A">
        <w:rPr>
          <w:rFonts w:ascii="Times New Roman" w:hAnsi="Times New Roman" w:cs="Times New Roman"/>
          <w:bCs/>
        </w:rPr>
        <w:t>results</w:t>
      </w:r>
      <w:r w:rsidRPr="00D37C9A">
        <w:rPr>
          <w:rFonts w:ascii="Times New Roman" w:hAnsi="Times New Roman" w:cs="Times New Roman"/>
          <w:bCs/>
        </w:rPr>
        <w:t xml:space="preserve"> of an ARDL Bounds test, which was utilised to ascertain whether a long term relationship (cointegration) exists between the dependent variable (poverty rate) and its explanatory variables (consumption of PMS, solar energy, hydropower energy, and natural gas-to-power consumption), </w:t>
      </w:r>
      <w:r w:rsidR="00E024F7" w:rsidRPr="00D37C9A">
        <w:rPr>
          <w:rFonts w:ascii="Times New Roman" w:hAnsi="Times New Roman" w:cs="Times New Roman"/>
          <w:bCs/>
        </w:rPr>
        <w:t xml:space="preserve">reveals </w:t>
      </w:r>
      <w:r w:rsidR="00DB76BA" w:rsidRPr="00D37C9A">
        <w:rPr>
          <w:rFonts w:ascii="Times New Roman" w:hAnsi="Times New Roman" w:cs="Times New Roman"/>
          <w:bCs/>
        </w:rPr>
        <w:t xml:space="preserve">that </w:t>
      </w:r>
      <w:r w:rsidRPr="00D37C9A">
        <w:rPr>
          <w:rFonts w:ascii="Times New Roman" w:hAnsi="Times New Roman" w:cs="Times New Roman"/>
          <w:bCs/>
        </w:rPr>
        <w:t>the F-statistic of 8.8611</w:t>
      </w:r>
      <w:r w:rsidR="00DB76BA" w:rsidRPr="00D37C9A">
        <w:rPr>
          <w:rFonts w:ascii="Times New Roman" w:hAnsi="Times New Roman" w:cs="Times New Roman"/>
          <w:bCs/>
        </w:rPr>
        <w:t xml:space="preserve"> </w:t>
      </w:r>
      <w:r w:rsidR="00027631" w:rsidRPr="00D37C9A">
        <w:rPr>
          <w:rFonts w:ascii="Times New Roman" w:hAnsi="Times New Roman" w:cs="Times New Roman"/>
          <w:bCs/>
        </w:rPr>
        <w:t>is greater</w:t>
      </w:r>
      <w:r w:rsidR="00DB76BA" w:rsidRPr="00D37C9A">
        <w:rPr>
          <w:rFonts w:ascii="Times New Roman" w:hAnsi="Times New Roman" w:cs="Times New Roman"/>
          <w:bCs/>
        </w:rPr>
        <w:t xml:space="preserve"> than b</w:t>
      </w:r>
      <w:r w:rsidRPr="00D37C9A">
        <w:rPr>
          <w:rFonts w:ascii="Times New Roman" w:hAnsi="Times New Roman" w:cs="Times New Roman"/>
          <w:bCs/>
        </w:rPr>
        <w:t xml:space="preserve">oth the upper limit [I(1)] and lower bound [I(0)] at the 5 percent level. </w:t>
      </w:r>
      <w:r w:rsidR="00DB76BA" w:rsidRPr="00D37C9A">
        <w:rPr>
          <w:rFonts w:ascii="Times New Roman" w:hAnsi="Times New Roman" w:cs="Times New Roman"/>
          <w:bCs/>
        </w:rPr>
        <w:t>This implies that th</w:t>
      </w:r>
      <w:r w:rsidRPr="00D37C9A">
        <w:rPr>
          <w:rFonts w:ascii="Times New Roman" w:hAnsi="Times New Roman" w:cs="Times New Roman"/>
          <w:bCs/>
        </w:rPr>
        <w:t xml:space="preserve">ere is substantial statistical support for a </w:t>
      </w:r>
      <w:r w:rsidR="00613BFD" w:rsidRPr="00D37C9A">
        <w:rPr>
          <w:rFonts w:ascii="Times New Roman" w:hAnsi="Times New Roman" w:cs="Times New Roman"/>
          <w:bCs/>
        </w:rPr>
        <w:t>long-term</w:t>
      </w:r>
      <w:r w:rsidRPr="00D37C9A">
        <w:rPr>
          <w:rFonts w:ascii="Times New Roman" w:hAnsi="Times New Roman" w:cs="Times New Roman"/>
          <w:bCs/>
        </w:rPr>
        <w:t xml:space="preserve"> equilibrium nexus between the poverty rate and the explanatory factors (natural gas-to-power consumption, solar energy consumption, hydropower energy, PMS consumption, and AGO consumption). The null hypothesis is rejected, suggesting that these factors work together to explain long</w:t>
      </w:r>
      <w:r w:rsidR="00B81894" w:rsidRPr="00D37C9A">
        <w:rPr>
          <w:rFonts w:ascii="Times New Roman" w:hAnsi="Times New Roman" w:cs="Times New Roman"/>
          <w:bCs/>
        </w:rPr>
        <w:t>.</w:t>
      </w:r>
    </w:p>
    <w:p w14:paraId="42AF509D" w14:textId="77777777" w:rsidR="00B81894" w:rsidRPr="00D37C9A" w:rsidRDefault="00B81894" w:rsidP="00D37C9A">
      <w:pPr>
        <w:tabs>
          <w:tab w:val="left" w:pos="2925"/>
        </w:tabs>
        <w:spacing w:after="0"/>
        <w:jc w:val="both"/>
        <w:rPr>
          <w:rFonts w:ascii="Times New Roman" w:hAnsi="Times New Roman" w:cs="Times New Roman"/>
          <w:b/>
          <w:bCs/>
        </w:rPr>
      </w:pPr>
    </w:p>
    <w:p w14:paraId="4B2EC64C" w14:textId="5A1E3686" w:rsidR="00FA2E45" w:rsidRPr="00D37C9A" w:rsidRDefault="00FA2E45" w:rsidP="00D37C9A">
      <w:pPr>
        <w:tabs>
          <w:tab w:val="left" w:pos="2925"/>
        </w:tabs>
        <w:spacing w:after="0"/>
        <w:jc w:val="both"/>
        <w:rPr>
          <w:rFonts w:ascii="Times New Roman" w:hAnsi="Times New Roman" w:cs="Times New Roman"/>
          <w:b/>
          <w:bCs/>
        </w:rPr>
      </w:pPr>
      <w:r w:rsidRPr="00D37C9A">
        <w:rPr>
          <w:rFonts w:ascii="Times New Roman" w:hAnsi="Times New Roman" w:cs="Times New Roman"/>
          <w:b/>
          <w:bCs/>
        </w:rPr>
        <w:t>Short</w:t>
      </w:r>
      <w:r w:rsidR="00DB76BA" w:rsidRPr="00D37C9A">
        <w:rPr>
          <w:rFonts w:ascii="Times New Roman" w:hAnsi="Times New Roman" w:cs="Times New Roman"/>
          <w:b/>
          <w:bCs/>
        </w:rPr>
        <w:t xml:space="preserve">-Run </w:t>
      </w:r>
      <w:r w:rsidRPr="00D37C9A">
        <w:rPr>
          <w:rFonts w:ascii="Times New Roman" w:hAnsi="Times New Roman" w:cs="Times New Roman"/>
          <w:b/>
          <w:bCs/>
        </w:rPr>
        <w:t>ARDL Estimation.</w:t>
      </w:r>
    </w:p>
    <w:p w14:paraId="5C7A30FE" w14:textId="2DC1BD2D" w:rsidR="00FA2E45" w:rsidRPr="00D37C9A" w:rsidRDefault="00FA2E45" w:rsidP="00D37C9A">
      <w:pPr>
        <w:tabs>
          <w:tab w:val="left" w:pos="2925"/>
        </w:tabs>
        <w:spacing w:after="0"/>
        <w:jc w:val="both"/>
        <w:rPr>
          <w:rFonts w:ascii="Times New Roman" w:hAnsi="Times New Roman" w:cs="Times New Roman"/>
          <w:bCs/>
          <w:iCs/>
        </w:rPr>
      </w:pPr>
      <w:r w:rsidRPr="00D37C9A">
        <w:rPr>
          <w:rFonts w:ascii="Times New Roman" w:hAnsi="Times New Roman" w:cs="Times New Roman"/>
          <w:bCs/>
        </w:rPr>
        <w:t xml:space="preserve">Table 5 displays the </w:t>
      </w:r>
      <w:r w:rsidR="00DB76BA" w:rsidRPr="00D37C9A">
        <w:rPr>
          <w:rFonts w:ascii="Times New Roman" w:hAnsi="Times New Roman" w:cs="Times New Roman"/>
          <w:bCs/>
        </w:rPr>
        <w:t>results</w:t>
      </w:r>
      <w:r w:rsidRPr="00D37C9A">
        <w:rPr>
          <w:rFonts w:ascii="Times New Roman" w:hAnsi="Times New Roman" w:cs="Times New Roman"/>
          <w:bCs/>
        </w:rPr>
        <w:t xml:space="preserve"> of the short term ARDL estimate of model</w:t>
      </w:r>
      <w:r w:rsidR="00DB76BA" w:rsidRPr="00D37C9A">
        <w:rPr>
          <w:rFonts w:ascii="Times New Roman" w:hAnsi="Times New Roman" w:cs="Times New Roman"/>
          <w:bCs/>
        </w:rPr>
        <w:t>:</w:t>
      </w:r>
    </w:p>
    <w:p w14:paraId="56B662E1" w14:textId="4F3564F7" w:rsidR="00FA2E45" w:rsidRPr="00D37C9A" w:rsidRDefault="00FA2E45" w:rsidP="00D37C9A">
      <w:pPr>
        <w:tabs>
          <w:tab w:val="left" w:pos="2925"/>
        </w:tabs>
        <w:spacing w:after="0"/>
        <w:jc w:val="both"/>
        <w:rPr>
          <w:rFonts w:ascii="Times New Roman" w:hAnsi="Times New Roman" w:cs="Times New Roman"/>
          <w:b/>
          <w:bCs/>
        </w:rPr>
      </w:pPr>
      <w:r w:rsidRPr="00D37C9A">
        <w:rPr>
          <w:rFonts w:ascii="Times New Roman" w:hAnsi="Times New Roman" w:cs="Times New Roman"/>
          <w:b/>
        </w:rPr>
        <w:t xml:space="preserve">Table 5: </w:t>
      </w:r>
      <w:r w:rsidR="00DB76BA" w:rsidRPr="00D37C9A">
        <w:rPr>
          <w:rFonts w:ascii="Times New Roman" w:hAnsi="Times New Roman" w:cs="Times New Roman"/>
          <w:b/>
          <w:bCs/>
        </w:rPr>
        <w:t>Results</w:t>
      </w:r>
      <w:r w:rsidRPr="00D37C9A">
        <w:rPr>
          <w:rFonts w:ascii="Times New Roman" w:hAnsi="Times New Roman" w:cs="Times New Roman"/>
          <w:b/>
          <w:bCs/>
        </w:rPr>
        <w:t xml:space="preserve"> of </w:t>
      </w:r>
      <w:r w:rsidRPr="00D37C9A">
        <w:rPr>
          <w:rFonts w:ascii="Times New Roman" w:hAnsi="Times New Roman" w:cs="Times New Roman"/>
          <w:b/>
        </w:rPr>
        <w:t>Short term</w:t>
      </w:r>
      <w:r w:rsidRPr="00D37C9A">
        <w:rPr>
          <w:rFonts w:ascii="Times New Roman" w:hAnsi="Times New Roman" w:cs="Times New Roman"/>
          <w:b/>
          <w:bCs/>
        </w:rPr>
        <w:t xml:space="preserve"> ARDL </w:t>
      </w:r>
      <w:r w:rsidRPr="00D37C9A">
        <w:rPr>
          <w:rFonts w:ascii="Times New Roman" w:hAnsi="Times New Roman" w:cs="Times New Roman"/>
          <w:b/>
          <w:bCs/>
          <w:iCs/>
          <w:spacing w:val="10"/>
        </w:rPr>
        <w:t xml:space="preserve">Estimation </w:t>
      </w:r>
      <w:r w:rsidRPr="00D37C9A">
        <w:rPr>
          <w:rFonts w:ascii="Times New Roman" w:hAnsi="Times New Roman" w:cs="Times New Roman"/>
          <w:b/>
          <w:bCs/>
        </w:rPr>
        <w:t xml:space="preserve">of </w:t>
      </w:r>
      <w:r w:rsidRPr="00D37C9A">
        <w:rPr>
          <w:rFonts w:ascii="Times New Roman" w:hAnsi="Times New Roman" w:cs="Times New Roman"/>
          <w:b/>
          <w:bCs/>
          <w:iCs/>
        </w:rPr>
        <w:t>POR Model</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017"/>
        <w:gridCol w:w="1373"/>
        <w:gridCol w:w="1440"/>
        <w:gridCol w:w="1350"/>
        <w:gridCol w:w="1170"/>
      </w:tblGrid>
      <w:tr w:rsidR="00FA2E45" w:rsidRPr="00D37C9A" w14:paraId="7A663725" w14:textId="77777777" w:rsidTr="00B40C47">
        <w:trPr>
          <w:trHeight w:hRule="exact" w:val="90"/>
        </w:trPr>
        <w:tc>
          <w:tcPr>
            <w:tcW w:w="2017" w:type="dxa"/>
            <w:vAlign w:val="bottom"/>
          </w:tcPr>
          <w:p w14:paraId="2DFC2D14" w14:textId="77777777" w:rsidR="00FA2E45" w:rsidRPr="00D37C9A" w:rsidRDefault="00FA2E45" w:rsidP="00D37C9A">
            <w:pPr>
              <w:autoSpaceDE w:val="0"/>
              <w:autoSpaceDN w:val="0"/>
              <w:adjustRightInd w:val="0"/>
              <w:spacing w:after="0"/>
              <w:jc w:val="center"/>
              <w:rPr>
                <w:rFonts w:ascii="Times New Roman" w:hAnsi="Times New Roman" w:cs="Times New Roman"/>
              </w:rPr>
            </w:pPr>
            <w:bookmarkStart w:id="11" w:name="_Hlk149830820"/>
          </w:p>
        </w:tc>
        <w:tc>
          <w:tcPr>
            <w:tcW w:w="1373" w:type="dxa"/>
            <w:vAlign w:val="bottom"/>
          </w:tcPr>
          <w:p w14:paraId="3E5A1BDA"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1440" w:type="dxa"/>
            <w:vAlign w:val="bottom"/>
          </w:tcPr>
          <w:p w14:paraId="21EB4DE4"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1350" w:type="dxa"/>
            <w:vAlign w:val="bottom"/>
          </w:tcPr>
          <w:p w14:paraId="5B17F98B"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1170" w:type="dxa"/>
            <w:vAlign w:val="bottom"/>
          </w:tcPr>
          <w:p w14:paraId="41CD41E8"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r>
      <w:tr w:rsidR="00FA2E45" w:rsidRPr="00D37C9A" w14:paraId="26480D75" w14:textId="77777777" w:rsidTr="00B40C47">
        <w:trPr>
          <w:trHeight w:hRule="exact" w:val="135"/>
        </w:trPr>
        <w:tc>
          <w:tcPr>
            <w:tcW w:w="2017" w:type="dxa"/>
            <w:vAlign w:val="bottom"/>
          </w:tcPr>
          <w:p w14:paraId="3E5E8CCA"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1373" w:type="dxa"/>
            <w:vAlign w:val="bottom"/>
          </w:tcPr>
          <w:p w14:paraId="4C4BEF15"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1440" w:type="dxa"/>
            <w:vAlign w:val="bottom"/>
          </w:tcPr>
          <w:p w14:paraId="181FE055"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1350" w:type="dxa"/>
            <w:vAlign w:val="bottom"/>
          </w:tcPr>
          <w:p w14:paraId="19EDDF58"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1170" w:type="dxa"/>
            <w:vAlign w:val="bottom"/>
          </w:tcPr>
          <w:p w14:paraId="559DEADD"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r>
      <w:tr w:rsidR="00FA2E45" w:rsidRPr="00D37C9A" w14:paraId="619E1D38" w14:textId="77777777" w:rsidTr="00B40C47">
        <w:trPr>
          <w:trHeight w:val="225"/>
        </w:trPr>
        <w:tc>
          <w:tcPr>
            <w:tcW w:w="2017" w:type="dxa"/>
            <w:tcBorders>
              <w:bottom w:val="single" w:sz="4" w:space="0" w:color="auto"/>
            </w:tcBorders>
            <w:vAlign w:val="bottom"/>
          </w:tcPr>
          <w:p w14:paraId="35390DEF"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b/>
                <w:bCs/>
              </w:rPr>
              <w:t>Variable</w:t>
            </w:r>
          </w:p>
        </w:tc>
        <w:tc>
          <w:tcPr>
            <w:tcW w:w="1373" w:type="dxa"/>
            <w:tcBorders>
              <w:bottom w:val="single" w:sz="4" w:space="0" w:color="auto"/>
            </w:tcBorders>
            <w:vAlign w:val="bottom"/>
          </w:tcPr>
          <w:p w14:paraId="68D847CA" w14:textId="77777777" w:rsidR="00FA2E45" w:rsidRPr="00D37C9A" w:rsidRDefault="00FA2E45" w:rsidP="00D37C9A">
            <w:pPr>
              <w:autoSpaceDE w:val="0"/>
              <w:autoSpaceDN w:val="0"/>
              <w:adjustRightInd w:val="0"/>
              <w:spacing w:after="0"/>
              <w:ind w:right="10"/>
              <w:jc w:val="right"/>
              <w:rPr>
                <w:rFonts w:ascii="Times New Roman" w:hAnsi="Times New Roman" w:cs="Times New Roman"/>
                <w:b/>
                <w:bCs/>
              </w:rPr>
            </w:pPr>
            <w:r w:rsidRPr="00D37C9A">
              <w:rPr>
                <w:rFonts w:ascii="Times New Roman" w:hAnsi="Times New Roman" w:cs="Times New Roman"/>
                <w:b/>
                <w:bCs/>
              </w:rPr>
              <w:t>Co-efficient</w:t>
            </w:r>
          </w:p>
        </w:tc>
        <w:tc>
          <w:tcPr>
            <w:tcW w:w="1440" w:type="dxa"/>
            <w:tcBorders>
              <w:bottom w:val="single" w:sz="4" w:space="0" w:color="auto"/>
            </w:tcBorders>
            <w:vAlign w:val="bottom"/>
          </w:tcPr>
          <w:p w14:paraId="4C46F28A" w14:textId="77777777" w:rsidR="00FA2E45" w:rsidRPr="00D37C9A" w:rsidRDefault="00FA2E45" w:rsidP="00D37C9A">
            <w:pPr>
              <w:autoSpaceDE w:val="0"/>
              <w:autoSpaceDN w:val="0"/>
              <w:adjustRightInd w:val="0"/>
              <w:spacing w:after="0"/>
              <w:ind w:right="10"/>
              <w:jc w:val="right"/>
              <w:rPr>
                <w:rFonts w:ascii="Times New Roman" w:hAnsi="Times New Roman" w:cs="Times New Roman"/>
                <w:b/>
                <w:bCs/>
              </w:rPr>
            </w:pPr>
            <w:r w:rsidRPr="00D37C9A">
              <w:rPr>
                <w:rFonts w:ascii="Times New Roman" w:hAnsi="Times New Roman" w:cs="Times New Roman"/>
                <w:b/>
                <w:bCs/>
              </w:rPr>
              <w:t>Std. Error</w:t>
            </w:r>
          </w:p>
        </w:tc>
        <w:tc>
          <w:tcPr>
            <w:tcW w:w="1350" w:type="dxa"/>
            <w:tcBorders>
              <w:bottom w:val="single" w:sz="4" w:space="0" w:color="auto"/>
            </w:tcBorders>
            <w:vAlign w:val="bottom"/>
          </w:tcPr>
          <w:p w14:paraId="58D37006" w14:textId="77777777" w:rsidR="00FA2E45" w:rsidRPr="00D37C9A" w:rsidRDefault="00FA2E45" w:rsidP="00D37C9A">
            <w:pPr>
              <w:autoSpaceDE w:val="0"/>
              <w:autoSpaceDN w:val="0"/>
              <w:adjustRightInd w:val="0"/>
              <w:spacing w:after="0"/>
              <w:ind w:right="10"/>
              <w:jc w:val="right"/>
              <w:rPr>
                <w:rFonts w:ascii="Times New Roman" w:hAnsi="Times New Roman" w:cs="Times New Roman"/>
                <w:b/>
                <w:bCs/>
              </w:rPr>
            </w:pPr>
            <w:r w:rsidRPr="00D37C9A">
              <w:rPr>
                <w:rFonts w:ascii="Times New Roman" w:hAnsi="Times New Roman" w:cs="Times New Roman"/>
                <w:b/>
                <w:bCs/>
              </w:rPr>
              <w:t>t-Statistic</w:t>
            </w:r>
          </w:p>
        </w:tc>
        <w:tc>
          <w:tcPr>
            <w:tcW w:w="1170" w:type="dxa"/>
            <w:tcBorders>
              <w:bottom w:val="single" w:sz="4" w:space="0" w:color="auto"/>
            </w:tcBorders>
            <w:vAlign w:val="bottom"/>
          </w:tcPr>
          <w:p w14:paraId="427D727E" w14:textId="77777777" w:rsidR="00FA2E45" w:rsidRPr="00D37C9A" w:rsidRDefault="00FA2E45" w:rsidP="00D37C9A">
            <w:pPr>
              <w:autoSpaceDE w:val="0"/>
              <w:autoSpaceDN w:val="0"/>
              <w:adjustRightInd w:val="0"/>
              <w:spacing w:after="0"/>
              <w:ind w:right="10"/>
              <w:jc w:val="right"/>
              <w:rPr>
                <w:rFonts w:ascii="Times New Roman" w:hAnsi="Times New Roman" w:cs="Times New Roman"/>
                <w:b/>
                <w:bCs/>
              </w:rPr>
            </w:pPr>
            <w:r w:rsidRPr="00D37C9A">
              <w:rPr>
                <w:rFonts w:ascii="Times New Roman" w:hAnsi="Times New Roman" w:cs="Times New Roman"/>
                <w:b/>
                <w:bCs/>
              </w:rPr>
              <w:t>Prob.*  </w:t>
            </w:r>
          </w:p>
        </w:tc>
      </w:tr>
      <w:tr w:rsidR="00FA2E45" w:rsidRPr="00D37C9A" w14:paraId="4754F58C" w14:textId="77777777" w:rsidTr="00B40C47">
        <w:trPr>
          <w:trHeight w:val="225"/>
        </w:trPr>
        <w:tc>
          <w:tcPr>
            <w:tcW w:w="7350" w:type="dxa"/>
            <w:gridSpan w:val="5"/>
            <w:tcBorders>
              <w:top w:val="single" w:sz="4" w:space="0" w:color="auto"/>
              <w:bottom w:val="single" w:sz="4" w:space="0" w:color="auto"/>
            </w:tcBorders>
            <w:vAlign w:val="bottom"/>
          </w:tcPr>
          <w:tbl>
            <w:tblPr>
              <w:tblW w:w="0" w:type="auto"/>
              <w:tblInd w:w="30" w:type="dxa"/>
              <w:tblLayout w:type="fixed"/>
              <w:tblCellMar>
                <w:left w:w="0" w:type="dxa"/>
                <w:right w:w="0" w:type="dxa"/>
              </w:tblCellMar>
              <w:tblLook w:val="0000" w:firstRow="0" w:lastRow="0" w:firstColumn="0" w:lastColumn="0" w:noHBand="0" w:noVBand="0"/>
            </w:tblPr>
            <w:tblGrid>
              <w:gridCol w:w="7350"/>
            </w:tblGrid>
            <w:tr w:rsidR="00FA2E45" w:rsidRPr="00D37C9A" w14:paraId="1F19AA64" w14:textId="77777777" w:rsidTr="00B40C47">
              <w:trPr>
                <w:trHeight w:val="225"/>
              </w:trPr>
              <w:tc>
                <w:tcPr>
                  <w:tcW w:w="7350" w:type="dxa"/>
                  <w:vAlign w:val="bottom"/>
                </w:tcPr>
                <w:p w14:paraId="09D3D832" w14:textId="77777777" w:rsidR="00FA2E45" w:rsidRPr="00D37C9A" w:rsidRDefault="00FA2E45" w:rsidP="00D37C9A">
                  <w:pPr>
                    <w:autoSpaceDE w:val="0"/>
                    <w:autoSpaceDN w:val="0"/>
                    <w:adjustRightInd w:val="0"/>
                    <w:spacing w:after="0"/>
                    <w:ind w:right="10"/>
                    <w:jc w:val="center"/>
                    <w:rPr>
                      <w:rFonts w:ascii="Times New Roman" w:hAnsi="Times New Roman" w:cs="Times New Roman"/>
                      <w:b/>
                    </w:rPr>
                  </w:pPr>
                  <w:r w:rsidRPr="00D37C9A">
                    <w:rPr>
                      <w:rFonts w:ascii="Times New Roman" w:hAnsi="Times New Roman" w:cs="Times New Roman"/>
                      <w:b/>
                      <w:noProof/>
                    </w:rPr>
                    <w:t>Dependent Variable = LOG(</w:t>
                  </w:r>
                  <w:r w:rsidRPr="00D37C9A">
                    <w:rPr>
                      <w:rFonts w:ascii="Times New Roman" w:hAnsi="Times New Roman" w:cs="Times New Roman"/>
                      <w:b/>
                    </w:rPr>
                    <w:t>POR)</w:t>
                  </w:r>
                </w:p>
              </w:tc>
            </w:tr>
          </w:tbl>
          <w:p w14:paraId="36AA88F5"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p>
        </w:tc>
      </w:tr>
      <w:tr w:rsidR="00FA2E45" w:rsidRPr="00D37C9A" w14:paraId="701DB5B6" w14:textId="77777777" w:rsidTr="00B40C47">
        <w:trPr>
          <w:trHeight w:hRule="exact" w:val="90"/>
        </w:trPr>
        <w:tc>
          <w:tcPr>
            <w:tcW w:w="2017" w:type="dxa"/>
            <w:tcBorders>
              <w:top w:val="single" w:sz="4" w:space="0" w:color="auto"/>
            </w:tcBorders>
            <w:vAlign w:val="bottom"/>
          </w:tcPr>
          <w:p w14:paraId="215CCDD5"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1373" w:type="dxa"/>
            <w:tcBorders>
              <w:top w:val="single" w:sz="4" w:space="0" w:color="auto"/>
            </w:tcBorders>
            <w:vAlign w:val="bottom"/>
          </w:tcPr>
          <w:p w14:paraId="00513348"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1440" w:type="dxa"/>
            <w:tcBorders>
              <w:top w:val="single" w:sz="4" w:space="0" w:color="auto"/>
            </w:tcBorders>
            <w:vAlign w:val="bottom"/>
          </w:tcPr>
          <w:p w14:paraId="46290EE6"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1350" w:type="dxa"/>
            <w:tcBorders>
              <w:top w:val="single" w:sz="4" w:space="0" w:color="auto"/>
            </w:tcBorders>
            <w:vAlign w:val="bottom"/>
          </w:tcPr>
          <w:p w14:paraId="302D5ACF"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1170" w:type="dxa"/>
            <w:tcBorders>
              <w:top w:val="single" w:sz="4" w:space="0" w:color="auto"/>
            </w:tcBorders>
            <w:vAlign w:val="bottom"/>
          </w:tcPr>
          <w:p w14:paraId="5701837A"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r>
      <w:tr w:rsidR="00FA2E45" w:rsidRPr="00D37C9A" w14:paraId="624ABA13" w14:textId="77777777" w:rsidTr="00B40C47">
        <w:trPr>
          <w:trHeight w:val="225"/>
        </w:trPr>
        <w:tc>
          <w:tcPr>
            <w:tcW w:w="2017" w:type="dxa"/>
            <w:vAlign w:val="bottom"/>
          </w:tcPr>
          <w:p w14:paraId="3ED0F184" w14:textId="77777777" w:rsidR="00FA2E45" w:rsidRPr="00D37C9A" w:rsidRDefault="00FA2E45" w:rsidP="00D37C9A">
            <w:pPr>
              <w:autoSpaceDE w:val="0"/>
              <w:autoSpaceDN w:val="0"/>
              <w:adjustRightInd w:val="0"/>
              <w:spacing w:after="0"/>
              <w:jc w:val="both"/>
              <w:rPr>
                <w:rFonts w:ascii="Times New Roman" w:hAnsi="Times New Roman" w:cs="Times New Roman"/>
              </w:rPr>
            </w:pPr>
            <w:r w:rsidRPr="00D37C9A">
              <w:rPr>
                <w:rFonts w:ascii="Times New Roman" w:hAnsi="Times New Roman" w:cs="Times New Roman"/>
              </w:rPr>
              <w:t>COINTEQ*</w:t>
            </w:r>
          </w:p>
        </w:tc>
        <w:tc>
          <w:tcPr>
            <w:tcW w:w="1373" w:type="dxa"/>
            <w:vAlign w:val="bottom"/>
          </w:tcPr>
          <w:p w14:paraId="70CE2C18"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-0.895672</w:t>
            </w:r>
          </w:p>
        </w:tc>
        <w:tc>
          <w:tcPr>
            <w:tcW w:w="1440" w:type="dxa"/>
            <w:vAlign w:val="bottom"/>
          </w:tcPr>
          <w:p w14:paraId="307E7813"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0.111813</w:t>
            </w:r>
          </w:p>
        </w:tc>
        <w:tc>
          <w:tcPr>
            <w:tcW w:w="1350" w:type="dxa"/>
            <w:vAlign w:val="bottom"/>
          </w:tcPr>
          <w:p w14:paraId="7ED14558"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-8.010482</w:t>
            </w:r>
          </w:p>
        </w:tc>
        <w:tc>
          <w:tcPr>
            <w:tcW w:w="1170" w:type="dxa"/>
            <w:vAlign w:val="bottom"/>
          </w:tcPr>
          <w:p w14:paraId="3D5E3602"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0.0000</w:t>
            </w:r>
          </w:p>
        </w:tc>
      </w:tr>
      <w:tr w:rsidR="00FA2E45" w:rsidRPr="00D37C9A" w14:paraId="60D1F4C8" w14:textId="77777777" w:rsidTr="00B40C47">
        <w:trPr>
          <w:trHeight w:val="225"/>
        </w:trPr>
        <w:tc>
          <w:tcPr>
            <w:tcW w:w="2017" w:type="dxa"/>
            <w:vAlign w:val="bottom"/>
          </w:tcPr>
          <w:p w14:paraId="67D15273" w14:textId="77777777" w:rsidR="00FA2E45" w:rsidRPr="00D37C9A" w:rsidRDefault="00FA2E45" w:rsidP="00D37C9A">
            <w:pPr>
              <w:autoSpaceDE w:val="0"/>
              <w:autoSpaceDN w:val="0"/>
              <w:adjustRightInd w:val="0"/>
              <w:spacing w:after="0"/>
              <w:jc w:val="both"/>
              <w:rPr>
                <w:rFonts w:ascii="Times New Roman" w:hAnsi="Times New Roman" w:cs="Times New Roman"/>
              </w:rPr>
            </w:pPr>
            <w:r w:rsidRPr="00D37C9A">
              <w:rPr>
                <w:rFonts w:ascii="Times New Roman" w:hAnsi="Times New Roman" w:cs="Times New Roman"/>
              </w:rPr>
              <w:t>DLOG(AGO)</w:t>
            </w:r>
          </w:p>
        </w:tc>
        <w:tc>
          <w:tcPr>
            <w:tcW w:w="1373" w:type="dxa"/>
            <w:vAlign w:val="bottom"/>
          </w:tcPr>
          <w:p w14:paraId="64550707"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-0.280651</w:t>
            </w:r>
          </w:p>
        </w:tc>
        <w:tc>
          <w:tcPr>
            <w:tcW w:w="1440" w:type="dxa"/>
            <w:vAlign w:val="bottom"/>
          </w:tcPr>
          <w:p w14:paraId="2CFB7E0C"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0.121007</w:t>
            </w:r>
          </w:p>
        </w:tc>
        <w:tc>
          <w:tcPr>
            <w:tcW w:w="1350" w:type="dxa"/>
            <w:vAlign w:val="bottom"/>
          </w:tcPr>
          <w:p w14:paraId="471F586B"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-2.319292</w:t>
            </w:r>
          </w:p>
        </w:tc>
        <w:tc>
          <w:tcPr>
            <w:tcW w:w="1170" w:type="dxa"/>
            <w:vAlign w:val="bottom"/>
          </w:tcPr>
          <w:p w14:paraId="188FD458"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0.0301</w:t>
            </w:r>
          </w:p>
        </w:tc>
      </w:tr>
      <w:tr w:rsidR="00FA2E45" w:rsidRPr="00D37C9A" w14:paraId="5A532E13" w14:textId="77777777" w:rsidTr="00B40C47">
        <w:trPr>
          <w:trHeight w:val="225"/>
        </w:trPr>
        <w:tc>
          <w:tcPr>
            <w:tcW w:w="2017" w:type="dxa"/>
            <w:vAlign w:val="bottom"/>
          </w:tcPr>
          <w:p w14:paraId="71A87B10" w14:textId="77777777" w:rsidR="00FA2E45" w:rsidRPr="00D37C9A" w:rsidRDefault="00FA2E45" w:rsidP="00D37C9A">
            <w:pPr>
              <w:autoSpaceDE w:val="0"/>
              <w:autoSpaceDN w:val="0"/>
              <w:adjustRightInd w:val="0"/>
              <w:spacing w:after="0"/>
              <w:jc w:val="both"/>
              <w:rPr>
                <w:rFonts w:ascii="Times New Roman" w:hAnsi="Times New Roman" w:cs="Times New Roman"/>
              </w:rPr>
            </w:pPr>
            <w:r w:rsidRPr="00D37C9A">
              <w:rPr>
                <w:rFonts w:ascii="Times New Roman" w:hAnsi="Times New Roman" w:cs="Times New Roman"/>
              </w:rPr>
              <w:t>DLOG(AGO(-1))</w:t>
            </w:r>
          </w:p>
        </w:tc>
        <w:tc>
          <w:tcPr>
            <w:tcW w:w="1373" w:type="dxa"/>
            <w:vAlign w:val="bottom"/>
          </w:tcPr>
          <w:p w14:paraId="67860FEB"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-0.173131</w:t>
            </w:r>
          </w:p>
        </w:tc>
        <w:tc>
          <w:tcPr>
            <w:tcW w:w="1440" w:type="dxa"/>
            <w:vAlign w:val="bottom"/>
          </w:tcPr>
          <w:p w14:paraId="1D1D94FF"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0.127631</w:t>
            </w:r>
          </w:p>
        </w:tc>
        <w:tc>
          <w:tcPr>
            <w:tcW w:w="1350" w:type="dxa"/>
            <w:vAlign w:val="bottom"/>
          </w:tcPr>
          <w:p w14:paraId="12E9C053"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-1.356500</w:t>
            </w:r>
          </w:p>
        </w:tc>
        <w:tc>
          <w:tcPr>
            <w:tcW w:w="1170" w:type="dxa"/>
            <w:vAlign w:val="bottom"/>
          </w:tcPr>
          <w:p w14:paraId="2C83E0C8"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0.1887</w:t>
            </w:r>
          </w:p>
        </w:tc>
      </w:tr>
      <w:tr w:rsidR="00FA2E45" w:rsidRPr="00D37C9A" w14:paraId="1773476E" w14:textId="77777777" w:rsidTr="00B40C47">
        <w:trPr>
          <w:trHeight w:val="225"/>
        </w:trPr>
        <w:tc>
          <w:tcPr>
            <w:tcW w:w="2017" w:type="dxa"/>
            <w:vAlign w:val="bottom"/>
          </w:tcPr>
          <w:p w14:paraId="441B6B70" w14:textId="77777777" w:rsidR="00FA2E45" w:rsidRPr="00D37C9A" w:rsidRDefault="00FA2E45" w:rsidP="00D37C9A">
            <w:pPr>
              <w:autoSpaceDE w:val="0"/>
              <w:autoSpaceDN w:val="0"/>
              <w:adjustRightInd w:val="0"/>
              <w:spacing w:after="0"/>
              <w:jc w:val="both"/>
              <w:rPr>
                <w:rFonts w:ascii="Times New Roman" w:hAnsi="Times New Roman" w:cs="Times New Roman"/>
              </w:rPr>
            </w:pPr>
            <w:r w:rsidRPr="00D37C9A">
              <w:rPr>
                <w:rFonts w:ascii="Times New Roman" w:hAnsi="Times New Roman" w:cs="Times New Roman"/>
              </w:rPr>
              <w:t>DLOG(PMS)</w:t>
            </w:r>
          </w:p>
        </w:tc>
        <w:tc>
          <w:tcPr>
            <w:tcW w:w="1373" w:type="dxa"/>
            <w:vAlign w:val="bottom"/>
          </w:tcPr>
          <w:p w14:paraId="6AF58E0A"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-0.818796</w:t>
            </w:r>
          </w:p>
        </w:tc>
        <w:tc>
          <w:tcPr>
            <w:tcW w:w="1440" w:type="dxa"/>
            <w:vAlign w:val="bottom"/>
          </w:tcPr>
          <w:p w14:paraId="6956F41D"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0.216952</w:t>
            </w:r>
          </w:p>
        </w:tc>
        <w:tc>
          <w:tcPr>
            <w:tcW w:w="1350" w:type="dxa"/>
            <w:vAlign w:val="bottom"/>
          </w:tcPr>
          <w:p w14:paraId="47DFFEAF"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-3.774091</w:t>
            </w:r>
          </w:p>
        </w:tc>
        <w:tc>
          <w:tcPr>
            <w:tcW w:w="1170" w:type="dxa"/>
            <w:vAlign w:val="bottom"/>
          </w:tcPr>
          <w:p w14:paraId="773A6CF7"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0.0010</w:t>
            </w:r>
          </w:p>
        </w:tc>
      </w:tr>
      <w:tr w:rsidR="00FA2E45" w:rsidRPr="00D37C9A" w14:paraId="21B2C8F1" w14:textId="77777777" w:rsidTr="00B40C47">
        <w:trPr>
          <w:trHeight w:val="225"/>
        </w:trPr>
        <w:tc>
          <w:tcPr>
            <w:tcW w:w="2017" w:type="dxa"/>
            <w:vAlign w:val="bottom"/>
          </w:tcPr>
          <w:p w14:paraId="3C87F8A4" w14:textId="77777777" w:rsidR="00FA2E45" w:rsidRPr="00D37C9A" w:rsidRDefault="00FA2E45" w:rsidP="00D37C9A">
            <w:pPr>
              <w:autoSpaceDE w:val="0"/>
              <w:autoSpaceDN w:val="0"/>
              <w:adjustRightInd w:val="0"/>
              <w:spacing w:after="0"/>
              <w:jc w:val="both"/>
              <w:rPr>
                <w:rFonts w:ascii="Times New Roman" w:hAnsi="Times New Roman" w:cs="Times New Roman"/>
              </w:rPr>
            </w:pPr>
            <w:r w:rsidRPr="00D37C9A">
              <w:rPr>
                <w:rFonts w:ascii="Times New Roman" w:hAnsi="Times New Roman" w:cs="Times New Roman"/>
              </w:rPr>
              <w:t>DLOG(PMS(-1))</w:t>
            </w:r>
          </w:p>
        </w:tc>
        <w:tc>
          <w:tcPr>
            <w:tcW w:w="1373" w:type="dxa"/>
            <w:vAlign w:val="bottom"/>
          </w:tcPr>
          <w:p w14:paraId="475A6F77"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0.249868</w:t>
            </w:r>
          </w:p>
        </w:tc>
        <w:tc>
          <w:tcPr>
            <w:tcW w:w="1440" w:type="dxa"/>
            <w:vAlign w:val="bottom"/>
          </w:tcPr>
          <w:p w14:paraId="7372F16F"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0.207564</w:t>
            </w:r>
          </w:p>
        </w:tc>
        <w:tc>
          <w:tcPr>
            <w:tcW w:w="1350" w:type="dxa"/>
            <w:vAlign w:val="bottom"/>
          </w:tcPr>
          <w:p w14:paraId="1BA51AEC"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1.203811</w:t>
            </w:r>
          </w:p>
        </w:tc>
        <w:tc>
          <w:tcPr>
            <w:tcW w:w="1170" w:type="dxa"/>
            <w:vAlign w:val="bottom"/>
          </w:tcPr>
          <w:p w14:paraId="2806A348"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0.2415</w:t>
            </w:r>
          </w:p>
        </w:tc>
      </w:tr>
      <w:tr w:rsidR="00FA2E45" w:rsidRPr="00D37C9A" w14:paraId="642BB5EC" w14:textId="77777777" w:rsidTr="00B40C47">
        <w:trPr>
          <w:trHeight w:val="225"/>
        </w:trPr>
        <w:tc>
          <w:tcPr>
            <w:tcW w:w="2017" w:type="dxa"/>
            <w:vAlign w:val="bottom"/>
          </w:tcPr>
          <w:p w14:paraId="62D37979" w14:textId="77777777" w:rsidR="00FA2E45" w:rsidRPr="00D37C9A" w:rsidRDefault="00FA2E45" w:rsidP="00D37C9A">
            <w:pPr>
              <w:autoSpaceDE w:val="0"/>
              <w:autoSpaceDN w:val="0"/>
              <w:adjustRightInd w:val="0"/>
              <w:spacing w:after="0"/>
              <w:jc w:val="both"/>
              <w:rPr>
                <w:rFonts w:ascii="Times New Roman" w:hAnsi="Times New Roman" w:cs="Times New Roman"/>
              </w:rPr>
            </w:pPr>
            <w:r w:rsidRPr="00D37C9A">
              <w:rPr>
                <w:rFonts w:ascii="Times New Roman" w:hAnsi="Times New Roman" w:cs="Times New Roman"/>
              </w:rPr>
              <w:t>DLOG(PMS(-2))</w:t>
            </w:r>
          </w:p>
        </w:tc>
        <w:tc>
          <w:tcPr>
            <w:tcW w:w="1373" w:type="dxa"/>
            <w:vAlign w:val="bottom"/>
          </w:tcPr>
          <w:p w14:paraId="65E81270"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-0.486622</w:t>
            </w:r>
          </w:p>
        </w:tc>
        <w:tc>
          <w:tcPr>
            <w:tcW w:w="1440" w:type="dxa"/>
            <w:vAlign w:val="bottom"/>
          </w:tcPr>
          <w:p w14:paraId="131839B8"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0.187708</w:t>
            </w:r>
          </w:p>
        </w:tc>
        <w:tc>
          <w:tcPr>
            <w:tcW w:w="1350" w:type="dxa"/>
            <w:vAlign w:val="bottom"/>
          </w:tcPr>
          <w:p w14:paraId="236AF1F5"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-2.592446</w:t>
            </w:r>
          </w:p>
        </w:tc>
        <w:tc>
          <w:tcPr>
            <w:tcW w:w="1170" w:type="dxa"/>
            <w:vAlign w:val="bottom"/>
          </w:tcPr>
          <w:p w14:paraId="58D0FAA0"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0.0166</w:t>
            </w:r>
          </w:p>
        </w:tc>
      </w:tr>
      <w:tr w:rsidR="00FA2E45" w:rsidRPr="00D37C9A" w14:paraId="671E85AC" w14:textId="77777777" w:rsidTr="00B40C47">
        <w:trPr>
          <w:trHeight w:val="225"/>
        </w:trPr>
        <w:tc>
          <w:tcPr>
            <w:tcW w:w="2017" w:type="dxa"/>
            <w:tcBorders>
              <w:bottom w:val="nil"/>
            </w:tcBorders>
            <w:vAlign w:val="bottom"/>
          </w:tcPr>
          <w:p w14:paraId="7BEF0ADA" w14:textId="77777777" w:rsidR="00FA2E45" w:rsidRPr="00D37C9A" w:rsidRDefault="00FA2E45" w:rsidP="00D37C9A">
            <w:pPr>
              <w:autoSpaceDE w:val="0"/>
              <w:autoSpaceDN w:val="0"/>
              <w:adjustRightInd w:val="0"/>
              <w:spacing w:after="0"/>
              <w:jc w:val="both"/>
              <w:rPr>
                <w:rFonts w:ascii="Times New Roman" w:hAnsi="Times New Roman" w:cs="Times New Roman"/>
              </w:rPr>
            </w:pPr>
            <w:r w:rsidRPr="00D37C9A">
              <w:rPr>
                <w:rFonts w:ascii="Times New Roman" w:hAnsi="Times New Roman" w:cs="Times New Roman"/>
              </w:rPr>
              <w:t>DLOG(SEC)</w:t>
            </w:r>
          </w:p>
        </w:tc>
        <w:tc>
          <w:tcPr>
            <w:tcW w:w="1373" w:type="dxa"/>
            <w:tcBorders>
              <w:bottom w:val="nil"/>
            </w:tcBorders>
            <w:vAlign w:val="bottom"/>
          </w:tcPr>
          <w:p w14:paraId="1C805185"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-0.215491</w:t>
            </w:r>
          </w:p>
        </w:tc>
        <w:tc>
          <w:tcPr>
            <w:tcW w:w="1440" w:type="dxa"/>
            <w:tcBorders>
              <w:bottom w:val="nil"/>
            </w:tcBorders>
            <w:vAlign w:val="bottom"/>
          </w:tcPr>
          <w:p w14:paraId="01C42CC5"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0.060389</w:t>
            </w:r>
          </w:p>
        </w:tc>
        <w:tc>
          <w:tcPr>
            <w:tcW w:w="1350" w:type="dxa"/>
            <w:tcBorders>
              <w:bottom w:val="nil"/>
            </w:tcBorders>
            <w:vAlign w:val="bottom"/>
          </w:tcPr>
          <w:p w14:paraId="5DF61FB0"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-3.568376</w:t>
            </w:r>
          </w:p>
        </w:tc>
        <w:tc>
          <w:tcPr>
            <w:tcW w:w="1170" w:type="dxa"/>
            <w:tcBorders>
              <w:bottom w:val="nil"/>
            </w:tcBorders>
            <w:vAlign w:val="bottom"/>
          </w:tcPr>
          <w:p w14:paraId="462A7D87"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0.0017</w:t>
            </w:r>
          </w:p>
        </w:tc>
      </w:tr>
      <w:tr w:rsidR="00FA2E45" w:rsidRPr="00D37C9A" w14:paraId="02ED0362" w14:textId="77777777" w:rsidTr="00B40C47">
        <w:trPr>
          <w:trHeight w:val="225"/>
        </w:trPr>
        <w:tc>
          <w:tcPr>
            <w:tcW w:w="2017" w:type="dxa"/>
            <w:tcBorders>
              <w:top w:val="nil"/>
              <w:bottom w:val="nil"/>
            </w:tcBorders>
            <w:vAlign w:val="bottom"/>
          </w:tcPr>
          <w:p w14:paraId="18FB0B54" w14:textId="77777777" w:rsidR="00FA2E45" w:rsidRPr="00D37C9A" w:rsidRDefault="00FA2E45" w:rsidP="00D37C9A">
            <w:pPr>
              <w:autoSpaceDE w:val="0"/>
              <w:autoSpaceDN w:val="0"/>
              <w:adjustRightInd w:val="0"/>
              <w:spacing w:after="0"/>
              <w:jc w:val="both"/>
              <w:rPr>
                <w:rFonts w:ascii="Times New Roman" w:hAnsi="Times New Roman" w:cs="Times New Roman"/>
              </w:rPr>
            </w:pPr>
            <w:r w:rsidRPr="00D37C9A">
              <w:rPr>
                <w:rFonts w:ascii="Times New Roman" w:hAnsi="Times New Roman" w:cs="Times New Roman"/>
              </w:rPr>
              <w:t>DLOG(SEC(-1))</w:t>
            </w:r>
          </w:p>
        </w:tc>
        <w:tc>
          <w:tcPr>
            <w:tcW w:w="1373" w:type="dxa"/>
            <w:tcBorders>
              <w:top w:val="nil"/>
              <w:bottom w:val="nil"/>
            </w:tcBorders>
            <w:vAlign w:val="bottom"/>
          </w:tcPr>
          <w:p w14:paraId="71EE41F2"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-0.071540</w:t>
            </w:r>
          </w:p>
        </w:tc>
        <w:tc>
          <w:tcPr>
            <w:tcW w:w="1440" w:type="dxa"/>
            <w:tcBorders>
              <w:top w:val="nil"/>
              <w:bottom w:val="nil"/>
            </w:tcBorders>
            <w:vAlign w:val="bottom"/>
          </w:tcPr>
          <w:p w14:paraId="5C64D61A"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0.053656</w:t>
            </w:r>
          </w:p>
        </w:tc>
        <w:tc>
          <w:tcPr>
            <w:tcW w:w="1350" w:type="dxa"/>
            <w:tcBorders>
              <w:top w:val="nil"/>
              <w:bottom w:val="nil"/>
            </w:tcBorders>
            <w:vAlign w:val="bottom"/>
          </w:tcPr>
          <w:p w14:paraId="23768095"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-1.333315</w:t>
            </w:r>
          </w:p>
        </w:tc>
        <w:tc>
          <w:tcPr>
            <w:tcW w:w="1170" w:type="dxa"/>
            <w:tcBorders>
              <w:top w:val="nil"/>
              <w:bottom w:val="nil"/>
            </w:tcBorders>
            <w:vAlign w:val="bottom"/>
          </w:tcPr>
          <w:p w14:paraId="142FA581"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0.1961</w:t>
            </w:r>
          </w:p>
        </w:tc>
      </w:tr>
      <w:tr w:rsidR="00FA2E45" w:rsidRPr="00D37C9A" w14:paraId="3F21D4B0" w14:textId="77777777" w:rsidTr="00B40C47">
        <w:trPr>
          <w:trHeight w:val="225"/>
        </w:trPr>
        <w:tc>
          <w:tcPr>
            <w:tcW w:w="2017" w:type="dxa"/>
            <w:tcBorders>
              <w:top w:val="nil"/>
              <w:bottom w:val="nil"/>
            </w:tcBorders>
            <w:vAlign w:val="bottom"/>
          </w:tcPr>
          <w:p w14:paraId="59A77EF2" w14:textId="77777777" w:rsidR="00FA2E45" w:rsidRPr="00D37C9A" w:rsidRDefault="00FA2E45" w:rsidP="00D37C9A">
            <w:pPr>
              <w:autoSpaceDE w:val="0"/>
              <w:autoSpaceDN w:val="0"/>
              <w:adjustRightInd w:val="0"/>
              <w:spacing w:after="0"/>
              <w:jc w:val="both"/>
              <w:rPr>
                <w:rFonts w:ascii="Times New Roman" w:hAnsi="Times New Roman" w:cs="Times New Roman"/>
              </w:rPr>
            </w:pPr>
            <w:r w:rsidRPr="00D37C9A">
              <w:rPr>
                <w:rFonts w:ascii="Times New Roman" w:hAnsi="Times New Roman" w:cs="Times New Roman"/>
              </w:rPr>
              <w:t>DLOG(SEC(-2))</w:t>
            </w:r>
          </w:p>
        </w:tc>
        <w:tc>
          <w:tcPr>
            <w:tcW w:w="1373" w:type="dxa"/>
            <w:tcBorders>
              <w:top w:val="nil"/>
              <w:bottom w:val="nil"/>
            </w:tcBorders>
            <w:vAlign w:val="bottom"/>
          </w:tcPr>
          <w:p w14:paraId="09BDFA8A"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-0.144065</w:t>
            </w:r>
          </w:p>
        </w:tc>
        <w:tc>
          <w:tcPr>
            <w:tcW w:w="1440" w:type="dxa"/>
            <w:tcBorders>
              <w:top w:val="nil"/>
              <w:bottom w:val="nil"/>
            </w:tcBorders>
            <w:vAlign w:val="bottom"/>
          </w:tcPr>
          <w:p w14:paraId="58412479"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0.051805</w:t>
            </w:r>
          </w:p>
        </w:tc>
        <w:tc>
          <w:tcPr>
            <w:tcW w:w="1350" w:type="dxa"/>
            <w:tcBorders>
              <w:top w:val="nil"/>
              <w:bottom w:val="nil"/>
            </w:tcBorders>
            <w:vAlign w:val="bottom"/>
          </w:tcPr>
          <w:p w14:paraId="56211377"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-2.780936</w:t>
            </w:r>
          </w:p>
        </w:tc>
        <w:tc>
          <w:tcPr>
            <w:tcW w:w="1170" w:type="dxa"/>
            <w:tcBorders>
              <w:top w:val="nil"/>
              <w:bottom w:val="nil"/>
            </w:tcBorders>
            <w:vAlign w:val="bottom"/>
          </w:tcPr>
          <w:p w14:paraId="4DF4B072"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0.0109</w:t>
            </w:r>
          </w:p>
        </w:tc>
      </w:tr>
      <w:tr w:rsidR="00FA2E45" w:rsidRPr="00D37C9A" w14:paraId="5D50481C" w14:textId="77777777" w:rsidTr="00B40C47">
        <w:trPr>
          <w:trHeight w:val="225"/>
        </w:trPr>
        <w:tc>
          <w:tcPr>
            <w:tcW w:w="2017" w:type="dxa"/>
            <w:tcBorders>
              <w:top w:val="nil"/>
              <w:bottom w:val="nil"/>
            </w:tcBorders>
            <w:vAlign w:val="bottom"/>
          </w:tcPr>
          <w:p w14:paraId="0FE94486" w14:textId="77777777" w:rsidR="00FA2E45" w:rsidRPr="00D37C9A" w:rsidRDefault="00FA2E45" w:rsidP="00D37C9A">
            <w:pPr>
              <w:autoSpaceDE w:val="0"/>
              <w:autoSpaceDN w:val="0"/>
              <w:adjustRightInd w:val="0"/>
              <w:spacing w:after="0"/>
              <w:jc w:val="both"/>
              <w:rPr>
                <w:rFonts w:ascii="Times New Roman" w:hAnsi="Times New Roman" w:cs="Times New Roman"/>
              </w:rPr>
            </w:pPr>
            <w:r w:rsidRPr="00D37C9A">
              <w:rPr>
                <w:rFonts w:ascii="Times New Roman" w:hAnsi="Times New Roman" w:cs="Times New Roman"/>
              </w:rPr>
              <w:t>DLOG(HPC)</w:t>
            </w:r>
          </w:p>
        </w:tc>
        <w:tc>
          <w:tcPr>
            <w:tcW w:w="1373" w:type="dxa"/>
            <w:tcBorders>
              <w:top w:val="nil"/>
              <w:bottom w:val="nil"/>
            </w:tcBorders>
            <w:vAlign w:val="bottom"/>
          </w:tcPr>
          <w:p w14:paraId="02F68154"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-0.705686</w:t>
            </w:r>
          </w:p>
        </w:tc>
        <w:tc>
          <w:tcPr>
            <w:tcW w:w="1440" w:type="dxa"/>
            <w:tcBorders>
              <w:top w:val="nil"/>
              <w:bottom w:val="nil"/>
            </w:tcBorders>
            <w:vAlign w:val="bottom"/>
          </w:tcPr>
          <w:p w14:paraId="45CC3348"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1.031945</w:t>
            </w:r>
          </w:p>
        </w:tc>
        <w:tc>
          <w:tcPr>
            <w:tcW w:w="1350" w:type="dxa"/>
            <w:tcBorders>
              <w:top w:val="nil"/>
              <w:bottom w:val="nil"/>
            </w:tcBorders>
            <w:vAlign w:val="bottom"/>
          </w:tcPr>
          <w:p w14:paraId="45D81ABD"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-0.683807</w:t>
            </w:r>
          </w:p>
        </w:tc>
        <w:tc>
          <w:tcPr>
            <w:tcW w:w="1170" w:type="dxa"/>
            <w:tcBorders>
              <w:top w:val="nil"/>
              <w:bottom w:val="nil"/>
            </w:tcBorders>
            <w:vAlign w:val="bottom"/>
          </w:tcPr>
          <w:p w14:paraId="0E869D61"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0.5038</w:t>
            </w:r>
          </w:p>
        </w:tc>
      </w:tr>
      <w:tr w:rsidR="00FA2E45" w:rsidRPr="00D37C9A" w14:paraId="7345DC42" w14:textId="77777777" w:rsidTr="00B40C47">
        <w:trPr>
          <w:trHeight w:val="225"/>
        </w:trPr>
        <w:tc>
          <w:tcPr>
            <w:tcW w:w="2017" w:type="dxa"/>
            <w:tcBorders>
              <w:top w:val="nil"/>
              <w:bottom w:val="nil"/>
            </w:tcBorders>
            <w:vAlign w:val="bottom"/>
          </w:tcPr>
          <w:p w14:paraId="6BEB4B03" w14:textId="77777777" w:rsidR="00FA2E45" w:rsidRPr="00D37C9A" w:rsidRDefault="00FA2E45" w:rsidP="00D37C9A">
            <w:pPr>
              <w:autoSpaceDE w:val="0"/>
              <w:autoSpaceDN w:val="0"/>
              <w:adjustRightInd w:val="0"/>
              <w:spacing w:after="0"/>
              <w:jc w:val="both"/>
              <w:rPr>
                <w:rFonts w:ascii="Times New Roman" w:hAnsi="Times New Roman" w:cs="Times New Roman"/>
              </w:rPr>
            </w:pPr>
            <w:r w:rsidRPr="00D37C9A">
              <w:rPr>
                <w:rFonts w:ascii="Times New Roman" w:hAnsi="Times New Roman" w:cs="Times New Roman"/>
              </w:rPr>
              <w:t>DLOG(NGC)</w:t>
            </w:r>
          </w:p>
        </w:tc>
        <w:tc>
          <w:tcPr>
            <w:tcW w:w="1373" w:type="dxa"/>
            <w:tcBorders>
              <w:top w:val="nil"/>
              <w:bottom w:val="nil"/>
            </w:tcBorders>
            <w:vAlign w:val="bottom"/>
          </w:tcPr>
          <w:p w14:paraId="3CA9A10F"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-0.656018</w:t>
            </w:r>
          </w:p>
        </w:tc>
        <w:tc>
          <w:tcPr>
            <w:tcW w:w="1440" w:type="dxa"/>
            <w:tcBorders>
              <w:top w:val="nil"/>
              <w:bottom w:val="nil"/>
            </w:tcBorders>
            <w:vAlign w:val="bottom"/>
          </w:tcPr>
          <w:p w14:paraId="529496BD"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0.064335</w:t>
            </w:r>
          </w:p>
        </w:tc>
        <w:tc>
          <w:tcPr>
            <w:tcW w:w="1350" w:type="dxa"/>
            <w:tcBorders>
              <w:top w:val="nil"/>
              <w:bottom w:val="nil"/>
            </w:tcBorders>
            <w:vAlign w:val="bottom"/>
          </w:tcPr>
          <w:p w14:paraId="2967A5C8"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-10.19691</w:t>
            </w:r>
          </w:p>
        </w:tc>
        <w:tc>
          <w:tcPr>
            <w:tcW w:w="1170" w:type="dxa"/>
            <w:tcBorders>
              <w:top w:val="nil"/>
              <w:bottom w:val="nil"/>
            </w:tcBorders>
            <w:vAlign w:val="bottom"/>
          </w:tcPr>
          <w:p w14:paraId="084FAA53"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0.0000</w:t>
            </w:r>
          </w:p>
        </w:tc>
      </w:tr>
      <w:tr w:rsidR="00FA2E45" w:rsidRPr="00D37C9A" w14:paraId="2A25CEE8" w14:textId="77777777" w:rsidTr="00B40C47">
        <w:trPr>
          <w:trHeight w:val="225"/>
        </w:trPr>
        <w:tc>
          <w:tcPr>
            <w:tcW w:w="7350" w:type="dxa"/>
            <w:gridSpan w:val="5"/>
            <w:tcBorders>
              <w:top w:val="single" w:sz="4" w:space="0" w:color="auto"/>
              <w:bottom w:val="nil"/>
            </w:tcBorders>
            <w:vAlign w:val="bottom"/>
          </w:tcPr>
          <w:p w14:paraId="5A1FD353" w14:textId="77777777" w:rsidR="00FA2E45" w:rsidRPr="00D37C9A" w:rsidRDefault="00FA2E45" w:rsidP="00D37C9A">
            <w:pPr>
              <w:autoSpaceDE w:val="0"/>
              <w:autoSpaceDN w:val="0"/>
              <w:adjustRightInd w:val="0"/>
              <w:spacing w:after="0"/>
              <w:ind w:right="10"/>
              <w:jc w:val="both"/>
              <w:rPr>
                <w:rFonts w:ascii="Times New Roman" w:hAnsi="Times New Roman" w:cs="Times New Roman"/>
              </w:rPr>
            </w:pPr>
            <w:r w:rsidRPr="00D37C9A">
              <w:rPr>
                <w:rFonts w:ascii="Times New Roman" w:hAnsi="Times New Roman" w:cs="Times New Roman"/>
              </w:rPr>
              <w:t>Adjusted R-squared = 0.791775</w:t>
            </w:r>
          </w:p>
          <w:p w14:paraId="11FB0107" w14:textId="77777777" w:rsidR="00FA2E45" w:rsidRPr="00D37C9A" w:rsidRDefault="00FA2E45" w:rsidP="00D37C9A">
            <w:pPr>
              <w:autoSpaceDE w:val="0"/>
              <w:autoSpaceDN w:val="0"/>
              <w:adjustRightInd w:val="0"/>
              <w:spacing w:after="0"/>
              <w:ind w:right="10"/>
              <w:jc w:val="both"/>
              <w:rPr>
                <w:rFonts w:ascii="Times New Roman" w:hAnsi="Times New Roman" w:cs="Times New Roman"/>
              </w:rPr>
            </w:pPr>
            <w:r w:rsidRPr="00D37C9A">
              <w:rPr>
                <w:rFonts w:ascii="Times New Roman" w:hAnsi="Times New Roman" w:cs="Times New Roman"/>
              </w:rPr>
              <w:t>F-statistic = 15.25935</w:t>
            </w:r>
          </w:p>
          <w:p w14:paraId="65633645" w14:textId="77777777" w:rsidR="00FA2E45" w:rsidRPr="00D37C9A" w:rsidRDefault="00FA2E45" w:rsidP="00D37C9A">
            <w:pPr>
              <w:autoSpaceDE w:val="0"/>
              <w:autoSpaceDN w:val="0"/>
              <w:adjustRightInd w:val="0"/>
              <w:spacing w:after="0"/>
              <w:ind w:right="10"/>
              <w:jc w:val="both"/>
              <w:rPr>
                <w:rFonts w:ascii="Times New Roman" w:hAnsi="Times New Roman" w:cs="Times New Roman"/>
              </w:rPr>
            </w:pPr>
            <w:r w:rsidRPr="00D37C9A">
              <w:rPr>
                <w:rFonts w:ascii="Times New Roman" w:hAnsi="Times New Roman" w:cs="Times New Roman"/>
              </w:rPr>
              <w:t>Prob(F-statistic) = 0.000000</w:t>
            </w:r>
          </w:p>
        </w:tc>
      </w:tr>
      <w:tr w:rsidR="00FA2E45" w:rsidRPr="00D37C9A" w14:paraId="3E5D4908" w14:textId="77777777" w:rsidTr="00B40C47">
        <w:trPr>
          <w:trHeight w:val="225"/>
        </w:trPr>
        <w:tc>
          <w:tcPr>
            <w:tcW w:w="7350" w:type="dxa"/>
            <w:gridSpan w:val="5"/>
            <w:tcBorders>
              <w:top w:val="nil"/>
              <w:bottom w:val="single" w:sz="4" w:space="0" w:color="auto"/>
            </w:tcBorders>
            <w:vAlign w:val="bottom"/>
          </w:tcPr>
          <w:p w14:paraId="077F6BF5" w14:textId="77777777" w:rsidR="00FA2E45" w:rsidRPr="00D37C9A" w:rsidRDefault="00FA2E45" w:rsidP="00D37C9A">
            <w:pPr>
              <w:autoSpaceDE w:val="0"/>
              <w:autoSpaceDN w:val="0"/>
              <w:adjustRightInd w:val="0"/>
              <w:spacing w:after="0"/>
              <w:ind w:right="10"/>
              <w:jc w:val="both"/>
              <w:rPr>
                <w:rFonts w:ascii="Times New Roman" w:hAnsi="Times New Roman" w:cs="Times New Roman"/>
              </w:rPr>
            </w:pPr>
            <w:r w:rsidRPr="00D37C9A">
              <w:rPr>
                <w:rFonts w:ascii="Times New Roman" w:hAnsi="Times New Roman" w:cs="Times New Roman"/>
              </w:rPr>
              <w:t>Durbin-Watson stat = 2.167255</w:t>
            </w:r>
          </w:p>
        </w:tc>
      </w:tr>
    </w:tbl>
    <w:bookmarkEnd w:id="11"/>
    <w:p w14:paraId="1BC78622" w14:textId="77777777" w:rsidR="00FA2E45" w:rsidRPr="00D37C9A" w:rsidRDefault="00FA2E45" w:rsidP="00D37C9A">
      <w:pPr>
        <w:jc w:val="both"/>
        <w:rPr>
          <w:rFonts w:ascii="Times New Roman" w:hAnsi="Times New Roman" w:cs="Times New Roman"/>
          <w:i/>
        </w:rPr>
      </w:pPr>
      <w:r w:rsidRPr="00D37C9A">
        <w:rPr>
          <w:rFonts w:ascii="Times New Roman" w:hAnsi="Times New Roman" w:cs="Times New Roman"/>
          <w:b/>
          <w:iCs/>
        </w:rPr>
        <w:t>Source:</w:t>
      </w:r>
      <w:r w:rsidRPr="00D37C9A">
        <w:rPr>
          <w:rFonts w:ascii="Times New Roman" w:hAnsi="Times New Roman" w:cs="Times New Roman"/>
          <w:i/>
        </w:rPr>
        <w:t xml:space="preserve"> Computation by author (2025).</w:t>
      </w:r>
    </w:p>
    <w:p w14:paraId="2FFEE1CA" w14:textId="3823D31B" w:rsidR="00FA2E45" w:rsidRPr="00D37C9A" w:rsidRDefault="00FA2E45" w:rsidP="00D37C9A">
      <w:pPr>
        <w:pStyle w:val="NormalWeb"/>
        <w:spacing w:after="0"/>
        <w:jc w:val="both"/>
        <w:rPr>
          <w:sz w:val="22"/>
          <w:szCs w:val="22"/>
        </w:rPr>
      </w:pPr>
      <w:r w:rsidRPr="00D37C9A">
        <w:rPr>
          <w:sz w:val="22"/>
          <w:szCs w:val="22"/>
        </w:rPr>
        <w:t>With a co-efficient of -0.8957 and a probability-value of 0.0000, the error correcting term (COINTEQ) is unfavourable and mathematically substantial at the 1 percent level. This points to a substantial and quick shift towards long term balance. In particular, the poverty rate corrects for about 89.57 percent of any disequilibrium in the subsequent period. This term's substantial size and statistical significance attest to the presence of a consistent, long</w:t>
      </w:r>
      <w:r w:rsidR="00D37C9A">
        <w:rPr>
          <w:sz w:val="22"/>
          <w:szCs w:val="22"/>
        </w:rPr>
        <w:t>-run</w:t>
      </w:r>
      <w:r w:rsidRPr="00D37C9A">
        <w:rPr>
          <w:sz w:val="22"/>
          <w:szCs w:val="22"/>
        </w:rPr>
        <w:t xml:space="preserve"> nexus between the factors affecting Nigeria's poverty rate. With a co-efficient of -0.2807 and a probability-value of 0.0301, the current value of AGO consumption has an </w:t>
      </w:r>
      <w:r w:rsidRPr="00D37C9A">
        <w:rPr>
          <w:sz w:val="22"/>
          <w:szCs w:val="22"/>
        </w:rPr>
        <w:lastRenderedPageBreak/>
        <w:t>adverse and mathematically substantial outcome on the poverty rate. This indicates that in the near term, a one percent rise in AGO consumption upshots in about 0.28 percent drop in the poverty rate. The cheap cost and accessibility of AGO (diesel), especially for low-income individuals, may be the reason for this.</w:t>
      </w:r>
    </w:p>
    <w:p w14:paraId="15E3BE71" w14:textId="5603A658" w:rsidR="00FA2E45" w:rsidRPr="00D37C9A" w:rsidRDefault="00FA2E45" w:rsidP="00D37C9A">
      <w:pPr>
        <w:pStyle w:val="NormalWeb"/>
        <w:spacing w:after="0"/>
        <w:jc w:val="both"/>
        <w:rPr>
          <w:sz w:val="22"/>
          <w:szCs w:val="22"/>
        </w:rPr>
      </w:pPr>
      <w:r w:rsidRPr="00D37C9A">
        <w:rPr>
          <w:sz w:val="22"/>
          <w:szCs w:val="22"/>
        </w:rPr>
        <w:t xml:space="preserve">Additionally, the broad application of PMS consumption for residential and transportation purposes in Nigeria has conflicting short term consequences on poverty. The PMS consumption value as of right now has a substantial and adverse co-efficient of -0.8188 and a probability-value of 0.0010. This implies that a rise in PMS consumption lowers poverty in the near term, perhaps as an upshot of increased household energy availability, economic activity, and mobility. </w:t>
      </w:r>
      <w:r w:rsidR="00B81894" w:rsidRPr="00D37C9A">
        <w:rPr>
          <w:sz w:val="22"/>
          <w:szCs w:val="22"/>
        </w:rPr>
        <w:t xml:space="preserve"> </w:t>
      </w:r>
      <w:r w:rsidRPr="00D37C9A">
        <w:rPr>
          <w:sz w:val="22"/>
          <w:szCs w:val="22"/>
        </w:rPr>
        <w:t>Furthermore, there exist a persistent and substantial adverse correlation between poverty rate and solar energy consumption (SEC). A one percent rise in solar energy consumption (SEC) upshots in a 0.22 percent drop in the poverty rate, in assent with the current value of SEC, which has a co-efficient of -0.2155 and a probability-value of 0.0017. This implies that increasing access to solar energy might substantially improve the welfare of low-income families and lessen poverty, particularly in rural or off-grid locations.</w:t>
      </w:r>
    </w:p>
    <w:p w14:paraId="3B4B5FFE" w14:textId="02ECF023" w:rsidR="00FA2E45" w:rsidRPr="00D37C9A" w:rsidRDefault="00FA2E45" w:rsidP="00D37C9A">
      <w:pPr>
        <w:pStyle w:val="NormalWeb"/>
        <w:spacing w:after="0"/>
        <w:jc w:val="both"/>
        <w:rPr>
          <w:sz w:val="22"/>
          <w:szCs w:val="22"/>
        </w:rPr>
      </w:pPr>
      <w:r w:rsidRPr="00D37C9A">
        <w:rPr>
          <w:sz w:val="22"/>
          <w:szCs w:val="22"/>
        </w:rPr>
        <w:t xml:space="preserve">Additionally, the </w:t>
      </w:r>
      <w:r w:rsidR="00F47736" w:rsidRPr="00D37C9A">
        <w:rPr>
          <w:sz w:val="22"/>
          <w:szCs w:val="22"/>
        </w:rPr>
        <w:t>short-run</w:t>
      </w:r>
      <w:r w:rsidRPr="00D37C9A">
        <w:rPr>
          <w:sz w:val="22"/>
          <w:szCs w:val="22"/>
        </w:rPr>
        <w:t xml:space="preserve"> adverse result of hydropower energy consumption (HPC) on the poverty rate seems to be negligible. With a comparatively high probability-value of 0.5038 and a co-efficient of -0.7057, it seems that short term changes in hydropower energy consumption (HPC) have no discernible effect on poverty. This might be because disadvantaged people lack access to hydropower-based energy, underuse it, or have inadequate infrastructure. In the short term evaluated, its real outcome on reducing poverty seems to be minimal, despite its promise as a renewable energy source.</w:t>
      </w:r>
      <w:r w:rsidR="00B81894" w:rsidRPr="00D37C9A">
        <w:rPr>
          <w:sz w:val="22"/>
          <w:szCs w:val="22"/>
        </w:rPr>
        <w:t xml:space="preserve"> </w:t>
      </w:r>
      <w:r w:rsidRPr="00D37C9A">
        <w:rPr>
          <w:sz w:val="22"/>
          <w:szCs w:val="22"/>
        </w:rPr>
        <w:t>More substantially, with a co-efficient of -0.6560 and a probability-value of 0.0000, natural gas-to-power consumption (NGC) has a substantial and mathematically substantial adverse influence on the poverty rate. This suggests that the poverty rate decreases by 0.66 percent for every 1 percent rise in natural gas-to-power consumption (NGC).</w:t>
      </w:r>
      <w:r w:rsidR="002418ED" w:rsidRPr="00D37C9A">
        <w:rPr>
          <w:sz w:val="22"/>
          <w:szCs w:val="22"/>
        </w:rPr>
        <w:t xml:space="preserve"> T</w:t>
      </w:r>
      <w:r w:rsidRPr="00D37C9A">
        <w:rPr>
          <w:sz w:val="22"/>
          <w:szCs w:val="22"/>
        </w:rPr>
        <w:t>his finding emphasises how more affordable and clean energy sources may rise access to power, lower manufacturing costs, and eventually boost family income growth.</w:t>
      </w:r>
      <w:r w:rsidR="002418ED" w:rsidRPr="00D37C9A">
        <w:rPr>
          <w:sz w:val="22"/>
          <w:szCs w:val="22"/>
        </w:rPr>
        <w:t xml:space="preserve"> </w:t>
      </w:r>
      <w:r w:rsidRPr="00D37C9A">
        <w:rPr>
          <w:sz w:val="22"/>
          <w:szCs w:val="22"/>
        </w:rPr>
        <w:t xml:space="preserve">Furthermore, the independent variables (AGO consumption, PMS consumption, solar energy consumption, hydropower energy, and natural gas-to-power consumption) and their </w:t>
      </w:r>
      <w:r w:rsidR="00F47736" w:rsidRPr="00D37C9A">
        <w:rPr>
          <w:sz w:val="22"/>
          <w:szCs w:val="22"/>
        </w:rPr>
        <w:t>short-run</w:t>
      </w:r>
      <w:r w:rsidRPr="00D37C9A">
        <w:rPr>
          <w:sz w:val="22"/>
          <w:szCs w:val="22"/>
        </w:rPr>
        <w:t xml:space="preserve"> dynamics account for roughly 79 percent of the variation in the poverty rate, in assent with the adjusted R-squared value of 0.7918. This is a clear sign of the model's goodness-of-fit. Furthermore, the F-statistic of 15.2594 (p = 0.000000) demonstrates that the model is mathematically substantial overall, indicating that the regressors—natural gas-to-power consumption, solar energy consumption, hydropower energy, PMS consumption, and AGO consumption—collectively account for a sizable amount of short</w:t>
      </w:r>
      <w:r w:rsidR="00F47736" w:rsidRPr="00D37C9A">
        <w:rPr>
          <w:sz w:val="22"/>
          <w:szCs w:val="22"/>
        </w:rPr>
        <w:t>-run</w:t>
      </w:r>
      <w:r w:rsidRPr="00D37C9A">
        <w:rPr>
          <w:sz w:val="22"/>
          <w:szCs w:val="22"/>
        </w:rPr>
        <w:t xml:space="preserve"> variations in the poverty rate. Since the Durbin-Watson statistic of 2.1673 is near to 2, it indicates that autocorrelation in the residuals is not a substantial issue, enhancing the model's dependability.</w:t>
      </w:r>
    </w:p>
    <w:p w14:paraId="207CF91F" w14:textId="40BEB316" w:rsidR="00FA2E45" w:rsidRPr="00D37C9A" w:rsidRDefault="00FA2E45" w:rsidP="00D37C9A">
      <w:pPr>
        <w:pStyle w:val="NormalWeb"/>
        <w:spacing w:before="240" w:after="0"/>
        <w:jc w:val="both"/>
        <w:rPr>
          <w:b/>
          <w:sz w:val="22"/>
          <w:szCs w:val="22"/>
        </w:rPr>
      </w:pPr>
      <w:r w:rsidRPr="00D37C9A">
        <w:rPr>
          <w:b/>
          <w:sz w:val="22"/>
          <w:szCs w:val="22"/>
        </w:rPr>
        <w:t xml:space="preserve">Long </w:t>
      </w:r>
      <w:r w:rsidR="002418ED" w:rsidRPr="00D37C9A">
        <w:rPr>
          <w:b/>
          <w:sz w:val="22"/>
          <w:szCs w:val="22"/>
        </w:rPr>
        <w:t xml:space="preserve">Run </w:t>
      </w:r>
      <w:r w:rsidRPr="00D37C9A">
        <w:rPr>
          <w:b/>
          <w:sz w:val="22"/>
          <w:szCs w:val="22"/>
        </w:rPr>
        <w:t xml:space="preserve">ARDL Estimation </w:t>
      </w:r>
    </w:p>
    <w:p w14:paraId="756DE51D" w14:textId="1E48979F" w:rsidR="00FA2E45" w:rsidRPr="00D37C9A" w:rsidRDefault="00FA2E45" w:rsidP="00D37C9A">
      <w:pPr>
        <w:pStyle w:val="NormalWeb"/>
        <w:spacing w:after="0"/>
        <w:jc w:val="both"/>
        <w:rPr>
          <w:sz w:val="22"/>
          <w:szCs w:val="22"/>
        </w:rPr>
      </w:pPr>
      <w:r w:rsidRPr="00D37C9A">
        <w:rPr>
          <w:sz w:val="22"/>
          <w:szCs w:val="22"/>
        </w:rPr>
        <w:t>Table.6 displays the outcomes of the long term ARDL estimate of model one (POR model):</w:t>
      </w:r>
    </w:p>
    <w:p w14:paraId="13FB74FC" w14:textId="6ED2624F" w:rsidR="00FA2E45" w:rsidRPr="00D37C9A" w:rsidRDefault="00FA2E45"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b/>
        </w:rPr>
        <w:t>Table 6:</w:t>
      </w:r>
      <w:r w:rsidRPr="00D37C9A">
        <w:rPr>
          <w:rFonts w:ascii="Times New Roman" w:hAnsi="Times New Roman" w:cs="Times New Roman"/>
          <w:b/>
          <w:bCs/>
          <w:iCs/>
        </w:rPr>
        <w:t xml:space="preserve"> Upshots of </w:t>
      </w:r>
      <w:r w:rsidRPr="00D37C9A">
        <w:rPr>
          <w:rFonts w:ascii="Times New Roman" w:hAnsi="Times New Roman" w:cs="Times New Roman"/>
          <w:b/>
        </w:rPr>
        <w:t>Long term</w:t>
      </w:r>
      <w:r w:rsidRPr="00D37C9A">
        <w:rPr>
          <w:rFonts w:ascii="Times New Roman" w:hAnsi="Times New Roman" w:cs="Times New Roman"/>
          <w:b/>
          <w:bCs/>
        </w:rPr>
        <w:t xml:space="preserve"> ARDL </w:t>
      </w:r>
      <w:r w:rsidRPr="00D37C9A">
        <w:rPr>
          <w:rFonts w:ascii="Times New Roman" w:hAnsi="Times New Roman" w:cs="Times New Roman"/>
          <w:b/>
          <w:bCs/>
          <w:iCs/>
          <w:spacing w:val="10"/>
        </w:rPr>
        <w:t xml:space="preserve">Estimation </w:t>
      </w:r>
      <w:r w:rsidRPr="00D37C9A">
        <w:rPr>
          <w:rFonts w:ascii="Times New Roman" w:hAnsi="Times New Roman" w:cs="Times New Roman"/>
          <w:b/>
          <w:bCs/>
        </w:rPr>
        <w:t xml:space="preserve">of </w:t>
      </w:r>
      <w:r w:rsidRPr="00D37C9A">
        <w:rPr>
          <w:rFonts w:ascii="Times New Roman" w:hAnsi="Times New Roman" w:cs="Times New Roman"/>
          <w:b/>
          <w:bCs/>
          <w:iCs/>
        </w:rPr>
        <w:t>POR Model</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040"/>
        <w:gridCol w:w="1290"/>
        <w:gridCol w:w="1950"/>
        <w:gridCol w:w="1080"/>
        <w:gridCol w:w="1890"/>
      </w:tblGrid>
      <w:tr w:rsidR="00FA2E45" w:rsidRPr="00D37C9A" w14:paraId="5DDC674B" w14:textId="77777777" w:rsidTr="00B40C47">
        <w:trPr>
          <w:trHeight w:val="225"/>
        </w:trPr>
        <w:tc>
          <w:tcPr>
            <w:tcW w:w="8250" w:type="dxa"/>
            <w:gridSpan w:val="5"/>
            <w:tcBorders>
              <w:top w:val="single" w:sz="4" w:space="0" w:color="auto"/>
              <w:bottom w:val="single" w:sz="4" w:space="0" w:color="auto"/>
            </w:tcBorders>
            <w:vAlign w:val="bottom"/>
          </w:tcPr>
          <w:p w14:paraId="30C3AD4E" w14:textId="77777777" w:rsidR="00FA2E45" w:rsidRPr="00D37C9A" w:rsidRDefault="00FA2E45" w:rsidP="00D37C9A">
            <w:pPr>
              <w:autoSpaceDE w:val="0"/>
              <w:autoSpaceDN w:val="0"/>
              <w:adjustRightInd w:val="0"/>
              <w:spacing w:after="0"/>
              <w:ind w:right="10"/>
              <w:jc w:val="center"/>
              <w:rPr>
                <w:rFonts w:ascii="Times New Roman" w:hAnsi="Times New Roman" w:cs="Times New Roman"/>
                <w:b/>
                <w:bCs/>
              </w:rPr>
            </w:pPr>
            <w:bookmarkStart w:id="12" w:name="_Hlk197924618"/>
            <w:r w:rsidRPr="00D37C9A">
              <w:rPr>
                <w:rFonts w:ascii="Times New Roman" w:hAnsi="Times New Roman" w:cs="Times New Roman"/>
                <w:b/>
                <w:bCs/>
              </w:rPr>
              <w:t>Dependent Variable: LOG(POR)</w:t>
            </w:r>
          </w:p>
        </w:tc>
      </w:tr>
      <w:tr w:rsidR="00FA2E45" w:rsidRPr="00D37C9A" w14:paraId="3AC39023" w14:textId="77777777" w:rsidTr="00B40C47">
        <w:trPr>
          <w:trHeight w:val="225"/>
        </w:trPr>
        <w:tc>
          <w:tcPr>
            <w:tcW w:w="2040" w:type="dxa"/>
            <w:tcBorders>
              <w:top w:val="single" w:sz="4" w:space="0" w:color="auto"/>
            </w:tcBorders>
            <w:vAlign w:val="bottom"/>
          </w:tcPr>
          <w:p w14:paraId="6B739FE7"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b/>
                <w:bCs/>
              </w:rPr>
              <w:t>Variable</w:t>
            </w:r>
          </w:p>
        </w:tc>
        <w:tc>
          <w:tcPr>
            <w:tcW w:w="1290" w:type="dxa"/>
            <w:tcBorders>
              <w:top w:val="single" w:sz="4" w:space="0" w:color="auto"/>
            </w:tcBorders>
            <w:vAlign w:val="bottom"/>
          </w:tcPr>
          <w:p w14:paraId="4DCA6431" w14:textId="77777777" w:rsidR="00FA2E45" w:rsidRPr="00D37C9A" w:rsidRDefault="00FA2E45" w:rsidP="00D37C9A">
            <w:pPr>
              <w:autoSpaceDE w:val="0"/>
              <w:autoSpaceDN w:val="0"/>
              <w:adjustRightInd w:val="0"/>
              <w:spacing w:after="0"/>
              <w:ind w:right="10"/>
              <w:jc w:val="right"/>
              <w:rPr>
                <w:rFonts w:ascii="Times New Roman" w:hAnsi="Times New Roman" w:cs="Times New Roman"/>
                <w:b/>
                <w:bCs/>
              </w:rPr>
            </w:pPr>
            <w:r w:rsidRPr="00D37C9A">
              <w:rPr>
                <w:rFonts w:ascii="Times New Roman" w:hAnsi="Times New Roman" w:cs="Times New Roman"/>
                <w:b/>
                <w:bCs/>
              </w:rPr>
              <w:t>Co-efficient</w:t>
            </w:r>
          </w:p>
        </w:tc>
        <w:tc>
          <w:tcPr>
            <w:tcW w:w="1950" w:type="dxa"/>
            <w:tcBorders>
              <w:top w:val="single" w:sz="4" w:space="0" w:color="auto"/>
            </w:tcBorders>
            <w:vAlign w:val="bottom"/>
          </w:tcPr>
          <w:p w14:paraId="68728EA1" w14:textId="77777777" w:rsidR="00FA2E45" w:rsidRPr="00D37C9A" w:rsidRDefault="00FA2E45" w:rsidP="00D37C9A">
            <w:pPr>
              <w:autoSpaceDE w:val="0"/>
              <w:autoSpaceDN w:val="0"/>
              <w:adjustRightInd w:val="0"/>
              <w:spacing w:after="0"/>
              <w:ind w:right="10"/>
              <w:jc w:val="center"/>
              <w:rPr>
                <w:rFonts w:ascii="Times New Roman" w:hAnsi="Times New Roman" w:cs="Times New Roman"/>
                <w:b/>
                <w:bCs/>
              </w:rPr>
            </w:pPr>
            <w:r w:rsidRPr="00D37C9A">
              <w:rPr>
                <w:rFonts w:ascii="Times New Roman" w:hAnsi="Times New Roman" w:cs="Times New Roman"/>
                <w:b/>
                <w:bCs/>
              </w:rPr>
              <w:t>Std. Error</w:t>
            </w:r>
          </w:p>
        </w:tc>
        <w:tc>
          <w:tcPr>
            <w:tcW w:w="1080" w:type="dxa"/>
            <w:tcBorders>
              <w:top w:val="single" w:sz="4" w:space="0" w:color="auto"/>
            </w:tcBorders>
            <w:vAlign w:val="bottom"/>
          </w:tcPr>
          <w:p w14:paraId="0DD6A6BC" w14:textId="77777777" w:rsidR="00FA2E45" w:rsidRPr="00D37C9A" w:rsidRDefault="00FA2E45" w:rsidP="00D37C9A">
            <w:pPr>
              <w:autoSpaceDE w:val="0"/>
              <w:autoSpaceDN w:val="0"/>
              <w:adjustRightInd w:val="0"/>
              <w:spacing w:after="0"/>
              <w:ind w:right="10"/>
              <w:jc w:val="right"/>
              <w:rPr>
                <w:rFonts w:ascii="Times New Roman" w:hAnsi="Times New Roman" w:cs="Times New Roman"/>
                <w:b/>
                <w:bCs/>
              </w:rPr>
            </w:pPr>
            <w:r w:rsidRPr="00D37C9A">
              <w:rPr>
                <w:rFonts w:ascii="Times New Roman" w:hAnsi="Times New Roman" w:cs="Times New Roman"/>
                <w:b/>
                <w:bCs/>
              </w:rPr>
              <w:t>t-Statistic</w:t>
            </w:r>
          </w:p>
        </w:tc>
        <w:tc>
          <w:tcPr>
            <w:tcW w:w="1890" w:type="dxa"/>
            <w:tcBorders>
              <w:top w:val="single" w:sz="4" w:space="0" w:color="auto"/>
            </w:tcBorders>
            <w:vAlign w:val="bottom"/>
          </w:tcPr>
          <w:p w14:paraId="7EC73184" w14:textId="77777777" w:rsidR="00FA2E45" w:rsidRPr="00D37C9A" w:rsidRDefault="00FA2E45" w:rsidP="00D37C9A">
            <w:pPr>
              <w:autoSpaceDE w:val="0"/>
              <w:autoSpaceDN w:val="0"/>
              <w:adjustRightInd w:val="0"/>
              <w:spacing w:after="0"/>
              <w:ind w:right="10"/>
              <w:jc w:val="center"/>
              <w:rPr>
                <w:rFonts w:ascii="Times New Roman" w:hAnsi="Times New Roman" w:cs="Times New Roman"/>
                <w:b/>
                <w:bCs/>
              </w:rPr>
            </w:pPr>
            <w:r w:rsidRPr="00D37C9A">
              <w:rPr>
                <w:rFonts w:ascii="Times New Roman" w:hAnsi="Times New Roman" w:cs="Times New Roman"/>
                <w:b/>
                <w:bCs/>
              </w:rPr>
              <w:t>Prob.*  </w:t>
            </w:r>
          </w:p>
        </w:tc>
      </w:tr>
      <w:tr w:rsidR="00FA2E45" w:rsidRPr="00D37C9A" w14:paraId="000F6F37" w14:textId="77777777" w:rsidTr="00B40C47">
        <w:trPr>
          <w:trHeight w:val="225"/>
        </w:trPr>
        <w:tc>
          <w:tcPr>
            <w:tcW w:w="2040" w:type="dxa"/>
            <w:tcBorders>
              <w:top w:val="single" w:sz="4" w:space="0" w:color="auto"/>
            </w:tcBorders>
          </w:tcPr>
          <w:p w14:paraId="7B7D59DD"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bCs/>
              </w:rPr>
              <w:t>AGO)</w:t>
            </w:r>
          </w:p>
        </w:tc>
        <w:tc>
          <w:tcPr>
            <w:tcW w:w="1290" w:type="dxa"/>
            <w:tcBorders>
              <w:top w:val="single" w:sz="4" w:space="0" w:color="auto"/>
            </w:tcBorders>
            <w:vAlign w:val="bottom"/>
          </w:tcPr>
          <w:p w14:paraId="12ED7A9C"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-0.443889</w:t>
            </w:r>
          </w:p>
        </w:tc>
        <w:tc>
          <w:tcPr>
            <w:tcW w:w="1950" w:type="dxa"/>
            <w:tcBorders>
              <w:top w:val="single" w:sz="4" w:space="0" w:color="auto"/>
            </w:tcBorders>
            <w:vAlign w:val="bottom"/>
          </w:tcPr>
          <w:p w14:paraId="3B8567F2"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0.187891</w:t>
            </w:r>
          </w:p>
        </w:tc>
        <w:tc>
          <w:tcPr>
            <w:tcW w:w="1080" w:type="dxa"/>
            <w:tcBorders>
              <w:top w:val="single" w:sz="4" w:space="0" w:color="auto"/>
            </w:tcBorders>
            <w:vAlign w:val="bottom"/>
          </w:tcPr>
          <w:p w14:paraId="07F18E60"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-2.362475</w:t>
            </w:r>
          </w:p>
        </w:tc>
        <w:tc>
          <w:tcPr>
            <w:tcW w:w="1890" w:type="dxa"/>
            <w:tcBorders>
              <w:top w:val="single" w:sz="4" w:space="0" w:color="auto"/>
            </w:tcBorders>
            <w:vAlign w:val="bottom"/>
          </w:tcPr>
          <w:p w14:paraId="58EFBC16"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0.0262</w:t>
            </w:r>
          </w:p>
        </w:tc>
      </w:tr>
      <w:tr w:rsidR="00FA2E45" w:rsidRPr="00D37C9A" w14:paraId="247E95F4" w14:textId="77777777" w:rsidTr="00B40C47">
        <w:trPr>
          <w:trHeight w:val="225"/>
        </w:trPr>
        <w:tc>
          <w:tcPr>
            <w:tcW w:w="2040" w:type="dxa"/>
          </w:tcPr>
          <w:p w14:paraId="6B2A2E93"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rPr>
              <w:t>PMS)</w:t>
            </w:r>
          </w:p>
        </w:tc>
        <w:tc>
          <w:tcPr>
            <w:tcW w:w="1290" w:type="dxa"/>
            <w:vAlign w:val="bottom"/>
          </w:tcPr>
          <w:p w14:paraId="4C49B3F1"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-0.938151</w:t>
            </w:r>
          </w:p>
        </w:tc>
        <w:tc>
          <w:tcPr>
            <w:tcW w:w="1950" w:type="dxa"/>
            <w:vAlign w:val="bottom"/>
          </w:tcPr>
          <w:p w14:paraId="4288F373"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0.376968</w:t>
            </w:r>
          </w:p>
        </w:tc>
        <w:tc>
          <w:tcPr>
            <w:tcW w:w="1080" w:type="dxa"/>
            <w:vAlign w:val="bottom"/>
          </w:tcPr>
          <w:p w14:paraId="1AF066E2"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-2.488676</w:t>
            </w:r>
          </w:p>
        </w:tc>
        <w:tc>
          <w:tcPr>
            <w:tcW w:w="1890" w:type="dxa"/>
            <w:vAlign w:val="bottom"/>
          </w:tcPr>
          <w:p w14:paraId="13A7B95B"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0.0198</w:t>
            </w:r>
          </w:p>
        </w:tc>
      </w:tr>
      <w:tr w:rsidR="00FA2E45" w:rsidRPr="00D37C9A" w14:paraId="0BFF4E2C" w14:textId="77777777" w:rsidTr="00B40C47">
        <w:trPr>
          <w:trHeight w:val="225"/>
        </w:trPr>
        <w:tc>
          <w:tcPr>
            <w:tcW w:w="2040" w:type="dxa"/>
          </w:tcPr>
          <w:p w14:paraId="274B6678"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rPr>
              <w:t>SEC)</w:t>
            </w:r>
          </w:p>
        </w:tc>
        <w:tc>
          <w:tcPr>
            <w:tcW w:w="1290" w:type="dxa"/>
            <w:vAlign w:val="bottom"/>
          </w:tcPr>
          <w:p w14:paraId="12A6BF3F"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-0.122555</w:t>
            </w:r>
          </w:p>
        </w:tc>
        <w:tc>
          <w:tcPr>
            <w:tcW w:w="1950" w:type="dxa"/>
            <w:vAlign w:val="bottom"/>
          </w:tcPr>
          <w:p w14:paraId="22038976"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0.026172</w:t>
            </w:r>
          </w:p>
        </w:tc>
        <w:tc>
          <w:tcPr>
            <w:tcW w:w="1080" w:type="dxa"/>
            <w:vAlign w:val="bottom"/>
          </w:tcPr>
          <w:p w14:paraId="7CBD48D5"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-4.682676</w:t>
            </w:r>
          </w:p>
        </w:tc>
        <w:tc>
          <w:tcPr>
            <w:tcW w:w="1890" w:type="dxa"/>
            <w:vAlign w:val="bottom"/>
          </w:tcPr>
          <w:p w14:paraId="04A012D6"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0.0001</w:t>
            </w:r>
          </w:p>
        </w:tc>
      </w:tr>
      <w:tr w:rsidR="00FA2E45" w:rsidRPr="00D37C9A" w14:paraId="5514C28D" w14:textId="77777777" w:rsidTr="00B40C47">
        <w:trPr>
          <w:trHeight w:val="225"/>
        </w:trPr>
        <w:tc>
          <w:tcPr>
            <w:tcW w:w="2040" w:type="dxa"/>
          </w:tcPr>
          <w:p w14:paraId="5C66AAD3"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lastRenderedPageBreak/>
              <w:t>LOG(</w:t>
            </w:r>
            <w:r w:rsidRPr="00D37C9A">
              <w:rPr>
                <w:rFonts w:ascii="Times New Roman" w:hAnsi="Times New Roman" w:cs="Times New Roman"/>
              </w:rPr>
              <w:t>HPC)</w:t>
            </w:r>
          </w:p>
        </w:tc>
        <w:tc>
          <w:tcPr>
            <w:tcW w:w="1290" w:type="dxa"/>
            <w:vAlign w:val="bottom"/>
          </w:tcPr>
          <w:p w14:paraId="69B44D5F"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0.213774</w:t>
            </w:r>
          </w:p>
        </w:tc>
        <w:tc>
          <w:tcPr>
            <w:tcW w:w="1950" w:type="dxa"/>
            <w:vAlign w:val="bottom"/>
          </w:tcPr>
          <w:p w14:paraId="450924DB"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0.090781</w:t>
            </w:r>
          </w:p>
        </w:tc>
        <w:tc>
          <w:tcPr>
            <w:tcW w:w="1080" w:type="dxa"/>
            <w:vAlign w:val="bottom"/>
          </w:tcPr>
          <w:p w14:paraId="0AD7BC41"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2.354825</w:t>
            </w:r>
          </w:p>
        </w:tc>
        <w:tc>
          <w:tcPr>
            <w:tcW w:w="1890" w:type="dxa"/>
            <w:vAlign w:val="bottom"/>
          </w:tcPr>
          <w:p w14:paraId="115DC329"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0.0267</w:t>
            </w:r>
          </w:p>
        </w:tc>
      </w:tr>
      <w:tr w:rsidR="00FA2E45" w:rsidRPr="00D37C9A" w14:paraId="2E735FF0" w14:textId="77777777" w:rsidTr="00B40C47">
        <w:trPr>
          <w:trHeight w:val="225"/>
        </w:trPr>
        <w:tc>
          <w:tcPr>
            <w:tcW w:w="2040" w:type="dxa"/>
          </w:tcPr>
          <w:p w14:paraId="18788014"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LOG(NGC)</w:t>
            </w:r>
          </w:p>
        </w:tc>
        <w:tc>
          <w:tcPr>
            <w:tcW w:w="1290" w:type="dxa"/>
            <w:vAlign w:val="bottom"/>
          </w:tcPr>
          <w:p w14:paraId="61D64579"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1.338087</w:t>
            </w:r>
          </w:p>
        </w:tc>
        <w:tc>
          <w:tcPr>
            <w:tcW w:w="1950" w:type="dxa"/>
            <w:vAlign w:val="bottom"/>
          </w:tcPr>
          <w:p w14:paraId="7434145C"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0.219608</w:t>
            </w:r>
          </w:p>
        </w:tc>
        <w:tc>
          <w:tcPr>
            <w:tcW w:w="1080" w:type="dxa"/>
            <w:vAlign w:val="bottom"/>
          </w:tcPr>
          <w:p w14:paraId="0CFE12B9"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6.093074</w:t>
            </w:r>
          </w:p>
        </w:tc>
        <w:tc>
          <w:tcPr>
            <w:tcW w:w="1890" w:type="dxa"/>
            <w:vAlign w:val="bottom"/>
          </w:tcPr>
          <w:p w14:paraId="0A20FC15"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0.0000</w:t>
            </w:r>
          </w:p>
        </w:tc>
      </w:tr>
      <w:tr w:rsidR="00FA2E45" w:rsidRPr="00D37C9A" w14:paraId="55AD0D39" w14:textId="77777777" w:rsidTr="00B40C47">
        <w:trPr>
          <w:trHeight w:val="225"/>
        </w:trPr>
        <w:tc>
          <w:tcPr>
            <w:tcW w:w="2040" w:type="dxa"/>
            <w:vAlign w:val="bottom"/>
          </w:tcPr>
          <w:p w14:paraId="1B343768" w14:textId="77777777" w:rsidR="00FA2E45" w:rsidRPr="00D37C9A" w:rsidRDefault="00FA2E45" w:rsidP="00D37C9A">
            <w:pPr>
              <w:autoSpaceDE w:val="0"/>
              <w:autoSpaceDN w:val="0"/>
              <w:adjustRightInd w:val="0"/>
              <w:spacing w:after="0"/>
              <w:jc w:val="center"/>
              <w:rPr>
                <w:rFonts w:ascii="Times New Roman" w:eastAsia="Times New Roman" w:hAnsi="Times New Roman" w:cs="Times New Roman"/>
              </w:rPr>
            </w:pPr>
            <w:r w:rsidRPr="00D37C9A">
              <w:rPr>
                <w:rFonts w:ascii="Times New Roman" w:hAnsi="Times New Roman" w:cs="Times New Roman"/>
              </w:rPr>
              <w:t>C</w:t>
            </w:r>
          </w:p>
        </w:tc>
        <w:tc>
          <w:tcPr>
            <w:tcW w:w="1290" w:type="dxa"/>
            <w:vAlign w:val="bottom"/>
          </w:tcPr>
          <w:p w14:paraId="3D3E539E"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-1.460686</w:t>
            </w:r>
          </w:p>
        </w:tc>
        <w:tc>
          <w:tcPr>
            <w:tcW w:w="1950" w:type="dxa"/>
            <w:vAlign w:val="bottom"/>
          </w:tcPr>
          <w:p w14:paraId="1B1AAF24"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2.312714</w:t>
            </w:r>
          </w:p>
        </w:tc>
        <w:tc>
          <w:tcPr>
            <w:tcW w:w="1080" w:type="dxa"/>
            <w:vAlign w:val="bottom"/>
          </w:tcPr>
          <w:p w14:paraId="69BDAA47"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-0.631590</w:t>
            </w:r>
          </w:p>
        </w:tc>
        <w:tc>
          <w:tcPr>
            <w:tcW w:w="1890" w:type="dxa"/>
            <w:vAlign w:val="bottom"/>
          </w:tcPr>
          <w:p w14:paraId="2C3A5A75"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0.5334</w:t>
            </w:r>
          </w:p>
        </w:tc>
      </w:tr>
    </w:tbl>
    <w:bookmarkEnd w:id="12"/>
    <w:p w14:paraId="6AE131ED" w14:textId="77777777" w:rsidR="00FA2E45" w:rsidRPr="00D37C9A" w:rsidRDefault="00FA2E45" w:rsidP="00D37C9A">
      <w:pPr>
        <w:jc w:val="both"/>
        <w:rPr>
          <w:rFonts w:ascii="Times New Roman" w:hAnsi="Times New Roman" w:cs="Times New Roman"/>
          <w:i/>
        </w:rPr>
      </w:pPr>
      <w:r w:rsidRPr="00D37C9A">
        <w:rPr>
          <w:rFonts w:ascii="Times New Roman" w:hAnsi="Times New Roman" w:cs="Times New Roman"/>
          <w:b/>
          <w:iCs/>
        </w:rPr>
        <w:t>Source:</w:t>
      </w:r>
      <w:r w:rsidRPr="00D37C9A">
        <w:rPr>
          <w:rFonts w:ascii="Times New Roman" w:hAnsi="Times New Roman" w:cs="Times New Roman"/>
          <w:i/>
        </w:rPr>
        <w:t xml:space="preserve"> Computation by author (2025).</w:t>
      </w:r>
    </w:p>
    <w:p w14:paraId="51417D31" w14:textId="3C74BBEA" w:rsidR="002418ED" w:rsidRPr="00D37C9A" w:rsidRDefault="00FA2E45" w:rsidP="00D37C9A">
      <w:pPr>
        <w:spacing w:after="0"/>
        <w:jc w:val="both"/>
        <w:rPr>
          <w:rFonts w:ascii="Times New Roman" w:hAnsi="Times New Roman" w:cs="Times New Roman"/>
        </w:rPr>
      </w:pPr>
      <w:r w:rsidRPr="00D37C9A">
        <w:rPr>
          <w:rFonts w:ascii="Times New Roman" w:hAnsi="Times New Roman" w:cs="Times New Roman"/>
        </w:rPr>
        <w:t>In assent with Table.6, the AGO consumption co-efficient is -0.4439, and at the 5 percent level, it is mathematically substantial (probability-value = 0.0262). Auto petrol oil consumption (AGO) hence has a substantial adverse outcome on the poverty rate over time. This suggests that the poverty rate drops by 0.44 percent in the near term for every 1 percent rise in AGO use. This adverse association implies that AGO, which is often utilised in small-scale generators and enterprises, may promote service delivery, job creation, and productive activities, particularly in places with unstable power supplies. Additionally, the probability-value is 0.0198 and the PMS consumption co-efficient is -0.9382, both of which are mathematically substantial at the 5 percent level. This suggests that over time, PMS consumption has a substantial adverse outcome on the poverty rate. This implies that the poverty rate decreases by around 0.94 percent for every 1 percent rise in PMS consumption. Often utilised for household chores and transportation, PMS is essential to the lives of the impoverished in both urban and rural areas. Furthermore, solar energy consumption (SEC) has a co-efficient of -0.1226 with a very high statistical significance (probability-value = 0.0001), as Table 6 demonstrates. This suggests that, over time, solar energy consumption (SEC) has a substantial adverse outcome on the poverty rate. This further demonstrates that a one percent rise in solar energy consumption yields a 0.12 percent long term reduction in the poverty rate. Additionally, Table 6 shows that the hydropower energy consumption (HPC) co-efficient is 0.2138 with a probability-value of 0.0267, which indicates that it is mathematically substantial at the 5 percent level. This suggests that hydropower energy consumption, or HPC, has a substantial beneficial outcome on the poverty rate over the long term. Accordingly, the poverty rate rises by 0.21 percent over time for every 1 percent rise in hydropower energy consumption (HPC). One may read the beneficial trend as paradoxical, suggesting that more usage of hydropower may not always result in less poverty reduction. Interestingly, Table 6 demonstrates that natural gas-to-power consumption (NGC) has a co-efficient of +1.3381, with a probability-value of 0.0000, making it mathematically meaningful at the 5 percent level. This suggests that, over time, natural gas-to-power usage (NGC) has a substantial beneficial outcome on the poverty rate. In assent with this, the poverty rate rises by 1.34 percent over time for every 1 percent rise in natural gas-to-power consumption (NGC). Uneven distribution, inefficient infrastructure, or the exclusionary character of large-scale gas-powered projects that do not directly aid impoverished homes might be the cause of this seemingly paradoxical outcome.</w:t>
      </w:r>
    </w:p>
    <w:p w14:paraId="5BD6BBD5" w14:textId="7A119A7B" w:rsidR="00FA2E45" w:rsidRPr="00D37C9A" w:rsidRDefault="00FA2E45" w:rsidP="00D37C9A">
      <w:pPr>
        <w:spacing w:before="240" w:after="0"/>
        <w:jc w:val="both"/>
        <w:rPr>
          <w:rFonts w:ascii="Times New Roman" w:hAnsi="Times New Roman" w:cs="Times New Roman"/>
          <w:b/>
        </w:rPr>
      </w:pPr>
      <w:r w:rsidRPr="00D37C9A">
        <w:rPr>
          <w:rFonts w:ascii="Times New Roman" w:hAnsi="Times New Roman" w:cs="Times New Roman"/>
          <w:b/>
        </w:rPr>
        <w:t>Post-Estimation Tests</w:t>
      </w:r>
    </w:p>
    <w:p w14:paraId="57F0BC75" w14:textId="44321E0E" w:rsidR="00FA2E45" w:rsidRPr="00D37C9A" w:rsidRDefault="00FA2E45" w:rsidP="00D37C9A">
      <w:pPr>
        <w:spacing w:after="0"/>
        <w:jc w:val="both"/>
        <w:rPr>
          <w:rFonts w:ascii="Times New Roman" w:hAnsi="Times New Roman" w:cs="Times New Roman"/>
        </w:rPr>
      </w:pPr>
      <w:r w:rsidRPr="00D37C9A">
        <w:rPr>
          <w:rFonts w:ascii="Times New Roman" w:hAnsi="Times New Roman" w:cs="Times New Roman"/>
        </w:rPr>
        <w:t>Nonetheless, Table 7 displays the outcomes of the first post-estimation test model (POR model):</w:t>
      </w:r>
    </w:p>
    <w:p w14:paraId="00768303" w14:textId="13FB99EE" w:rsidR="00FA2E45" w:rsidRPr="00D37C9A" w:rsidRDefault="00FA2E45" w:rsidP="00D37C9A">
      <w:pPr>
        <w:spacing w:after="0"/>
        <w:jc w:val="both"/>
        <w:rPr>
          <w:rFonts w:ascii="Times New Roman" w:hAnsi="Times New Roman" w:cs="Times New Roman"/>
          <w:b/>
          <w:bCs/>
        </w:rPr>
      </w:pPr>
      <w:r w:rsidRPr="00D37C9A">
        <w:rPr>
          <w:rFonts w:ascii="Times New Roman" w:hAnsi="Times New Roman" w:cs="Times New Roman"/>
          <w:b/>
          <w:bCs/>
        </w:rPr>
        <w:t xml:space="preserve">Table 7: </w:t>
      </w:r>
      <w:r w:rsidRPr="00D37C9A">
        <w:rPr>
          <w:rFonts w:ascii="Times New Roman" w:hAnsi="Times New Roman" w:cs="Times New Roman"/>
          <w:b/>
        </w:rPr>
        <w:t>Post-Estimation Tests</w:t>
      </w:r>
      <w:r w:rsidRPr="00D37C9A">
        <w:rPr>
          <w:rFonts w:ascii="Times New Roman" w:hAnsi="Times New Roman" w:cs="Times New Roman"/>
          <w:b/>
          <w:bCs/>
        </w:rPr>
        <w:t xml:space="preserve"> Upshots of </w:t>
      </w:r>
      <w:r w:rsidRPr="00D37C9A">
        <w:rPr>
          <w:rFonts w:ascii="Times New Roman" w:hAnsi="Times New Roman" w:cs="Times New Roman"/>
          <w:b/>
          <w:bCs/>
          <w:iCs/>
        </w:rPr>
        <w:t>POR Model</w:t>
      </w:r>
    </w:p>
    <w:tbl>
      <w:tblPr>
        <w:tblW w:w="9900" w:type="dxa"/>
        <w:tblInd w:w="-185" w:type="dxa"/>
        <w:tblBorders>
          <w:top w:val="single" w:sz="4" w:space="0" w:color="auto"/>
          <w:bottom w:val="single" w:sz="4" w:space="0" w:color="auto"/>
        </w:tblBorders>
        <w:tblLook w:val="04A0" w:firstRow="1" w:lastRow="0" w:firstColumn="1" w:lastColumn="0" w:noHBand="0" w:noVBand="1"/>
      </w:tblPr>
      <w:tblGrid>
        <w:gridCol w:w="3022"/>
        <w:gridCol w:w="1428"/>
        <w:gridCol w:w="1377"/>
        <w:gridCol w:w="2819"/>
        <w:gridCol w:w="1254"/>
      </w:tblGrid>
      <w:tr w:rsidR="00FA2E45" w:rsidRPr="00D37C9A" w14:paraId="31A0F565" w14:textId="77777777" w:rsidTr="00B40C47">
        <w:tc>
          <w:tcPr>
            <w:tcW w:w="3022" w:type="dxa"/>
            <w:tcBorders>
              <w:top w:val="single" w:sz="4" w:space="0" w:color="auto"/>
              <w:bottom w:val="single" w:sz="4" w:space="0" w:color="auto"/>
            </w:tcBorders>
          </w:tcPr>
          <w:p w14:paraId="5D8CAC8E" w14:textId="77777777" w:rsidR="00FA2E45" w:rsidRPr="00D37C9A" w:rsidRDefault="00FA2E45" w:rsidP="00D37C9A">
            <w:pPr>
              <w:jc w:val="center"/>
              <w:rPr>
                <w:rFonts w:ascii="Times New Roman" w:hAnsi="Times New Roman" w:cs="Times New Roman"/>
                <w:b/>
                <w:bCs/>
              </w:rPr>
            </w:pPr>
            <w:r w:rsidRPr="00D37C9A">
              <w:rPr>
                <w:rFonts w:ascii="Times New Roman" w:hAnsi="Times New Roman" w:cs="Times New Roman"/>
                <w:b/>
                <w:bCs/>
              </w:rPr>
              <w:t>Test</w:t>
            </w:r>
          </w:p>
        </w:tc>
        <w:tc>
          <w:tcPr>
            <w:tcW w:w="1428" w:type="dxa"/>
            <w:tcBorders>
              <w:top w:val="single" w:sz="4" w:space="0" w:color="auto"/>
              <w:bottom w:val="single" w:sz="4" w:space="0" w:color="auto"/>
            </w:tcBorders>
          </w:tcPr>
          <w:p w14:paraId="78C4B2B4" w14:textId="77777777" w:rsidR="00FA2E45" w:rsidRPr="00D37C9A" w:rsidRDefault="00FA2E45" w:rsidP="00D37C9A">
            <w:pPr>
              <w:jc w:val="center"/>
              <w:rPr>
                <w:rFonts w:ascii="Times New Roman" w:hAnsi="Times New Roman" w:cs="Times New Roman"/>
                <w:b/>
                <w:bCs/>
              </w:rPr>
            </w:pPr>
            <w:r w:rsidRPr="00D37C9A">
              <w:rPr>
                <w:rFonts w:ascii="Times New Roman" w:hAnsi="Times New Roman" w:cs="Times New Roman"/>
                <w:b/>
                <w:bCs/>
              </w:rPr>
              <w:t>F-Statistic</w:t>
            </w:r>
          </w:p>
        </w:tc>
        <w:tc>
          <w:tcPr>
            <w:tcW w:w="1377" w:type="dxa"/>
            <w:tcBorders>
              <w:top w:val="single" w:sz="4" w:space="0" w:color="auto"/>
              <w:bottom w:val="single" w:sz="4" w:space="0" w:color="auto"/>
            </w:tcBorders>
          </w:tcPr>
          <w:p w14:paraId="2D089702" w14:textId="77777777" w:rsidR="00FA2E45" w:rsidRPr="00D37C9A" w:rsidRDefault="00FA2E45" w:rsidP="00D37C9A">
            <w:pPr>
              <w:jc w:val="center"/>
              <w:rPr>
                <w:rFonts w:ascii="Times New Roman" w:hAnsi="Times New Roman" w:cs="Times New Roman"/>
                <w:b/>
                <w:bCs/>
              </w:rPr>
            </w:pPr>
            <w:r w:rsidRPr="00D37C9A">
              <w:rPr>
                <w:rFonts w:ascii="Times New Roman" w:hAnsi="Times New Roman" w:cs="Times New Roman"/>
                <w:b/>
                <w:bCs/>
              </w:rPr>
              <w:t>Probability</w:t>
            </w:r>
          </w:p>
        </w:tc>
        <w:tc>
          <w:tcPr>
            <w:tcW w:w="2819" w:type="dxa"/>
            <w:tcBorders>
              <w:top w:val="single" w:sz="4" w:space="0" w:color="auto"/>
              <w:bottom w:val="single" w:sz="4" w:space="0" w:color="auto"/>
            </w:tcBorders>
          </w:tcPr>
          <w:p w14:paraId="3D95E5B1" w14:textId="77777777" w:rsidR="00FA2E45" w:rsidRPr="00D37C9A" w:rsidRDefault="00FA2E45" w:rsidP="00D37C9A">
            <w:pPr>
              <w:jc w:val="center"/>
              <w:rPr>
                <w:rFonts w:ascii="Times New Roman" w:hAnsi="Times New Roman" w:cs="Times New Roman"/>
                <w:b/>
                <w:bCs/>
              </w:rPr>
            </w:pPr>
            <w:r w:rsidRPr="00D37C9A">
              <w:rPr>
                <w:rFonts w:ascii="Times New Roman" w:hAnsi="Times New Roman" w:cs="Times New Roman"/>
                <w:b/>
                <w:bCs/>
              </w:rPr>
              <w:t>Null Hypothesis</w:t>
            </w:r>
          </w:p>
        </w:tc>
        <w:tc>
          <w:tcPr>
            <w:tcW w:w="1254" w:type="dxa"/>
            <w:tcBorders>
              <w:top w:val="single" w:sz="4" w:space="0" w:color="auto"/>
              <w:bottom w:val="single" w:sz="4" w:space="0" w:color="auto"/>
            </w:tcBorders>
          </w:tcPr>
          <w:p w14:paraId="3A999975" w14:textId="77777777" w:rsidR="00FA2E45" w:rsidRPr="00D37C9A" w:rsidRDefault="00FA2E45" w:rsidP="00D37C9A">
            <w:pPr>
              <w:jc w:val="center"/>
              <w:rPr>
                <w:rFonts w:ascii="Times New Roman" w:hAnsi="Times New Roman" w:cs="Times New Roman"/>
                <w:b/>
                <w:bCs/>
              </w:rPr>
            </w:pPr>
            <w:r w:rsidRPr="00D37C9A">
              <w:rPr>
                <w:rFonts w:ascii="Times New Roman" w:hAnsi="Times New Roman" w:cs="Times New Roman"/>
                <w:b/>
                <w:bCs/>
              </w:rPr>
              <w:t>Decision</w:t>
            </w:r>
          </w:p>
        </w:tc>
      </w:tr>
      <w:tr w:rsidR="00FA2E45" w:rsidRPr="00D37C9A" w14:paraId="6E1F2BD2" w14:textId="77777777" w:rsidTr="00B40C47">
        <w:tc>
          <w:tcPr>
            <w:tcW w:w="3022" w:type="dxa"/>
            <w:tcBorders>
              <w:top w:val="single" w:sz="4" w:space="0" w:color="auto"/>
              <w:bottom w:val="nil"/>
            </w:tcBorders>
          </w:tcPr>
          <w:p w14:paraId="06F30002" w14:textId="77777777" w:rsidR="00FA2E45" w:rsidRPr="00D37C9A" w:rsidRDefault="00FA2E45" w:rsidP="00D37C9A">
            <w:pPr>
              <w:jc w:val="both"/>
              <w:rPr>
                <w:rFonts w:ascii="Times New Roman" w:hAnsi="Times New Roman" w:cs="Times New Roman"/>
              </w:rPr>
            </w:pPr>
            <w:r w:rsidRPr="00D37C9A">
              <w:rPr>
                <w:rFonts w:ascii="Times New Roman" w:hAnsi="Times New Roman" w:cs="Times New Roman"/>
              </w:rPr>
              <w:t>Normality Test</w:t>
            </w:r>
          </w:p>
        </w:tc>
        <w:tc>
          <w:tcPr>
            <w:tcW w:w="1428" w:type="dxa"/>
            <w:tcBorders>
              <w:top w:val="single" w:sz="4" w:space="0" w:color="auto"/>
              <w:bottom w:val="nil"/>
            </w:tcBorders>
          </w:tcPr>
          <w:p w14:paraId="3353F7D0"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0.975238</w:t>
            </w:r>
          </w:p>
        </w:tc>
        <w:tc>
          <w:tcPr>
            <w:tcW w:w="1377" w:type="dxa"/>
            <w:tcBorders>
              <w:top w:val="single" w:sz="4" w:space="0" w:color="auto"/>
              <w:bottom w:val="nil"/>
            </w:tcBorders>
          </w:tcPr>
          <w:p w14:paraId="3756AB0C"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0.614087</w:t>
            </w:r>
          </w:p>
        </w:tc>
        <w:tc>
          <w:tcPr>
            <w:tcW w:w="2819" w:type="dxa"/>
            <w:tcBorders>
              <w:top w:val="single" w:sz="4" w:space="0" w:color="auto"/>
              <w:bottom w:val="nil"/>
            </w:tcBorders>
          </w:tcPr>
          <w:p w14:paraId="12ECC5F3" w14:textId="77777777" w:rsidR="00FA2E45" w:rsidRPr="00D37C9A" w:rsidRDefault="00FA2E45" w:rsidP="00D37C9A">
            <w:pPr>
              <w:jc w:val="both"/>
              <w:rPr>
                <w:rFonts w:ascii="Times New Roman" w:hAnsi="Times New Roman" w:cs="Times New Roman"/>
              </w:rPr>
            </w:pPr>
            <w:r w:rsidRPr="00D37C9A">
              <w:rPr>
                <w:rFonts w:ascii="Times New Roman" w:hAnsi="Times New Roman" w:cs="Times New Roman"/>
                <w:b/>
                <w:bCs/>
              </w:rPr>
              <w:t>H</w:t>
            </w:r>
            <w:r w:rsidRPr="00D37C9A">
              <w:rPr>
                <w:rFonts w:ascii="Times New Roman" w:hAnsi="Times New Roman" w:cs="Times New Roman"/>
                <w:b/>
                <w:bCs/>
                <w:vertAlign w:val="subscript"/>
              </w:rPr>
              <w:t>0</w:t>
            </w:r>
            <w:r w:rsidRPr="00D37C9A">
              <w:rPr>
                <w:rFonts w:ascii="Times New Roman" w:hAnsi="Times New Roman" w:cs="Times New Roman"/>
                <w:b/>
                <w:bCs/>
              </w:rPr>
              <w:t>:</w:t>
            </w:r>
            <w:r w:rsidRPr="00D37C9A">
              <w:rPr>
                <w:rFonts w:ascii="Times New Roman" w:hAnsi="Times New Roman" w:cs="Times New Roman"/>
              </w:rPr>
              <w:t xml:space="preserve"> Normally distributed</w:t>
            </w:r>
          </w:p>
        </w:tc>
        <w:tc>
          <w:tcPr>
            <w:tcW w:w="1254" w:type="dxa"/>
            <w:tcBorders>
              <w:top w:val="single" w:sz="4" w:space="0" w:color="auto"/>
              <w:bottom w:val="nil"/>
            </w:tcBorders>
          </w:tcPr>
          <w:p w14:paraId="2072C5E8"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Retain H</w:t>
            </w:r>
            <w:r w:rsidRPr="00D37C9A">
              <w:rPr>
                <w:rFonts w:ascii="Times New Roman" w:hAnsi="Times New Roman" w:cs="Times New Roman"/>
                <w:vertAlign w:val="subscript"/>
              </w:rPr>
              <w:t>0</w:t>
            </w:r>
          </w:p>
        </w:tc>
      </w:tr>
      <w:tr w:rsidR="00FA2E45" w:rsidRPr="00D37C9A" w14:paraId="57F37A37" w14:textId="77777777" w:rsidTr="00B40C47">
        <w:tc>
          <w:tcPr>
            <w:tcW w:w="3022" w:type="dxa"/>
            <w:tcBorders>
              <w:top w:val="nil"/>
            </w:tcBorders>
          </w:tcPr>
          <w:p w14:paraId="3CE10FA0" w14:textId="77777777" w:rsidR="00FA2E45" w:rsidRPr="00D37C9A" w:rsidRDefault="00FA2E45" w:rsidP="00D37C9A">
            <w:pPr>
              <w:jc w:val="both"/>
              <w:rPr>
                <w:rFonts w:ascii="Times New Roman" w:hAnsi="Times New Roman" w:cs="Times New Roman"/>
              </w:rPr>
            </w:pPr>
            <w:r w:rsidRPr="00D37C9A">
              <w:rPr>
                <w:rFonts w:ascii="Times New Roman" w:hAnsi="Times New Roman" w:cs="Times New Roman"/>
              </w:rPr>
              <w:t>Serial Correlation LM Test</w:t>
            </w:r>
          </w:p>
        </w:tc>
        <w:tc>
          <w:tcPr>
            <w:tcW w:w="1428" w:type="dxa"/>
            <w:tcBorders>
              <w:top w:val="nil"/>
            </w:tcBorders>
          </w:tcPr>
          <w:p w14:paraId="21213C2D"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0.956490</w:t>
            </w:r>
          </w:p>
        </w:tc>
        <w:tc>
          <w:tcPr>
            <w:tcW w:w="1377" w:type="dxa"/>
            <w:tcBorders>
              <w:top w:val="nil"/>
            </w:tcBorders>
          </w:tcPr>
          <w:p w14:paraId="130E5607"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0.4080</w:t>
            </w:r>
          </w:p>
        </w:tc>
        <w:tc>
          <w:tcPr>
            <w:tcW w:w="2819" w:type="dxa"/>
            <w:tcBorders>
              <w:top w:val="nil"/>
            </w:tcBorders>
          </w:tcPr>
          <w:p w14:paraId="28070F8E" w14:textId="77777777" w:rsidR="00FA2E45" w:rsidRPr="00D37C9A" w:rsidRDefault="00FA2E45" w:rsidP="00D37C9A">
            <w:pPr>
              <w:jc w:val="both"/>
              <w:rPr>
                <w:rFonts w:ascii="Times New Roman" w:hAnsi="Times New Roman" w:cs="Times New Roman"/>
              </w:rPr>
            </w:pPr>
            <w:r w:rsidRPr="00D37C9A">
              <w:rPr>
                <w:rFonts w:ascii="Times New Roman" w:hAnsi="Times New Roman" w:cs="Times New Roman"/>
                <w:b/>
                <w:bCs/>
              </w:rPr>
              <w:t>H</w:t>
            </w:r>
            <w:r w:rsidRPr="00D37C9A">
              <w:rPr>
                <w:rFonts w:ascii="Times New Roman" w:hAnsi="Times New Roman" w:cs="Times New Roman"/>
                <w:b/>
                <w:bCs/>
                <w:vertAlign w:val="subscript"/>
              </w:rPr>
              <w:t>0</w:t>
            </w:r>
            <w:r w:rsidRPr="00D37C9A">
              <w:rPr>
                <w:rFonts w:ascii="Times New Roman" w:hAnsi="Times New Roman" w:cs="Times New Roman"/>
                <w:b/>
                <w:bCs/>
              </w:rPr>
              <w:t>:</w:t>
            </w:r>
            <w:r w:rsidRPr="00D37C9A">
              <w:rPr>
                <w:rFonts w:ascii="Times New Roman" w:hAnsi="Times New Roman" w:cs="Times New Roman"/>
              </w:rPr>
              <w:t xml:space="preserve"> No serial         correlation</w:t>
            </w:r>
          </w:p>
        </w:tc>
        <w:tc>
          <w:tcPr>
            <w:tcW w:w="1254" w:type="dxa"/>
            <w:tcBorders>
              <w:top w:val="nil"/>
            </w:tcBorders>
          </w:tcPr>
          <w:p w14:paraId="31EC793A"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Retain H</w:t>
            </w:r>
            <w:r w:rsidRPr="00D37C9A">
              <w:rPr>
                <w:rFonts w:ascii="Times New Roman" w:hAnsi="Times New Roman" w:cs="Times New Roman"/>
                <w:vertAlign w:val="subscript"/>
              </w:rPr>
              <w:t>0</w:t>
            </w:r>
          </w:p>
        </w:tc>
      </w:tr>
      <w:tr w:rsidR="00FA2E45" w:rsidRPr="00D37C9A" w14:paraId="306BCA43" w14:textId="77777777" w:rsidTr="00B40C47">
        <w:trPr>
          <w:trHeight w:val="80"/>
        </w:trPr>
        <w:tc>
          <w:tcPr>
            <w:tcW w:w="3022" w:type="dxa"/>
          </w:tcPr>
          <w:p w14:paraId="32A46925" w14:textId="77777777" w:rsidR="00FA2E45" w:rsidRPr="00D37C9A" w:rsidRDefault="00FA2E45" w:rsidP="00D37C9A">
            <w:pPr>
              <w:jc w:val="both"/>
              <w:rPr>
                <w:rFonts w:ascii="Times New Roman" w:hAnsi="Times New Roman" w:cs="Times New Roman"/>
              </w:rPr>
            </w:pPr>
            <w:r w:rsidRPr="00D37C9A">
              <w:rPr>
                <w:rFonts w:ascii="Times New Roman" w:hAnsi="Times New Roman" w:cs="Times New Roman"/>
              </w:rPr>
              <w:lastRenderedPageBreak/>
              <w:t>Heteroskedasticity Test</w:t>
            </w:r>
          </w:p>
        </w:tc>
        <w:tc>
          <w:tcPr>
            <w:tcW w:w="1428" w:type="dxa"/>
          </w:tcPr>
          <w:p w14:paraId="6862901F"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0.957255</w:t>
            </w:r>
          </w:p>
        </w:tc>
        <w:tc>
          <w:tcPr>
            <w:tcW w:w="1377" w:type="dxa"/>
          </w:tcPr>
          <w:p w14:paraId="283FF3BE"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0.5284</w:t>
            </w:r>
          </w:p>
        </w:tc>
        <w:tc>
          <w:tcPr>
            <w:tcW w:w="2819" w:type="dxa"/>
          </w:tcPr>
          <w:p w14:paraId="38768AE1" w14:textId="77777777" w:rsidR="00FA2E45" w:rsidRPr="00D37C9A" w:rsidRDefault="00FA2E45" w:rsidP="00D37C9A">
            <w:pPr>
              <w:jc w:val="both"/>
              <w:rPr>
                <w:rFonts w:ascii="Times New Roman" w:hAnsi="Times New Roman" w:cs="Times New Roman"/>
              </w:rPr>
            </w:pPr>
            <w:r w:rsidRPr="00D37C9A">
              <w:rPr>
                <w:rFonts w:ascii="Times New Roman" w:hAnsi="Times New Roman" w:cs="Times New Roman"/>
                <w:b/>
                <w:bCs/>
              </w:rPr>
              <w:t>H</w:t>
            </w:r>
            <w:r w:rsidRPr="00D37C9A">
              <w:rPr>
                <w:rFonts w:ascii="Times New Roman" w:hAnsi="Times New Roman" w:cs="Times New Roman"/>
                <w:b/>
                <w:bCs/>
                <w:vertAlign w:val="subscript"/>
              </w:rPr>
              <w:t>0</w:t>
            </w:r>
            <w:r w:rsidRPr="00D37C9A">
              <w:rPr>
                <w:rFonts w:ascii="Times New Roman" w:hAnsi="Times New Roman" w:cs="Times New Roman"/>
                <w:b/>
                <w:bCs/>
              </w:rPr>
              <w:t>:</w:t>
            </w:r>
            <w:r w:rsidRPr="00D37C9A">
              <w:rPr>
                <w:rFonts w:ascii="Times New Roman" w:hAnsi="Times New Roman" w:cs="Times New Roman"/>
              </w:rPr>
              <w:t xml:space="preserve"> Homoscedasticity</w:t>
            </w:r>
          </w:p>
        </w:tc>
        <w:tc>
          <w:tcPr>
            <w:tcW w:w="1254" w:type="dxa"/>
          </w:tcPr>
          <w:p w14:paraId="36BA9ED3"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Retain H</w:t>
            </w:r>
            <w:r w:rsidRPr="00D37C9A">
              <w:rPr>
                <w:rFonts w:ascii="Times New Roman" w:hAnsi="Times New Roman" w:cs="Times New Roman"/>
                <w:vertAlign w:val="subscript"/>
              </w:rPr>
              <w:t>0</w:t>
            </w:r>
          </w:p>
        </w:tc>
      </w:tr>
      <w:tr w:rsidR="00FA2E45" w:rsidRPr="00D37C9A" w14:paraId="3AB578D9" w14:textId="77777777" w:rsidTr="00B40C47">
        <w:trPr>
          <w:trHeight w:val="80"/>
        </w:trPr>
        <w:tc>
          <w:tcPr>
            <w:tcW w:w="3022" w:type="dxa"/>
          </w:tcPr>
          <w:p w14:paraId="323B3C5D" w14:textId="77777777" w:rsidR="00FA2E45" w:rsidRPr="00D37C9A" w:rsidRDefault="00FA2E45" w:rsidP="00D37C9A">
            <w:pPr>
              <w:jc w:val="both"/>
              <w:rPr>
                <w:rFonts w:ascii="Times New Roman" w:eastAsia="Times New Roman" w:hAnsi="Times New Roman" w:cs="Times New Roman"/>
                <w:bCs/>
                <w:noProof/>
              </w:rPr>
            </w:pPr>
            <w:r w:rsidRPr="00D37C9A">
              <w:rPr>
                <w:rFonts w:ascii="Times New Roman" w:hAnsi="Times New Roman" w:cs="Times New Roman"/>
              </w:rPr>
              <w:t>Ramsey RESET test</w:t>
            </w:r>
          </w:p>
        </w:tc>
        <w:tc>
          <w:tcPr>
            <w:tcW w:w="1428" w:type="dxa"/>
          </w:tcPr>
          <w:p w14:paraId="25879554"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2.821921</w:t>
            </w:r>
          </w:p>
        </w:tc>
        <w:tc>
          <w:tcPr>
            <w:tcW w:w="1377" w:type="dxa"/>
          </w:tcPr>
          <w:p w14:paraId="5D786D50"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0.1137</w:t>
            </w:r>
          </w:p>
        </w:tc>
        <w:tc>
          <w:tcPr>
            <w:tcW w:w="2819" w:type="dxa"/>
          </w:tcPr>
          <w:p w14:paraId="70067FEF" w14:textId="77777777" w:rsidR="00FA2E45" w:rsidRPr="00D37C9A" w:rsidRDefault="00FA2E45" w:rsidP="00D37C9A">
            <w:pPr>
              <w:jc w:val="both"/>
              <w:rPr>
                <w:rFonts w:ascii="Times New Roman" w:hAnsi="Times New Roman" w:cs="Times New Roman"/>
                <w:b/>
                <w:bCs/>
              </w:rPr>
            </w:pPr>
            <w:r w:rsidRPr="00D37C9A">
              <w:rPr>
                <w:rFonts w:ascii="Times New Roman" w:hAnsi="Times New Roman" w:cs="Times New Roman"/>
                <w:b/>
                <w:bCs/>
              </w:rPr>
              <w:t>H</w:t>
            </w:r>
            <w:r w:rsidRPr="00D37C9A">
              <w:rPr>
                <w:rFonts w:ascii="Times New Roman" w:hAnsi="Times New Roman" w:cs="Times New Roman"/>
                <w:b/>
                <w:bCs/>
                <w:vertAlign w:val="subscript"/>
              </w:rPr>
              <w:t>0</w:t>
            </w:r>
            <w:r w:rsidRPr="00D37C9A">
              <w:rPr>
                <w:rFonts w:ascii="Times New Roman" w:hAnsi="Times New Roman" w:cs="Times New Roman"/>
                <w:b/>
                <w:bCs/>
              </w:rPr>
              <w:t>:</w:t>
            </w:r>
            <w:r w:rsidRPr="00D37C9A">
              <w:rPr>
                <w:rFonts w:ascii="Times New Roman" w:hAnsi="Times New Roman" w:cs="Times New Roman"/>
              </w:rPr>
              <w:t xml:space="preserve"> Correctly specified</w:t>
            </w:r>
          </w:p>
        </w:tc>
        <w:tc>
          <w:tcPr>
            <w:tcW w:w="1254" w:type="dxa"/>
          </w:tcPr>
          <w:p w14:paraId="4466E6EA"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Retain H</w:t>
            </w:r>
            <w:r w:rsidRPr="00D37C9A">
              <w:rPr>
                <w:rFonts w:ascii="Times New Roman" w:hAnsi="Times New Roman" w:cs="Times New Roman"/>
                <w:vertAlign w:val="subscript"/>
              </w:rPr>
              <w:t>0</w:t>
            </w:r>
          </w:p>
        </w:tc>
      </w:tr>
    </w:tbl>
    <w:p w14:paraId="5EE9EE81" w14:textId="77777777" w:rsidR="00FA2E45" w:rsidRPr="00D37C9A" w:rsidRDefault="00FA2E45" w:rsidP="00D37C9A">
      <w:pPr>
        <w:jc w:val="both"/>
        <w:rPr>
          <w:rFonts w:ascii="Times New Roman" w:hAnsi="Times New Roman" w:cs="Times New Roman"/>
          <w:i/>
        </w:rPr>
      </w:pPr>
      <w:r w:rsidRPr="00D37C9A">
        <w:rPr>
          <w:rFonts w:ascii="Times New Roman" w:hAnsi="Times New Roman" w:cs="Times New Roman"/>
          <w:b/>
          <w:iCs/>
        </w:rPr>
        <w:t>Source:</w:t>
      </w:r>
      <w:r w:rsidRPr="00D37C9A">
        <w:rPr>
          <w:rFonts w:ascii="Times New Roman" w:hAnsi="Times New Roman" w:cs="Times New Roman"/>
          <w:i/>
        </w:rPr>
        <w:t xml:space="preserve"> Computation by author (2025).</w:t>
      </w:r>
    </w:p>
    <w:p w14:paraId="0E792597" w14:textId="087B4518" w:rsidR="00FA2E45" w:rsidRPr="00D37C9A" w:rsidRDefault="002418ED" w:rsidP="00D37C9A">
      <w:pPr>
        <w:jc w:val="both"/>
        <w:rPr>
          <w:rFonts w:ascii="Times New Roman" w:hAnsi="Times New Roman" w:cs="Times New Roman"/>
        </w:rPr>
      </w:pPr>
      <w:r w:rsidRPr="00D37C9A">
        <w:rPr>
          <w:rFonts w:ascii="Times New Roman" w:hAnsi="Times New Roman" w:cs="Times New Roman"/>
        </w:rPr>
        <w:t xml:space="preserve">The diagnostic test results presented provide essential insights into the reliability, validity, and robustness of the ARDL model used in </w:t>
      </w:r>
      <w:r w:rsidR="00613BFD" w:rsidRPr="00D37C9A">
        <w:rPr>
          <w:rFonts w:ascii="Times New Roman" w:hAnsi="Times New Roman" w:cs="Times New Roman"/>
        </w:rPr>
        <w:t>analysing</w:t>
      </w:r>
      <w:r w:rsidRPr="00D37C9A">
        <w:rPr>
          <w:rFonts w:ascii="Times New Roman" w:hAnsi="Times New Roman" w:cs="Times New Roman"/>
        </w:rPr>
        <w:t xml:space="preserve"> the relationship between energy consumption and unemployment rate in Nigeria. In summary, the diagnostic tests jointly suggest that the ARDL model is well-behaved and statistically sound. The residuals are normally distributed, there is no evidence of serial correlation or heteroskedasticity, and the model is correctly specified. These results validate the robustness of the estimated coefficients and the overall reliability of the regression outputs. Consequently, policymakers and researchers can place greater confidence in the empirical findings derived from this model, knowing that the assumptions underlying classical regression analysis have not been violated.</w:t>
      </w:r>
    </w:p>
    <w:p w14:paraId="58A3CDF2" w14:textId="77777777" w:rsidR="00FA2E45" w:rsidRPr="00D37C9A" w:rsidRDefault="00FA2E45" w:rsidP="00D37C9A">
      <w:pPr>
        <w:spacing w:after="160"/>
        <w:rPr>
          <w:rFonts w:ascii="Times New Roman" w:hAnsi="Times New Roman" w:cs="Times New Roman"/>
          <w:i/>
        </w:rPr>
      </w:pPr>
    </w:p>
    <w:bookmarkStart w:id="13" w:name="_Hlk204077685"/>
    <w:p w14:paraId="1F20B0AE" w14:textId="1896E8B4" w:rsidR="00FA2E45" w:rsidRPr="00D37C9A" w:rsidRDefault="00EE5845" w:rsidP="00D37C9A">
      <w:pPr>
        <w:spacing w:after="160"/>
        <w:rPr>
          <w:rFonts w:ascii="Times New Roman" w:hAnsi="Times New Roman" w:cs="Times New Roman"/>
          <w:i/>
        </w:rPr>
      </w:pPr>
      <w:r w:rsidRPr="00D37C9A">
        <w:rPr>
          <w:rFonts w:ascii="Times New Roman" w:hAnsi="Times New Roman" w:cs="Times New Roman"/>
        </w:rPr>
        <w:object w:dxaOrig="8611" w:dyaOrig="5326" w14:anchorId="1B1769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95pt;height:208.55pt" o:ole="">
            <v:imagedata r:id="rId7" o:title=""/>
          </v:shape>
          <o:OLEObject Type="Embed" ProgID="EViews.Workfile.2" ShapeID="_x0000_i1025" DrawAspect="Content" ObjectID="_1821424772" r:id="rId8"/>
        </w:object>
      </w:r>
      <w:bookmarkEnd w:id="13"/>
    </w:p>
    <w:p w14:paraId="4426CF0A" w14:textId="3166D27C" w:rsidR="00FA2E45" w:rsidRPr="00D37C9A" w:rsidRDefault="00FA2E45" w:rsidP="00D37C9A">
      <w:pPr>
        <w:tabs>
          <w:tab w:val="left" w:pos="270"/>
          <w:tab w:val="left" w:pos="10710"/>
          <w:tab w:val="left" w:pos="11160"/>
          <w:tab w:val="left" w:pos="11250"/>
        </w:tabs>
        <w:spacing w:before="240" w:after="0"/>
        <w:jc w:val="both"/>
        <w:rPr>
          <w:rFonts w:ascii="Times New Roman" w:hAnsi="Times New Roman" w:cs="Times New Roman"/>
          <w:b/>
          <w:bCs/>
          <w:iCs/>
        </w:rPr>
      </w:pPr>
      <w:r w:rsidRPr="00D37C9A">
        <w:rPr>
          <w:rFonts w:ascii="Times New Roman" w:hAnsi="Times New Roman" w:cs="Times New Roman"/>
          <w:b/>
          <w:bCs/>
          <w:iCs/>
        </w:rPr>
        <w:t xml:space="preserve">Figure </w:t>
      </w:r>
      <w:r w:rsidR="00B81894" w:rsidRPr="00D37C9A">
        <w:rPr>
          <w:rFonts w:ascii="Times New Roman" w:hAnsi="Times New Roman" w:cs="Times New Roman"/>
          <w:b/>
          <w:bCs/>
          <w:iCs/>
        </w:rPr>
        <w:t>1</w:t>
      </w:r>
      <w:r w:rsidRPr="00D37C9A">
        <w:rPr>
          <w:rFonts w:ascii="Times New Roman" w:hAnsi="Times New Roman" w:cs="Times New Roman"/>
          <w:b/>
          <w:bCs/>
          <w:iCs/>
        </w:rPr>
        <w:t xml:space="preserve">: CUSUM (Cumulative Sum) Stability Test </w:t>
      </w:r>
    </w:p>
    <w:p w14:paraId="65737F37" w14:textId="776EA2F5" w:rsidR="00EE5845" w:rsidRPr="00D37C9A" w:rsidRDefault="00FA2E45" w:rsidP="00D37C9A">
      <w:pPr>
        <w:tabs>
          <w:tab w:val="left" w:pos="270"/>
          <w:tab w:val="left" w:pos="10710"/>
          <w:tab w:val="left" w:pos="11160"/>
          <w:tab w:val="left" w:pos="11250"/>
        </w:tabs>
        <w:spacing w:before="240" w:after="0"/>
        <w:jc w:val="both"/>
        <w:rPr>
          <w:rFonts w:ascii="Times New Roman" w:hAnsi="Times New Roman" w:cs="Times New Roman"/>
          <w:b/>
        </w:rPr>
      </w:pPr>
      <w:r w:rsidRPr="00D37C9A">
        <w:rPr>
          <w:rFonts w:ascii="Times New Roman" w:hAnsi="Times New Roman" w:cs="Times New Roman"/>
          <w:bCs/>
          <w:iCs/>
        </w:rPr>
        <w:t xml:space="preserve">To evaluate the stability of the co-efficient in a time series regression model across the sample </w:t>
      </w:r>
      <w:bookmarkEnd w:id="9"/>
      <w:bookmarkEnd w:id="10"/>
      <w:r w:rsidR="00EE5845" w:rsidRPr="00D37C9A">
        <w:rPr>
          <w:rFonts w:ascii="Times New Roman" w:hAnsi="Times New Roman" w:cs="Times New Roman"/>
        </w:rPr>
        <w:t>The CUSUM (Cumulative Sum) stability test plots a blue line representing the cumulative sum of recursive residuals against time and includes two dotted red lines that represent the 5% significance boundaries (critical limits). In this case, the blue CUSUM trend line lies entirely within the two dotted red lines throughout the sample period. This indicates that the model is structurally stable, meaning that the estimated parameters (coefficients) of the model do not exhibit significant changes over time.</w:t>
      </w:r>
      <w:r w:rsidR="00EE5845" w:rsidRPr="00D37C9A">
        <w:rPr>
          <w:rFonts w:ascii="Times New Roman" w:hAnsi="Times New Roman" w:cs="Times New Roman"/>
          <w:b/>
        </w:rPr>
        <w:t xml:space="preserve"> </w:t>
      </w:r>
    </w:p>
    <w:p w14:paraId="2FCB044F" w14:textId="77777777" w:rsidR="00D37C9A" w:rsidRDefault="00D37C9A" w:rsidP="00D37C9A">
      <w:pPr>
        <w:spacing w:after="0"/>
        <w:jc w:val="both"/>
        <w:rPr>
          <w:rFonts w:ascii="Times New Roman" w:hAnsi="Times New Roman" w:cs="Times New Roman"/>
          <w:b/>
        </w:rPr>
      </w:pPr>
    </w:p>
    <w:p w14:paraId="0344DE88" w14:textId="77777777" w:rsidR="00613BFD" w:rsidRDefault="00613BFD" w:rsidP="00D37C9A">
      <w:pPr>
        <w:spacing w:after="0"/>
        <w:jc w:val="both"/>
        <w:rPr>
          <w:rFonts w:ascii="Times New Roman" w:hAnsi="Times New Roman" w:cs="Times New Roman"/>
          <w:b/>
        </w:rPr>
      </w:pPr>
    </w:p>
    <w:p w14:paraId="6B59B3CE" w14:textId="77777777" w:rsidR="00613BFD" w:rsidRDefault="00613BFD" w:rsidP="00D37C9A">
      <w:pPr>
        <w:spacing w:after="0"/>
        <w:jc w:val="both"/>
        <w:rPr>
          <w:rFonts w:ascii="Times New Roman" w:hAnsi="Times New Roman" w:cs="Times New Roman"/>
          <w:b/>
        </w:rPr>
      </w:pPr>
    </w:p>
    <w:p w14:paraId="1AE44397" w14:textId="6557D246" w:rsidR="00EE5845" w:rsidRPr="00D37C9A" w:rsidRDefault="00EE5845" w:rsidP="00D37C9A">
      <w:pPr>
        <w:spacing w:after="0"/>
        <w:jc w:val="both"/>
        <w:rPr>
          <w:rFonts w:ascii="Times New Roman" w:hAnsi="Times New Roman" w:cs="Times New Roman"/>
          <w:b/>
        </w:rPr>
      </w:pPr>
      <w:r w:rsidRPr="00D37C9A">
        <w:rPr>
          <w:rFonts w:ascii="Times New Roman" w:hAnsi="Times New Roman" w:cs="Times New Roman"/>
          <w:b/>
        </w:rPr>
        <w:lastRenderedPageBreak/>
        <w:t xml:space="preserve">Discussion </w:t>
      </w:r>
    </w:p>
    <w:p w14:paraId="4201ACD4" w14:textId="313EE8ED" w:rsidR="00EE5845" w:rsidRPr="00D37C9A" w:rsidRDefault="00EE5845" w:rsidP="00D37C9A">
      <w:pPr>
        <w:spacing w:after="0"/>
        <w:jc w:val="both"/>
        <w:rPr>
          <w:rFonts w:ascii="Times New Roman" w:hAnsi="Times New Roman" w:cs="Times New Roman"/>
        </w:rPr>
      </w:pPr>
      <w:r w:rsidRPr="00D37C9A">
        <w:rPr>
          <w:rFonts w:ascii="Times New Roman" w:eastAsia="Times New Roman" w:hAnsi="Times New Roman" w:cs="Times New Roman"/>
        </w:rPr>
        <w:t xml:space="preserve">Having empirically analysed the data sourced to determine the effect of energy consumptions on </w:t>
      </w:r>
      <w:r w:rsidRPr="00D37C9A">
        <w:rPr>
          <w:rFonts w:ascii="Times New Roman" w:hAnsi="Times New Roman" w:cs="Times New Roman"/>
          <w:bCs/>
        </w:rPr>
        <w:t>poverty level in Nigeria, the findings emanating from the study showed that</w:t>
      </w:r>
      <w:r w:rsidRPr="00D37C9A">
        <w:rPr>
          <w:rFonts w:ascii="Times New Roman" w:hAnsi="Times New Roman" w:cs="Times New Roman"/>
        </w:rPr>
        <w:t xml:space="preserve"> </w:t>
      </w:r>
      <w:r w:rsidR="00C7106B" w:rsidRPr="00D37C9A">
        <w:rPr>
          <w:rFonts w:ascii="Times New Roman" w:hAnsi="Times New Roman" w:cs="Times New Roman"/>
        </w:rPr>
        <w:t>the application of AGO has a substantial adverse short- and long</w:t>
      </w:r>
      <w:r w:rsidR="00F47736" w:rsidRPr="00D37C9A">
        <w:rPr>
          <w:rFonts w:ascii="Times New Roman" w:hAnsi="Times New Roman" w:cs="Times New Roman"/>
        </w:rPr>
        <w:t>-run</w:t>
      </w:r>
      <w:r w:rsidR="00C7106B" w:rsidRPr="00D37C9A">
        <w:rPr>
          <w:rFonts w:ascii="Times New Roman" w:hAnsi="Times New Roman" w:cs="Times New Roman"/>
        </w:rPr>
        <w:t xml:space="preserve"> influence on Nigeria's poverty rate, indicating that rising diesel use is associated with falling poverty</w:t>
      </w:r>
      <w:r w:rsidRPr="00D37C9A">
        <w:rPr>
          <w:rFonts w:ascii="Times New Roman" w:hAnsi="Times New Roman" w:cs="Times New Roman"/>
        </w:rPr>
        <w:t xml:space="preserve">. This finding is supported by the empirical results of </w:t>
      </w:r>
      <w:r w:rsidR="00767826" w:rsidRPr="00D37C9A">
        <w:rPr>
          <w:rFonts w:ascii="Times New Roman" w:hAnsi="Times New Roman" w:cs="Times New Roman"/>
        </w:rPr>
        <w:t>Eseyin and Ogunjobi (2021</w:t>
      </w:r>
      <w:r w:rsidRPr="00D37C9A">
        <w:rPr>
          <w:rFonts w:ascii="Times New Roman" w:hAnsi="Times New Roman" w:cs="Times New Roman"/>
        </w:rPr>
        <w:t xml:space="preserve">) who </w:t>
      </w:r>
      <w:r w:rsidR="00767826" w:rsidRPr="00D37C9A">
        <w:rPr>
          <w:rFonts w:ascii="Times New Roman" w:hAnsi="Times New Roman" w:cs="Times New Roman"/>
        </w:rPr>
        <w:t>established that</w:t>
      </w:r>
      <w:r w:rsidRPr="00D37C9A">
        <w:rPr>
          <w:rFonts w:ascii="Times New Roman" w:hAnsi="Times New Roman" w:cs="Times New Roman"/>
        </w:rPr>
        <w:t xml:space="preserve"> automotive gas oil </w:t>
      </w:r>
      <w:r w:rsidR="00767826" w:rsidRPr="00D37C9A">
        <w:rPr>
          <w:rFonts w:ascii="Times New Roman" w:hAnsi="Times New Roman" w:cs="Times New Roman"/>
        </w:rPr>
        <w:t>significantly</w:t>
      </w:r>
      <w:r w:rsidRPr="00D37C9A">
        <w:rPr>
          <w:rFonts w:ascii="Times New Roman" w:hAnsi="Times New Roman" w:cs="Times New Roman"/>
        </w:rPr>
        <w:t xml:space="preserve"> </w:t>
      </w:r>
      <w:r w:rsidR="00767826" w:rsidRPr="00D37C9A">
        <w:rPr>
          <w:rFonts w:ascii="Times New Roman" w:hAnsi="Times New Roman" w:cs="Times New Roman"/>
        </w:rPr>
        <w:t>reduced</w:t>
      </w:r>
      <w:r w:rsidRPr="00D37C9A">
        <w:rPr>
          <w:rFonts w:ascii="Times New Roman" w:hAnsi="Times New Roman" w:cs="Times New Roman"/>
        </w:rPr>
        <w:t xml:space="preserve"> poverty </w:t>
      </w:r>
      <w:r w:rsidR="00767826" w:rsidRPr="00D37C9A">
        <w:rPr>
          <w:rFonts w:ascii="Times New Roman" w:hAnsi="Times New Roman" w:cs="Times New Roman"/>
        </w:rPr>
        <w:t>rate</w:t>
      </w:r>
      <w:r w:rsidRPr="00D37C9A">
        <w:rPr>
          <w:rFonts w:ascii="Times New Roman" w:hAnsi="Times New Roman" w:cs="Times New Roman"/>
        </w:rPr>
        <w:t xml:space="preserve"> in Nigeria. Also, </w:t>
      </w:r>
      <w:r w:rsidR="00C7106B" w:rsidRPr="00D37C9A">
        <w:rPr>
          <w:rFonts w:ascii="Times New Roman" w:hAnsi="Times New Roman" w:cs="Times New Roman"/>
        </w:rPr>
        <w:t>both in the short and long term, the consumption of premium motor spirit has an adverse and substantial outcome on the unemployment and poverty rates</w:t>
      </w:r>
      <w:r w:rsidRPr="00D37C9A">
        <w:rPr>
          <w:rFonts w:ascii="Times New Roman" w:hAnsi="Times New Roman" w:cs="Times New Roman"/>
        </w:rPr>
        <w:t xml:space="preserve">. This finding aligns with </w:t>
      </w:r>
      <w:r w:rsidR="00767826" w:rsidRPr="00D37C9A">
        <w:rPr>
          <w:rFonts w:ascii="Times New Roman" w:hAnsi="Times New Roman" w:cs="Times New Roman"/>
        </w:rPr>
        <w:t>Okwanya and Abah (2018</w:t>
      </w:r>
      <w:r w:rsidRPr="00D37C9A">
        <w:rPr>
          <w:rFonts w:ascii="Times New Roman" w:hAnsi="Times New Roman" w:cs="Times New Roman"/>
        </w:rPr>
        <w:t xml:space="preserve">) who </w:t>
      </w:r>
      <w:r w:rsidR="00767826" w:rsidRPr="00D37C9A">
        <w:rPr>
          <w:rFonts w:ascii="Times New Roman" w:hAnsi="Times New Roman" w:cs="Times New Roman"/>
        </w:rPr>
        <w:t>found</w:t>
      </w:r>
      <w:r w:rsidRPr="00D37C9A">
        <w:rPr>
          <w:rFonts w:ascii="Times New Roman" w:hAnsi="Times New Roman" w:cs="Times New Roman"/>
        </w:rPr>
        <w:t xml:space="preserve"> that </w:t>
      </w:r>
      <w:r w:rsidR="00450A3F" w:rsidRPr="00D37C9A">
        <w:rPr>
          <w:rFonts w:ascii="Times New Roman" w:hAnsi="Times New Roman" w:cs="Times New Roman"/>
        </w:rPr>
        <w:t xml:space="preserve">premium motor spirit </w:t>
      </w:r>
      <w:r w:rsidR="00450A3F" w:rsidRPr="00D37C9A">
        <w:rPr>
          <w:rFonts w:ascii="Times New Roman" w:eastAsia="Times New Roman" w:hAnsi="Times New Roman" w:cs="Times New Roman"/>
        </w:rPr>
        <w:t xml:space="preserve">consumptions </w:t>
      </w:r>
      <w:r w:rsidRPr="00D37C9A">
        <w:rPr>
          <w:rFonts w:ascii="Times New Roman" w:hAnsi="Times New Roman" w:cs="Times New Roman"/>
        </w:rPr>
        <w:t xml:space="preserve">and </w:t>
      </w:r>
      <w:r w:rsidR="00450A3F" w:rsidRPr="00D37C9A">
        <w:rPr>
          <w:rFonts w:ascii="Times New Roman" w:hAnsi="Times New Roman" w:cs="Times New Roman"/>
        </w:rPr>
        <w:t>has a significant negative effect on</w:t>
      </w:r>
      <w:r w:rsidRPr="00D37C9A">
        <w:rPr>
          <w:rFonts w:ascii="Times New Roman" w:hAnsi="Times New Roman" w:cs="Times New Roman"/>
        </w:rPr>
        <w:t xml:space="preserve"> poverty </w:t>
      </w:r>
      <w:r w:rsidR="00450A3F" w:rsidRPr="00D37C9A">
        <w:rPr>
          <w:rFonts w:ascii="Times New Roman" w:hAnsi="Times New Roman" w:cs="Times New Roman"/>
        </w:rPr>
        <w:t>rate in Nigeria</w:t>
      </w:r>
      <w:r w:rsidRPr="00D37C9A">
        <w:rPr>
          <w:rFonts w:ascii="Times New Roman" w:hAnsi="Times New Roman" w:cs="Times New Roman"/>
        </w:rPr>
        <w:t xml:space="preserve">. </w:t>
      </w:r>
      <w:r w:rsidR="00C7106B" w:rsidRPr="00D37C9A">
        <w:rPr>
          <w:rFonts w:ascii="Times New Roman" w:hAnsi="Times New Roman" w:cs="Times New Roman"/>
        </w:rPr>
        <w:t>Furthermore, both in the short and long term, solar energy use has an adverse and substantial outcome on the unemployment and poverty rates</w:t>
      </w:r>
      <w:r w:rsidRPr="00D37C9A">
        <w:rPr>
          <w:rFonts w:ascii="Times New Roman" w:hAnsi="Times New Roman" w:cs="Times New Roman"/>
        </w:rPr>
        <w:t xml:space="preserve">. This finding conforms to the finding of </w:t>
      </w:r>
      <w:r w:rsidRPr="00D37C9A">
        <w:rPr>
          <w:rFonts w:ascii="Times New Roman" w:hAnsi="Times New Roman" w:cs="Times New Roman"/>
          <w:shd w:val="clear" w:color="auto" w:fill="FFFFFF"/>
        </w:rPr>
        <w:t>Satrianto and Ikhsan (2024</w:t>
      </w:r>
      <w:r w:rsidRPr="00D37C9A">
        <w:rPr>
          <w:rFonts w:ascii="Times New Roman" w:hAnsi="Times New Roman" w:cs="Times New Roman"/>
        </w:rPr>
        <w:t>) who found that renewable energy such as solar energy adoption improves household energy access and translates into formal job creation due to the capital-intensive and low-</w:t>
      </w:r>
      <w:r w:rsidR="00613BFD" w:rsidRPr="00D37C9A">
        <w:rPr>
          <w:rFonts w:ascii="Times New Roman" w:hAnsi="Times New Roman" w:cs="Times New Roman"/>
        </w:rPr>
        <w:t>labour</w:t>
      </w:r>
      <w:r w:rsidRPr="00D37C9A">
        <w:rPr>
          <w:rFonts w:ascii="Times New Roman" w:hAnsi="Times New Roman" w:cs="Times New Roman"/>
        </w:rPr>
        <w:t xml:space="preserve"> nature of solar installations. Moreover, the findings of this study </w:t>
      </w:r>
      <w:r w:rsidR="00C7106B" w:rsidRPr="00D37C9A">
        <w:rPr>
          <w:rFonts w:ascii="Times New Roman" w:hAnsi="Times New Roman" w:cs="Times New Roman"/>
        </w:rPr>
        <w:t>demonstrated that although hydroelectric energy consumption has a beneficial and substantial outcome on the poverty rate over the long term, it has an unfavourable and negligible impact in the near term</w:t>
      </w:r>
      <w:r w:rsidRPr="00D37C9A">
        <w:rPr>
          <w:rFonts w:ascii="Times New Roman" w:hAnsi="Times New Roman" w:cs="Times New Roman"/>
        </w:rPr>
        <w:t xml:space="preserve">. This finding conforms to the finding of </w:t>
      </w:r>
      <w:r w:rsidR="00450A3F" w:rsidRPr="00D37C9A">
        <w:rPr>
          <w:rFonts w:ascii="Times New Roman" w:hAnsi="Times New Roman" w:cs="Times New Roman"/>
        </w:rPr>
        <w:t xml:space="preserve">Umeh, Ochuba and Ugwo </w:t>
      </w:r>
      <w:r w:rsidR="00613BFD" w:rsidRPr="00D37C9A">
        <w:rPr>
          <w:rFonts w:ascii="Times New Roman" w:hAnsi="Times New Roman" w:cs="Times New Roman"/>
        </w:rPr>
        <w:t>(2019</w:t>
      </w:r>
      <w:r w:rsidRPr="00D37C9A">
        <w:rPr>
          <w:rFonts w:ascii="Times New Roman" w:hAnsi="Times New Roman" w:cs="Times New Roman"/>
        </w:rPr>
        <w:t>) who ascertained that hydropower</w:t>
      </w:r>
      <w:r w:rsidR="00450A3F" w:rsidRPr="00D37C9A">
        <w:rPr>
          <w:rFonts w:ascii="Times New Roman" w:hAnsi="Times New Roman" w:cs="Times New Roman"/>
        </w:rPr>
        <w:t xml:space="preserve"> consumption has a positive impact on poverty level</w:t>
      </w:r>
      <w:r w:rsidRPr="00D37C9A">
        <w:rPr>
          <w:rFonts w:ascii="Times New Roman" w:hAnsi="Times New Roman" w:cs="Times New Roman"/>
        </w:rPr>
        <w:t xml:space="preserve">. Lastly, </w:t>
      </w:r>
      <w:r w:rsidR="00C7106B" w:rsidRPr="00D37C9A">
        <w:rPr>
          <w:rFonts w:ascii="Times New Roman" w:hAnsi="Times New Roman" w:cs="Times New Roman"/>
        </w:rPr>
        <w:t xml:space="preserve">revealed that utilising natural gas to generate electricity had a substantial and adverse </w:t>
      </w:r>
      <w:r w:rsidR="00613BFD" w:rsidRPr="00D37C9A">
        <w:rPr>
          <w:rFonts w:ascii="Times New Roman" w:hAnsi="Times New Roman" w:cs="Times New Roman"/>
        </w:rPr>
        <w:t>short-term</w:t>
      </w:r>
      <w:r w:rsidR="00C7106B" w:rsidRPr="00D37C9A">
        <w:rPr>
          <w:rFonts w:ascii="Times New Roman" w:hAnsi="Times New Roman" w:cs="Times New Roman"/>
        </w:rPr>
        <w:t xml:space="preserve"> outcome on the poverty rate but a beneficial </w:t>
      </w:r>
      <w:r w:rsidR="00613BFD" w:rsidRPr="00D37C9A">
        <w:rPr>
          <w:rFonts w:ascii="Times New Roman" w:hAnsi="Times New Roman" w:cs="Times New Roman"/>
        </w:rPr>
        <w:t>long-term</w:t>
      </w:r>
      <w:r w:rsidR="00C7106B" w:rsidRPr="00D37C9A">
        <w:rPr>
          <w:rFonts w:ascii="Times New Roman" w:hAnsi="Times New Roman" w:cs="Times New Roman"/>
        </w:rPr>
        <w:t xml:space="preserve"> impact</w:t>
      </w:r>
      <w:r w:rsidRPr="00D37C9A">
        <w:rPr>
          <w:rFonts w:ascii="Times New Roman" w:hAnsi="Times New Roman" w:cs="Times New Roman"/>
        </w:rPr>
        <w:t xml:space="preserve">. This result aligns with the findings of </w:t>
      </w:r>
      <w:r w:rsidR="00450A3F" w:rsidRPr="00D37C9A">
        <w:rPr>
          <w:rFonts w:ascii="Times New Roman" w:hAnsi="Times New Roman" w:cs="Times New Roman"/>
        </w:rPr>
        <w:t>Arouna and Richard (2020</w:t>
      </w:r>
      <w:r w:rsidRPr="00D37C9A">
        <w:rPr>
          <w:rFonts w:ascii="Times New Roman" w:hAnsi="Times New Roman" w:cs="Times New Roman"/>
        </w:rPr>
        <w:t xml:space="preserve">) who </w:t>
      </w:r>
      <w:r w:rsidR="00450A3F" w:rsidRPr="00D37C9A">
        <w:rPr>
          <w:rFonts w:ascii="Times New Roman" w:hAnsi="Times New Roman" w:cs="Times New Roman"/>
        </w:rPr>
        <w:t xml:space="preserve">found </w:t>
      </w:r>
      <w:r w:rsidRPr="00D37C9A">
        <w:rPr>
          <w:rFonts w:ascii="Times New Roman" w:hAnsi="Times New Roman" w:cs="Times New Roman"/>
        </w:rPr>
        <w:t xml:space="preserve">that natural gas expansion </w:t>
      </w:r>
      <w:r w:rsidR="00450A3F" w:rsidRPr="00D37C9A">
        <w:rPr>
          <w:rFonts w:ascii="Times New Roman" w:hAnsi="Times New Roman" w:cs="Times New Roman"/>
        </w:rPr>
        <w:t>has a negative but significant effect on poverty rate</w:t>
      </w:r>
      <w:r w:rsidRPr="00D37C9A">
        <w:rPr>
          <w:rFonts w:ascii="Times New Roman" w:hAnsi="Times New Roman" w:cs="Times New Roman"/>
        </w:rPr>
        <w:t xml:space="preserve">. </w:t>
      </w:r>
    </w:p>
    <w:p w14:paraId="2FEBACAC" w14:textId="3006C428" w:rsidR="00FA2E45" w:rsidRPr="00D37C9A" w:rsidRDefault="00FA2E45" w:rsidP="00D37C9A">
      <w:pPr>
        <w:pStyle w:val="ListParagraph"/>
        <w:numPr>
          <w:ilvl w:val="0"/>
          <w:numId w:val="14"/>
        </w:numPr>
        <w:spacing w:before="240" w:after="0"/>
        <w:rPr>
          <w:rFonts w:ascii="Times New Roman" w:hAnsi="Times New Roman" w:cs="Times New Roman"/>
          <w:b/>
        </w:rPr>
      </w:pPr>
      <w:r w:rsidRPr="00D37C9A">
        <w:rPr>
          <w:rFonts w:ascii="Times New Roman" w:hAnsi="Times New Roman" w:cs="Times New Roman"/>
          <w:b/>
        </w:rPr>
        <w:t>C</w:t>
      </w:r>
      <w:r w:rsidR="00F47736" w:rsidRPr="00D37C9A">
        <w:rPr>
          <w:rFonts w:ascii="Times New Roman" w:hAnsi="Times New Roman" w:cs="Times New Roman"/>
          <w:b/>
        </w:rPr>
        <w:t>onclu</w:t>
      </w:r>
      <w:r w:rsidR="00676039">
        <w:rPr>
          <w:rFonts w:ascii="Times New Roman" w:hAnsi="Times New Roman" w:cs="Times New Roman"/>
          <w:b/>
        </w:rPr>
        <w:t>sion</w:t>
      </w:r>
    </w:p>
    <w:p w14:paraId="3FCA6009" w14:textId="53990B1F" w:rsidR="00FA2E45" w:rsidRDefault="00FA2E45" w:rsidP="00D37C9A">
      <w:pPr>
        <w:spacing w:after="0"/>
        <w:jc w:val="both"/>
        <w:rPr>
          <w:rFonts w:ascii="Times New Roman" w:hAnsi="Times New Roman" w:cs="Times New Roman"/>
        </w:rPr>
      </w:pPr>
      <w:r w:rsidRPr="00D37C9A">
        <w:rPr>
          <w:rFonts w:ascii="Times New Roman" w:hAnsi="Times New Roman" w:cs="Times New Roman"/>
          <w:bCs/>
        </w:rPr>
        <w:t xml:space="preserve">The analysis of the result of energy consumption on </w:t>
      </w:r>
      <w:r w:rsidR="00EE5845" w:rsidRPr="00D37C9A">
        <w:rPr>
          <w:rFonts w:ascii="Times New Roman" w:hAnsi="Times New Roman" w:cs="Times New Roman"/>
          <w:bCs/>
        </w:rPr>
        <w:t>poverty level</w:t>
      </w:r>
      <w:r w:rsidRPr="00D37C9A">
        <w:rPr>
          <w:rFonts w:ascii="Times New Roman" w:hAnsi="Times New Roman" w:cs="Times New Roman"/>
          <w:bCs/>
        </w:rPr>
        <w:t xml:space="preserve"> in Nigeria between 1990 and 2023 reveals a complex but insightful nexus between various energy sources and </w:t>
      </w:r>
      <w:r w:rsidR="00EE5845" w:rsidRPr="00D37C9A">
        <w:rPr>
          <w:rFonts w:ascii="Times New Roman" w:hAnsi="Times New Roman" w:cs="Times New Roman"/>
          <w:bCs/>
        </w:rPr>
        <w:t>poverty level</w:t>
      </w:r>
      <w:r w:rsidRPr="00D37C9A">
        <w:rPr>
          <w:rFonts w:ascii="Times New Roman" w:hAnsi="Times New Roman" w:cs="Times New Roman"/>
          <w:bCs/>
        </w:rPr>
        <w:t xml:space="preserve"> indicator i.e. poverty </w:t>
      </w:r>
      <w:r w:rsidR="00EE5845" w:rsidRPr="00D37C9A">
        <w:rPr>
          <w:rFonts w:ascii="Times New Roman" w:hAnsi="Times New Roman" w:cs="Times New Roman"/>
          <w:bCs/>
        </w:rPr>
        <w:t>rate</w:t>
      </w:r>
      <w:r w:rsidRPr="00D37C9A">
        <w:rPr>
          <w:rFonts w:ascii="Times New Roman" w:hAnsi="Times New Roman" w:cs="Times New Roman"/>
          <w:bCs/>
        </w:rPr>
        <w:t xml:space="preserve">. </w:t>
      </w:r>
      <w:r w:rsidR="00EE5845" w:rsidRPr="00D37C9A">
        <w:rPr>
          <w:rFonts w:ascii="Times New Roman" w:hAnsi="Times New Roman" w:cs="Times New Roman"/>
          <w:bCs/>
        </w:rPr>
        <w:t xml:space="preserve">Premised on the findings, the </w:t>
      </w:r>
      <w:r w:rsidRPr="00D37C9A">
        <w:rPr>
          <w:rFonts w:ascii="Times New Roman" w:hAnsi="Times New Roman" w:cs="Times New Roman"/>
          <w:bCs/>
        </w:rPr>
        <w:t xml:space="preserve">study therefore concluded that energy consumption plays a vital role in </w:t>
      </w:r>
      <w:r w:rsidR="00EE5845" w:rsidRPr="00D37C9A">
        <w:rPr>
          <w:rFonts w:ascii="Times New Roman" w:hAnsi="Times New Roman" w:cs="Times New Roman"/>
          <w:bCs/>
        </w:rPr>
        <w:t xml:space="preserve">reducing poverty </w:t>
      </w:r>
      <w:r w:rsidRPr="00D37C9A">
        <w:rPr>
          <w:rFonts w:ascii="Times New Roman" w:hAnsi="Times New Roman" w:cs="Times New Roman"/>
          <w:bCs/>
        </w:rPr>
        <w:t>in Nigeria.</w:t>
      </w:r>
      <w:r w:rsidR="00F47736" w:rsidRPr="00D37C9A">
        <w:rPr>
          <w:rFonts w:ascii="Times New Roman" w:hAnsi="Times New Roman" w:cs="Times New Roman"/>
          <w:bCs/>
        </w:rPr>
        <w:t xml:space="preserve"> Sequel to this conclusion, the following recommendations are made: </w:t>
      </w:r>
      <w:r w:rsidRPr="00D37C9A">
        <w:rPr>
          <w:rFonts w:ascii="Times New Roman" w:hAnsi="Times New Roman" w:cs="Times New Roman"/>
        </w:rPr>
        <w:t>The energy should scale-up investment in solar infrastructure and create employment-linked solar energy programs, especially in rural and underserved areas. Programs i.e. solar-based vocational training and community electrification can enhance its job creation potential.</w:t>
      </w:r>
      <w:r w:rsidR="00F47736" w:rsidRPr="00D37C9A">
        <w:rPr>
          <w:rFonts w:ascii="Times New Roman" w:hAnsi="Times New Roman" w:cs="Times New Roman"/>
        </w:rPr>
        <w:t xml:space="preserve"> </w:t>
      </w:r>
      <w:r w:rsidRPr="00D37C9A">
        <w:rPr>
          <w:rFonts w:ascii="Times New Roman" w:hAnsi="Times New Roman" w:cs="Times New Roman"/>
        </w:rPr>
        <w:t>There should be a comprehensive upgrade and expansion of Nigeria’s hydropower infrastructure, particularly focusing on stalled or underperforming projects. Additionally, policies should encourage public-private partnerships to modernize hydropower stations and improve grid connectivity to rural areas, enhancing its developmental impact.</w:t>
      </w:r>
      <w:r w:rsidR="00F47736" w:rsidRPr="00D37C9A">
        <w:rPr>
          <w:rFonts w:ascii="Times New Roman" w:hAnsi="Times New Roman" w:cs="Times New Roman"/>
        </w:rPr>
        <w:t xml:space="preserve"> </w:t>
      </w:r>
      <w:r w:rsidRPr="00D37C9A">
        <w:rPr>
          <w:rFonts w:ascii="Times New Roman" w:hAnsi="Times New Roman" w:cs="Times New Roman"/>
        </w:rPr>
        <w:t>The energy sector should prioritize investment in natural gas infrastructure, comprising pipelines, processing plants, and power stations. Additionally, policies should ensure stable pricing and regulation to attract private sector investment and expand access to gas-powered electricity across all regions.</w:t>
      </w:r>
    </w:p>
    <w:p w14:paraId="314C79FB" w14:textId="5DF0643B" w:rsidR="00F259DF" w:rsidRDefault="00F259DF" w:rsidP="00D37C9A">
      <w:pPr>
        <w:spacing w:after="0"/>
        <w:jc w:val="both"/>
        <w:rPr>
          <w:rFonts w:ascii="Times New Roman" w:hAnsi="Times New Roman" w:cs="Times New Roman"/>
        </w:rPr>
      </w:pPr>
    </w:p>
    <w:p w14:paraId="6A42014D" w14:textId="0138C6F6" w:rsidR="00F259DF" w:rsidRDefault="00F259DF" w:rsidP="00D37C9A">
      <w:pPr>
        <w:spacing w:after="0"/>
        <w:jc w:val="both"/>
        <w:rPr>
          <w:rFonts w:ascii="Times New Roman" w:hAnsi="Times New Roman" w:cs="Times New Roman"/>
        </w:rPr>
      </w:pPr>
    </w:p>
    <w:p w14:paraId="5C269751" w14:textId="77777777" w:rsidR="00F32BF2" w:rsidRPr="00F32BF2" w:rsidRDefault="00450A3F" w:rsidP="00F32BF2">
      <w:pPr>
        <w:spacing w:after="160"/>
        <w:rPr>
          <w:rFonts w:ascii="Times New Roman" w:hAnsi="Times New Roman" w:cs="Times New Roman"/>
          <w:b/>
        </w:rPr>
      </w:pPr>
      <w:r w:rsidRPr="00D37C9A">
        <w:rPr>
          <w:rFonts w:ascii="Times New Roman" w:hAnsi="Times New Roman" w:cs="Times New Roman"/>
          <w:b/>
        </w:rPr>
        <w:br w:type="page"/>
      </w:r>
      <w:r w:rsidR="00F32BF2" w:rsidRPr="00F32BF2">
        <w:rPr>
          <w:rFonts w:ascii="Times New Roman" w:hAnsi="Times New Roman" w:cs="Times New Roman"/>
          <w:b/>
        </w:rPr>
        <w:lastRenderedPageBreak/>
        <w:t>Disclaimer (Artificial intelligence)</w:t>
      </w:r>
    </w:p>
    <w:p w14:paraId="4F87F470" w14:textId="77777777" w:rsidR="00F32BF2" w:rsidRPr="00F32BF2" w:rsidRDefault="00F32BF2" w:rsidP="00F32BF2">
      <w:pPr>
        <w:spacing w:after="160"/>
        <w:rPr>
          <w:rFonts w:ascii="Times New Roman" w:hAnsi="Times New Roman" w:cs="Times New Roman"/>
          <w:b/>
        </w:rPr>
      </w:pPr>
      <w:r w:rsidRPr="00F32BF2">
        <w:rPr>
          <w:rFonts w:ascii="Times New Roman" w:hAnsi="Times New Roman" w:cs="Times New Roman"/>
          <w:b/>
        </w:rPr>
        <w:t xml:space="preserve">Option 1: </w:t>
      </w:r>
    </w:p>
    <w:p w14:paraId="2DB949C0" w14:textId="77777777" w:rsidR="00F32BF2" w:rsidRPr="00F32BF2" w:rsidRDefault="00F32BF2" w:rsidP="00F32BF2">
      <w:pPr>
        <w:spacing w:after="160"/>
        <w:rPr>
          <w:rFonts w:ascii="Times New Roman" w:hAnsi="Times New Roman" w:cs="Times New Roman"/>
          <w:b/>
        </w:rPr>
      </w:pPr>
      <w:r w:rsidRPr="00F32BF2">
        <w:rPr>
          <w:rFonts w:ascii="Times New Roman" w:hAnsi="Times New Roman" w:cs="Times New Roman"/>
          <w:b/>
        </w:rPr>
        <w:t xml:space="preserve">Author(s) hereby declare that NO generative AI technologies such as Large Language Models (ChatGPT, COPILOT, etc.) and text-to-image generators have been used during the writing or editing of this manuscript. </w:t>
      </w:r>
    </w:p>
    <w:p w14:paraId="384F1528" w14:textId="77777777" w:rsidR="00F32BF2" w:rsidRPr="00F32BF2" w:rsidRDefault="00F32BF2" w:rsidP="00F32BF2">
      <w:pPr>
        <w:spacing w:after="160"/>
        <w:rPr>
          <w:rFonts w:ascii="Times New Roman" w:hAnsi="Times New Roman" w:cs="Times New Roman"/>
          <w:b/>
        </w:rPr>
      </w:pPr>
      <w:r w:rsidRPr="00F32BF2">
        <w:rPr>
          <w:rFonts w:ascii="Times New Roman" w:hAnsi="Times New Roman" w:cs="Times New Roman"/>
          <w:b/>
        </w:rPr>
        <w:t xml:space="preserve">Option 2: </w:t>
      </w:r>
    </w:p>
    <w:p w14:paraId="4CEB612B" w14:textId="77777777" w:rsidR="00F32BF2" w:rsidRPr="00F32BF2" w:rsidRDefault="00F32BF2" w:rsidP="00F32BF2">
      <w:pPr>
        <w:spacing w:after="160"/>
        <w:rPr>
          <w:rFonts w:ascii="Times New Roman" w:hAnsi="Times New Roman" w:cs="Times New Roman"/>
          <w:b/>
        </w:rPr>
      </w:pPr>
      <w:r w:rsidRPr="00F32BF2">
        <w:rPr>
          <w:rFonts w:ascii="Times New Roman" w:hAnsi="Times New Roman" w:cs="Times New Roman"/>
          <w:b/>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FB8CF4" w14:textId="77777777" w:rsidR="00F32BF2" w:rsidRPr="00F32BF2" w:rsidRDefault="00F32BF2" w:rsidP="00F32BF2">
      <w:pPr>
        <w:spacing w:after="160"/>
        <w:rPr>
          <w:rFonts w:ascii="Times New Roman" w:hAnsi="Times New Roman" w:cs="Times New Roman"/>
          <w:b/>
        </w:rPr>
      </w:pPr>
      <w:r w:rsidRPr="00F32BF2">
        <w:rPr>
          <w:rFonts w:ascii="Times New Roman" w:hAnsi="Times New Roman" w:cs="Times New Roman"/>
          <w:b/>
        </w:rPr>
        <w:t>Details of the AI usage are given below:</w:t>
      </w:r>
    </w:p>
    <w:p w14:paraId="595B60C7" w14:textId="77777777" w:rsidR="00F32BF2" w:rsidRPr="00F32BF2" w:rsidRDefault="00F32BF2" w:rsidP="00F32BF2">
      <w:pPr>
        <w:spacing w:after="160"/>
        <w:rPr>
          <w:rFonts w:ascii="Times New Roman" w:hAnsi="Times New Roman" w:cs="Times New Roman"/>
          <w:b/>
        </w:rPr>
      </w:pPr>
      <w:r w:rsidRPr="00F32BF2">
        <w:rPr>
          <w:rFonts w:ascii="Times New Roman" w:hAnsi="Times New Roman" w:cs="Times New Roman"/>
          <w:b/>
        </w:rPr>
        <w:t>1.</w:t>
      </w:r>
    </w:p>
    <w:p w14:paraId="219CA11D" w14:textId="77777777" w:rsidR="00F32BF2" w:rsidRPr="00F32BF2" w:rsidRDefault="00F32BF2" w:rsidP="00F32BF2">
      <w:pPr>
        <w:spacing w:after="160"/>
        <w:rPr>
          <w:rFonts w:ascii="Times New Roman" w:hAnsi="Times New Roman" w:cs="Times New Roman"/>
          <w:b/>
        </w:rPr>
      </w:pPr>
      <w:r w:rsidRPr="00F32BF2">
        <w:rPr>
          <w:rFonts w:ascii="Times New Roman" w:hAnsi="Times New Roman" w:cs="Times New Roman"/>
          <w:b/>
        </w:rPr>
        <w:t>2.</w:t>
      </w:r>
    </w:p>
    <w:p w14:paraId="2D99DDF7" w14:textId="10DDA1D1" w:rsidR="00450A3F" w:rsidRPr="00D37C9A" w:rsidRDefault="00F32BF2" w:rsidP="00F32BF2">
      <w:pPr>
        <w:spacing w:after="160"/>
        <w:rPr>
          <w:rFonts w:ascii="Times New Roman" w:hAnsi="Times New Roman" w:cs="Times New Roman"/>
          <w:b/>
        </w:rPr>
      </w:pPr>
      <w:r w:rsidRPr="00F32BF2">
        <w:rPr>
          <w:rFonts w:ascii="Times New Roman" w:hAnsi="Times New Roman" w:cs="Times New Roman"/>
          <w:b/>
        </w:rPr>
        <w:t>3.</w:t>
      </w:r>
    </w:p>
    <w:p w14:paraId="1BB6C19F" w14:textId="6E46CFAC" w:rsidR="00FA2E45" w:rsidRPr="00D37C9A" w:rsidRDefault="00FA2E45" w:rsidP="00D37C9A">
      <w:pPr>
        <w:spacing w:before="240"/>
        <w:ind w:left="810" w:hanging="810"/>
        <w:jc w:val="center"/>
        <w:rPr>
          <w:rFonts w:ascii="Times New Roman" w:hAnsi="Times New Roman" w:cs="Times New Roman"/>
          <w:b/>
        </w:rPr>
      </w:pPr>
      <w:r w:rsidRPr="00D37C9A">
        <w:rPr>
          <w:rFonts w:ascii="Times New Roman" w:hAnsi="Times New Roman" w:cs="Times New Roman"/>
          <w:b/>
        </w:rPr>
        <w:t>REFERENCES</w:t>
      </w:r>
    </w:p>
    <w:p w14:paraId="7CF8888F" w14:textId="77777777" w:rsidR="00E238F1" w:rsidRPr="00D37C9A" w:rsidRDefault="00E238F1" w:rsidP="00D37C9A">
      <w:pPr>
        <w:spacing w:line="240" w:lineRule="auto"/>
        <w:ind w:left="720" w:hanging="720"/>
        <w:jc w:val="both"/>
        <w:rPr>
          <w:rFonts w:ascii="Times New Roman" w:hAnsi="Times New Roman" w:cs="Times New Roman"/>
        </w:rPr>
      </w:pPr>
      <w:bookmarkStart w:id="14" w:name="_Hlk168080528"/>
      <w:r w:rsidRPr="00D37C9A">
        <w:rPr>
          <w:rFonts w:ascii="Times New Roman" w:hAnsi="Times New Roman" w:cs="Times New Roman"/>
        </w:rPr>
        <w:t xml:space="preserve">Akintunde T. S., Adagunodo, M., Akanbi, B. E., &amp; Ogunleye A. G. (2020). Interactive effect of energy consumption and poverty on life expectancy in Nigeria (1980-2017). </w:t>
      </w:r>
      <w:r w:rsidRPr="00D37C9A">
        <w:rPr>
          <w:rFonts w:ascii="Times New Roman" w:hAnsi="Times New Roman" w:cs="Times New Roman"/>
          <w:i/>
          <w:iCs/>
        </w:rPr>
        <w:t xml:space="preserve">Economic Insights – Trends and Challenges, </w:t>
      </w:r>
      <w:r w:rsidRPr="00D37C9A">
        <w:rPr>
          <w:rFonts w:ascii="Times New Roman" w:hAnsi="Times New Roman" w:cs="Times New Roman"/>
        </w:rPr>
        <w:t>9 – 21.</w:t>
      </w:r>
    </w:p>
    <w:p w14:paraId="659BE2F6" w14:textId="77777777" w:rsidR="00E238F1" w:rsidRPr="00D37C9A" w:rsidRDefault="00E238F1" w:rsidP="00D37C9A">
      <w:pPr>
        <w:spacing w:line="240" w:lineRule="auto"/>
        <w:ind w:left="720" w:hanging="720"/>
        <w:jc w:val="both"/>
        <w:rPr>
          <w:rFonts w:ascii="Times New Roman" w:hAnsi="Times New Roman" w:cs="Times New Roman"/>
        </w:rPr>
      </w:pPr>
      <w:bookmarkStart w:id="15" w:name="_Hlk168080572"/>
      <w:bookmarkEnd w:id="14"/>
      <w:r w:rsidRPr="00D37C9A">
        <w:rPr>
          <w:rFonts w:ascii="Times New Roman" w:hAnsi="Times New Roman" w:cs="Times New Roman"/>
        </w:rPr>
        <w:t xml:space="preserve">Arouna, D., &amp; Richard K. M. (2020). Does access to electricity affect poverty? Evidence from Côte d'Ivoire. </w:t>
      </w:r>
      <w:r w:rsidRPr="00D37C9A">
        <w:rPr>
          <w:rFonts w:ascii="Times New Roman" w:hAnsi="Times New Roman" w:cs="Times New Roman"/>
          <w:i/>
          <w:iCs/>
        </w:rPr>
        <w:t>Economics Bulletin, 40</w:t>
      </w:r>
      <w:r w:rsidRPr="00D37C9A">
        <w:rPr>
          <w:rFonts w:ascii="Times New Roman" w:hAnsi="Times New Roman" w:cs="Times New Roman"/>
        </w:rPr>
        <w:t>(3), 2521-2537.</w:t>
      </w:r>
    </w:p>
    <w:bookmarkEnd w:id="15"/>
    <w:p w14:paraId="285EF1E0"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Cheng, L., Zhang, T., Chen, L., &amp; Wang, J. (2021). Measuring energy poverty in developing countries: A multidimensional approach. </w:t>
      </w:r>
      <w:r w:rsidRPr="00D37C9A">
        <w:rPr>
          <w:rFonts w:ascii="Times New Roman" w:hAnsi="Times New Roman" w:cs="Times New Roman"/>
          <w:i/>
        </w:rPr>
        <w:t>Energy Economics, 98</w:t>
      </w:r>
      <w:r w:rsidRPr="00D37C9A">
        <w:rPr>
          <w:rFonts w:ascii="Times New Roman" w:hAnsi="Times New Roman" w:cs="Times New Roman"/>
        </w:rPr>
        <w:t>, 105241.</w:t>
      </w:r>
    </w:p>
    <w:p w14:paraId="5D71F78A" w14:textId="77777777" w:rsidR="00E238F1" w:rsidRPr="00D37C9A" w:rsidRDefault="00E238F1" w:rsidP="00D37C9A">
      <w:pPr>
        <w:spacing w:line="240" w:lineRule="auto"/>
        <w:ind w:left="810" w:hanging="810"/>
        <w:jc w:val="both"/>
        <w:rPr>
          <w:rFonts w:ascii="Times New Roman" w:hAnsi="Times New Roman" w:cs="Times New Roman"/>
          <w:shd w:val="clear" w:color="auto" w:fill="FFFFFF"/>
        </w:rPr>
      </w:pPr>
      <w:r w:rsidRPr="00D37C9A">
        <w:rPr>
          <w:rFonts w:ascii="Times New Roman" w:hAnsi="Times New Roman" w:cs="Times New Roman"/>
        </w:rPr>
        <w:t xml:space="preserve">Chu, S., &amp; Majumdar, A. (2012). </w:t>
      </w:r>
      <w:r w:rsidRPr="00D37C9A">
        <w:rPr>
          <w:rFonts w:ascii="Times New Roman" w:hAnsi="Times New Roman" w:cs="Times New Roman"/>
          <w:i/>
          <w:iCs/>
        </w:rPr>
        <w:t>Opportunities and challenges for a sustainable Energy Future. Cogent Economics &amp; Finance, 5</w:t>
      </w:r>
      <w:r w:rsidRPr="00D37C9A">
        <w:rPr>
          <w:rFonts w:ascii="Times New Roman" w:hAnsi="Times New Roman" w:cs="Times New Roman"/>
        </w:rPr>
        <w:t>(1), 56-70.</w:t>
      </w:r>
    </w:p>
    <w:p w14:paraId="783248D0" w14:textId="28561471"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 xml:space="preserve">Crawford, M. J. (2012). </w:t>
      </w:r>
      <w:r w:rsidRPr="00D37C9A">
        <w:rPr>
          <w:rFonts w:ascii="Times New Roman" w:hAnsi="Times New Roman" w:cs="Times New Roman"/>
          <w:i/>
          <w:iCs/>
        </w:rPr>
        <w:t xml:space="preserve">Transforming environmentalism: </w:t>
      </w:r>
      <w:r w:rsidRPr="00D37C9A">
        <w:rPr>
          <w:rFonts w:ascii="Times New Roman" w:hAnsi="Times New Roman" w:cs="Times New Roman"/>
        </w:rPr>
        <w:t>Warren County, PCBs.</w:t>
      </w:r>
    </w:p>
    <w:p w14:paraId="3C20520B" w14:textId="77777777" w:rsidR="00E238F1" w:rsidRPr="00D37C9A" w:rsidRDefault="00E238F1" w:rsidP="00D37C9A">
      <w:pPr>
        <w:shd w:val="clear" w:color="auto" w:fill="FFFFFF"/>
        <w:spacing w:line="240" w:lineRule="auto"/>
        <w:ind w:left="810" w:hanging="810"/>
        <w:jc w:val="both"/>
        <w:rPr>
          <w:rFonts w:ascii="Times New Roman" w:eastAsia="Times New Roman" w:hAnsi="Times New Roman" w:cs="Times New Roman"/>
          <w:spacing w:val="-5"/>
        </w:rPr>
      </w:pPr>
      <w:r w:rsidRPr="00D37C9A">
        <w:rPr>
          <w:rFonts w:ascii="Times New Roman" w:hAnsi="Times New Roman" w:cs="Times New Roman"/>
          <w:spacing w:val="-5"/>
          <w:shd w:val="clear" w:color="auto" w:fill="FFFFFF"/>
        </w:rPr>
        <w:t xml:space="preserve">Dada, M. A. (2019). </w:t>
      </w:r>
      <w:r w:rsidRPr="00D37C9A">
        <w:rPr>
          <w:rFonts w:ascii="Times New Roman" w:hAnsi="Times New Roman" w:cs="Times New Roman"/>
          <w:spacing w:val="-5"/>
        </w:rPr>
        <w:t xml:space="preserve">Energy consumption and economic growth dynamics in Nigeria (1981-2018). </w:t>
      </w:r>
      <w:r w:rsidRPr="00D37C9A">
        <w:rPr>
          <w:rFonts w:ascii="Times New Roman" w:eastAsia="Times New Roman" w:hAnsi="Times New Roman" w:cs="Times New Roman"/>
          <w:i/>
          <w:iCs/>
          <w:spacing w:val="-5"/>
        </w:rPr>
        <w:t>The Journal of Energy and Development</w:t>
      </w:r>
      <w:r w:rsidRPr="00D37C9A">
        <w:rPr>
          <w:rFonts w:ascii="Times New Roman" w:hAnsi="Times New Roman" w:cs="Times New Roman"/>
        </w:rPr>
        <w:t xml:space="preserve">, </w:t>
      </w:r>
      <w:hyperlink r:id="rId9" w:history="1">
        <w:r w:rsidRPr="00D37C9A">
          <w:rPr>
            <w:rFonts w:ascii="Times New Roman" w:eastAsia="Times New Roman" w:hAnsi="Times New Roman" w:cs="Times New Roman"/>
            <w:i/>
            <w:iCs/>
            <w:spacing w:val="-5"/>
          </w:rPr>
          <w:t>44</w:t>
        </w:r>
        <w:r w:rsidRPr="00D37C9A">
          <w:rPr>
            <w:rFonts w:ascii="Times New Roman" w:eastAsia="Times New Roman" w:hAnsi="Times New Roman" w:cs="Times New Roman"/>
            <w:spacing w:val="-5"/>
          </w:rPr>
          <w:t>(1/2)</w:t>
        </w:r>
      </w:hyperlink>
      <w:r w:rsidRPr="00D37C9A">
        <w:rPr>
          <w:rFonts w:ascii="Times New Roman" w:eastAsia="Times New Roman" w:hAnsi="Times New Roman" w:cs="Times New Roman"/>
          <w:spacing w:val="-5"/>
        </w:rPr>
        <w:t>, 237-258.</w:t>
      </w:r>
    </w:p>
    <w:p w14:paraId="3EF83ADA" w14:textId="77777777" w:rsidR="00E238F1" w:rsidRPr="00D37C9A" w:rsidRDefault="00E238F1" w:rsidP="00D37C9A">
      <w:pPr>
        <w:shd w:val="clear" w:color="auto" w:fill="FFFFFF"/>
        <w:spacing w:line="240" w:lineRule="auto"/>
        <w:ind w:left="720" w:hanging="720"/>
        <w:jc w:val="both"/>
        <w:outlineLvl w:val="0"/>
        <w:rPr>
          <w:rFonts w:ascii="Times New Roman" w:hAnsi="Times New Roman" w:cs="Times New Roman"/>
          <w:shd w:val="clear" w:color="auto" w:fill="FFFFFF"/>
        </w:rPr>
      </w:pPr>
      <w:r w:rsidRPr="00D37C9A">
        <w:rPr>
          <w:rFonts w:ascii="Times New Roman" w:hAnsi="Times New Roman" w:cs="Times New Roman"/>
          <w:shd w:val="clear" w:color="auto" w:fill="FFFFFF"/>
        </w:rPr>
        <w:t>Ekeocha, P. C., Penzin, D. J., &amp; Ogbuabor, J. E. (2020).</w:t>
      </w:r>
      <w:r w:rsidRPr="00D37C9A">
        <w:rPr>
          <w:rFonts w:ascii="Times New Roman" w:hAnsi="Times New Roman" w:cs="Times New Roman"/>
        </w:rPr>
        <w:t xml:space="preserve"> </w:t>
      </w:r>
      <w:r w:rsidRPr="00D37C9A">
        <w:rPr>
          <w:rFonts w:ascii="Times New Roman" w:hAnsi="Times New Roman" w:cs="Times New Roman"/>
          <w:shd w:val="clear" w:color="auto" w:fill="FFFFFF"/>
        </w:rPr>
        <w:t>Energy consumption and economic growth in Nigeria: A test of alternative specifications.</w:t>
      </w:r>
      <w:r w:rsidRPr="00D37C9A">
        <w:rPr>
          <w:rFonts w:ascii="Times New Roman" w:hAnsi="Times New Roman" w:cs="Times New Roman"/>
        </w:rPr>
        <w:t xml:space="preserve"> </w:t>
      </w:r>
      <w:r w:rsidRPr="00D37C9A">
        <w:rPr>
          <w:rFonts w:ascii="Times New Roman" w:hAnsi="Times New Roman" w:cs="Times New Roman"/>
          <w:i/>
          <w:iCs/>
          <w:shd w:val="clear" w:color="auto" w:fill="FFFFFF"/>
        </w:rPr>
        <w:t>International Journal of Energy Economics and Policy,</w:t>
      </w:r>
      <w:r w:rsidRPr="00D37C9A">
        <w:rPr>
          <w:rFonts w:ascii="Times New Roman" w:hAnsi="Times New Roman" w:cs="Times New Roman"/>
          <w:shd w:val="clear" w:color="auto" w:fill="FFFFFF"/>
        </w:rPr>
        <w:t xml:space="preserve"> </w:t>
      </w:r>
      <w:r w:rsidRPr="00D37C9A">
        <w:rPr>
          <w:rFonts w:ascii="Times New Roman" w:hAnsi="Times New Roman" w:cs="Times New Roman"/>
          <w:i/>
          <w:iCs/>
          <w:shd w:val="clear" w:color="auto" w:fill="FFFFFF"/>
        </w:rPr>
        <w:t>10</w:t>
      </w:r>
      <w:r w:rsidRPr="00D37C9A">
        <w:rPr>
          <w:rFonts w:ascii="Times New Roman" w:hAnsi="Times New Roman" w:cs="Times New Roman"/>
          <w:shd w:val="clear" w:color="auto" w:fill="FFFFFF"/>
        </w:rPr>
        <w:t xml:space="preserve">(3), 369-379. </w:t>
      </w:r>
    </w:p>
    <w:p w14:paraId="53F68247"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Energy Commission of Nigeria. (2023). </w:t>
      </w:r>
      <w:r w:rsidRPr="00D37C9A">
        <w:rPr>
          <w:rFonts w:ascii="Times New Roman" w:hAnsi="Times New Roman" w:cs="Times New Roman"/>
          <w:i/>
        </w:rPr>
        <w:t>National energy policy</w:t>
      </w:r>
      <w:r w:rsidRPr="00D37C9A">
        <w:rPr>
          <w:rFonts w:ascii="Times New Roman" w:hAnsi="Times New Roman" w:cs="Times New Roman"/>
        </w:rPr>
        <w:t>. Federal Government of Nigeria.</w:t>
      </w:r>
    </w:p>
    <w:p w14:paraId="32F0C9C4" w14:textId="77777777" w:rsidR="00E238F1" w:rsidRPr="00D37C9A" w:rsidRDefault="00E238F1" w:rsidP="00D37C9A">
      <w:pPr>
        <w:spacing w:line="240" w:lineRule="auto"/>
        <w:ind w:left="720" w:hanging="720"/>
        <w:jc w:val="both"/>
        <w:rPr>
          <w:rFonts w:ascii="Times New Roman" w:hAnsi="Times New Roman" w:cs="Times New Roman"/>
        </w:rPr>
      </w:pPr>
      <w:bookmarkStart w:id="16" w:name="_Hlk168081405"/>
      <w:r w:rsidRPr="00D37C9A">
        <w:rPr>
          <w:rFonts w:ascii="Times New Roman" w:hAnsi="Times New Roman" w:cs="Times New Roman"/>
        </w:rPr>
        <w:t xml:space="preserve">Eseyin, O., &amp; Ogunjobi, J. O. (2021). Sustainable electricity supply and poverty reduction in Nigeria. </w:t>
      </w:r>
      <w:r w:rsidRPr="00D37C9A">
        <w:rPr>
          <w:rFonts w:ascii="Times New Roman" w:hAnsi="Times New Roman" w:cs="Times New Roman"/>
          <w:i/>
          <w:iCs/>
        </w:rPr>
        <w:t>International Journal of Energy Economics and Policy, 12</w:t>
      </w:r>
      <w:r w:rsidRPr="00D37C9A">
        <w:rPr>
          <w:rFonts w:ascii="Times New Roman" w:hAnsi="Times New Roman" w:cs="Times New Roman"/>
        </w:rPr>
        <w:t>(1), 54-61.</w:t>
      </w:r>
    </w:p>
    <w:bookmarkEnd w:id="16"/>
    <w:p w14:paraId="76D56E9B" w14:textId="77777777" w:rsidR="00E238F1" w:rsidRPr="00D37C9A" w:rsidRDefault="00E238F1" w:rsidP="00D37C9A">
      <w:pPr>
        <w:spacing w:line="240" w:lineRule="auto"/>
        <w:rPr>
          <w:rFonts w:ascii="Times New Roman" w:hAnsi="Times New Roman" w:cs="Times New Roman"/>
        </w:rPr>
      </w:pPr>
      <w:r w:rsidRPr="00D37C9A">
        <w:rPr>
          <w:rFonts w:ascii="Times New Roman" w:hAnsi="Times New Roman" w:cs="Times New Roman"/>
        </w:rPr>
        <w:lastRenderedPageBreak/>
        <w:t>Gordon, D. (2006). </w:t>
      </w:r>
      <w:r w:rsidRPr="00D37C9A">
        <w:rPr>
          <w:rFonts w:ascii="Times New Roman" w:hAnsi="Times New Roman" w:cs="Times New Roman"/>
          <w:i/>
        </w:rPr>
        <w:t>The measurement of absolute poverty</w:t>
      </w:r>
      <w:r w:rsidRPr="00D37C9A">
        <w:rPr>
          <w:rFonts w:ascii="Times New Roman" w:hAnsi="Times New Roman" w:cs="Times New Roman"/>
        </w:rPr>
        <w:t>. Townsend Centre for International Poverty Research, University of Bristol</w:t>
      </w:r>
    </w:p>
    <w:p w14:paraId="750132D5"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Guevara, Z., Domingos, T., &amp; Sousa, T. (2022). Energy poverty: An integrated framework for research. </w:t>
      </w:r>
      <w:r w:rsidRPr="00D37C9A">
        <w:rPr>
          <w:rFonts w:ascii="Times New Roman" w:hAnsi="Times New Roman" w:cs="Times New Roman"/>
          <w:i/>
        </w:rPr>
        <w:t>Energy Research &amp; Social Science, 90</w:t>
      </w:r>
      <w:r w:rsidRPr="00D37C9A">
        <w:rPr>
          <w:rFonts w:ascii="Times New Roman" w:hAnsi="Times New Roman" w:cs="Times New Roman"/>
        </w:rPr>
        <w:t>, 102655.</w:t>
      </w:r>
    </w:p>
    <w:p w14:paraId="4A07FF67"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Guevara, Z., Sousa, T., &amp; Domingos, T. (2023). The evolution of energy poverty theory: A systematic review. </w:t>
      </w:r>
      <w:r w:rsidRPr="00D37C9A">
        <w:rPr>
          <w:rFonts w:ascii="Times New Roman" w:hAnsi="Times New Roman" w:cs="Times New Roman"/>
          <w:i/>
        </w:rPr>
        <w:t>Renewable and Sustainable Energy Reviews, 178</w:t>
      </w:r>
      <w:r w:rsidRPr="00D37C9A">
        <w:rPr>
          <w:rFonts w:ascii="Times New Roman" w:hAnsi="Times New Roman" w:cs="Times New Roman"/>
        </w:rPr>
        <w:t>, 113246.</w:t>
      </w:r>
    </w:p>
    <w:p w14:paraId="2FDDED28" w14:textId="77777777" w:rsidR="00E238F1" w:rsidRPr="00D37C9A" w:rsidRDefault="00E238F1" w:rsidP="00D37C9A">
      <w:pPr>
        <w:shd w:val="clear" w:color="auto" w:fill="FFFFFF"/>
        <w:spacing w:line="240" w:lineRule="auto"/>
        <w:ind w:left="810" w:hanging="810"/>
        <w:jc w:val="both"/>
        <w:rPr>
          <w:rFonts w:ascii="Times New Roman" w:eastAsia="Times New Roman" w:hAnsi="Times New Roman" w:cs="Times New Roman"/>
          <w14:ligatures w14:val="none"/>
        </w:rPr>
      </w:pPr>
      <w:r w:rsidRPr="00D37C9A">
        <w:rPr>
          <w:rFonts w:ascii="Times New Roman" w:eastAsia="Times New Roman" w:hAnsi="Times New Roman" w:cs="Times New Roman"/>
          <w14:ligatures w14:val="none"/>
        </w:rPr>
        <w:t>International Energy Agency (IEA). (2023). </w:t>
      </w:r>
      <w:r w:rsidRPr="00D37C9A">
        <w:rPr>
          <w:rFonts w:ascii="Times New Roman" w:eastAsia="Times New Roman" w:hAnsi="Times New Roman" w:cs="Times New Roman"/>
          <w:i/>
          <w:iCs/>
          <w14:ligatures w14:val="none"/>
        </w:rPr>
        <w:t>World energy outlook</w:t>
      </w:r>
      <w:r w:rsidRPr="00D37C9A">
        <w:rPr>
          <w:rFonts w:ascii="Times New Roman" w:eastAsia="Times New Roman" w:hAnsi="Times New Roman" w:cs="Times New Roman"/>
          <w14:ligatures w14:val="none"/>
        </w:rPr>
        <w:t>.</w:t>
      </w:r>
    </w:p>
    <w:p w14:paraId="6FDFF018"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Jiglau, G., Dubois, U., Sinea, A., &amp; Grossmann, K. (2023). Interdisciplinary approaches to energy poverty research: Lessons from European projects. </w:t>
      </w:r>
      <w:r w:rsidRPr="00D37C9A">
        <w:rPr>
          <w:rFonts w:ascii="Times New Roman" w:hAnsi="Times New Roman" w:cs="Times New Roman"/>
          <w:i/>
        </w:rPr>
        <w:t>Energy Policy, 172</w:t>
      </w:r>
      <w:r w:rsidRPr="00D37C9A">
        <w:rPr>
          <w:rFonts w:ascii="Times New Roman" w:hAnsi="Times New Roman" w:cs="Times New Roman"/>
        </w:rPr>
        <w:t>, 113324.</w:t>
      </w:r>
    </w:p>
    <w:p w14:paraId="7D0ABD61"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Kulu, E., Abubakar, A., &amp; Adedoyin, F. F. (2024). Energy consumption‐economic growth nexus: How does sectorial differentials affect sustainable development? </w:t>
      </w:r>
      <w:r w:rsidRPr="00D37C9A">
        <w:rPr>
          <w:rFonts w:ascii="Times New Roman" w:hAnsi="Times New Roman" w:cs="Times New Roman"/>
          <w:i/>
        </w:rPr>
        <w:t>Sustainable Development, 32</w:t>
      </w:r>
      <w:r w:rsidRPr="00D37C9A">
        <w:rPr>
          <w:rFonts w:ascii="Times New Roman" w:hAnsi="Times New Roman" w:cs="Times New Roman"/>
        </w:rPr>
        <w:t>(1), 456–470.</w:t>
      </w:r>
    </w:p>
    <w:p w14:paraId="20102B66"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Liang, Y., &amp; Lu, W. (2017). Measuring energy poverty: A comparative analysis of indicators. </w:t>
      </w:r>
      <w:r w:rsidRPr="00D37C9A">
        <w:rPr>
          <w:rFonts w:ascii="Times New Roman" w:hAnsi="Times New Roman" w:cs="Times New Roman"/>
          <w:i/>
        </w:rPr>
        <w:t>Energy Policy, 109</w:t>
      </w:r>
      <w:r w:rsidRPr="00D37C9A">
        <w:rPr>
          <w:rFonts w:ascii="Times New Roman" w:hAnsi="Times New Roman" w:cs="Times New Roman"/>
        </w:rPr>
        <w:t>, 631-641.</w:t>
      </w:r>
    </w:p>
    <w:p w14:paraId="275DB6F5" w14:textId="77777777" w:rsidR="00E238F1" w:rsidRPr="00D37C9A" w:rsidRDefault="00E238F1" w:rsidP="00D37C9A">
      <w:pPr>
        <w:spacing w:line="240" w:lineRule="auto"/>
        <w:ind w:left="810" w:hanging="810"/>
        <w:jc w:val="both"/>
        <w:rPr>
          <w:rFonts w:ascii="Times New Roman" w:hAnsi="Times New Roman" w:cs="Times New Roman"/>
        </w:rPr>
      </w:pPr>
      <w:r w:rsidRPr="00D37C9A">
        <w:rPr>
          <w:rStyle w:val="given-name"/>
          <w:rFonts w:ascii="Times New Roman" w:hAnsi="Times New Roman" w:cs="Times New Roman"/>
        </w:rPr>
        <w:t>Mmbaga, F., Kulindwa, Y., &amp; Kazungu, I. (2023).</w:t>
      </w:r>
      <w:r w:rsidRPr="00D37C9A">
        <w:rPr>
          <w:rFonts w:ascii="Times New Roman" w:hAnsi="Times New Roman" w:cs="Times New Roman"/>
        </w:rPr>
        <w:t xml:space="preserve"> </w:t>
      </w:r>
      <w:r w:rsidRPr="00D37C9A">
        <w:rPr>
          <w:rStyle w:val="given-name"/>
          <w:rFonts w:ascii="Times New Roman" w:hAnsi="Times New Roman" w:cs="Times New Roman"/>
        </w:rPr>
        <w:t>Energy consumption and economic growth nexus in East African Sub-Region: Interactive dynamics of human capital.</w:t>
      </w:r>
      <w:r w:rsidRPr="00D37C9A">
        <w:rPr>
          <w:rFonts w:ascii="Times New Roman" w:hAnsi="Times New Roman" w:cs="Times New Roman"/>
        </w:rPr>
        <w:t xml:space="preserve"> </w:t>
      </w:r>
      <w:r w:rsidRPr="00D37C9A">
        <w:rPr>
          <w:rStyle w:val="given-name"/>
          <w:rFonts w:ascii="Times New Roman" w:hAnsi="Times New Roman" w:cs="Times New Roman"/>
        </w:rPr>
        <w:t>AJER, 11(5), 50-69.</w:t>
      </w:r>
    </w:p>
    <w:p w14:paraId="514092BE" w14:textId="25DEF056" w:rsidR="00E238F1" w:rsidRPr="00D37C9A" w:rsidRDefault="00E238F1" w:rsidP="00D37C9A">
      <w:pPr>
        <w:spacing w:line="240" w:lineRule="auto"/>
        <w:ind w:left="810" w:hanging="810"/>
        <w:jc w:val="both"/>
        <w:rPr>
          <w:rStyle w:val="given-name"/>
          <w:rFonts w:ascii="Times New Roman" w:hAnsi="Times New Roman" w:cs="Times New Roman"/>
        </w:rPr>
      </w:pPr>
      <w:r w:rsidRPr="00D37C9A">
        <w:rPr>
          <w:rFonts w:ascii="Times New Roman" w:hAnsi="Times New Roman" w:cs="Times New Roman"/>
        </w:rPr>
        <w:t xml:space="preserve">Mohammad, M. R., &amp; Eswaran, V. (2020). Renewable and non-renewable energy consumption-economic growth nexus: </w:t>
      </w:r>
      <w:r w:rsidR="00934D6E" w:rsidRPr="00D37C9A">
        <w:rPr>
          <w:rFonts w:ascii="Times New Roman" w:hAnsi="Times New Roman" w:cs="Times New Roman"/>
        </w:rPr>
        <w:t>E</w:t>
      </w:r>
      <w:r w:rsidRPr="00D37C9A">
        <w:rPr>
          <w:rFonts w:ascii="Times New Roman" w:hAnsi="Times New Roman" w:cs="Times New Roman"/>
        </w:rPr>
        <w:t xml:space="preserve">vidence from South Asia. </w:t>
      </w:r>
      <w:r w:rsidRPr="00D37C9A">
        <w:rPr>
          <w:rFonts w:ascii="Times New Roman" w:hAnsi="Times New Roman" w:cs="Times New Roman"/>
          <w:i/>
          <w:iCs/>
        </w:rPr>
        <w:t>Renewable Energy, 147,</w:t>
      </w:r>
      <w:r w:rsidRPr="00D37C9A">
        <w:rPr>
          <w:rFonts w:ascii="Times New Roman" w:hAnsi="Times New Roman" w:cs="Times New Roman"/>
        </w:rPr>
        <w:t xml:space="preserve"> 399-408.</w:t>
      </w:r>
    </w:p>
    <w:p w14:paraId="354A76A4"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 xml:space="preserve">Mukhtar D. G., &amp; Abubakar, W. A. (2019) Positive and negative impacts of natural gas consumption on economic growth in Nigeria: A nonlinear ARDL approach. </w:t>
      </w:r>
      <w:r w:rsidRPr="00D37C9A">
        <w:rPr>
          <w:rFonts w:ascii="Times New Roman" w:hAnsi="Times New Roman" w:cs="Times New Roman"/>
          <w:i/>
          <w:iCs/>
        </w:rPr>
        <w:t>African Journal of Economic and Sustainable Development, 7</w:t>
      </w:r>
      <w:r w:rsidRPr="00D37C9A">
        <w:rPr>
          <w:rFonts w:ascii="Times New Roman" w:hAnsi="Times New Roman" w:cs="Times New Roman"/>
        </w:rPr>
        <w:t>(2), 121-133.</w:t>
      </w:r>
    </w:p>
    <w:p w14:paraId="04B62F79" w14:textId="77777777" w:rsidR="00E238F1" w:rsidRPr="00D37C9A" w:rsidRDefault="00E238F1" w:rsidP="00D37C9A">
      <w:pPr>
        <w:shd w:val="clear" w:color="auto" w:fill="FFFFFF"/>
        <w:spacing w:line="240" w:lineRule="auto"/>
        <w:ind w:left="810" w:hanging="810"/>
        <w:jc w:val="both"/>
        <w:rPr>
          <w:rFonts w:ascii="Times New Roman" w:eastAsia="Times New Roman" w:hAnsi="Times New Roman" w:cs="Times New Roman"/>
          <w14:ligatures w14:val="none"/>
        </w:rPr>
      </w:pPr>
      <w:r w:rsidRPr="00D37C9A">
        <w:rPr>
          <w:rFonts w:ascii="Times New Roman" w:eastAsia="Times New Roman" w:hAnsi="Times New Roman" w:cs="Times New Roman"/>
          <w14:ligatures w14:val="none"/>
        </w:rPr>
        <w:t>National Bureau of Statistics (NBS). (2023). </w:t>
      </w:r>
      <w:r w:rsidRPr="00D37C9A">
        <w:rPr>
          <w:rFonts w:ascii="Times New Roman" w:eastAsia="Times New Roman" w:hAnsi="Times New Roman" w:cs="Times New Roman"/>
          <w:i/>
          <w:iCs/>
          <w14:ligatures w14:val="none"/>
        </w:rPr>
        <w:t>Nigeria poverty and unemployment report</w:t>
      </w:r>
      <w:r w:rsidRPr="00D37C9A">
        <w:rPr>
          <w:rFonts w:ascii="Times New Roman" w:eastAsia="Times New Roman" w:hAnsi="Times New Roman" w:cs="Times New Roman"/>
          <w14:ligatures w14:val="none"/>
        </w:rPr>
        <w:t>.</w:t>
      </w:r>
    </w:p>
    <w:p w14:paraId="5C47E9C8" w14:textId="173552F1" w:rsidR="00E238F1"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 xml:space="preserve">Nkoro, E., Ikue-John, N. &amp; Joshua, G. I. (2019). Energy consumption and economic growth in Nigeria: A revisit of the energy-growth debate. </w:t>
      </w:r>
      <w:r w:rsidRPr="00D37C9A">
        <w:rPr>
          <w:rFonts w:ascii="Times New Roman" w:hAnsi="Times New Roman" w:cs="Times New Roman"/>
          <w:i/>
          <w:iCs/>
        </w:rPr>
        <w:t>Review of Social Sciences</w:t>
      </w:r>
      <w:r w:rsidRPr="00D37C9A">
        <w:rPr>
          <w:rFonts w:ascii="Times New Roman" w:hAnsi="Times New Roman" w:cs="Times New Roman"/>
        </w:rPr>
        <w:t>, 1(2), 1-9.</w:t>
      </w:r>
    </w:p>
    <w:p w14:paraId="7376829A" w14:textId="77777777" w:rsidR="00613BFD" w:rsidRPr="00613BFD" w:rsidRDefault="00613BFD" w:rsidP="00613BFD">
      <w:pPr>
        <w:rPr>
          <w:rFonts w:ascii="Times New Roman" w:hAnsi="Times New Roman" w:cs="Times New Roman"/>
          <w:sz w:val="24"/>
          <w:szCs w:val="24"/>
        </w:rPr>
      </w:pPr>
      <w:r w:rsidRPr="00613BFD">
        <w:rPr>
          <w:rFonts w:ascii="Times New Roman" w:hAnsi="Times New Roman" w:cs="Times New Roman"/>
          <w:sz w:val="24"/>
          <w:szCs w:val="24"/>
        </w:rPr>
        <w:t xml:space="preserve">Ogbeide-Osaretin, E. N. (2021). Analysing energy consumption and poverty reduction nexus in Nigeria. </w:t>
      </w:r>
      <w:r w:rsidRPr="00613BFD">
        <w:rPr>
          <w:rFonts w:ascii="Times New Roman" w:hAnsi="Times New Roman" w:cs="Times New Roman"/>
          <w:i/>
          <w:iCs/>
          <w:sz w:val="24"/>
          <w:szCs w:val="24"/>
        </w:rPr>
        <w:t>International Journal of Sustainable Energy, 40(5), 477-493.</w:t>
      </w:r>
    </w:p>
    <w:p w14:paraId="4DE079AB"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Ogwumike, F. O., &amp; Ozughalu, U. M. (2016). Energy poverty and livelihood sustainability in Nigeria. </w:t>
      </w:r>
      <w:r w:rsidRPr="00D37C9A">
        <w:rPr>
          <w:rFonts w:ascii="Times New Roman" w:hAnsi="Times New Roman" w:cs="Times New Roman"/>
          <w:i/>
        </w:rPr>
        <w:t>Energy for Sustainable Development, 31</w:t>
      </w:r>
      <w:r w:rsidRPr="00D37C9A">
        <w:rPr>
          <w:rFonts w:ascii="Times New Roman" w:hAnsi="Times New Roman" w:cs="Times New Roman"/>
        </w:rPr>
        <w:t>, 40-51.</w:t>
      </w:r>
    </w:p>
    <w:p w14:paraId="37A8710F" w14:textId="77777777" w:rsidR="00E238F1" w:rsidRPr="00D37C9A" w:rsidRDefault="00E238F1" w:rsidP="00D37C9A">
      <w:pPr>
        <w:spacing w:line="240" w:lineRule="auto"/>
        <w:ind w:left="720" w:hanging="720"/>
        <w:jc w:val="both"/>
        <w:rPr>
          <w:rFonts w:ascii="Times New Roman" w:hAnsi="Times New Roman" w:cs="Times New Roman"/>
        </w:rPr>
      </w:pPr>
      <w:bookmarkStart w:id="17" w:name="_Hlk168081906"/>
      <w:r w:rsidRPr="00D37C9A">
        <w:rPr>
          <w:rFonts w:ascii="Times New Roman" w:hAnsi="Times New Roman" w:cs="Times New Roman"/>
        </w:rPr>
        <w:t xml:space="preserve">Okwanya, I., &amp; Abah, P. O. (2018). Impact of energy consumption on poverty reduction in Africa. </w:t>
      </w:r>
      <w:r w:rsidRPr="00D37C9A">
        <w:rPr>
          <w:rFonts w:ascii="Times New Roman" w:hAnsi="Times New Roman" w:cs="Times New Roman"/>
          <w:i/>
          <w:iCs/>
        </w:rPr>
        <w:t>CBN Journal of Applied Statistics, 9</w:t>
      </w:r>
      <w:r w:rsidRPr="00D37C9A">
        <w:rPr>
          <w:rFonts w:ascii="Times New Roman" w:hAnsi="Times New Roman" w:cs="Times New Roman"/>
        </w:rPr>
        <w:t xml:space="preserve">(1), 105-139. </w:t>
      </w:r>
    </w:p>
    <w:bookmarkEnd w:id="17"/>
    <w:p w14:paraId="5406216B"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Onyekachi, O. G., Osabohien, R., &amp; Olubiyi, E. A. (2025). Energy consumption and economic growth in Nigeria. </w:t>
      </w:r>
      <w:r w:rsidRPr="00D37C9A">
        <w:rPr>
          <w:rFonts w:ascii="Times New Roman" w:hAnsi="Times New Roman" w:cs="Times New Roman"/>
          <w:i/>
        </w:rPr>
        <w:t>Energy Policy, 176</w:t>
      </w:r>
      <w:r w:rsidRPr="00D37C9A">
        <w:rPr>
          <w:rFonts w:ascii="Times New Roman" w:hAnsi="Times New Roman" w:cs="Times New Roman"/>
        </w:rPr>
        <w:t>, 113487.</w:t>
      </w:r>
    </w:p>
    <w:p w14:paraId="5C425C15" w14:textId="08E49FAA" w:rsidR="00E238F1"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Oyedepo, S. O. (2012). Energy and sustainable development in Nigeria: The way forward. </w:t>
      </w:r>
      <w:r w:rsidRPr="00D37C9A">
        <w:rPr>
          <w:rFonts w:ascii="Times New Roman" w:hAnsi="Times New Roman" w:cs="Times New Roman"/>
          <w:i/>
        </w:rPr>
        <w:t>Energy, Sustainability and Society, 2</w:t>
      </w:r>
      <w:r w:rsidRPr="00D37C9A">
        <w:rPr>
          <w:rFonts w:ascii="Times New Roman" w:hAnsi="Times New Roman" w:cs="Times New Roman"/>
        </w:rPr>
        <w:t>(1), 1-17.</w:t>
      </w:r>
    </w:p>
    <w:p w14:paraId="622AA820"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lastRenderedPageBreak/>
        <w:t>Pellicer-Sifres, V., Belda-Miquel, S., &amp; Boni, A. (2021). Energy poverty and capabilities: A multi-dimensional analysis. </w:t>
      </w:r>
      <w:r w:rsidRPr="00D37C9A">
        <w:rPr>
          <w:rFonts w:ascii="Times New Roman" w:hAnsi="Times New Roman" w:cs="Times New Roman"/>
          <w:i/>
        </w:rPr>
        <w:t>Energy Research &amp; Social Science, 72</w:t>
      </w:r>
      <w:r w:rsidRPr="00D37C9A">
        <w:rPr>
          <w:rFonts w:ascii="Times New Roman" w:hAnsi="Times New Roman" w:cs="Times New Roman"/>
        </w:rPr>
        <w:t>, 101880.</w:t>
      </w:r>
    </w:p>
    <w:p w14:paraId="1980C2BF"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 xml:space="preserve">Pesaran, M. H., &amp; Shin, Y. (2001). </w:t>
      </w:r>
      <w:r w:rsidRPr="00D37C9A">
        <w:rPr>
          <w:rFonts w:ascii="Times New Roman" w:hAnsi="Times New Roman" w:cs="Times New Roman"/>
          <w:i/>
          <w:iCs/>
        </w:rPr>
        <w:t>An autoregressive distributed lag modelling approach to cointegration analysis.</w:t>
      </w:r>
      <w:r w:rsidRPr="00D37C9A">
        <w:rPr>
          <w:rFonts w:ascii="Times New Roman" w:hAnsi="Times New Roman" w:cs="Times New Roman"/>
        </w:rPr>
        <w:t xml:space="preserve"> In: Strom, S., Ed., Chapter 11 in Econometrics and Economic Theory in the 20th Century the Ragnar Frisch Centennial Symposium, Cambridge University Press, Cambridge, 371-413.</w:t>
      </w:r>
    </w:p>
    <w:p w14:paraId="7BBBDB2C"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Popescu, M. E., Sima, C. A., &amp; Nemeş, V. (2023). Energy poverty and social justice: A capabilities perspective. </w:t>
      </w:r>
      <w:r w:rsidRPr="00D37C9A">
        <w:rPr>
          <w:rFonts w:ascii="Times New Roman" w:hAnsi="Times New Roman" w:cs="Times New Roman"/>
          <w:i/>
        </w:rPr>
        <w:t>Energy Policy, 174</w:t>
      </w:r>
      <w:r w:rsidRPr="00D37C9A">
        <w:rPr>
          <w:rFonts w:ascii="Times New Roman" w:hAnsi="Times New Roman" w:cs="Times New Roman"/>
        </w:rPr>
        <w:t>, 113456.</w:t>
      </w:r>
    </w:p>
    <w:p w14:paraId="70D41341" w14:textId="77777777" w:rsidR="00E238F1" w:rsidRPr="00D37C9A" w:rsidRDefault="00E238F1" w:rsidP="00D37C9A">
      <w:pPr>
        <w:spacing w:line="240" w:lineRule="auto"/>
        <w:ind w:left="810" w:hanging="810"/>
        <w:jc w:val="both"/>
        <w:rPr>
          <w:rFonts w:ascii="Times New Roman" w:hAnsi="Times New Roman" w:cs="Times New Roman"/>
          <w:shd w:val="clear" w:color="auto" w:fill="FFFFFF"/>
        </w:rPr>
      </w:pPr>
      <w:bookmarkStart w:id="18" w:name="_Hlk95918204"/>
      <w:r w:rsidRPr="00D37C9A">
        <w:rPr>
          <w:rFonts w:ascii="Times New Roman" w:hAnsi="Times New Roman" w:cs="Times New Roman"/>
          <w:shd w:val="clear" w:color="auto" w:fill="FFFFFF"/>
        </w:rPr>
        <w:t>Umeh A. C., Ochuba C. D. &amp; Ugwo, C. E. (2019).</w:t>
      </w:r>
      <w:r w:rsidRPr="00D37C9A">
        <w:rPr>
          <w:rFonts w:ascii="Times New Roman" w:hAnsi="Times New Roman" w:cs="Times New Roman"/>
        </w:rPr>
        <w:t xml:space="preserve"> </w:t>
      </w:r>
      <w:r w:rsidRPr="00D37C9A">
        <w:rPr>
          <w:rFonts w:ascii="Times New Roman" w:hAnsi="Times New Roman" w:cs="Times New Roman"/>
          <w:shd w:val="clear" w:color="auto" w:fill="FFFFFF"/>
        </w:rPr>
        <w:t xml:space="preserve">Impact of energy consumption on economic growth in Nigeria: An approach of time series econometric model. </w:t>
      </w:r>
      <w:r w:rsidRPr="00D37C9A">
        <w:rPr>
          <w:rFonts w:ascii="Times New Roman" w:hAnsi="Times New Roman" w:cs="Times New Roman"/>
          <w:i/>
          <w:iCs/>
          <w:shd w:val="clear" w:color="auto" w:fill="FFFFFF"/>
        </w:rPr>
        <w:t>International Journal of Academic Research Economics and Management Sciences, 8</w:t>
      </w:r>
      <w:r w:rsidRPr="00D37C9A">
        <w:rPr>
          <w:rFonts w:ascii="Times New Roman" w:hAnsi="Times New Roman" w:cs="Times New Roman"/>
          <w:shd w:val="clear" w:color="auto" w:fill="FFFFFF"/>
        </w:rPr>
        <w:t>(2), 65-77.</w:t>
      </w:r>
    </w:p>
    <w:bookmarkEnd w:id="18"/>
    <w:p w14:paraId="12F39097" w14:textId="77777777" w:rsidR="00E238F1" w:rsidRPr="00D37C9A" w:rsidRDefault="00E238F1" w:rsidP="00D37C9A">
      <w:pPr>
        <w:shd w:val="clear" w:color="auto" w:fill="FFFFFF"/>
        <w:spacing w:line="240" w:lineRule="auto"/>
        <w:ind w:left="810" w:hanging="810"/>
        <w:jc w:val="both"/>
        <w:rPr>
          <w:rFonts w:ascii="Times New Roman" w:eastAsia="Times New Roman" w:hAnsi="Times New Roman" w:cs="Times New Roman"/>
          <w14:ligatures w14:val="none"/>
        </w:rPr>
      </w:pPr>
      <w:r w:rsidRPr="00D37C9A">
        <w:rPr>
          <w:rFonts w:ascii="Times New Roman" w:eastAsia="Times New Roman" w:hAnsi="Times New Roman" w:cs="Times New Roman"/>
          <w14:ligatures w14:val="none"/>
        </w:rPr>
        <w:t>World Bank. (2023). </w:t>
      </w:r>
      <w:r w:rsidRPr="00D37C9A">
        <w:rPr>
          <w:rFonts w:ascii="Times New Roman" w:eastAsia="Times New Roman" w:hAnsi="Times New Roman" w:cs="Times New Roman"/>
          <w:i/>
          <w:iCs/>
          <w14:ligatures w14:val="none"/>
        </w:rPr>
        <w:t>Nigeria electrification and economic performance review</w:t>
      </w:r>
      <w:r w:rsidRPr="00D37C9A">
        <w:rPr>
          <w:rFonts w:ascii="Times New Roman" w:eastAsia="Times New Roman" w:hAnsi="Times New Roman" w:cs="Times New Roman"/>
          <w14:ligatures w14:val="none"/>
        </w:rPr>
        <w:t>.</w:t>
      </w:r>
    </w:p>
    <w:p w14:paraId="25BF8ED4" w14:textId="17C94D20"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 xml:space="preserve">Yergin, D. (2011). </w:t>
      </w:r>
      <w:r w:rsidRPr="00D37C9A">
        <w:rPr>
          <w:rFonts w:ascii="Times New Roman" w:hAnsi="Times New Roman" w:cs="Times New Roman"/>
          <w:i/>
          <w:iCs/>
        </w:rPr>
        <w:t>The quest: Energy, security, and the remaking of the modern world.</w:t>
      </w:r>
      <w:r w:rsidRPr="00D37C9A">
        <w:rPr>
          <w:rFonts w:ascii="Times New Roman" w:hAnsi="Times New Roman" w:cs="Times New Roman"/>
        </w:rPr>
        <w:t xml:space="preserve"> Penguin Books. </w:t>
      </w:r>
    </w:p>
    <w:p w14:paraId="6FDA0E95" w14:textId="2729D6FE" w:rsidR="00FA2E45" w:rsidRPr="00D37C9A" w:rsidRDefault="00FA2E45" w:rsidP="00D37C9A">
      <w:pPr>
        <w:rPr>
          <w:rFonts w:ascii="Times New Roman" w:hAnsi="Times New Roman" w:cs="Times New Roman"/>
        </w:rPr>
      </w:pPr>
    </w:p>
    <w:sectPr w:rsidR="00FA2E45" w:rsidRPr="00D37C9A" w:rsidSect="00E05C6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1361"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C23D" w14:textId="77777777" w:rsidR="0046210B" w:rsidRDefault="0046210B">
      <w:pPr>
        <w:spacing w:after="0" w:line="240" w:lineRule="auto"/>
      </w:pPr>
      <w:r>
        <w:separator/>
      </w:r>
    </w:p>
  </w:endnote>
  <w:endnote w:type="continuationSeparator" w:id="0">
    <w:p w14:paraId="48CC3F24" w14:textId="77777777" w:rsidR="0046210B" w:rsidRDefault="00462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2812" w14:textId="77777777" w:rsidR="006C28E7" w:rsidRDefault="006C2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17693"/>
      <w:docPartObj>
        <w:docPartGallery w:val="Page Numbers (Bottom of Page)"/>
        <w:docPartUnique/>
      </w:docPartObj>
    </w:sdtPr>
    <w:sdtEndPr>
      <w:rPr>
        <w:noProof/>
      </w:rPr>
    </w:sdtEndPr>
    <w:sdtContent>
      <w:p w14:paraId="17BE02B4" w14:textId="77777777" w:rsidR="003B5ABA" w:rsidRDefault="003058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7A7EEA" w14:textId="77777777" w:rsidR="003B5ABA" w:rsidRDefault="003B5A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9C75" w14:textId="77777777" w:rsidR="006C28E7" w:rsidRDefault="006C2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5D977" w14:textId="77777777" w:rsidR="0046210B" w:rsidRDefault="0046210B">
      <w:pPr>
        <w:spacing w:after="0" w:line="240" w:lineRule="auto"/>
      </w:pPr>
      <w:r>
        <w:separator/>
      </w:r>
    </w:p>
  </w:footnote>
  <w:footnote w:type="continuationSeparator" w:id="0">
    <w:p w14:paraId="5F0AE0E0" w14:textId="77777777" w:rsidR="0046210B" w:rsidRDefault="00462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BE38" w14:textId="732B8D9B" w:rsidR="006C28E7" w:rsidRDefault="00000000">
    <w:pPr>
      <w:pStyle w:val="Header"/>
    </w:pPr>
    <w:r>
      <w:rPr>
        <w:noProof/>
      </w:rPr>
      <w:pict w14:anchorId="3CF3E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22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A571" w14:textId="105D2B6E" w:rsidR="006C28E7" w:rsidRDefault="00000000">
    <w:pPr>
      <w:pStyle w:val="Header"/>
    </w:pPr>
    <w:r>
      <w:rPr>
        <w:noProof/>
      </w:rPr>
      <w:pict w14:anchorId="5E12C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22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C78F" w14:textId="201F4C0E" w:rsidR="006C28E7" w:rsidRDefault="00000000">
    <w:pPr>
      <w:pStyle w:val="Header"/>
    </w:pPr>
    <w:r>
      <w:rPr>
        <w:noProof/>
      </w:rPr>
      <w:pict w14:anchorId="3B3FF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22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86C50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C3A2B"/>
    <w:multiLevelType w:val="hybridMultilevel"/>
    <w:tmpl w:val="9A02D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11E24"/>
    <w:multiLevelType w:val="hybridMultilevel"/>
    <w:tmpl w:val="0E2C1BD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89464D7"/>
    <w:multiLevelType w:val="hybridMultilevel"/>
    <w:tmpl w:val="9392B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E6CB2"/>
    <w:multiLevelType w:val="hybridMultilevel"/>
    <w:tmpl w:val="9BA221AC"/>
    <w:lvl w:ilvl="0" w:tplc="86E45E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72CC1"/>
    <w:multiLevelType w:val="hybridMultilevel"/>
    <w:tmpl w:val="3C6EA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C4D42"/>
    <w:multiLevelType w:val="multilevel"/>
    <w:tmpl w:val="F13A03B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34250E1"/>
    <w:multiLevelType w:val="hybridMultilevel"/>
    <w:tmpl w:val="90BCF4EA"/>
    <w:lvl w:ilvl="0" w:tplc="4A3C73C8">
      <w:start w:val="1"/>
      <w:numFmt w:val="decimal"/>
      <w:lvlText w:val="%1."/>
      <w:lvlJc w:val="left"/>
      <w:pPr>
        <w:ind w:left="1080" w:hanging="72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2B45F82"/>
    <w:multiLevelType w:val="hybridMultilevel"/>
    <w:tmpl w:val="71C872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D6355E"/>
    <w:multiLevelType w:val="multilevel"/>
    <w:tmpl w:val="46465A4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9691221"/>
    <w:multiLevelType w:val="hybridMultilevel"/>
    <w:tmpl w:val="8326EE8A"/>
    <w:lvl w:ilvl="0" w:tplc="0409001B">
      <w:start w:val="1"/>
      <w:numFmt w:val="lowerRoman"/>
      <w:lvlText w:val="%1."/>
      <w:lvlJc w:val="righ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9940796"/>
    <w:multiLevelType w:val="hybridMultilevel"/>
    <w:tmpl w:val="5A70E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9743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362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5698597">
    <w:abstractNumId w:val="9"/>
  </w:num>
  <w:num w:numId="4" w16cid:durableId="760184094">
    <w:abstractNumId w:val="5"/>
  </w:num>
  <w:num w:numId="5" w16cid:durableId="1727531400">
    <w:abstractNumId w:val="6"/>
  </w:num>
  <w:num w:numId="6" w16cid:durableId="483008242">
    <w:abstractNumId w:val="3"/>
  </w:num>
  <w:num w:numId="7" w16cid:durableId="1144353583">
    <w:abstractNumId w:val="11"/>
  </w:num>
  <w:num w:numId="8" w16cid:durableId="1190870614">
    <w:abstractNumId w:val="8"/>
  </w:num>
  <w:num w:numId="9" w16cid:durableId="1846674365">
    <w:abstractNumId w:val="1"/>
  </w:num>
  <w:num w:numId="10" w16cid:durableId="1739328958">
    <w:abstractNumId w:val="0"/>
  </w:num>
  <w:num w:numId="11" w16cid:durableId="894393038">
    <w:abstractNumId w:val="7"/>
  </w:num>
  <w:num w:numId="12" w16cid:durableId="1258174938">
    <w:abstractNumId w:val="2"/>
  </w:num>
  <w:num w:numId="13" w16cid:durableId="1348019564">
    <w:abstractNumId w:val="10"/>
  </w:num>
  <w:num w:numId="14" w16cid:durableId="1509759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45"/>
    <w:rsid w:val="00027631"/>
    <w:rsid w:val="000905FC"/>
    <w:rsid w:val="000F4E91"/>
    <w:rsid w:val="00121CAB"/>
    <w:rsid w:val="0014237C"/>
    <w:rsid w:val="0019051E"/>
    <w:rsid w:val="001B3FA5"/>
    <w:rsid w:val="002154EC"/>
    <w:rsid w:val="00223813"/>
    <w:rsid w:val="002418ED"/>
    <w:rsid w:val="002C78D7"/>
    <w:rsid w:val="002E170C"/>
    <w:rsid w:val="00305800"/>
    <w:rsid w:val="00342540"/>
    <w:rsid w:val="00356368"/>
    <w:rsid w:val="00374BB5"/>
    <w:rsid w:val="00387C89"/>
    <w:rsid w:val="003B5ABA"/>
    <w:rsid w:val="004079FA"/>
    <w:rsid w:val="00450A3F"/>
    <w:rsid w:val="0046210B"/>
    <w:rsid w:val="005708DA"/>
    <w:rsid w:val="00576ABD"/>
    <w:rsid w:val="005A5B53"/>
    <w:rsid w:val="005C1377"/>
    <w:rsid w:val="00613BFD"/>
    <w:rsid w:val="006346BA"/>
    <w:rsid w:val="00676039"/>
    <w:rsid w:val="006952C7"/>
    <w:rsid w:val="006A0ACB"/>
    <w:rsid w:val="006C28E7"/>
    <w:rsid w:val="006F35DD"/>
    <w:rsid w:val="007005B4"/>
    <w:rsid w:val="00767826"/>
    <w:rsid w:val="007B7303"/>
    <w:rsid w:val="008225AE"/>
    <w:rsid w:val="008A5D09"/>
    <w:rsid w:val="008D1642"/>
    <w:rsid w:val="0091727C"/>
    <w:rsid w:val="00934D6E"/>
    <w:rsid w:val="00950B64"/>
    <w:rsid w:val="009A0BB0"/>
    <w:rsid w:val="009F5C06"/>
    <w:rsid w:val="00A10CCD"/>
    <w:rsid w:val="00AC5AB5"/>
    <w:rsid w:val="00AF3B9C"/>
    <w:rsid w:val="00B15567"/>
    <w:rsid w:val="00B175F5"/>
    <w:rsid w:val="00B208FA"/>
    <w:rsid w:val="00B43004"/>
    <w:rsid w:val="00B81894"/>
    <w:rsid w:val="00C7106B"/>
    <w:rsid w:val="00D23A14"/>
    <w:rsid w:val="00D24E71"/>
    <w:rsid w:val="00D255E9"/>
    <w:rsid w:val="00D37C9A"/>
    <w:rsid w:val="00D43554"/>
    <w:rsid w:val="00D46C8F"/>
    <w:rsid w:val="00DB76BA"/>
    <w:rsid w:val="00E024F7"/>
    <w:rsid w:val="00E238F1"/>
    <w:rsid w:val="00EE5845"/>
    <w:rsid w:val="00F15C3E"/>
    <w:rsid w:val="00F259DF"/>
    <w:rsid w:val="00F32BF2"/>
    <w:rsid w:val="00F47736"/>
    <w:rsid w:val="00F70624"/>
    <w:rsid w:val="00F70956"/>
    <w:rsid w:val="00FA2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94038"/>
  <w15:chartTrackingRefBased/>
  <w15:docId w15:val="{9DBB9D7B-2600-4C43-AF1A-E8FAC421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E45"/>
    <w:pPr>
      <w:spacing w:after="200" w:line="276" w:lineRule="auto"/>
    </w:pPr>
    <w:rPr>
      <w:lang w:val="en-GB"/>
      <w14:ligatures w14:val="standardContextual"/>
    </w:rPr>
  </w:style>
  <w:style w:type="paragraph" w:styleId="Heading1">
    <w:name w:val="heading 1"/>
    <w:basedOn w:val="Normal"/>
    <w:next w:val="Normal"/>
    <w:link w:val="Heading1Char"/>
    <w:uiPriority w:val="9"/>
    <w:qFormat/>
    <w:rsid w:val="00FA2E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A2E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A2E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A2E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2E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2E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E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E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E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E45"/>
    <w:rPr>
      <w:rFonts w:asciiTheme="majorHAnsi" w:eastAsiaTheme="majorEastAsia" w:hAnsiTheme="majorHAnsi" w:cstheme="majorBidi"/>
      <w:color w:val="2F5496" w:themeColor="accent1" w:themeShade="BF"/>
      <w:sz w:val="40"/>
      <w:szCs w:val="40"/>
      <w:lang w:val="en-GB"/>
      <w14:ligatures w14:val="standardContextual"/>
    </w:rPr>
  </w:style>
  <w:style w:type="character" w:customStyle="1" w:styleId="Heading2Char">
    <w:name w:val="Heading 2 Char"/>
    <w:basedOn w:val="DefaultParagraphFont"/>
    <w:link w:val="Heading2"/>
    <w:uiPriority w:val="9"/>
    <w:rsid w:val="00FA2E45"/>
    <w:rPr>
      <w:rFonts w:asciiTheme="majorHAnsi" w:eastAsiaTheme="majorEastAsia" w:hAnsiTheme="majorHAnsi" w:cstheme="majorBidi"/>
      <w:color w:val="2F5496" w:themeColor="accent1" w:themeShade="BF"/>
      <w:sz w:val="32"/>
      <w:szCs w:val="32"/>
      <w:lang w:val="en-GB"/>
      <w14:ligatures w14:val="standardContextual"/>
    </w:rPr>
  </w:style>
  <w:style w:type="character" w:customStyle="1" w:styleId="Heading3Char">
    <w:name w:val="Heading 3 Char"/>
    <w:basedOn w:val="DefaultParagraphFont"/>
    <w:link w:val="Heading3"/>
    <w:uiPriority w:val="9"/>
    <w:rsid w:val="00FA2E45"/>
    <w:rPr>
      <w:rFonts w:eastAsiaTheme="majorEastAsia" w:cstheme="majorBidi"/>
      <w:color w:val="2F5496" w:themeColor="accent1" w:themeShade="BF"/>
      <w:sz w:val="28"/>
      <w:szCs w:val="28"/>
      <w:lang w:val="en-GB"/>
      <w14:ligatures w14:val="standardContextual"/>
    </w:rPr>
  </w:style>
  <w:style w:type="character" w:customStyle="1" w:styleId="Heading4Char">
    <w:name w:val="Heading 4 Char"/>
    <w:basedOn w:val="DefaultParagraphFont"/>
    <w:link w:val="Heading4"/>
    <w:uiPriority w:val="9"/>
    <w:rsid w:val="00FA2E45"/>
    <w:rPr>
      <w:rFonts w:eastAsiaTheme="majorEastAsia" w:cstheme="majorBidi"/>
      <w:i/>
      <w:iCs/>
      <w:color w:val="2F5496" w:themeColor="accent1" w:themeShade="BF"/>
      <w:lang w:val="en-GB"/>
      <w14:ligatures w14:val="standardContextual"/>
    </w:rPr>
  </w:style>
  <w:style w:type="character" w:customStyle="1" w:styleId="Heading5Char">
    <w:name w:val="Heading 5 Char"/>
    <w:basedOn w:val="DefaultParagraphFont"/>
    <w:link w:val="Heading5"/>
    <w:uiPriority w:val="9"/>
    <w:semiHidden/>
    <w:rsid w:val="00FA2E45"/>
    <w:rPr>
      <w:rFonts w:eastAsiaTheme="majorEastAsia" w:cstheme="majorBidi"/>
      <w:color w:val="2F5496" w:themeColor="accent1" w:themeShade="BF"/>
      <w:lang w:val="en-GB"/>
      <w14:ligatures w14:val="standardContextual"/>
    </w:rPr>
  </w:style>
  <w:style w:type="character" w:customStyle="1" w:styleId="Heading6Char">
    <w:name w:val="Heading 6 Char"/>
    <w:basedOn w:val="DefaultParagraphFont"/>
    <w:link w:val="Heading6"/>
    <w:uiPriority w:val="9"/>
    <w:semiHidden/>
    <w:rsid w:val="00FA2E45"/>
    <w:rPr>
      <w:rFonts w:eastAsiaTheme="majorEastAsia" w:cstheme="majorBidi"/>
      <w:i/>
      <w:iCs/>
      <w:color w:val="595959" w:themeColor="text1" w:themeTint="A6"/>
      <w:lang w:val="en-GB"/>
      <w14:ligatures w14:val="standardContextual"/>
    </w:rPr>
  </w:style>
  <w:style w:type="character" w:customStyle="1" w:styleId="Heading7Char">
    <w:name w:val="Heading 7 Char"/>
    <w:basedOn w:val="DefaultParagraphFont"/>
    <w:link w:val="Heading7"/>
    <w:uiPriority w:val="9"/>
    <w:semiHidden/>
    <w:rsid w:val="00FA2E45"/>
    <w:rPr>
      <w:rFonts w:eastAsiaTheme="majorEastAsia" w:cstheme="majorBidi"/>
      <w:color w:val="595959" w:themeColor="text1" w:themeTint="A6"/>
      <w:lang w:val="en-GB"/>
      <w14:ligatures w14:val="standardContextual"/>
    </w:rPr>
  </w:style>
  <w:style w:type="character" w:customStyle="1" w:styleId="Heading8Char">
    <w:name w:val="Heading 8 Char"/>
    <w:basedOn w:val="DefaultParagraphFont"/>
    <w:link w:val="Heading8"/>
    <w:uiPriority w:val="9"/>
    <w:semiHidden/>
    <w:rsid w:val="00FA2E45"/>
    <w:rPr>
      <w:rFonts w:eastAsiaTheme="majorEastAsia" w:cstheme="majorBidi"/>
      <w:i/>
      <w:iCs/>
      <w:color w:val="272727" w:themeColor="text1" w:themeTint="D8"/>
      <w:lang w:val="en-GB"/>
      <w14:ligatures w14:val="standardContextual"/>
    </w:rPr>
  </w:style>
  <w:style w:type="character" w:customStyle="1" w:styleId="Heading9Char">
    <w:name w:val="Heading 9 Char"/>
    <w:basedOn w:val="DefaultParagraphFont"/>
    <w:link w:val="Heading9"/>
    <w:uiPriority w:val="9"/>
    <w:semiHidden/>
    <w:rsid w:val="00FA2E45"/>
    <w:rPr>
      <w:rFonts w:eastAsiaTheme="majorEastAsia" w:cstheme="majorBidi"/>
      <w:color w:val="272727" w:themeColor="text1" w:themeTint="D8"/>
      <w:lang w:val="en-GB"/>
      <w14:ligatures w14:val="standardContextual"/>
    </w:rPr>
  </w:style>
  <w:style w:type="paragraph" w:styleId="ListParagraph">
    <w:name w:val="List Paragraph"/>
    <w:aliases w:val="Paragraph Indent,Listenabsatz,List Paragraph2,Number Bullets"/>
    <w:basedOn w:val="Normal"/>
    <w:link w:val="ListParagraphChar"/>
    <w:uiPriority w:val="34"/>
    <w:qFormat/>
    <w:rsid w:val="00FA2E45"/>
    <w:pPr>
      <w:ind w:left="720"/>
      <w:contextualSpacing/>
    </w:pPr>
  </w:style>
  <w:style w:type="character" w:customStyle="1" w:styleId="ListParagraphChar">
    <w:name w:val="List Paragraph Char"/>
    <w:aliases w:val="Paragraph Indent Char,Listenabsatz Char,List Paragraph2 Char,Number Bullets Char"/>
    <w:basedOn w:val="DefaultParagraphFont"/>
    <w:link w:val="ListParagraph"/>
    <w:uiPriority w:val="34"/>
    <w:locked/>
    <w:rsid w:val="00FA2E45"/>
    <w:rPr>
      <w:lang w:val="en-GB"/>
      <w14:ligatures w14:val="standardContextual"/>
    </w:rPr>
  </w:style>
  <w:style w:type="character" w:customStyle="1" w:styleId="given-name">
    <w:name w:val="given-name"/>
    <w:basedOn w:val="DefaultParagraphFont"/>
    <w:rsid w:val="00FA2E45"/>
  </w:style>
  <w:style w:type="paragraph" w:styleId="Title">
    <w:name w:val="Title"/>
    <w:basedOn w:val="Normal"/>
    <w:next w:val="Normal"/>
    <w:link w:val="TitleChar"/>
    <w:uiPriority w:val="10"/>
    <w:qFormat/>
    <w:rsid w:val="00FA2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E45"/>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FA2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E45"/>
    <w:rPr>
      <w:rFonts w:eastAsiaTheme="majorEastAsia" w:cstheme="majorBidi"/>
      <w:color w:val="595959" w:themeColor="text1" w:themeTint="A6"/>
      <w:spacing w:val="15"/>
      <w:sz w:val="28"/>
      <w:szCs w:val="28"/>
      <w:lang w:val="en-GB"/>
      <w14:ligatures w14:val="standardContextual"/>
    </w:rPr>
  </w:style>
  <w:style w:type="paragraph" w:styleId="Quote">
    <w:name w:val="Quote"/>
    <w:basedOn w:val="Normal"/>
    <w:next w:val="Normal"/>
    <w:link w:val="QuoteChar"/>
    <w:uiPriority w:val="29"/>
    <w:qFormat/>
    <w:rsid w:val="00FA2E45"/>
    <w:pPr>
      <w:spacing w:before="160"/>
      <w:jc w:val="center"/>
    </w:pPr>
    <w:rPr>
      <w:i/>
      <w:iCs/>
      <w:color w:val="404040" w:themeColor="text1" w:themeTint="BF"/>
    </w:rPr>
  </w:style>
  <w:style w:type="character" w:customStyle="1" w:styleId="QuoteChar">
    <w:name w:val="Quote Char"/>
    <w:basedOn w:val="DefaultParagraphFont"/>
    <w:link w:val="Quote"/>
    <w:uiPriority w:val="29"/>
    <w:rsid w:val="00FA2E45"/>
    <w:rPr>
      <w:i/>
      <w:iCs/>
      <w:color w:val="404040" w:themeColor="text1" w:themeTint="BF"/>
      <w:lang w:val="en-GB"/>
      <w14:ligatures w14:val="standardContextual"/>
    </w:rPr>
  </w:style>
  <w:style w:type="character" w:styleId="IntenseEmphasis">
    <w:name w:val="Intense Emphasis"/>
    <w:basedOn w:val="DefaultParagraphFont"/>
    <w:uiPriority w:val="21"/>
    <w:qFormat/>
    <w:rsid w:val="00FA2E45"/>
    <w:rPr>
      <w:i/>
      <w:iCs/>
      <w:color w:val="2F5496" w:themeColor="accent1" w:themeShade="BF"/>
    </w:rPr>
  </w:style>
  <w:style w:type="paragraph" w:styleId="IntenseQuote">
    <w:name w:val="Intense Quote"/>
    <w:basedOn w:val="Normal"/>
    <w:next w:val="Normal"/>
    <w:link w:val="IntenseQuoteChar"/>
    <w:uiPriority w:val="30"/>
    <w:qFormat/>
    <w:rsid w:val="00FA2E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E45"/>
    <w:rPr>
      <w:i/>
      <w:iCs/>
      <w:color w:val="2F5496" w:themeColor="accent1" w:themeShade="BF"/>
      <w:lang w:val="en-GB"/>
      <w14:ligatures w14:val="standardContextual"/>
    </w:rPr>
  </w:style>
  <w:style w:type="character" w:styleId="IntenseReference">
    <w:name w:val="Intense Reference"/>
    <w:basedOn w:val="DefaultParagraphFont"/>
    <w:uiPriority w:val="32"/>
    <w:qFormat/>
    <w:rsid w:val="00FA2E45"/>
    <w:rPr>
      <w:b/>
      <w:bCs/>
      <w:smallCaps/>
      <w:color w:val="2F5496" w:themeColor="accent1" w:themeShade="BF"/>
      <w:spacing w:val="5"/>
    </w:rPr>
  </w:style>
  <w:style w:type="paragraph" w:styleId="Footer">
    <w:name w:val="footer"/>
    <w:basedOn w:val="Normal"/>
    <w:link w:val="FooterChar"/>
    <w:uiPriority w:val="99"/>
    <w:unhideWhenUsed/>
    <w:rsid w:val="00FA2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E45"/>
    <w:rPr>
      <w:lang w:val="en-GB"/>
      <w14:ligatures w14:val="standardContextual"/>
    </w:rPr>
  </w:style>
  <w:style w:type="table" w:styleId="TableGrid">
    <w:name w:val="Table Grid"/>
    <w:basedOn w:val="TableNormal"/>
    <w:uiPriority w:val="39"/>
    <w:qFormat/>
    <w:rsid w:val="00FA2E45"/>
    <w:pPr>
      <w:spacing w:after="0" w:line="240" w:lineRule="auto"/>
    </w:pPr>
    <w:rPr>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FA2E45"/>
    <w:pPr>
      <w:autoSpaceDE w:val="0"/>
      <w:autoSpaceDN w:val="0"/>
      <w:adjustRightInd w:val="0"/>
      <w:spacing w:after="0" w:line="240" w:lineRule="auto"/>
    </w:pPr>
    <w:rPr>
      <w:rFonts w:ascii="Times New Roman" w:eastAsiaTheme="minorEastAsia" w:hAnsi="Times New Roman" w:cs="Times New Roman"/>
      <w:color w:val="000000"/>
      <w:sz w:val="24"/>
      <w:szCs w:val="24"/>
      <w:lang w:val="en-GB" w:eastAsia="en-GB"/>
      <w14:ligatures w14:val="standardContextual"/>
    </w:rPr>
  </w:style>
  <w:style w:type="character" w:customStyle="1" w:styleId="CharAttribute6">
    <w:name w:val="CharAttribute6"/>
    <w:rsid w:val="00FA2E45"/>
    <w:rPr>
      <w:rFonts w:ascii="Calibri" w:eastAsia="Calibri"/>
      <w:sz w:val="28"/>
    </w:rPr>
  </w:style>
  <w:style w:type="character" w:customStyle="1" w:styleId="BalloonTextChar">
    <w:name w:val="Balloon Text Char"/>
    <w:basedOn w:val="DefaultParagraphFont"/>
    <w:link w:val="BalloonText"/>
    <w:uiPriority w:val="99"/>
    <w:semiHidden/>
    <w:rsid w:val="00FA2E45"/>
    <w:rPr>
      <w:rFonts w:ascii="Tahoma" w:hAnsi="Tahoma" w:cs="Tahoma"/>
      <w:sz w:val="16"/>
      <w:szCs w:val="16"/>
      <w:lang w:val="en-GB"/>
      <w14:ligatures w14:val="standardContextual"/>
    </w:rPr>
  </w:style>
  <w:style w:type="paragraph" w:styleId="BalloonText">
    <w:name w:val="Balloon Text"/>
    <w:basedOn w:val="Normal"/>
    <w:link w:val="BalloonTextChar"/>
    <w:uiPriority w:val="99"/>
    <w:semiHidden/>
    <w:unhideWhenUsed/>
    <w:rsid w:val="00FA2E45"/>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FA2E45"/>
    <w:rPr>
      <w:rFonts w:ascii="Segoe UI" w:hAnsi="Segoe UI" w:cs="Segoe UI"/>
      <w:sz w:val="18"/>
      <w:szCs w:val="18"/>
      <w:lang w:val="en-GB"/>
      <w14:ligatures w14:val="standardContextual"/>
    </w:rPr>
  </w:style>
  <w:style w:type="paragraph" w:styleId="Header">
    <w:name w:val="header"/>
    <w:basedOn w:val="Normal"/>
    <w:link w:val="HeaderChar"/>
    <w:uiPriority w:val="99"/>
    <w:unhideWhenUsed/>
    <w:rsid w:val="00FA2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E45"/>
    <w:rPr>
      <w:lang w:val="en-GB"/>
      <w14:ligatures w14:val="standardContextual"/>
    </w:rPr>
  </w:style>
  <w:style w:type="character" w:styleId="Hyperlink">
    <w:name w:val="Hyperlink"/>
    <w:basedOn w:val="DefaultParagraphFont"/>
    <w:uiPriority w:val="99"/>
    <w:unhideWhenUsed/>
    <w:qFormat/>
    <w:rsid w:val="00FA2E45"/>
    <w:rPr>
      <w:color w:val="0563C1" w:themeColor="hyperlink"/>
      <w:u w:val="single"/>
    </w:rPr>
  </w:style>
  <w:style w:type="paragraph" w:styleId="NoSpacing">
    <w:name w:val="No Spacing"/>
    <w:link w:val="NoSpacingChar"/>
    <w:uiPriority w:val="1"/>
    <w:qFormat/>
    <w:rsid w:val="00FA2E45"/>
    <w:pPr>
      <w:spacing w:after="0" w:line="240" w:lineRule="auto"/>
    </w:pPr>
    <w:rPr>
      <w:rFonts w:ascii="Calibri" w:eastAsia="Calibri" w:hAnsi="Calibri" w:cs="Times New Roman"/>
      <w14:ligatures w14:val="standardContextual"/>
    </w:rPr>
  </w:style>
  <w:style w:type="character" w:customStyle="1" w:styleId="NoSpacingChar">
    <w:name w:val="No Spacing Char"/>
    <w:basedOn w:val="DefaultParagraphFont"/>
    <w:link w:val="NoSpacing"/>
    <w:uiPriority w:val="1"/>
    <w:qFormat/>
    <w:rsid w:val="00FA2E45"/>
    <w:rPr>
      <w:rFonts w:ascii="Calibri" w:eastAsia="Calibri" w:hAnsi="Calibri" w:cs="Times New Roman"/>
      <w14:ligatures w14:val="standardContextual"/>
    </w:rPr>
  </w:style>
  <w:style w:type="character" w:customStyle="1" w:styleId="tgc">
    <w:name w:val="_tgc"/>
    <w:basedOn w:val="DefaultParagraphFont"/>
    <w:rsid w:val="00FA2E45"/>
  </w:style>
  <w:style w:type="paragraph" w:styleId="NormalWeb">
    <w:name w:val="Normal (Web)"/>
    <w:basedOn w:val="Normal"/>
    <w:uiPriority w:val="99"/>
    <w:unhideWhenUsed/>
    <w:qFormat/>
    <w:rsid w:val="00FA2E45"/>
    <w:rPr>
      <w:rFonts w:ascii="Times New Roman" w:hAnsi="Times New Roman" w:cs="Times New Roman"/>
      <w:sz w:val="24"/>
      <w:szCs w:val="24"/>
    </w:rPr>
  </w:style>
  <w:style w:type="character" w:styleId="Strong">
    <w:name w:val="Strong"/>
    <w:basedOn w:val="DefaultParagraphFont"/>
    <w:uiPriority w:val="22"/>
    <w:qFormat/>
    <w:rsid w:val="00FA2E45"/>
    <w:rPr>
      <w:b/>
      <w:bCs/>
    </w:rPr>
  </w:style>
  <w:style w:type="character" w:customStyle="1" w:styleId="sr-only">
    <w:name w:val="sr-only"/>
    <w:basedOn w:val="DefaultParagraphFont"/>
    <w:rsid w:val="00FA2E45"/>
  </w:style>
  <w:style w:type="paragraph" w:styleId="BodyText">
    <w:name w:val="Body Text"/>
    <w:basedOn w:val="Normal"/>
    <w:link w:val="BodyTextChar"/>
    <w:uiPriority w:val="1"/>
    <w:qFormat/>
    <w:rsid w:val="00FA2E4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A2E45"/>
    <w:rPr>
      <w:rFonts w:ascii="Times New Roman" w:eastAsia="Times New Roman" w:hAnsi="Times New Roman" w:cs="Times New Roman"/>
      <w:sz w:val="24"/>
      <w:szCs w:val="24"/>
      <w14:ligatures w14:val="standardContextual"/>
    </w:rPr>
  </w:style>
  <w:style w:type="character" w:customStyle="1" w:styleId="apple-converted-space">
    <w:name w:val="apple-converted-space"/>
    <w:basedOn w:val="DefaultParagraphFont"/>
    <w:rsid w:val="00FA2E45"/>
  </w:style>
  <w:style w:type="character" w:customStyle="1" w:styleId="st">
    <w:name w:val="st"/>
    <w:basedOn w:val="DefaultParagraphFont"/>
    <w:rsid w:val="00FA2E45"/>
  </w:style>
  <w:style w:type="character" w:styleId="Emphasis">
    <w:name w:val="Emphasis"/>
    <w:basedOn w:val="DefaultParagraphFont"/>
    <w:uiPriority w:val="20"/>
    <w:qFormat/>
    <w:rsid w:val="00FA2E45"/>
    <w:rPr>
      <w:i/>
      <w:iCs/>
    </w:rPr>
  </w:style>
  <w:style w:type="paragraph" w:customStyle="1" w:styleId="ds-markdown-paragraph">
    <w:name w:val="ds-markdown-paragraph"/>
    <w:basedOn w:val="Normal"/>
    <w:rsid w:val="00FA2E45"/>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character" w:customStyle="1" w:styleId="cursor-pointer">
    <w:name w:val="cursor-pointer"/>
    <w:basedOn w:val="DefaultParagraphFont"/>
    <w:rsid w:val="00FA2E45"/>
  </w:style>
  <w:style w:type="character" w:customStyle="1" w:styleId="text-secondary-500">
    <w:name w:val="text-secondary-500"/>
    <w:basedOn w:val="DefaultParagraphFont"/>
    <w:rsid w:val="00FA2E45"/>
  </w:style>
  <w:style w:type="character" w:customStyle="1" w:styleId="HTMLAddressChar">
    <w:name w:val="HTML Address Char"/>
    <w:basedOn w:val="DefaultParagraphFont"/>
    <w:link w:val="HTMLAddress"/>
    <w:uiPriority w:val="99"/>
    <w:semiHidden/>
    <w:rsid w:val="00FA2E45"/>
    <w:rPr>
      <w:rFonts w:ascii="Times New Roman" w:eastAsia="Times New Roman" w:hAnsi="Times New Roman" w:cs="Times New Roman"/>
      <w:i/>
      <w:iCs/>
      <w:sz w:val="24"/>
      <w:szCs w:val="24"/>
    </w:rPr>
  </w:style>
  <w:style w:type="paragraph" w:styleId="HTMLAddress">
    <w:name w:val="HTML Address"/>
    <w:basedOn w:val="Normal"/>
    <w:link w:val="HTMLAddressChar"/>
    <w:uiPriority w:val="99"/>
    <w:semiHidden/>
    <w:unhideWhenUsed/>
    <w:rsid w:val="00FA2E45"/>
    <w:pPr>
      <w:spacing w:after="0" w:line="240" w:lineRule="auto"/>
    </w:pPr>
    <w:rPr>
      <w:rFonts w:ascii="Times New Roman" w:eastAsia="Times New Roman" w:hAnsi="Times New Roman" w:cs="Times New Roman"/>
      <w:i/>
      <w:iCs/>
      <w:sz w:val="24"/>
      <w:szCs w:val="24"/>
      <w:lang w:val="en-US"/>
      <w14:ligatures w14:val="none"/>
    </w:rPr>
  </w:style>
  <w:style w:type="character" w:customStyle="1" w:styleId="HTMLAddressChar1">
    <w:name w:val="HTML Address Char1"/>
    <w:basedOn w:val="DefaultParagraphFont"/>
    <w:uiPriority w:val="99"/>
    <w:semiHidden/>
    <w:rsid w:val="00FA2E45"/>
    <w:rPr>
      <w:i/>
      <w:iCs/>
      <w:lang w:val="en-GB"/>
      <w14:ligatures w14:val="standardContextual"/>
    </w:rPr>
  </w:style>
  <w:style w:type="paragraph" w:styleId="TOCHeading">
    <w:name w:val="TOC Heading"/>
    <w:basedOn w:val="Heading1"/>
    <w:next w:val="Normal"/>
    <w:uiPriority w:val="39"/>
    <w:unhideWhenUsed/>
    <w:qFormat/>
    <w:rsid w:val="00FA2E45"/>
    <w:pPr>
      <w:spacing w:before="240" w:after="0"/>
      <w:outlineLvl w:val="9"/>
    </w:pPr>
    <w:rPr>
      <w:sz w:val="32"/>
      <w:szCs w:val="32"/>
      <w:lang w:val="en-US"/>
      <w14:ligatures w14:val="none"/>
    </w:rPr>
  </w:style>
  <w:style w:type="paragraph" w:styleId="TOC1">
    <w:name w:val="toc 1"/>
    <w:basedOn w:val="Normal"/>
    <w:next w:val="Normal"/>
    <w:autoRedefine/>
    <w:uiPriority w:val="39"/>
    <w:unhideWhenUsed/>
    <w:rsid w:val="00FA2E45"/>
    <w:pPr>
      <w:spacing w:after="100" w:line="259" w:lineRule="auto"/>
    </w:pPr>
    <w:rPr>
      <w:lang w:val="en-US"/>
      <w14:ligatures w14:val="none"/>
    </w:rPr>
  </w:style>
  <w:style w:type="paragraph" w:customStyle="1" w:styleId="Style1">
    <w:name w:val="Style1"/>
    <w:basedOn w:val="Heading1"/>
    <w:next w:val="Normal"/>
    <w:link w:val="Style1Char"/>
    <w:autoRedefine/>
    <w:qFormat/>
    <w:rsid w:val="00FA2E45"/>
    <w:pPr>
      <w:spacing w:before="240" w:after="0"/>
      <w:jc w:val="both"/>
    </w:pPr>
    <w:rPr>
      <w:rFonts w:ascii="Times New Roman" w:hAnsi="Times New Roman"/>
      <w:kern w:val="2"/>
      <w:sz w:val="24"/>
      <w:szCs w:val="32"/>
    </w:rPr>
  </w:style>
  <w:style w:type="character" w:customStyle="1" w:styleId="Style1Char">
    <w:name w:val="Style1 Char"/>
    <w:basedOn w:val="Heading1Char"/>
    <w:link w:val="Style1"/>
    <w:rsid w:val="00FA2E45"/>
    <w:rPr>
      <w:rFonts w:ascii="Times New Roman" w:eastAsiaTheme="majorEastAsia" w:hAnsi="Times New Roman" w:cstheme="majorBidi"/>
      <w:color w:val="2F5496" w:themeColor="accent1" w:themeShade="BF"/>
      <w:kern w:val="2"/>
      <w:sz w:val="24"/>
      <w:szCs w:val="32"/>
      <w:lang w:val="en-GB"/>
      <w14:ligatures w14:val="standardContextual"/>
    </w:rPr>
  </w:style>
  <w:style w:type="paragraph" w:customStyle="1" w:styleId="Heading21">
    <w:name w:val="Heading 21"/>
    <w:basedOn w:val="Normal"/>
    <w:next w:val="Normal"/>
    <w:uiPriority w:val="9"/>
    <w:unhideWhenUsed/>
    <w:qFormat/>
    <w:rsid w:val="00FA2E45"/>
    <w:pPr>
      <w:keepNext/>
      <w:keepLines/>
      <w:spacing w:before="200" w:after="0" w:line="259" w:lineRule="auto"/>
      <w:outlineLvl w:val="1"/>
    </w:pPr>
    <w:rPr>
      <w:rFonts w:ascii="Calibri Light" w:eastAsia="Times New Roman" w:hAnsi="Calibri Light" w:cs="Times New Roman"/>
      <w:b/>
      <w:bCs/>
      <w:color w:val="5B9BD5"/>
      <w:sz w:val="26"/>
      <w:szCs w:val="26"/>
      <w:lang w:val="en-US"/>
      <w14:ligatures w14:val="none"/>
    </w:rPr>
  </w:style>
  <w:style w:type="paragraph" w:customStyle="1" w:styleId="msonormal0">
    <w:name w:val="msonormal"/>
    <w:basedOn w:val="Normal"/>
    <w:rsid w:val="00FA2E45"/>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character" w:customStyle="1" w:styleId="Headerorfooter18Bold">
    <w:name w:val="Header or footer (18) + Bold"/>
    <w:basedOn w:val="DefaultParagraphFont"/>
    <w:rsid w:val="00FA2E45"/>
    <w:rPr>
      <w:rFonts w:ascii="Times New Roman" w:eastAsia="Times New Roman" w:hAnsi="Times New Roman" w:cs="Times New Roman" w:hint="default"/>
      <w:b/>
      <w:bCs/>
      <w:color w:val="000000"/>
      <w:spacing w:val="0"/>
      <w:w w:val="100"/>
      <w:position w:val="0"/>
      <w:sz w:val="24"/>
      <w:szCs w:val="24"/>
      <w:shd w:val="clear" w:color="auto" w:fill="FFFFFF"/>
      <w:lang w:val="en-GB" w:eastAsia="en-GB" w:bidi="en-GB"/>
    </w:rPr>
  </w:style>
  <w:style w:type="character" w:customStyle="1" w:styleId="citationsource-journal">
    <w:name w:val="citation_source-journal"/>
    <w:basedOn w:val="DefaultParagraphFont"/>
    <w:rsid w:val="00FA2E45"/>
  </w:style>
  <w:style w:type="paragraph" w:customStyle="1" w:styleId="Style">
    <w:name w:val="Style"/>
    <w:rsid w:val="00FA2E4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FA2E45"/>
    <w:pPr>
      <w:spacing w:line="240" w:lineRule="auto"/>
    </w:pPr>
    <w:rPr>
      <w:rFonts w:ascii="Calibri" w:eastAsia="Times New Roman" w:hAnsi="Calibri" w:cs="Times New Roman"/>
      <w:sz w:val="20"/>
      <w:szCs w:val="20"/>
      <w:lang w:val="x-none" w:eastAsia="x-none"/>
      <w14:ligatures w14:val="none"/>
    </w:rPr>
  </w:style>
  <w:style w:type="character" w:customStyle="1" w:styleId="CommentTextChar">
    <w:name w:val="Comment Text Char"/>
    <w:basedOn w:val="DefaultParagraphFont"/>
    <w:link w:val="CommentText"/>
    <w:uiPriority w:val="99"/>
    <w:rsid w:val="00FA2E45"/>
    <w:rPr>
      <w:rFonts w:ascii="Calibri" w:eastAsia="Times New Roman" w:hAnsi="Calibri" w:cs="Times New Roman"/>
      <w:sz w:val="20"/>
      <w:szCs w:val="20"/>
      <w:lang w:val="x-none" w:eastAsia="x-none"/>
    </w:rPr>
  </w:style>
  <w:style w:type="character" w:customStyle="1" w:styleId="CommentSubjectChar">
    <w:name w:val="Comment Subject Char"/>
    <w:basedOn w:val="CommentTextChar"/>
    <w:link w:val="CommentSubject"/>
    <w:uiPriority w:val="99"/>
    <w:semiHidden/>
    <w:rsid w:val="00FA2E45"/>
    <w:rPr>
      <w:rFonts w:ascii="Calibri" w:eastAsia="Times New Roman"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FA2E45"/>
    <w:rPr>
      <w:b/>
      <w:bCs/>
    </w:rPr>
  </w:style>
  <w:style w:type="character" w:customStyle="1" w:styleId="CommentSubjectChar1">
    <w:name w:val="Comment Subject Char1"/>
    <w:basedOn w:val="CommentTextChar"/>
    <w:uiPriority w:val="99"/>
    <w:semiHidden/>
    <w:rsid w:val="00FA2E45"/>
    <w:rPr>
      <w:rFonts w:ascii="Calibri" w:eastAsia="Times New Roman" w:hAnsi="Calibri" w:cs="Times New Roman"/>
      <w:b/>
      <w:bCs/>
      <w:sz w:val="20"/>
      <w:szCs w:val="20"/>
      <w:lang w:val="x-none" w:eastAsia="x-none"/>
    </w:rPr>
  </w:style>
  <w:style w:type="character" w:customStyle="1" w:styleId="SubtitleChar1">
    <w:name w:val="Subtitle Char1"/>
    <w:basedOn w:val="DefaultParagraphFont"/>
    <w:uiPriority w:val="11"/>
    <w:rsid w:val="00FA2E45"/>
    <w:rPr>
      <w:rFonts w:eastAsiaTheme="minorEastAsia"/>
      <w:color w:val="5A5A5A" w:themeColor="text1" w:themeTint="A5"/>
      <w:spacing w:val="15"/>
    </w:rPr>
  </w:style>
  <w:style w:type="character" w:customStyle="1" w:styleId="QuoteChar1">
    <w:name w:val="Quote Char1"/>
    <w:basedOn w:val="DefaultParagraphFont"/>
    <w:uiPriority w:val="29"/>
    <w:rsid w:val="00FA2E45"/>
    <w:rPr>
      <w:rFonts w:ascii="Calibri" w:eastAsia="Times New Roman" w:hAnsi="Calibri" w:cs="Times New Roman"/>
      <w:i/>
      <w:iCs/>
      <w:color w:val="404040" w:themeColor="text1" w:themeTint="BF"/>
    </w:rPr>
  </w:style>
  <w:style w:type="character" w:customStyle="1" w:styleId="IntenseQuoteChar1">
    <w:name w:val="Intense Quote Char1"/>
    <w:basedOn w:val="DefaultParagraphFont"/>
    <w:uiPriority w:val="30"/>
    <w:rsid w:val="00FA2E45"/>
    <w:rPr>
      <w:rFonts w:ascii="Calibri" w:eastAsia="Times New Roman" w:hAnsi="Calibri" w:cs="Times New Roman"/>
      <w:i/>
      <w:iCs/>
      <w:color w:val="4472C4" w:themeColor="accent1"/>
    </w:rPr>
  </w:style>
  <w:style w:type="character" w:styleId="SubtleEmphasis">
    <w:name w:val="Subtle Emphasis"/>
    <w:uiPriority w:val="19"/>
    <w:qFormat/>
    <w:rsid w:val="00FA2E45"/>
    <w:rPr>
      <w:i/>
      <w:iCs/>
      <w:color w:val="595959"/>
    </w:rPr>
  </w:style>
  <w:style w:type="character" w:styleId="SubtleReference">
    <w:name w:val="Subtle Reference"/>
    <w:uiPriority w:val="31"/>
    <w:qFormat/>
    <w:rsid w:val="00FA2E45"/>
    <w:rPr>
      <w:smallCaps/>
      <w:color w:val="595959"/>
      <w:u w:val="none" w:color="7F7F7F"/>
      <w:bdr w:val="none" w:sz="0" w:space="0" w:color="auto"/>
    </w:rPr>
  </w:style>
  <w:style w:type="character" w:styleId="BookTitle">
    <w:name w:val="Book Title"/>
    <w:uiPriority w:val="33"/>
    <w:qFormat/>
    <w:rsid w:val="00FA2E45"/>
    <w:rPr>
      <w:b/>
      <w:bCs/>
      <w:smallCaps/>
      <w:spacing w:val="10"/>
    </w:rPr>
  </w:style>
  <w:style w:type="paragraph" w:customStyle="1" w:styleId="comp">
    <w:name w:val="comp"/>
    <w:basedOn w:val="Normal"/>
    <w:rsid w:val="00FA2E45"/>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character" w:customStyle="1" w:styleId="mntl-sc-block-subheadingtext">
    <w:name w:val="mntl-sc-block-subheading__text"/>
    <w:basedOn w:val="DefaultParagraphFont"/>
    <w:rsid w:val="00FA2E45"/>
  </w:style>
  <w:style w:type="character" w:customStyle="1" w:styleId="mntl-inline-citation">
    <w:name w:val="mntl-inline-citation"/>
    <w:basedOn w:val="DefaultParagraphFont"/>
    <w:rsid w:val="00FA2E45"/>
  </w:style>
  <w:style w:type="character" w:customStyle="1" w:styleId="citation-0">
    <w:name w:val="citation-0"/>
    <w:basedOn w:val="DefaultParagraphFont"/>
    <w:rsid w:val="00FA2E45"/>
  </w:style>
  <w:style w:type="character" w:customStyle="1" w:styleId="citation-1">
    <w:name w:val="citation-1"/>
    <w:basedOn w:val="DefaultParagraphFont"/>
    <w:rsid w:val="00FA2E45"/>
  </w:style>
  <w:style w:type="character" w:customStyle="1" w:styleId="ng-tns-c3929770657-328">
    <w:name w:val="ng-tns-c3929770657-328"/>
    <w:basedOn w:val="DefaultParagraphFont"/>
    <w:rsid w:val="00FA2E45"/>
  </w:style>
  <w:style w:type="character" w:customStyle="1" w:styleId="mdc-buttonlabel">
    <w:name w:val="mdc-button__label"/>
    <w:basedOn w:val="DefaultParagraphFont"/>
    <w:rsid w:val="00FA2E45"/>
  </w:style>
  <w:style w:type="character" w:customStyle="1" w:styleId="ng-star-inserted">
    <w:name w:val="ng-star-inserted"/>
    <w:basedOn w:val="DefaultParagraphFont"/>
    <w:rsid w:val="00FA2E45"/>
  </w:style>
  <w:style w:type="character" w:customStyle="1" w:styleId="label">
    <w:name w:val="label"/>
    <w:basedOn w:val="DefaultParagraphFont"/>
    <w:rsid w:val="00FA2E45"/>
  </w:style>
  <w:style w:type="character" w:customStyle="1" w:styleId="first-token">
    <w:name w:val="first-token"/>
    <w:basedOn w:val="DefaultParagraphFont"/>
    <w:rsid w:val="00FA2E45"/>
  </w:style>
  <w:style w:type="character" w:customStyle="1" w:styleId="personname">
    <w:name w:val="person_name"/>
    <w:basedOn w:val="DefaultParagraphFont"/>
    <w:rsid w:val="00FA2E45"/>
  </w:style>
  <w:style w:type="character" w:customStyle="1" w:styleId="person">
    <w:name w:val="person"/>
    <w:basedOn w:val="DefaultParagraphFont"/>
    <w:rsid w:val="00FA2E45"/>
  </w:style>
  <w:style w:type="character" w:customStyle="1" w:styleId="authors-list-item">
    <w:name w:val="authors-list-item"/>
    <w:basedOn w:val="DefaultParagraphFont"/>
    <w:rsid w:val="00FA2E45"/>
  </w:style>
  <w:style w:type="character" w:customStyle="1" w:styleId="comma">
    <w:name w:val="comma"/>
    <w:basedOn w:val="DefaultParagraphFont"/>
    <w:rsid w:val="00FA2E45"/>
  </w:style>
  <w:style w:type="paragraph" w:styleId="ListBullet">
    <w:name w:val="List Bullet"/>
    <w:basedOn w:val="Normal"/>
    <w:uiPriority w:val="99"/>
    <w:unhideWhenUsed/>
    <w:rsid w:val="00FA2E45"/>
    <w:pPr>
      <w:numPr>
        <w:numId w:val="10"/>
      </w:numPr>
      <w:contextualSpacing/>
    </w:pPr>
  </w:style>
  <w:style w:type="character" w:styleId="UnresolvedMention">
    <w:name w:val="Unresolved Mention"/>
    <w:basedOn w:val="DefaultParagraphFont"/>
    <w:uiPriority w:val="99"/>
    <w:semiHidden/>
    <w:unhideWhenUsed/>
    <w:rsid w:val="00223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stor.org/stable/e2686397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8002</Words>
  <Characters>45613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 GP 005</cp:lastModifiedBy>
  <cp:revision>4</cp:revision>
  <dcterms:created xsi:type="dcterms:W3CDTF">2025-10-06T10:30:00Z</dcterms:created>
  <dcterms:modified xsi:type="dcterms:W3CDTF">2025-10-08T05:03:00Z</dcterms:modified>
</cp:coreProperties>
</file>