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5245C" w14:textId="7C8301DA" w:rsidR="00D85DCC" w:rsidRPr="00C13684" w:rsidRDefault="00C54CE8" w:rsidP="00707275">
      <w:pPr>
        <w:pStyle w:val="Author"/>
        <w:spacing w:before="120" w:line="276" w:lineRule="auto"/>
        <w:rPr>
          <w:rFonts w:ascii="Arial" w:hAnsi="Arial" w:cs="Arial"/>
          <w:bCs/>
          <w:iCs/>
          <w:kern w:val="28"/>
          <w:sz w:val="36"/>
        </w:rPr>
      </w:pPr>
      <w:r w:rsidRPr="00C54CE8">
        <w:rPr>
          <w:rFonts w:ascii="Arial" w:hAnsi="Arial" w:cs="Arial"/>
          <w:bCs/>
          <w:iCs/>
          <w:kern w:val="28"/>
          <w:sz w:val="36"/>
        </w:rPr>
        <w:t>Sustainable Maize Production through Integrated Nutrient Management: Insights from Seasonal Variations in Central Myanmar</w:t>
      </w:r>
    </w:p>
    <w:p w14:paraId="0555332C" w14:textId="32BB0BB4" w:rsidR="00D85DCC" w:rsidRPr="00FB3A86" w:rsidRDefault="00A701AA" w:rsidP="00707275">
      <w:pPr>
        <w:pStyle w:val="Affiliation"/>
        <w:spacing w:after="0"/>
        <w:rPr>
          <w:rFonts w:ascii="Arial" w:hAnsi="Arial" w:cs="Arial"/>
        </w:rPr>
      </w:pPr>
      <w:r>
        <w:rPr>
          <w:rFonts w:ascii="Arial" w:hAnsi="Arial" w:cs="Arial"/>
        </w:rPr>
        <w:t xml:space="preserve"> </w:t>
      </w:r>
    </w:p>
    <w:p w14:paraId="7ABF21EB" w14:textId="1673DACF" w:rsidR="00085C7C" w:rsidRDefault="00FB3A86" w:rsidP="00085C7C">
      <w:pPr>
        <w:pStyle w:val="Copyright"/>
        <w:spacing w:after="0" w:line="240" w:lineRule="auto"/>
        <w:jc w:val="both"/>
        <w:rPr>
          <w:rFonts w:ascii="Arial" w:hAnsi="Arial" w:cs="Arial"/>
        </w:rPr>
      </w:pPr>
      <w:r>
        <w:rPr>
          <w:rFonts w:ascii="Arial" w:hAnsi="Arial" w:cs="Arial"/>
        </w:rPr>
        <w:t>.</w:t>
      </w:r>
    </w:p>
    <w:p w14:paraId="542F1D30" w14:textId="2D1787BD" w:rsidR="00B01FCD" w:rsidRPr="00085C7C" w:rsidRDefault="00B01FCD" w:rsidP="00085C7C">
      <w:pPr>
        <w:pStyle w:val="Copyright"/>
        <w:spacing w:after="0" w:line="240" w:lineRule="auto"/>
        <w:jc w:val="both"/>
        <w:rPr>
          <w:rFonts w:ascii="Arial" w:hAnsi="Arial" w:cs="Arial"/>
          <w:b/>
          <w:bCs/>
          <w:sz w:val="24"/>
          <w:szCs w:val="24"/>
        </w:rPr>
      </w:pPr>
      <w:r w:rsidRPr="00085C7C">
        <w:rPr>
          <w:rFonts w:ascii="Arial" w:hAnsi="Arial" w:cs="Arial"/>
          <w:b/>
          <w:bCs/>
          <w:sz w:val="24"/>
          <w:szCs w:val="24"/>
        </w:rPr>
        <w:t>ABSTRACT</w:t>
      </w:r>
      <w:r w:rsidR="0066510A" w:rsidRPr="00085C7C">
        <w:rPr>
          <w:rFonts w:ascii="Arial" w:hAnsi="Arial" w:cs="Arial"/>
          <w:b/>
          <w:bCs/>
          <w:sz w:val="24"/>
          <w:szCs w:val="24"/>
        </w:rPr>
        <w:t xml:space="preserve"> </w:t>
      </w:r>
    </w:p>
    <w:p w14:paraId="2E7F8C56" w14:textId="77777777" w:rsidR="00790ADA" w:rsidRPr="00FB3A86" w:rsidRDefault="00790ADA" w:rsidP="00441B6F">
      <w:pPr>
        <w:pStyle w:val="AbstHead"/>
        <w:spacing w:after="0"/>
        <w:jc w:val="both"/>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1"/>
      </w:tblGrid>
      <w:tr w:rsidR="00296529" w:rsidRPr="001E44FE" w14:paraId="75AE5BC4" w14:textId="77777777" w:rsidTr="009812DC">
        <w:trPr>
          <w:jc w:val="center"/>
        </w:trPr>
        <w:tc>
          <w:tcPr>
            <w:tcW w:w="10057" w:type="dxa"/>
            <w:shd w:val="clear" w:color="auto" w:fill="F2F2F2"/>
          </w:tcPr>
          <w:p w14:paraId="1C54A0ED" w14:textId="52784012" w:rsidR="00505F06" w:rsidRPr="00C54CE8" w:rsidRDefault="00C54CE8" w:rsidP="00C54CE8">
            <w:pPr>
              <w:tabs>
                <w:tab w:val="left" w:pos="1440"/>
                <w:tab w:val="left" w:pos="1890"/>
              </w:tabs>
              <w:ind w:firstLine="720"/>
              <w:jc w:val="both"/>
              <w:rPr>
                <w:rFonts w:ascii="Arial" w:hAnsi="Arial" w:cs="Arial"/>
                <w:color w:val="000000" w:themeColor="text1"/>
              </w:rPr>
            </w:pPr>
            <w:r w:rsidRPr="00C54CE8">
              <w:rPr>
                <w:rFonts w:ascii="Arial" w:hAnsi="Arial" w:cs="Arial"/>
                <w:color w:val="000000" w:themeColor="text1"/>
              </w:rPr>
              <w:t xml:space="preserve">Maize (Zea mays L.) is a globally vital cereal crop, essential for food security and agricultural economies. With increasing demand, there is a pressing need for sustainable production systems that maintain high yields while protecting soil health and reducing reliance on chemical inputs. This study evaluated the effects of integrating maize straw as an organic amendment with inorganic fertilizers on maize performance under contrasting monsoon and post-monsoon growing conditions in central Myanmar. A field experiment was conducted using a randomized complete block design with six treatments: a control (no input), organic amendment (maize straw) alone, 100% inorganic fertilizer (NPK), and combinations of maize straw with 50%, 75%, and 100% of the recommended NPK </w:t>
            </w:r>
            <w:proofErr w:type="spellStart"/>
            <w:proofErr w:type="gramStart"/>
            <w:r w:rsidRPr="00C54CE8">
              <w:rPr>
                <w:rFonts w:ascii="Arial" w:hAnsi="Arial" w:cs="Arial"/>
                <w:color w:val="000000" w:themeColor="text1"/>
              </w:rPr>
              <w:t>rate.Results</w:t>
            </w:r>
            <w:proofErr w:type="spellEnd"/>
            <w:proofErr w:type="gramEnd"/>
            <w:r w:rsidRPr="00C54CE8">
              <w:rPr>
                <w:rFonts w:ascii="Arial" w:hAnsi="Arial" w:cs="Arial"/>
                <w:color w:val="000000" w:themeColor="text1"/>
              </w:rPr>
              <w:t xml:space="preserve"> showed that in the post-monsoon season, full inorganic fertilization produced the highest yields, and adding maize straw did not significantly increase productivity. However, during the monsoon season, integrating maize straw with inorganic fertilizers significantly improved grain yield, with the combination of maize straw and 75% NPK performing as well as the full fertilizer rate. This suggests that organic amendments enhance nutrient retention and soil resilience under high-rainfall conditions, where leaching limits the efficiency of chemical fertilizers.</w:t>
            </w:r>
            <w:r>
              <w:rPr>
                <w:rFonts w:ascii="Arial" w:hAnsi="Arial" w:cs="Arial"/>
                <w:color w:val="000000" w:themeColor="text1"/>
              </w:rPr>
              <w:t xml:space="preserve"> </w:t>
            </w:r>
            <w:r w:rsidRPr="00C54CE8">
              <w:rPr>
                <w:rFonts w:ascii="Arial" w:hAnsi="Arial" w:cs="Arial"/>
                <w:color w:val="000000" w:themeColor="text1"/>
              </w:rPr>
              <w:t>The findings highlight that the benefits of integrating organic and inorganic nutrient sources are season-dependent. For monsoon maize production, applying maize straw along with 75% of the standard fertilizer dose offers a sustainable, cost-effective alternative that maintains high yields while reducing chemical input use. This strategy supports climate-resilient agriculture and promotes long-term soil fertility, particularly in rainfed and resource-limited farming systems.</w:t>
            </w:r>
          </w:p>
        </w:tc>
      </w:tr>
      <w:tr w:rsidR="005D6383" w:rsidRPr="001E44FE" w14:paraId="1D9179B6" w14:textId="77777777" w:rsidTr="009812DC">
        <w:trPr>
          <w:jc w:val="center"/>
        </w:trPr>
        <w:tc>
          <w:tcPr>
            <w:tcW w:w="10057" w:type="dxa"/>
            <w:shd w:val="clear" w:color="auto" w:fill="F2F2F2"/>
          </w:tcPr>
          <w:p w14:paraId="79611C8E" w14:textId="77777777" w:rsidR="005D6383" w:rsidRPr="005D6383" w:rsidRDefault="005D6383" w:rsidP="005D6383">
            <w:pPr>
              <w:tabs>
                <w:tab w:val="left" w:pos="1440"/>
                <w:tab w:val="left" w:pos="1890"/>
              </w:tabs>
              <w:jc w:val="both"/>
              <w:rPr>
                <w:rFonts w:ascii="Arial" w:hAnsi="Arial" w:cs="Arial"/>
                <w:color w:val="000000" w:themeColor="text1"/>
              </w:rPr>
            </w:pPr>
          </w:p>
        </w:tc>
      </w:tr>
    </w:tbl>
    <w:p w14:paraId="3C2EE946" w14:textId="77777777" w:rsidR="00C54CE8" w:rsidRDefault="00A24E7E" w:rsidP="00C54CE8">
      <w:pPr>
        <w:pStyle w:val="Body"/>
        <w:spacing w:after="0"/>
        <w:ind w:left="990" w:hanging="990"/>
        <w:rPr>
          <w:rFonts w:ascii="Arial" w:hAnsi="Arial" w:cs="Arial"/>
          <w:i/>
          <w:iCs/>
        </w:rPr>
      </w:pPr>
      <w:r>
        <w:rPr>
          <w:rFonts w:ascii="Arial" w:hAnsi="Arial" w:cs="Arial"/>
          <w:i/>
        </w:rPr>
        <w:t xml:space="preserve">Keywords: </w:t>
      </w:r>
      <w:r w:rsidR="00C54CE8" w:rsidRPr="00C54CE8">
        <w:rPr>
          <w:rFonts w:ascii="Arial" w:hAnsi="Arial" w:cs="Arial"/>
          <w:i/>
          <w:iCs/>
        </w:rPr>
        <w:t>Maize, organic amendment, inorganic fertilizer, integrated nutrient management, seasonal variation</w:t>
      </w:r>
    </w:p>
    <w:p w14:paraId="530FD6D9" w14:textId="7697E4BC" w:rsidR="00790ADA" w:rsidRPr="00707275" w:rsidRDefault="00902823" w:rsidP="00C54CE8">
      <w:pPr>
        <w:pStyle w:val="Body"/>
        <w:spacing w:after="0"/>
        <w:ind w:left="990" w:hanging="990"/>
        <w:rPr>
          <w:rFonts w:ascii="Arial" w:hAnsi="Arial" w:cs="Arial"/>
          <w:b/>
          <w:bCs/>
          <w:color w:val="000000" w:themeColor="text1"/>
        </w:rPr>
      </w:pPr>
      <w:r w:rsidRPr="00707275">
        <w:rPr>
          <w:rFonts w:ascii="Arial" w:hAnsi="Arial" w:cs="Arial"/>
          <w:b/>
          <w:bCs/>
          <w:color w:val="000000" w:themeColor="text1"/>
        </w:rPr>
        <w:t xml:space="preserve">1. </w:t>
      </w:r>
      <w:r w:rsidR="00B01FCD" w:rsidRPr="00707275">
        <w:rPr>
          <w:rFonts w:ascii="Arial" w:hAnsi="Arial" w:cs="Arial"/>
          <w:b/>
          <w:bCs/>
          <w:color w:val="000000" w:themeColor="text1"/>
        </w:rPr>
        <w:t>INTRODUCTION</w:t>
      </w:r>
      <w:r w:rsidR="007F7B32" w:rsidRPr="00707275">
        <w:rPr>
          <w:rFonts w:ascii="Arial" w:hAnsi="Arial" w:cs="Arial"/>
          <w:b/>
          <w:bCs/>
          <w:color w:val="000000" w:themeColor="text1"/>
        </w:rPr>
        <w:t xml:space="preserve"> </w:t>
      </w:r>
    </w:p>
    <w:p w14:paraId="0AAFE7C9" w14:textId="4CE5FB5C" w:rsidR="00C54CE8" w:rsidRPr="00C54CE8" w:rsidRDefault="00C54CE8" w:rsidP="00C54CE8">
      <w:pPr>
        <w:ind w:firstLine="720"/>
        <w:jc w:val="both"/>
        <w:rPr>
          <w:rFonts w:ascii="Arial" w:hAnsi="Arial" w:cs="Arial"/>
          <w:color w:val="000000" w:themeColor="text1"/>
        </w:rPr>
      </w:pPr>
      <w:r w:rsidRPr="00C54CE8">
        <w:rPr>
          <w:rFonts w:ascii="Arial" w:hAnsi="Arial" w:cs="Arial"/>
          <w:color w:val="000000" w:themeColor="text1"/>
        </w:rPr>
        <w:t>Maize (Zea mays L.) is a globally significant cereal crop, serving as a primary source of calories, protein, and raw materials for industry (Shiferaw et al., 2011). In Myanmar, maize plays a pivotal role in food security, livestock feed, and agricultural exports, with rising demand driven by both domestic consumption and international markets (MOALI, 2024). However, continuous cultivation and overreliance on inorganic fertilizers have led to soil degradation, nutrient imbalances, and declining returns, threatening the sustainability of maize-based farming systems (Dwivedi &amp; Dwivedi, 2015). Depletion of soil organic carbon (SOC) is a major constraint to productivity in tropical and subtropical agroecosystems.</w:t>
      </w:r>
    </w:p>
    <w:p w14:paraId="6D485C6A" w14:textId="2DE8E5F8" w:rsidR="00C54CE8" w:rsidRPr="00C54CE8" w:rsidRDefault="00C54CE8" w:rsidP="00C54CE8">
      <w:pPr>
        <w:ind w:firstLine="720"/>
        <w:jc w:val="both"/>
        <w:rPr>
          <w:rFonts w:ascii="Arial" w:hAnsi="Arial" w:cs="Arial"/>
          <w:color w:val="000000" w:themeColor="text1"/>
        </w:rPr>
      </w:pPr>
      <w:r w:rsidRPr="00C54CE8">
        <w:rPr>
          <w:rFonts w:ascii="Arial" w:hAnsi="Arial" w:cs="Arial"/>
          <w:color w:val="000000" w:themeColor="text1"/>
        </w:rPr>
        <w:t>Organic amendments (OA), derived from plant or animal sources, offer a promising strategy to improve soil health by enhancing soil organic matter, improving soil structure, water-holding capacity, and supplying nutrients through mineralization (</w:t>
      </w:r>
      <w:proofErr w:type="spellStart"/>
      <w:r w:rsidRPr="00C54CE8">
        <w:rPr>
          <w:rFonts w:ascii="Arial" w:hAnsi="Arial" w:cs="Arial"/>
          <w:color w:val="000000" w:themeColor="text1"/>
        </w:rPr>
        <w:t>Cherr</w:t>
      </w:r>
      <w:proofErr w:type="spellEnd"/>
      <w:r w:rsidRPr="00C54CE8">
        <w:rPr>
          <w:rFonts w:ascii="Arial" w:hAnsi="Arial" w:cs="Arial"/>
          <w:color w:val="000000" w:themeColor="text1"/>
        </w:rPr>
        <w:t xml:space="preserve"> et al., 2006). When combined with inorganic fertilizers, OA can synchronize nutrient release with crop demand, reduce nutrient leaching, and stimulate beneficial microbial activity, thereby improving nutrient use efficiency (NUE) (Pimentel et al., 2005). This integrated approach, known as Integrated Soil Fertility Management (ISFM), is increasingly promoted for sustainable intensification of agriculture in developing countries (</w:t>
      </w:r>
      <w:proofErr w:type="spellStart"/>
      <w:r w:rsidRPr="00C54CE8">
        <w:rPr>
          <w:rFonts w:ascii="Arial" w:hAnsi="Arial" w:cs="Arial"/>
          <w:color w:val="000000" w:themeColor="text1"/>
        </w:rPr>
        <w:t>Vanlauwe</w:t>
      </w:r>
      <w:proofErr w:type="spellEnd"/>
      <w:r w:rsidRPr="00C54CE8">
        <w:rPr>
          <w:rFonts w:ascii="Arial" w:hAnsi="Arial" w:cs="Arial"/>
          <w:color w:val="000000" w:themeColor="text1"/>
        </w:rPr>
        <w:t xml:space="preserve"> et al., 2010).</w:t>
      </w:r>
    </w:p>
    <w:p w14:paraId="17AA1F03" w14:textId="5ACB23FF" w:rsidR="00C54CE8" w:rsidRPr="00C54CE8" w:rsidRDefault="00C54CE8" w:rsidP="00C54CE8">
      <w:pPr>
        <w:ind w:firstLine="720"/>
        <w:jc w:val="both"/>
        <w:rPr>
          <w:rFonts w:ascii="Arial" w:hAnsi="Arial" w:cs="Arial"/>
          <w:color w:val="000000" w:themeColor="text1"/>
        </w:rPr>
      </w:pPr>
      <w:r w:rsidRPr="00C54CE8">
        <w:rPr>
          <w:rFonts w:ascii="Arial" w:hAnsi="Arial" w:cs="Arial"/>
          <w:color w:val="000000" w:themeColor="text1"/>
        </w:rPr>
        <w:t>The organic amendment is an important strategy to enhance soil chemical and physical properties and slowly supplies nutrients to crops through the mineralization process. Thus, it reduces nutrient leaching, stimulates microbial activity, and improves nutrient efficiency. It can be used as part of Integrated Soil Fertility Management (ISFM) and is widely promoted for sustainable agricultural production.</w:t>
      </w:r>
    </w:p>
    <w:p w14:paraId="74746930" w14:textId="77777777" w:rsidR="00C54CE8" w:rsidRPr="00C54CE8" w:rsidRDefault="00C54CE8" w:rsidP="00C54CE8">
      <w:pPr>
        <w:ind w:firstLine="720"/>
        <w:jc w:val="both"/>
        <w:rPr>
          <w:rFonts w:ascii="Arial" w:hAnsi="Arial" w:cs="Arial"/>
          <w:color w:val="000000" w:themeColor="text1"/>
        </w:rPr>
      </w:pPr>
      <w:r w:rsidRPr="00C54CE8">
        <w:rPr>
          <w:rFonts w:ascii="Arial" w:hAnsi="Arial" w:cs="Arial"/>
          <w:color w:val="000000" w:themeColor="text1"/>
        </w:rPr>
        <w:t xml:space="preserve">Despite the documented benefits of ISFM, its effectiveness is highly context-dependent, varying with climate, soil type, crop genotype, and management practices. Central Myanmar experiences two distinct growing seasons: the monsoon season and the </w:t>
      </w:r>
      <w:r w:rsidRPr="00C54CE8">
        <w:rPr>
          <w:rFonts w:ascii="Arial" w:hAnsi="Arial" w:cs="Arial"/>
          <w:color w:val="000000" w:themeColor="text1"/>
        </w:rPr>
        <w:lastRenderedPageBreak/>
        <w:t>post-monsoon season, each presenting unique challenges for nutrient management. The post-monsoon season offers favorable temperatures and low rainfall, supporting steady crop growth but potentially limiting organic matter mineralization. In contrast, the monsoon season is characterized by high rainfall and humidity, increasing the risks of nutrient leaching and waterlogging, which can diminish the efficacy of inorganic fertilizers.</w:t>
      </w:r>
    </w:p>
    <w:p w14:paraId="4CF4E24A" w14:textId="3E30E3B9" w:rsidR="00C54CE8" w:rsidRPr="00C54CE8" w:rsidRDefault="00C54CE8" w:rsidP="00C54CE8">
      <w:pPr>
        <w:ind w:firstLine="720"/>
        <w:jc w:val="both"/>
        <w:rPr>
          <w:rFonts w:ascii="Arial" w:hAnsi="Arial" w:cs="Arial"/>
          <w:color w:val="000000" w:themeColor="text1"/>
        </w:rPr>
      </w:pPr>
      <w:r w:rsidRPr="00C54CE8">
        <w:rPr>
          <w:rFonts w:ascii="Arial" w:hAnsi="Arial" w:cs="Arial"/>
          <w:color w:val="000000" w:themeColor="text1"/>
        </w:rPr>
        <w:t xml:space="preserve">This </w:t>
      </w:r>
      <w:r>
        <w:rPr>
          <w:rFonts w:ascii="Arial" w:hAnsi="Arial" w:cs="Arial"/>
          <w:color w:val="000000" w:themeColor="text1"/>
        </w:rPr>
        <w:t>research</w:t>
      </w:r>
      <w:r w:rsidRPr="00C54CE8">
        <w:rPr>
          <w:rFonts w:ascii="Arial" w:hAnsi="Arial" w:cs="Arial"/>
          <w:color w:val="000000" w:themeColor="text1"/>
        </w:rPr>
        <w:t xml:space="preserve"> is important for the scientific community as it provides context-specific insights into the integration of organic amendments with inorganic fertilizers for maize production under contrasting seasonal conditions in Myanmar. The findings contribute to the growing body of knowledge on sustainable intensification, showing how integrated nutrient management can improve soil health, enhance nutrient use efficiency, and maintain high yields while reducing chemical inputs. By identifying season-specific strategies, such as the recommendation of maize straw with 75% NPK for monsoon production, this study offers practical solutions for smallholder farmers facing climate variability. Overall, it advances both theoretical understanding and field-level application of climate-resilient and sustainable crop management practices.</w:t>
      </w:r>
    </w:p>
    <w:p w14:paraId="699A0A1F" w14:textId="77777777" w:rsidR="00C54CE8" w:rsidRPr="00C54CE8" w:rsidRDefault="00C54CE8" w:rsidP="00C54CE8">
      <w:pPr>
        <w:ind w:firstLine="720"/>
        <w:jc w:val="both"/>
        <w:rPr>
          <w:rFonts w:ascii="Arial" w:hAnsi="Arial" w:cs="Arial"/>
          <w:color w:val="000000" w:themeColor="text1"/>
        </w:rPr>
      </w:pPr>
      <w:r w:rsidRPr="00C54CE8">
        <w:rPr>
          <w:rFonts w:ascii="Arial" w:hAnsi="Arial" w:cs="Arial"/>
          <w:color w:val="000000" w:themeColor="text1"/>
        </w:rPr>
        <w:t>Experiential data on the combined effects of organic and inorganic nutrient management on maize yield traits under these contrasting seasonal conditions in Myanmar remain limited. Understanding how different fertilization strategies influence phenological, morphological, and yield components across seasons is essential for developing climate-resilient and sustainable maize production systems. Therefore, this study was conducted to: (1) evaluate the impact of organic amendment on maize yield traits, and (2) investigate the combined effects of organic amendment and inorganic fertilizers under both post-monsoon and monsoon growing seasons.</w:t>
      </w:r>
    </w:p>
    <w:p w14:paraId="6184E4F0" w14:textId="2E5314CC" w:rsidR="00C13684" w:rsidRPr="006355D2" w:rsidRDefault="00C13684" w:rsidP="00C13684">
      <w:pPr>
        <w:ind w:firstLine="720"/>
        <w:jc w:val="both"/>
        <w:rPr>
          <w:rFonts w:ascii="Arial" w:hAnsi="Arial" w:cs="Arial"/>
          <w:color w:val="000000" w:themeColor="text1"/>
        </w:rPr>
      </w:pPr>
    </w:p>
    <w:p w14:paraId="422CE4B3" w14:textId="77777777" w:rsidR="00650980" w:rsidRPr="00707275" w:rsidRDefault="00650980" w:rsidP="00707275">
      <w:pPr>
        <w:spacing w:before="120" w:after="120"/>
        <w:jc w:val="both"/>
        <w:rPr>
          <w:rFonts w:ascii="Arial" w:hAnsi="Arial" w:cs="Arial"/>
          <w:b/>
          <w:bCs/>
          <w:color w:val="000000" w:themeColor="text1"/>
        </w:rPr>
      </w:pPr>
      <w:r w:rsidRPr="00707275">
        <w:rPr>
          <w:rFonts w:ascii="Arial" w:hAnsi="Arial" w:cs="Arial"/>
          <w:b/>
          <w:bCs/>
          <w:color w:val="000000" w:themeColor="text1"/>
        </w:rPr>
        <w:t>2. MATERIALS AND METHODS</w:t>
      </w:r>
    </w:p>
    <w:p w14:paraId="1C8A9087" w14:textId="12FDEC23" w:rsidR="00C13684" w:rsidRPr="006355D2" w:rsidRDefault="00C13684" w:rsidP="00F42131">
      <w:pPr>
        <w:spacing w:before="120" w:after="120"/>
        <w:jc w:val="both"/>
        <w:rPr>
          <w:rFonts w:ascii="Arial" w:hAnsi="Arial" w:cs="Arial"/>
          <w:b/>
          <w:bCs/>
          <w:color w:val="000000" w:themeColor="text1"/>
        </w:rPr>
      </w:pPr>
      <w:r>
        <w:rPr>
          <w:rFonts w:ascii="Arial" w:hAnsi="Arial" w:cs="Arial"/>
          <w:b/>
          <w:bCs/>
          <w:color w:val="000000" w:themeColor="text1"/>
        </w:rPr>
        <w:t xml:space="preserve">2.1 </w:t>
      </w:r>
      <w:r w:rsidRPr="006355D2">
        <w:rPr>
          <w:rFonts w:ascii="Arial" w:hAnsi="Arial" w:cs="Arial"/>
          <w:b/>
          <w:bCs/>
          <w:color w:val="000000" w:themeColor="text1"/>
        </w:rPr>
        <w:t>Experimental Site and Seasons</w:t>
      </w:r>
    </w:p>
    <w:p w14:paraId="3AC28E3F" w14:textId="77777777" w:rsidR="00F661BD" w:rsidRDefault="00F661BD" w:rsidP="00F661BD">
      <w:pPr>
        <w:spacing w:before="120" w:after="120"/>
        <w:ind w:firstLine="720"/>
        <w:jc w:val="both"/>
        <w:rPr>
          <w:rFonts w:ascii="Arial" w:hAnsi="Arial" w:cs="Arial"/>
          <w:color w:val="000000" w:themeColor="text1"/>
        </w:rPr>
      </w:pPr>
      <w:r w:rsidRPr="00F661BD">
        <w:rPr>
          <w:rFonts w:ascii="Arial" w:hAnsi="Arial" w:cs="Arial"/>
          <w:color w:val="000000" w:themeColor="text1"/>
        </w:rPr>
        <w:t xml:space="preserve">A field experiment was carried out at the research farm of the Department of Soil and Water Science, </w:t>
      </w:r>
      <w:proofErr w:type="spellStart"/>
      <w:r w:rsidRPr="00F661BD">
        <w:rPr>
          <w:rFonts w:ascii="Arial" w:hAnsi="Arial" w:cs="Arial"/>
          <w:color w:val="000000" w:themeColor="text1"/>
        </w:rPr>
        <w:t>Yezin</w:t>
      </w:r>
      <w:proofErr w:type="spellEnd"/>
      <w:r w:rsidRPr="00F661BD">
        <w:rPr>
          <w:rFonts w:ascii="Arial" w:hAnsi="Arial" w:cs="Arial"/>
          <w:color w:val="000000" w:themeColor="text1"/>
        </w:rPr>
        <w:t xml:space="preserve"> Agricultural University, Myanmar (19°83′ N, 96°26′ E), across two cropping seasons: the post-monsoon season from December 2024 to April 2025, and the monsoon season from May 2025 to August 2025. Weather data (Figure 1) indicated that the post-monsoon season was characterized by moderate temperatures, with minimum temperatures ranging from 18 to 22°C and maximum temperatures between 32 and 36°C, along with very little rainfall. In contrast, the monsoon season had high rainfall, reaching up to 250 mm per month, and higher humidity levels. These differences created distinct environmental conditions, providing a suitable basis for studying nutrient management under varying climatic scenarios.</w:t>
      </w:r>
    </w:p>
    <w:p w14:paraId="6A732D59" w14:textId="3DDBF7EA" w:rsidR="00C13684" w:rsidRPr="006355D2" w:rsidRDefault="00C13684" w:rsidP="00F42131">
      <w:pPr>
        <w:spacing w:before="120" w:after="120"/>
        <w:jc w:val="both"/>
        <w:rPr>
          <w:rFonts w:ascii="Arial" w:hAnsi="Arial" w:cs="Arial"/>
          <w:b/>
          <w:bCs/>
          <w:color w:val="000000" w:themeColor="text1"/>
        </w:rPr>
      </w:pPr>
      <w:r>
        <w:rPr>
          <w:rFonts w:ascii="Arial" w:hAnsi="Arial" w:cs="Arial"/>
          <w:b/>
          <w:bCs/>
          <w:color w:val="000000" w:themeColor="text1"/>
        </w:rPr>
        <w:t xml:space="preserve">2.2 </w:t>
      </w:r>
      <w:r w:rsidRPr="006355D2">
        <w:rPr>
          <w:rFonts w:ascii="Arial" w:hAnsi="Arial" w:cs="Arial"/>
          <w:b/>
          <w:bCs/>
          <w:color w:val="000000" w:themeColor="text1"/>
        </w:rPr>
        <w:t>Experimental Design</w:t>
      </w:r>
      <w:r w:rsidR="009701C0">
        <w:rPr>
          <w:rFonts w:ascii="Arial" w:hAnsi="Arial" w:cs="Arial"/>
          <w:b/>
          <w:bCs/>
          <w:color w:val="000000" w:themeColor="text1"/>
        </w:rPr>
        <w:t xml:space="preserve"> </w:t>
      </w:r>
      <w:r w:rsidRPr="006355D2">
        <w:rPr>
          <w:rFonts w:ascii="Arial" w:hAnsi="Arial" w:cs="Arial"/>
          <w:b/>
          <w:bCs/>
          <w:color w:val="000000" w:themeColor="text1"/>
        </w:rPr>
        <w:t>and Cultural Practices</w:t>
      </w:r>
    </w:p>
    <w:p w14:paraId="5F9FA544" w14:textId="77777777" w:rsidR="00C13684" w:rsidRPr="006355D2" w:rsidRDefault="00C13684" w:rsidP="00F42131">
      <w:pPr>
        <w:ind w:firstLine="720"/>
        <w:jc w:val="both"/>
        <w:rPr>
          <w:rFonts w:ascii="Arial" w:hAnsi="Arial" w:cs="Arial"/>
          <w:color w:val="000000" w:themeColor="text1"/>
        </w:rPr>
      </w:pPr>
      <w:r w:rsidRPr="006355D2">
        <w:rPr>
          <w:rFonts w:ascii="Arial" w:hAnsi="Arial" w:cs="Arial"/>
          <w:color w:val="000000" w:themeColor="text1"/>
        </w:rPr>
        <w:t>The experiment followed a Randomized Complete Block Design (RCBD) with six treatments and four replications. The maize hybrid Yezin-14, a widely cultivated variety in Myanmar, was used. Each plot consisted of six rows, 5 m long, with a row-to-row spacing of 75 cm and plant-to-plant spacing of 25 cm.</w:t>
      </w:r>
    </w:p>
    <w:p w14:paraId="0A941E2A" w14:textId="5F755ACA" w:rsidR="00C13684" w:rsidRPr="006355D2" w:rsidRDefault="00C13684" w:rsidP="00707275">
      <w:pPr>
        <w:ind w:firstLine="720"/>
        <w:jc w:val="both"/>
        <w:rPr>
          <w:rFonts w:ascii="Arial" w:hAnsi="Arial" w:cs="Arial"/>
          <w:color w:val="000000" w:themeColor="text1"/>
        </w:rPr>
      </w:pPr>
      <w:r w:rsidRPr="006355D2">
        <w:rPr>
          <w:rFonts w:ascii="Arial" w:hAnsi="Arial" w:cs="Arial"/>
          <w:color w:val="000000" w:themeColor="text1"/>
        </w:rPr>
        <w:t>The organic amendment (OA</w:t>
      </w:r>
      <w:proofErr w:type="gramStart"/>
      <w:r w:rsidRPr="006355D2">
        <w:rPr>
          <w:rFonts w:ascii="Arial" w:hAnsi="Arial" w:cs="Arial"/>
          <w:color w:val="000000" w:themeColor="text1"/>
        </w:rPr>
        <w:t xml:space="preserve">) </w:t>
      </w:r>
      <w:r w:rsidR="009701C0">
        <w:rPr>
          <w:rFonts w:ascii="Arial" w:hAnsi="Arial" w:cs="Arial"/>
          <w:color w:val="000000" w:themeColor="text1"/>
        </w:rPr>
        <w:t>,</w:t>
      </w:r>
      <w:r w:rsidRPr="006355D2">
        <w:rPr>
          <w:rFonts w:ascii="Arial" w:hAnsi="Arial" w:cs="Arial"/>
          <w:color w:val="000000" w:themeColor="text1"/>
        </w:rPr>
        <w:t>maize</w:t>
      </w:r>
      <w:proofErr w:type="gramEnd"/>
      <w:r w:rsidRPr="006355D2">
        <w:rPr>
          <w:rFonts w:ascii="Arial" w:hAnsi="Arial" w:cs="Arial"/>
          <w:color w:val="000000" w:themeColor="text1"/>
        </w:rPr>
        <w:t xml:space="preserve"> straw, </w:t>
      </w:r>
      <w:r w:rsidR="009701C0">
        <w:rPr>
          <w:rFonts w:ascii="Arial" w:hAnsi="Arial" w:cs="Arial"/>
          <w:color w:val="000000" w:themeColor="text1"/>
        </w:rPr>
        <w:t xml:space="preserve">was </w:t>
      </w:r>
      <w:r w:rsidRPr="006355D2">
        <w:rPr>
          <w:rFonts w:ascii="Arial" w:hAnsi="Arial" w:cs="Arial"/>
          <w:color w:val="000000" w:themeColor="text1"/>
        </w:rPr>
        <w:t xml:space="preserve">applied at </w:t>
      </w:r>
      <w:r w:rsidR="001A3928">
        <w:rPr>
          <w:rFonts w:ascii="Arial" w:hAnsi="Arial" w:cs="Arial"/>
          <w:color w:val="000000" w:themeColor="text1"/>
        </w:rPr>
        <w:t>10 t ac</w:t>
      </w:r>
      <w:r w:rsidRPr="006355D2">
        <w:rPr>
          <w:rFonts w:ascii="Cambria Math" w:hAnsi="Cambria Math" w:cs="Cambria Math"/>
          <w:color w:val="000000" w:themeColor="text1"/>
        </w:rPr>
        <w:t>⁻</w:t>
      </w:r>
      <w:r w:rsidRPr="006355D2">
        <w:rPr>
          <w:rFonts w:ascii="Arial" w:hAnsi="Arial" w:cs="Arial"/>
          <w:color w:val="000000" w:themeColor="text1"/>
        </w:rPr>
        <w:t>¹, chopped into ~2 cm pieces, and incorporated into the topsoil two weeks before sowing to allow partial decomposition. The recommended inorganic fertilizer rates were:</w:t>
      </w:r>
    </w:p>
    <w:p w14:paraId="6F55D96B" w14:textId="77777777" w:rsidR="00C13684" w:rsidRPr="006355D2" w:rsidRDefault="00C13684" w:rsidP="00707275">
      <w:pPr>
        <w:numPr>
          <w:ilvl w:val="0"/>
          <w:numId w:val="4"/>
        </w:numPr>
        <w:tabs>
          <w:tab w:val="clear" w:pos="720"/>
          <w:tab w:val="num" w:pos="990"/>
        </w:tabs>
        <w:ind w:firstLine="0"/>
        <w:jc w:val="both"/>
        <w:rPr>
          <w:rFonts w:ascii="Arial" w:hAnsi="Arial" w:cs="Arial"/>
          <w:color w:val="000000" w:themeColor="text1"/>
        </w:rPr>
      </w:pPr>
      <w:r w:rsidRPr="006355D2">
        <w:rPr>
          <w:rFonts w:ascii="Arial" w:hAnsi="Arial" w:cs="Arial"/>
          <w:color w:val="000000" w:themeColor="text1"/>
        </w:rPr>
        <w:t>130 kg N ha</w:t>
      </w:r>
      <w:r w:rsidRPr="006355D2">
        <w:rPr>
          <w:rFonts w:ascii="Cambria Math" w:hAnsi="Cambria Math" w:cs="Cambria Math"/>
          <w:color w:val="000000" w:themeColor="text1"/>
        </w:rPr>
        <w:t>⁻</w:t>
      </w:r>
      <w:r w:rsidRPr="006355D2">
        <w:rPr>
          <w:rFonts w:ascii="Arial" w:hAnsi="Arial" w:cs="Arial"/>
          <w:color w:val="000000" w:themeColor="text1"/>
        </w:rPr>
        <w:t>¹</w:t>
      </w:r>
    </w:p>
    <w:p w14:paraId="4B82C57F" w14:textId="77777777" w:rsidR="00C13684" w:rsidRPr="006355D2" w:rsidRDefault="00C13684" w:rsidP="00707275">
      <w:pPr>
        <w:numPr>
          <w:ilvl w:val="0"/>
          <w:numId w:val="4"/>
        </w:numPr>
        <w:tabs>
          <w:tab w:val="clear" w:pos="720"/>
          <w:tab w:val="num" w:pos="990"/>
        </w:tabs>
        <w:ind w:firstLine="0"/>
        <w:jc w:val="both"/>
        <w:rPr>
          <w:rFonts w:ascii="Arial" w:hAnsi="Arial" w:cs="Arial"/>
          <w:color w:val="000000" w:themeColor="text1"/>
        </w:rPr>
      </w:pPr>
      <w:r w:rsidRPr="006355D2">
        <w:rPr>
          <w:rFonts w:ascii="Arial" w:hAnsi="Arial" w:cs="Arial"/>
          <w:color w:val="000000" w:themeColor="text1"/>
        </w:rPr>
        <w:t>60 kg P</w:t>
      </w:r>
      <w:r w:rsidRPr="006355D2">
        <w:rPr>
          <w:rFonts w:ascii="Cambria Math" w:hAnsi="Cambria Math" w:cs="Cambria Math"/>
          <w:color w:val="000000" w:themeColor="text1"/>
        </w:rPr>
        <w:t>₂</w:t>
      </w:r>
      <w:r w:rsidRPr="006355D2">
        <w:rPr>
          <w:rFonts w:ascii="Arial" w:hAnsi="Arial" w:cs="Arial"/>
          <w:color w:val="000000" w:themeColor="text1"/>
        </w:rPr>
        <w:t>O</w:t>
      </w:r>
      <w:r w:rsidRPr="006355D2">
        <w:rPr>
          <w:rFonts w:ascii="Cambria Math" w:hAnsi="Cambria Math" w:cs="Cambria Math"/>
          <w:color w:val="000000" w:themeColor="text1"/>
        </w:rPr>
        <w:t>₅</w:t>
      </w:r>
      <w:r w:rsidRPr="006355D2">
        <w:rPr>
          <w:rFonts w:ascii="Arial" w:hAnsi="Arial" w:cs="Arial"/>
          <w:color w:val="000000" w:themeColor="text1"/>
        </w:rPr>
        <w:t xml:space="preserve"> ha</w:t>
      </w:r>
      <w:r w:rsidRPr="006355D2">
        <w:rPr>
          <w:rFonts w:ascii="Cambria Math" w:hAnsi="Cambria Math" w:cs="Cambria Math"/>
          <w:color w:val="000000" w:themeColor="text1"/>
        </w:rPr>
        <w:t>⁻</w:t>
      </w:r>
      <w:r w:rsidRPr="006355D2">
        <w:rPr>
          <w:rFonts w:ascii="Arial" w:hAnsi="Arial" w:cs="Arial"/>
          <w:color w:val="000000" w:themeColor="text1"/>
        </w:rPr>
        <w:t>¹</w:t>
      </w:r>
    </w:p>
    <w:p w14:paraId="72DF7B11" w14:textId="4CC8DC68" w:rsidR="00C13684" w:rsidRPr="006355D2" w:rsidRDefault="00C13684" w:rsidP="00707275">
      <w:pPr>
        <w:numPr>
          <w:ilvl w:val="0"/>
          <w:numId w:val="4"/>
        </w:numPr>
        <w:tabs>
          <w:tab w:val="clear" w:pos="720"/>
          <w:tab w:val="num" w:pos="990"/>
        </w:tabs>
        <w:ind w:firstLine="0"/>
        <w:jc w:val="both"/>
        <w:rPr>
          <w:rFonts w:ascii="Arial" w:hAnsi="Arial" w:cs="Arial"/>
          <w:color w:val="000000" w:themeColor="text1"/>
        </w:rPr>
      </w:pPr>
      <w:r w:rsidRPr="006355D2">
        <w:rPr>
          <w:rFonts w:ascii="Arial" w:hAnsi="Arial" w:cs="Arial"/>
          <w:color w:val="000000" w:themeColor="text1"/>
        </w:rPr>
        <w:t>75 kg K</w:t>
      </w:r>
      <w:r w:rsidRPr="006355D2">
        <w:rPr>
          <w:rFonts w:ascii="Cambria Math" w:hAnsi="Cambria Math" w:cs="Cambria Math"/>
          <w:color w:val="000000" w:themeColor="text1"/>
        </w:rPr>
        <w:t>₂</w:t>
      </w:r>
      <w:r w:rsidRPr="006355D2">
        <w:rPr>
          <w:rFonts w:ascii="Arial" w:hAnsi="Arial" w:cs="Arial"/>
          <w:color w:val="000000" w:themeColor="text1"/>
        </w:rPr>
        <w:t>O ha</w:t>
      </w:r>
      <w:r w:rsidRPr="006355D2">
        <w:rPr>
          <w:rFonts w:ascii="Cambria Math" w:hAnsi="Cambria Math" w:cs="Cambria Math"/>
          <w:color w:val="000000" w:themeColor="text1"/>
        </w:rPr>
        <w:t>⁻</w:t>
      </w:r>
      <w:r w:rsidRPr="006355D2">
        <w:rPr>
          <w:rFonts w:ascii="Arial" w:hAnsi="Arial" w:cs="Arial"/>
          <w:color w:val="000000" w:themeColor="text1"/>
        </w:rPr>
        <w:t>¹</w:t>
      </w:r>
      <w:r w:rsidR="00707275">
        <w:rPr>
          <w:rFonts w:ascii="Arial" w:hAnsi="Arial" w:cs="Arial"/>
          <w:color w:val="000000" w:themeColor="text1"/>
        </w:rPr>
        <w:t xml:space="preserve"> </w:t>
      </w:r>
      <w:r w:rsidRPr="006355D2">
        <w:rPr>
          <w:rFonts w:ascii="Arial" w:hAnsi="Arial" w:cs="Arial"/>
          <w:color w:val="000000" w:themeColor="text1"/>
        </w:rPr>
        <w:t>(Source: Department of Agricultural Research, Myanmar)</w:t>
      </w:r>
    </w:p>
    <w:p w14:paraId="02812487" w14:textId="77777777" w:rsidR="00C13684" w:rsidRPr="006355D2" w:rsidRDefault="00C13684" w:rsidP="00F42131">
      <w:pPr>
        <w:ind w:firstLine="720"/>
        <w:jc w:val="both"/>
        <w:rPr>
          <w:rFonts w:ascii="Arial" w:hAnsi="Arial" w:cs="Arial"/>
          <w:color w:val="000000" w:themeColor="text1"/>
        </w:rPr>
      </w:pPr>
      <w:r w:rsidRPr="006355D2">
        <w:rPr>
          <w:rFonts w:ascii="Arial" w:hAnsi="Arial" w:cs="Arial"/>
          <w:color w:val="000000" w:themeColor="text1"/>
        </w:rPr>
        <w:t>Nitrogen and potassium were split into three equal applications: at sowing (basal), 21 days after sowing (DAS), and 45 DAS. Phosphorus was applied entirely at basal. All cultural practices, including hand weeding and pest and disease management, were uniformly applied across treatments to minimize non-treatment variability.</w:t>
      </w:r>
    </w:p>
    <w:p w14:paraId="2465FE6F" w14:textId="77777777" w:rsidR="009E4FEF" w:rsidRDefault="009E4FEF" w:rsidP="00F42131">
      <w:pPr>
        <w:spacing w:before="120" w:after="120"/>
        <w:jc w:val="both"/>
        <w:rPr>
          <w:rFonts w:ascii="Arial" w:hAnsi="Arial" w:cs="Arial"/>
          <w:b/>
          <w:bCs/>
          <w:color w:val="000000" w:themeColor="text1"/>
        </w:rPr>
      </w:pPr>
    </w:p>
    <w:p w14:paraId="3502B701" w14:textId="77777777" w:rsidR="009E4FEF" w:rsidRDefault="009E4FEF" w:rsidP="00F42131">
      <w:pPr>
        <w:spacing w:before="120" w:after="120"/>
        <w:jc w:val="both"/>
        <w:rPr>
          <w:rFonts w:ascii="Arial" w:hAnsi="Arial" w:cs="Arial"/>
          <w:b/>
          <w:bCs/>
          <w:color w:val="000000" w:themeColor="text1"/>
        </w:rPr>
      </w:pPr>
    </w:p>
    <w:p w14:paraId="03EDE3E1" w14:textId="77777777" w:rsidR="009E4FEF" w:rsidRDefault="009E4FEF" w:rsidP="00F42131">
      <w:pPr>
        <w:spacing w:before="120" w:after="120"/>
        <w:jc w:val="both"/>
        <w:rPr>
          <w:rFonts w:ascii="Arial" w:hAnsi="Arial" w:cs="Arial"/>
          <w:b/>
          <w:bCs/>
          <w:color w:val="000000" w:themeColor="text1"/>
        </w:rPr>
      </w:pPr>
    </w:p>
    <w:p w14:paraId="73405D7E" w14:textId="77777777" w:rsidR="009E4FEF" w:rsidRDefault="009E4FEF" w:rsidP="00F42131">
      <w:pPr>
        <w:spacing w:before="120" w:after="120"/>
        <w:jc w:val="both"/>
        <w:rPr>
          <w:rFonts w:ascii="Arial" w:hAnsi="Arial" w:cs="Arial"/>
          <w:b/>
          <w:bCs/>
          <w:color w:val="000000" w:themeColor="text1"/>
        </w:rPr>
      </w:pPr>
    </w:p>
    <w:p w14:paraId="2F631181" w14:textId="584BE942" w:rsidR="00C13684" w:rsidRPr="006355D2" w:rsidRDefault="00C13684" w:rsidP="00F42131">
      <w:pPr>
        <w:spacing w:before="120" w:after="120"/>
        <w:jc w:val="both"/>
        <w:rPr>
          <w:rFonts w:ascii="Arial" w:hAnsi="Arial" w:cs="Arial"/>
          <w:b/>
          <w:bCs/>
          <w:color w:val="000000" w:themeColor="text1"/>
        </w:rPr>
      </w:pPr>
      <w:r>
        <w:rPr>
          <w:rFonts w:ascii="Arial" w:hAnsi="Arial" w:cs="Arial"/>
          <w:b/>
          <w:bCs/>
          <w:color w:val="000000" w:themeColor="text1"/>
        </w:rPr>
        <w:lastRenderedPageBreak/>
        <w:t xml:space="preserve">2.3 </w:t>
      </w:r>
      <w:r w:rsidRPr="006355D2">
        <w:rPr>
          <w:rFonts w:ascii="Arial" w:hAnsi="Arial" w:cs="Arial"/>
          <w:b/>
          <w:bCs/>
          <w:color w:val="000000" w:themeColor="text1"/>
        </w:rPr>
        <w:t>Treatments</w:t>
      </w:r>
    </w:p>
    <w:p w14:paraId="06A36021" w14:textId="77777777" w:rsidR="00C13684" w:rsidRPr="006355D2" w:rsidRDefault="00C13684" w:rsidP="00F42131">
      <w:pPr>
        <w:ind w:firstLine="720"/>
        <w:jc w:val="both"/>
        <w:rPr>
          <w:rFonts w:ascii="Arial" w:hAnsi="Arial" w:cs="Arial"/>
          <w:color w:val="000000" w:themeColor="text1"/>
        </w:rPr>
      </w:pPr>
      <w:r w:rsidRPr="006355D2">
        <w:rPr>
          <w:rFonts w:ascii="Arial" w:hAnsi="Arial" w:cs="Arial"/>
          <w:color w:val="000000" w:themeColor="text1"/>
        </w:rPr>
        <w:t>The treatment details were as follows:</w:t>
      </w:r>
    </w:p>
    <w:p w14:paraId="44AB896F" w14:textId="77777777" w:rsidR="00C13684" w:rsidRPr="006355D2" w:rsidRDefault="00C13684" w:rsidP="00C13684">
      <w:pPr>
        <w:numPr>
          <w:ilvl w:val="0"/>
          <w:numId w:val="2"/>
        </w:numPr>
        <w:tabs>
          <w:tab w:val="clear" w:pos="720"/>
        </w:tabs>
        <w:ind w:left="810" w:hanging="450"/>
        <w:jc w:val="both"/>
        <w:rPr>
          <w:rFonts w:ascii="Arial" w:hAnsi="Arial" w:cs="Arial"/>
          <w:color w:val="000000" w:themeColor="text1"/>
        </w:rPr>
      </w:pPr>
      <w:r w:rsidRPr="006355D2">
        <w:rPr>
          <w:rFonts w:ascii="Arial" w:hAnsi="Arial" w:cs="Arial"/>
          <w:color w:val="000000" w:themeColor="text1"/>
        </w:rPr>
        <w:t>T</w:t>
      </w:r>
      <w:r w:rsidRPr="006355D2">
        <w:rPr>
          <w:rFonts w:ascii="Cambria Math" w:hAnsi="Cambria Math" w:cs="Cambria Math"/>
          <w:color w:val="000000" w:themeColor="text1"/>
        </w:rPr>
        <w:t>₁</w:t>
      </w:r>
      <w:r w:rsidRPr="006355D2">
        <w:rPr>
          <w:rFonts w:ascii="Arial" w:hAnsi="Arial" w:cs="Arial"/>
          <w:color w:val="000000" w:themeColor="text1"/>
        </w:rPr>
        <w:t>: Control (no fertilizer or organic amendment)</w:t>
      </w:r>
    </w:p>
    <w:p w14:paraId="03C4510D" w14:textId="05D88F9D" w:rsidR="00C13684" w:rsidRPr="006355D2" w:rsidRDefault="00C13684" w:rsidP="00C13684">
      <w:pPr>
        <w:numPr>
          <w:ilvl w:val="0"/>
          <w:numId w:val="2"/>
        </w:numPr>
        <w:tabs>
          <w:tab w:val="clear" w:pos="720"/>
        </w:tabs>
        <w:ind w:left="810" w:hanging="450"/>
        <w:jc w:val="both"/>
        <w:rPr>
          <w:rFonts w:ascii="Arial" w:hAnsi="Arial" w:cs="Arial"/>
          <w:color w:val="000000" w:themeColor="text1"/>
        </w:rPr>
      </w:pPr>
      <w:r w:rsidRPr="006355D2">
        <w:rPr>
          <w:rFonts w:ascii="Arial" w:hAnsi="Arial" w:cs="Arial"/>
          <w:color w:val="000000" w:themeColor="text1"/>
        </w:rPr>
        <w:t>T</w:t>
      </w:r>
      <w:r w:rsidRPr="006355D2">
        <w:rPr>
          <w:rFonts w:ascii="Cambria Math" w:hAnsi="Cambria Math" w:cs="Cambria Math"/>
          <w:color w:val="000000" w:themeColor="text1"/>
        </w:rPr>
        <w:t>₂</w:t>
      </w:r>
      <w:r w:rsidRPr="006355D2">
        <w:rPr>
          <w:rFonts w:ascii="Arial" w:hAnsi="Arial" w:cs="Arial"/>
          <w:color w:val="000000" w:themeColor="text1"/>
        </w:rPr>
        <w:t>: Organic amendment (OA) only (</w:t>
      </w:r>
      <w:r w:rsidR="001A3928" w:rsidRPr="001A3928">
        <w:rPr>
          <w:rFonts w:ascii="Arial" w:hAnsi="Arial" w:cs="Arial"/>
          <w:color w:val="000000" w:themeColor="text1"/>
        </w:rPr>
        <w:t>10 t ac</w:t>
      </w:r>
      <w:r w:rsidR="001A3928" w:rsidRPr="001A3928">
        <w:rPr>
          <w:rFonts w:ascii="Cambria Math" w:hAnsi="Cambria Math" w:cs="Cambria Math"/>
          <w:color w:val="000000" w:themeColor="text1"/>
        </w:rPr>
        <w:t>⁻</w:t>
      </w:r>
      <w:r w:rsidR="001A3928" w:rsidRPr="001A3928">
        <w:rPr>
          <w:rFonts w:ascii="Arial" w:hAnsi="Arial" w:cs="Arial"/>
          <w:color w:val="000000" w:themeColor="text1"/>
        </w:rPr>
        <w:t>¹</w:t>
      </w:r>
      <w:r w:rsidRPr="006355D2">
        <w:rPr>
          <w:rFonts w:ascii="Arial" w:hAnsi="Arial" w:cs="Arial"/>
          <w:color w:val="000000" w:themeColor="text1"/>
        </w:rPr>
        <w:t xml:space="preserve"> maize straw)</w:t>
      </w:r>
    </w:p>
    <w:p w14:paraId="1D661E84" w14:textId="77777777" w:rsidR="00C13684" w:rsidRPr="006355D2" w:rsidRDefault="00C13684" w:rsidP="00C13684">
      <w:pPr>
        <w:numPr>
          <w:ilvl w:val="0"/>
          <w:numId w:val="2"/>
        </w:numPr>
        <w:tabs>
          <w:tab w:val="clear" w:pos="720"/>
        </w:tabs>
        <w:ind w:left="810" w:hanging="450"/>
        <w:jc w:val="both"/>
        <w:rPr>
          <w:rFonts w:ascii="Arial" w:hAnsi="Arial" w:cs="Arial"/>
          <w:color w:val="000000" w:themeColor="text1"/>
        </w:rPr>
      </w:pPr>
      <w:r w:rsidRPr="006355D2">
        <w:rPr>
          <w:rFonts w:ascii="Arial" w:hAnsi="Arial" w:cs="Arial"/>
          <w:color w:val="000000" w:themeColor="text1"/>
        </w:rPr>
        <w:t>T</w:t>
      </w:r>
      <w:r w:rsidRPr="006355D2">
        <w:rPr>
          <w:rFonts w:ascii="Cambria Math" w:hAnsi="Cambria Math" w:cs="Cambria Math"/>
          <w:color w:val="000000" w:themeColor="text1"/>
        </w:rPr>
        <w:t>₃</w:t>
      </w:r>
      <w:r w:rsidRPr="006355D2">
        <w:rPr>
          <w:rFonts w:ascii="Arial" w:hAnsi="Arial" w:cs="Arial"/>
          <w:color w:val="000000" w:themeColor="text1"/>
        </w:rPr>
        <w:t>: 100% inorganic NPK fertilizer</w:t>
      </w:r>
    </w:p>
    <w:p w14:paraId="71AD69AB" w14:textId="0FE3FFDE" w:rsidR="00C13684" w:rsidRPr="006355D2" w:rsidRDefault="00C13684" w:rsidP="00C13684">
      <w:pPr>
        <w:numPr>
          <w:ilvl w:val="0"/>
          <w:numId w:val="2"/>
        </w:numPr>
        <w:tabs>
          <w:tab w:val="clear" w:pos="720"/>
        </w:tabs>
        <w:ind w:left="810" w:hanging="450"/>
        <w:jc w:val="both"/>
        <w:rPr>
          <w:rFonts w:ascii="Arial" w:hAnsi="Arial" w:cs="Arial"/>
          <w:color w:val="000000" w:themeColor="text1"/>
        </w:rPr>
      </w:pPr>
      <w:r w:rsidRPr="006355D2">
        <w:rPr>
          <w:rFonts w:ascii="Arial" w:hAnsi="Arial" w:cs="Arial"/>
          <w:color w:val="000000" w:themeColor="text1"/>
        </w:rPr>
        <w:t>T</w:t>
      </w:r>
      <w:r w:rsidRPr="006355D2">
        <w:rPr>
          <w:rFonts w:ascii="Cambria Math" w:hAnsi="Cambria Math" w:cs="Cambria Math"/>
          <w:color w:val="000000" w:themeColor="text1"/>
        </w:rPr>
        <w:t>₄</w:t>
      </w:r>
      <w:r w:rsidRPr="006355D2">
        <w:rPr>
          <w:rFonts w:ascii="Arial" w:hAnsi="Arial" w:cs="Arial"/>
          <w:color w:val="000000" w:themeColor="text1"/>
        </w:rPr>
        <w:t>: OA (</w:t>
      </w:r>
      <w:r w:rsidR="001A3928" w:rsidRPr="001A3928">
        <w:rPr>
          <w:rFonts w:ascii="Arial" w:hAnsi="Arial" w:cs="Arial"/>
          <w:color w:val="000000" w:themeColor="text1"/>
        </w:rPr>
        <w:t>10 t ac</w:t>
      </w:r>
      <w:r w:rsidR="001A3928" w:rsidRPr="001A3928">
        <w:rPr>
          <w:rFonts w:ascii="Cambria Math" w:hAnsi="Cambria Math" w:cs="Cambria Math"/>
          <w:color w:val="000000" w:themeColor="text1"/>
        </w:rPr>
        <w:t>⁻</w:t>
      </w:r>
      <w:r w:rsidR="001A3928" w:rsidRPr="001A3928">
        <w:rPr>
          <w:rFonts w:ascii="Arial" w:hAnsi="Arial" w:cs="Arial"/>
          <w:color w:val="000000" w:themeColor="text1"/>
        </w:rPr>
        <w:t>¹</w:t>
      </w:r>
      <w:r w:rsidR="001A3928">
        <w:rPr>
          <w:rFonts w:ascii="Arial" w:hAnsi="Arial" w:cs="Arial"/>
          <w:color w:val="000000" w:themeColor="text1"/>
        </w:rPr>
        <w:t xml:space="preserve"> </w:t>
      </w:r>
      <w:r w:rsidRPr="006355D2">
        <w:rPr>
          <w:rFonts w:ascii="Arial" w:hAnsi="Arial" w:cs="Arial"/>
          <w:color w:val="000000" w:themeColor="text1"/>
        </w:rPr>
        <w:t>maize straw) + 50% NPK</w:t>
      </w:r>
    </w:p>
    <w:p w14:paraId="24BBBC69" w14:textId="3805016A" w:rsidR="00C13684" w:rsidRPr="006355D2" w:rsidRDefault="00C13684" w:rsidP="00C13684">
      <w:pPr>
        <w:numPr>
          <w:ilvl w:val="0"/>
          <w:numId w:val="2"/>
        </w:numPr>
        <w:tabs>
          <w:tab w:val="clear" w:pos="720"/>
        </w:tabs>
        <w:ind w:left="810" w:hanging="450"/>
        <w:jc w:val="both"/>
        <w:rPr>
          <w:rFonts w:ascii="Arial" w:hAnsi="Arial" w:cs="Arial"/>
          <w:color w:val="000000" w:themeColor="text1"/>
        </w:rPr>
      </w:pPr>
      <w:r w:rsidRPr="006355D2">
        <w:rPr>
          <w:rFonts w:ascii="Arial" w:hAnsi="Arial" w:cs="Arial"/>
          <w:color w:val="000000" w:themeColor="text1"/>
        </w:rPr>
        <w:t>T</w:t>
      </w:r>
      <w:r w:rsidRPr="006355D2">
        <w:rPr>
          <w:rFonts w:ascii="Cambria Math" w:hAnsi="Cambria Math" w:cs="Cambria Math"/>
          <w:color w:val="000000" w:themeColor="text1"/>
        </w:rPr>
        <w:t>₅</w:t>
      </w:r>
      <w:r w:rsidRPr="006355D2">
        <w:rPr>
          <w:rFonts w:ascii="Arial" w:hAnsi="Arial" w:cs="Arial"/>
          <w:color w:val="000000" w:themeColor="text1"/>
        </w:rPr>
        <w:t>: OA (</w:t>
      </w:r>
      <w:r w:rsidR="001A3928" w:rsidRPr="001A3928">
        <w:rPr>
          <w:rFonts w:ascii="Arial" w:hAnsi="Arial" w:cs="Arial"/>
          <w:color w:val="000000" w:themeColor="text1"/>
        </w:rPr>
        <w:t>10 t ac</w:t>
      </w:r>
      <w:r w:rsidR="001A3928" w:rsidRPr="001A3928">
        <w:rPr>
          <w:rFonts w:ascii="Cambria Math" w:hAnsi="Cambria Math" w:cs="Cambria Math"/>
          <w:color w:val="000000" w:themeColor="text1"/>
        </w:rPr>
        <w:t>⁻</w:t>
      </w:r>
      <w:r w:rsidR="001A3928" w:rsidRPr="001A3928">
        <w:rPr>
          <w:rFonts w:ascii="Arial" w:hAnsi="Arial" w:cs="Arial"/>
          <w:color w:val="000000" w:themeColor="text1"/>
        </w:rPr>
        <w:t>¹</w:t>
      </w:r>
      <w:r w:rsidR="001A3928">
        <w:rPr>
          <w:rFonts w:ascii="Arial" w:hAnsi="Arial" w:cs="Arial"/>
          <w:color w:val="000000" w:themeColor="text1"/>
        </w:rPr>
        <w:t xml:space="preserve"> </w:t>
      </w:r>
      <w:r w:rsidRPr="006355D2">
        <w:rPr>
          <w:rFonts w:ascii="Arial" w:hAnsi="Arial" w:cs="Arial"/>
          <w:color w:val="000000" w:themeColor="text1"/>
        </w:rPr>
        <w:t>maize straw) + 75% NPK</w:t>
      </w:r>
    </w:p>
    <w:p w14:paraId="5137C237" w14:textId="6AE7EE12" w:rsidR="00C13684" w:rsidRPr="006355D2" w:rsidRDefault="00C13684" w:rsidP="00C13684">
      <w:pPr>
        <w:numPr>
          <w:ilvl w:val="0"/>
          <w:numId w:val="2"/>
        </w:numPr>
        <w:tabs>
          <w:tab w:val="clear" w:pos="720"/>
        </w:tabs>
        <w:ind w:left="810" w:hanging="450"/>
        <w:jc w:val="both"/>
        <w:rPr>
          <w:rFonts w:ascii="Arial" w:hAnsi="Arial" w:cs="Arial"/>
          <w:color w:val="000000" w:themeColor="text1"/>
        </w:rPr>
      </w:pPr>
      <w:r w:rsidRPr="006355D2">
        <w:rPr>
          <w:rFonts w:ascii="Arial" w:hAnsi="Arial" w:cs="Arial"/>
          <w:color w:val="000000" w:themeColor="text1"/>
        </w:rPr>
        <w:t>T</w:t>
      </w:r>
      <w:r w:rsidRPr="006355D2">
        <w:rPr>
          <w:rFonts w:ascii="Cambria Math" w:hAnsi="Cambria Math" w:cs="Cambria Math"/>
          <w:color w:val="000000" w:themeColor="text1"/>
        </w:rPr>
        <w:t>₆</w:t>
      </w:r>
      <w:r w:rsidRPr="006355D2">
        <w:rPr>
          <w:rFonts w:ascii="Arial" w:hAnsi="Arial" w:cs="Arial"/>
          <w:color w:val="000000" w:themeColor="text1"/>
        </w:rPr>
        <w:t>: OA (</w:t>
      </w:r>
      <w:r w:rsidR="001A3928" w:rsidRPr="001A3928">
        <w:rPr>
          <w:rFonts w:ascii="Arial" w:hAnsi="Arial" w:cs="Arial"/>
          <w:color w:val="000000" w:themeColor="text1"/>
        </w:rPr>
        <w:t>10 t ac</w:t>
      </w:r>
      <w:r w:rsidR="001A3928" w:rsidRPr="001A3928">
        <w:rPr>
          <w:rFonts w:ascii="Cambria Math" w:hAnsi="Cambria Math" w:cs="Cambria Math"/>
          <w:color w:val="000000" w:themeColor="text1"/>
        </w:rPr>
        <w:t>⁻</w:t>
      </w:r>
      <w:r w:rsidR="001A3928" w:rsidRPr="001A3928">
        <w:rPr>
          <w:rFonts w:ascii="Arial" w:hAnsi="Arial" w:cs="Arial"/>
          <w:color w:val="000000" w:themeColor="text1"/>
        </w:rPr>
        <w:t>¹</w:t>
      </w:r>
      <w:r w:rsidR="001A3928">
        <w:rPr>
          <w:rFonts w:ascii="Arial" w:hAnsi="Arial" w:cs="Arial"/>
          <w:color w:val="000000" w:themeColor="text1"/>
        </w:rPr>
        <w:t xml:space="preserve"> </w:t>
      </w:r>
      <w:r w:rsidRPr="006355D2">
        <w:rPr>
          <w:rFonts w:ascii="Arial" w:hAnsi="Arial" w:cs="Arial"/>
          <w:color w:val="000000" w:themeColor="text1"/>
        </w:rPr>
        <w:t>maize straw) + 100% NPK</w:t>
      </w:r>
    </w:p>
    <w:p w14:paraId="7381039F" w14:textId="77777777" w:rsidR="003D21DF" w:rsidRDefault="003D21DF" w:rsidP="00F42131">
      <w:pPr>
        <w:spacing w:before="120" w:after="120"/>
        <w:jc w:val="both"/>
        <w:rPr>
          <w:rFonts w:ascii="Arial" w:hAnsi="Arial" w:cs="Arial"/>
          <w:b/>
          <w:bCs/>
          <w:color w:val="000000" w:themeColor="text1"/>
        </w:rPr>
      </w:pPr>
    </w:p>
    <w:p w14:paraId="6322890D" w14:textId="30EC4788" w:rsidR="00C13684" w:rsidRPr="006355D2" w:rsidRDefault="00C13684" w:rsidP="003D21DF">
      <w:pPr>
        <w:spacing w:before="60" w:after="60"/>
        <w:jc w:val="both"/>
        <w:rPr>
          <w:rFonts w:ascii="Arial" w:hAnsi="Arial" w:cs="Arial"/>
          <w:b/>
          <w:bCs/>
          <w:color w:val="000000" w:themeColor="text1"/>
        </w:rPr>
      </w:pPr>
      <w:r>
        <w:rPr>
          <w:rFonts w:ascii="Arial" w:hAnsi="Arial" w:cs="Arial"/>
          <w:b/>
          <w:bCs/>
          <w:color w:val="000000" w:themeColor="text1"/>
        </w:rPr>
        <w:t xml:space="preserve">2.4 </w:t>
      </w:r>
      <w:r w:rsidRPr="006355D2">
        <w:rPr>
          <w:rFonts w:ascii="Arial" w:hAnsi="Arial" w:cs="Arial"/>
          <w:b/>
          <w:bCs/>
          <w:color w:val="000000" w:themeColor="text1"/>
        </w:rPr>
        <w:t>Data Collection</w:t>
      </w:r>
    </w:p>
    <w:p w14:paraId="3EF0A618" w14:textId="0D8FB5A0" w:rsidR="00C13684" w:rsidRPr="006355D2" w:rsidRDefault="00C13684" w:rsidP="003D21DF">
      <w:pPr>
        <w:spacing w:before="60" w:after="60"/>
        <w:ind w:firstLine="720"/>
        <w:jc w:val="both"/>
        <w:rPr>
          <w:rFonts w:ascii="Arial" w:hAnsi="Arial" w:cs="Arial"/>
          <w:color w:val="000000" w:themeColor="text1"/>
        </w:rPr>
      </w:pPr>
      <w:r w:rsidRPr="006355D2">
        <w:rPr>
          <w:rFonts w:ascii="Arial" w:hAnsi="Arial" w:cs="Arial"/>
          <w:color w:val="000000" w:themeColor="text1"/>
        </w:rPr>
        <w:t>Data were collected using standardized descriptors from the International Board for Plant Genetic Resources (IBPGR, 1991)</w:t>
      </w:r>
      <w:r w:rsidR="005117F1">
        <w:rPr>
          <w:rFonts w:ascii="Arial" w:hAnsi="Arial" w:cs="Arial"/>
          <w:color w:val="000000" w:themeColor="text1"/>
        </w:rPr>
        <w:t>.</w:t>
      </w:r>
    </w:p>
    <w:p w14:paraId="3120AF8D" w14:textId="43287AA8" w:rsidR="00C13684" w:rsidRPr="006355D2" w:rsidRDefault="00C13684" w:rsidP="003D21DF">
      <w:pPr>
        <w:spacing w:before="60" w:after="60"/>
        <w:jc w:val="both"/>
        <w:rPr>
          <w:rFonts w:ascii="Arial" w:hAnsi="Arial" w:cs="Arial"/>
          <w:b/>
          <w:bCs/>
          <w:color w:val="000000" w:themeColor="text1"/>
        </w:rPr>
      </w:pPr>
      <w:r>
        <w:rPr>
          <w:rFonts w:ascii="Arial" w:hAnsi="Arial" w:cs="Arial"/>
          <w:b/>
          <w:bCs/>
          <w:color w:val="000000" w:themeColor="text1"/>
        </w:rPr>
        <w:t xml:space="preserve">2.4.1 </w:t>
      </w:r>
      <w:r w:rsidRPr="006355D2">
        <w:rPr>
          <w:rFonts w:ascii="Arial" w:hAnsi="Arial" w:cs="Arial"/>
          <w:b/>
          <w:bCs/>
          <w:color w:val="000000" w:themeColor="text1"/>
        </w:rPr>
        <w:t>Phenological Traits:</w:t>
      </w:r>
    </w:p>
    <w:p w14:paraId="4DFB7CFA" w14:textId="77777777" w:rsidR="00C13684" w:rsidRPr="00C13684" w:rsidRDefault="00C13684" w:rsidP="003D21DF">
      <w:pPr>
        <w:pStyle w:val="ListParagraph"/>
        <w:numPr>
          <w:ilvl w:val="0"/>
          <w:numId w:val="5"/>
        </w:numPr>
        <w:spacing w:before="60" w:after="60"/>
        <w:rPr>
          <w:rFonts w:ascii="Arial" w:hAnsi="Arial" w:cs="Arial"/>
          <w:color w:val="000000" w:themeColor="text1"/>
          <w:sz w:val="20"/>
          <w:szCs w:val="20"/>
        </w:rPr>
      </w:pPr>
      <w:r w:rsidRPr="00C13684">
        <w:rPr>
          <w:rFonts w:ascii="Arial" w:hAnsi="Arial" w:cs="Arial"/>
          <w:color w:val="000000" w:themeColor="text1"/>
          <w:sz w:val="20"/>
          <w:szCs w:val="20"/>
        </w:rPr>
        <w:t>Days to 50% tasseling (DA)</w:t>
      </w:r>
    </w:p>
    <w:p w14:paraId="43F66AF9" w14:textId="77777777" w:rsidR="00C13684" w:rsidRPr="00C13684" w:rsidRDefault="00C13684" w:rsidP="003D21DF">
      <w:pPr>
        <w:pStyle w:val="ListParagraph"/>
        <w:numPr>
          <w:ilvl w:val="0"/>
          <w:numId w:val="5"/>
        </w:numPr>
        <w:spacing w:before="60" w:after="60"/>
        <w:rPr>
          <w:rFonts w:ascii="Arial" w:hAnsi="Arial" w:cs="Arial"/>
          <w:color w:val="000000" w:themeColor="text1"/>
          <w:sz w:val="20"/>
          <w:szCs w:val="20"/>
        </w:rPr>
      </w:pPr>
      <w:r w:rsidRPr="00C13684">
        <w:rPr>
          <w:rFonts w:ascii="Arial" w:hAnsi="Arial" w:cs="Arial"/>
          <w:color w:val="000000" w:themeColor="text1"/>
          <w:sz w:val="20"/>
          <w:szCs w:val="20"/>
        </w:rPr>
        <w:t>Days to 50% silking (DS)</w:t>
      </w:r>
    </w:p>
    <w:p w14:paraId="5F72985D" w14:textId="336A8819" w:rsidR="00C13684" w:rsidRPr="006355D2" w:rsidRDefault="00C13684" w:rsidP="003D21DF">
      <w:pPr>
        <w:spacing w:before="60" w:after="60"/>
        <w:jc w:val="both"/>
        <w:rPr>
          <w:rFonts w:ascii="Arial" w:hAnsi="Arial" w:cs="Arial"/>
          <w:b/>
          <w:bCs/>
          <w:color w:val="000000" w:themeColor="text1"/>
        </w:rPr>
      </w:pPr>
      <w:r>
        <w:rPr>
          <w:rFonts w:ascii="Arial" w:hAnsi="Arial" w:cs="Arial"/>
          <w:b/>
          <w:bCs/>
          <w:color w:val="000000" w:themeColor="text1"/>
        </w:rPr>
        <w:t xml:space="preserve">2.4.2 </w:t>
      </w:r>
      <w:r w:rsidRPr="006355D2">
        <w:rPr>
          <w:rFonts w:ascii="Arial" w:hAnsi="Arial" w:cs="Arial"/>
          <w:b/>
          <w:bCs/>
          <w:color w:val="000000" w:themeColor="text1"/>
        </w:rPr>
        <w:t>Growth Parameters:</w:t>
      </w:r>
    </w:p>
    <w:p w14:paraId="4A4C13AE" w14:textId="77777777" w:rsidR="00C13684" w:rsidRPr="00C13684" w:rsidRDefault="00C13684" w:rsidP="003D21DF">
      <w:pPr>
        <w:pStyle w:val="ListParagraph"/>
        <w:numPr>
          <w:ilvl w:val="0"/>
          <w:numId w:val="5"/>
        </w:numPr>
        <w:spacing w:before="60" w:after="60"/>
        <w:rPr>
          <w:rFonts w:ascii="Arial" w:hAnsi="Arial" w:cs="Arial"/>
          <w:color w:val="000000" w:themeColor="text1"/>
          <w:sz w:val="20"/>
          <w:szCs w:val="20"/>
        </w:rPr>
      </w:pPr>
      <w:r w:rsidRPr="00C13684">
        <w:rPr>
          <w:rFonts w:ascii="Arial" w:hAnsi="Arial" w:cs="Arial"/>
          <w:color w:val="000000" w:themeColor="text1"/>
          <w:sz w:val="20"/>
          <w:szCs w:val="20"/>
        </w:rPr>
        <w:t>Plant height (cm): measured from base to tassel base</w:t>
      </w:r>
    </w:p>
    <w:p w14:paraId="639BE9A1" w14:textId="77777777" w:rsidR="00C13684" w:rsidRPr="00C13684" w:rsidRDefault="00C13684" w:rsidP="003D21DF">
      <w:pPr>
        <w:pStyle w:val="ListParagraph"/>
        <w:numPr>
          <w:ilvl w:val="0"/>
          <w:numId w:val="5"/>
        </w:numPr>
        <w:spacing w:before="60" w:after="60"/>
        <w:rPr>
          <w:rFonts w:ascii="Arial" w:hAnsi="Arial" w:cs="Arial"/>
          <w:color w:val="000000" w:themeColor="text1"/>
          <w:sz w:val="20"/>
          <w:szCs w:val="20"/>
        </w:rPr>
      </w:pPr>
      <w:r w:rsidRPr="00C13684">
        <w:rPr>
          <w:rFonts w:ascii="Arial" w:hAnsi="Arial" w:cs="Arial"/>
          <w:color w:val="000000" w:themeColor="text1"/>
          <w:sz w:val="20"/>
          <w:szCs w:val="20"/>
        </w:rPr>
        <w:t>Ear height (cm): from base to node of uppermost ear</w:t>
      </w:r>
    </w:p>
    <w:p w14:paraId="6F5EA325" w14:textId="77777777" w:rsidR="00C13684" w:rsidRPr="00C13684" w:rsidRDefault="00C13684" w:rsidP="003D21DF">
      <w:pPr>
        <w:pStyle w:val="ListParagraph"/>
        <w:numPr>
          <w:ilvl w:val="0"/>
          <w:numId w:val="5"/>
        </w:numPr>
        <w:spacing w:before="60" w:after="60"/>
        <w:rPr>
          <w:rFonts w:ascii="Arial" w:hAnsi="Arial" w:cs="Arial"/>
          <w:color w:val="000000" w:themeColor="text1"/>
          <w:sz w:val="20"/>
          <w:szCs w:val="20"/>
        </w:rPr>
      </w:pPr>
      <w:r w:rsidRPr="00C13684">
        <w:rPr>
          <w:rFonts w:ascii="Arial" w:hAnsi="Arial" w:cs="Arial"/>
          <w:color w:val="000000" w:themeColor="text1"/>
          <w:sz w:val="20"/>
          <w:szCs w:val="20"/>
        </w:rPr>
        <w:t>Measured at 63 DAS on five randomly selected competitive plants per plot</w:t>
      </w:r>
    </w:p>
    <w:p w14:paraId="1CA5C498" w14:textId="0BD1CC6D" w:rsidR="00C13684" w:rsidRPr="006355D2" w:rsidRDefault="00C13684" w:rsidP="003D21DF">
      <w:pPr>
        <w:spacing w:before="60" w:after="60"/>
        <w:rPr>
          <w:rFonts w:ascii="Arial" w:hAnsi="Arial" w:cs="Arial"/>
          <w:b/>
          <w:bCs/>
          <w:color w:val="000000" w:themeColor="text1"/>
        </w:rPr>
      </w:pPr>
      <w:r>
        <w:rPr>
          <w:rFonts w:ascii="Arial" w:hAnsi="Arial" w:cs="Arial"/>
          <w:b/>
          <w:bCs/>
          <w:color w:val="000000" w:themeColor="text1"/>
        </w:rPr>
        <w:t xml:space="preserve">2.4.3 </w:t>
      </w:r>
      <w:r w:rsidRPr="006355D2">
        <w:rPr>
          <w:rFonts w:ascii="Arial" w:hAnsi="Arial" w:cs="Arial"/>
          <w:b/>
          <w:bCs/>
          <w:color w:val="000000" w:themeColor="text1"/>
        </w:rPr>
        <w:t>Yield Components</w:t>
      </w:r>
      <w:r w:rsidR="008E5D48">
        <w:rPr>
          <w:rFonts w:ascii="Arial" w:hAnsi="Arial" w:cs="Arial"/>
          <w:b/>
          <w:bCs/>
          <w:color w:val="000000" w:themeColor="text1"/>
        </w:rPr>
        <w:t xml:space="preserve"> (</w:t>
      </w:r>
      <w:r w:rsidR="008E5D48" w:rsidRPr="008E5D48">
        <w:rPr>
          <w:rFonts w:ascii="Arial" w:hAnsi="Arial" w:cs="Arial"/>
          <w:b/>
          <w:bCs/>
          <w:color w:val="000000" w:themeColor="text1"/>
        </w:rPr>
        <w:t>Sampled from five representative ears per plot at harvest</w:t>
      </w:r>
      <w:r w:rsidR="008E5D48">
        <w:rPr>
          <w:rFonts w:ascii="Arial" w:hAnsi="Arial" w:cs="Arial"/>
          <w:b/>
          <w:bCs/>
          <w:color w:val="000000" w:themeColor="text1"/>
        </w:rPr>
        <w:t>)</w:t>
      </w:r>
    </w:p>
    <w:p w14:paraId="1E73C254" w14:textId="77777777" w:rsidR="00C13684" w:rsidRPr="00C13684" w:rsidRDefault="00C13684" w:rsidP="003D21DF">
      <w:pPr>
        <w:pStyle w:val="ListParagraph"/>
        <w:numPr>
          <w:ilvl w:val="0"/>
          <w:numId w:val="5"/>
        </w:numPr>
        <w:spacing w:before="60" w:after="60"/>
        <w:rPr>
          <w:rFonts w:ascii="Arial" w:hAnsi="Arial" w:cs="Arial"/>
          <w:color w:val="000000" w:themeColor="text1"/>
          <w:sz w:val="20"/>
          <w:szCs w:val="20"/>
        </w:rPr>
      </w:pPr>
      <w:r w:rsidRPr="00C13684">
        <w:rPr>
          <w:rFonts w:ascii="Arial" w:hAnsi="Arial" w:cs="Arial"/>
          <w:color w:val="000000" w:themeColor="text1"/>
          <w:sz w:val="20"/>
          <w:szCs w:val="20"/>
        </w:rPr>
        <w:t>Ear length (EL, cm)</w:t>
      </w:r>
    </w:p>
    <w:p w14:paraId="59F2D274" w14:textId="77777777" w:rsidR="00C13684" w:rsidRPr="00C13684" w:rsidRDefault="00C13684" w:rsidP="003D21DF">
      <w:pPr>
        <w:pStyle w:val="ListParagraph"/>
        <w:numPr>
          <w:ilvl w:val="0"/>
          <w:numId w:val="5"/>
        </w:numPr>
        <w:spacing w:before="60" w:after="60"/>
        <w:rPr>
          <w:rFonts w:ascii="Arial" w:hAnsi="Arial" w:cs="Arial"/>
          <w:color w:val="000000" w:themeColor="text1"/>
          <w:sz w:val="20"/>
          <w:szCs w:val="20"/>
        </w:rPr>
      </w:pPr>
      <w:r w:rsidRPr="00C13684">
        <w:rPr>
          <w:rFonts w:ascii="Arial" w:hAnsi="Arial" w:cs="Arial"/>
          <w:color w:val="000000" w:themeColor="text1"/>
          <w:sz w:val="20"/>
          <w:szCs w:val="20"/>
        </w:rPr>
        <w:t>Row length (RL, cm)</w:t>
      </w:r>
    </w:p>
    <w:p w14:paraId="53807FFC" w14:textId="77777777" w:rsidR="00C13684" w:rsidRPr="00C13684" w:rsidRDefault="00C13684" w:rsidP="003D21DF">
      <w:pPr>
        <w:pStyle w:val="ListParagraph"/>
        <w:numPr>
          <w:ilvl w:val="0"/>
          <w:numId w:val="5"/>
        </w:numPr>
        <w:spacing w:before="60" w:after="60"/>
        <w:rPr>
          <w:rFonts w:ascii="Arial" w:hAnsi="Arial" w:cs="Arial"/>
          <w:color w:val="000000" w:themeColor="text1"/>
          <w:sz w:val="20"/>
          <w:szCs w:val="20"/>
        </w:rPr>
      </w:pPr>
      <w:r w:rsidRPr="00C13684">
        <w:rPr>
          <w:rFonts w:ascii="Arial" w:hAnsi="Arial" w:cs="Arial"/>
          <w:color w:val="000000" w:themeColor="text1"/>
          <w:sz w:val="20"/>
          <w:szCs w:val="20"/>
        </w:rPr>
        <w:t>Ear diameter (ED, cm)</w:t>
      </w:r>
    </w:p>
    <w:p w14:paraId="03BACA35" w14:textId="77777777" w:rsidR="00C13684" w:rsidRPr="00C13684" w:rsidRDefault="00C13684" w:rsidP="003D21DF">
      <w:pPr>
        <w:pStyle w:val="ListParagraph"/>
        <w:numPr>
          <w:ilvl w:val="0"/>
          <w:numId w:val="5"/>
        </w:numPr>
        <w:spacing w:before="60" w:after="60"/>
        <w:rPr>
          <w:rFonts w:ascii="Arial" w:hAnsi="Arial" w:cs="Arial"/>
          <w:color w:val="000000" w:themeColor="text1"/>
          <w:sz w:val="20"/>
          <w:szCs w:val="20"/>
        </w:rPr>
      </w:pPr>
      <w:r w:rsidRPr="00C13684">
        <w:rPr>
          <w:rFonts w:ascii="Arial" w:hAnsi="Arial" w:cs="Arial"/>
          <w:color w:val="000000" w:themeColor="text1"/>
          <w:sz w:val="20"/>
          <w:szCs w:val="20"/>
        </w:rPr>
        <w:t>Number of rows per ear</w:t>
      </w:r>
    </w:p>
    <w:p w14:paraId="2FEBF6B2" w14:textId="77777777" w:rsidR="00C13684" w:rsidRPr="00C13684" w:rsidRDefault="00C13684" w:rsidP="003D21DF">
      <w:pPr>
        <w:pStyle w:val="ListParagraph"/>
        <w:numPr>
          <w:ilvl w:val="0"/>
          <w:numId w:val="5"/>
        </w:numPr>
        <w:spacing w:before="60" w:after="60"/>
        <w:rPr>
          <w:rFonts w:ascii="Arial" w:hAnsi="Arial" w:cs="Arial"/>
          <w:color w:val="000000" w:themeColor="text1"/>
          <w:sz w:val="20"/>
          <w:szCs w:val="20"/>
        </w:rPr>
      </w:pPr>
      <w:r w:rsidRPr="00C13684">
        <w:rPr>
          <w:rFonts w:ascii="Arial" w:hAnsi="Arial" w:cs="Arial"/>
          <w:color w:val="000000" w:themeColor="text1"/>
          <w:sz w:val="20"/>
          <w:szCs w:val="20"/>
        </w:rPr>
        <w:t>Number of kernels per row</w:t>
      </w:r>
    </w:p>
    <w:p w14:paraId="34C66019" w14:textId="504CE355" w:rsidR="00C13684" w:rsidRPr="006355D2" w:rsidRDefault="00C13684" w:rsidP="003D21DF">
      <w:pPr>
        <w:spacing w:before="60" w:after="60"/>
        <w:jc w:val="both"/>
        <w:rPr>
          <w:rFonts w:ascii="Arial" w:hAnsi="Arial" w:cs="Arial"/>
          <w:b/>
          <w:bCs/>
          <w:color w:val="000000" w:themeColor="text1"/>
        </w:rPr>
      </w:pPr>
      <w:r>
        <w:rPr>
          <w:rFonts w:ascii="Arial" w:hAnsi="Arial" w:cs="Arial"/>
          <w:b/>
          <w:bCs/>
          <w:color w:val="000000" w:themeColor="text1"/>
        </w:rPr>
        <w:t xml:space="preserve">2.4.4 </w:t>
      </w:r>
      <w:r w:rsidRPr="006355D2">
        <w:rPr>
          <w:rFonts w:ascii="Arial" w:hAnsi="Arial" w:cs="Arial"/>
          <w:b/>
          <w:bCs/>
          <w:color w:val="000000" w:themeColor="text1"/>
        </w:rPr>
        <w:t>Grain Quality and Yield:</w:t>
      </w:r>
    </w:p>
    <w:p w14:paraId="396169DC" w14:textId="77777777" w:rsidR="00C13684" w:rsidRPr="00C13684" w:rsidRDefault="00C13684" w:rsidP="003D21DF">
      <w:pPr>
        <w:pStyle w:val="ListParagraph"/>
        <w:numPr>
          <w:ilvl w:val="0"/>
          <w:numId w:val="5"/>
        </w:numPr>
        <w:spacing w:before="60" w:after="60"/>
        <w:rPr>
          <w:rFonts w:ascii="Arial" w:hAnsi="Arial" w:cs="Arial"/>
          <w:color w:val="000000" w:themeColor="text1"/>
          <w:sz w:val="20"/>
          <w:szCs w:val="20"/>
        </w:rPr>
      </w:pPr>
      <w:r w:rsidRPr="00C13684">
        <w:rPr>
          <w:rFonts w:ascii="Arial" w:hAnsi="Arial" w:cs="Arial"/>
          <w:color w:val="000000" w:themeColor="text1"/>
          <w:sz w:val="20"/>
          <w:szCs w:val="20"/>
        </w:rPr>
        <w:t>Shelling percentage (%) = (grain dry weight / ear dry weight) × 100</w:t>
      </w:r>
    </w:p>
    <w:p w14:paraId="69270166" w14:textId="6FD81AF5" w:rsidR="00C13684" w:rsidRPr="00C13684" w:rsidRDefault="00C13684" w:rsidP="003D21DF">
      <w:pPr>
        <w:pStyle w:val="ListParagraph"/>
        <w:numPr>
          <w:ilvl w:val="0"/>
          <w:numId w:val="5"/>
        </w:numPr>
        <w:spacing w:before="60" w:after="60"/>
        <w:rPr>
          <w:rFonts w:ascii="Arial" w:hAnsi="Arial" w:cs="Arial"/>
          <w:color w:val="000000" w:themeColor="text1"/>
          <w:sz w:val="20"/>
          <w:szCs w:val="20"/>
        </w:rPr>
      </w:pPr>
      <w:r w:rsidRPr="00C13684">
        <w:rPr>
          <w:rFonts w:ascii="Arial" w:hAnsi="Arial" w:cs="Arial"/>
          <w:color w:val="000000" w:themeColor="text1"/>
          <w:sz w:val="20"/>
          <w:szCs w:val="20"/>
        </w:rPr>
        <w:t>1000-seed weight (g) at 14% moisture</w:t>
      </w:r>
    </w:p>
    <w:p w14:paraId="186D9626" w14:textId="77777777" w:rsidR="00C13684" w:rsidRPr="00C13684" w:rsidRDefault="00C13684" w:rsidP="003D21DF">
      <w:pPr>
        <w:pStyle w:val="ListParagraph"/>
        <w:numPr>
          <w:ilvl w:val="0"/>
          <w:numId w:val="5"/>
        </w:numPr>
        <w:spacing w:before="60" w:after="60"/>
        <w:rPr>
          <w:rFonts w:ascii="Arial" w:hAnsi="Arial" w:cs="Arial"/>
          <w:color w:val="000000" w:themeColor="text1"/>
          <w:sz w:val="20"/>
          <w:szCs w:val="20"/>
        </w:rPr>
      </w:pPr>
      <w:r w:rsidRPr="00C13684">
        <w:rPr>
          <w:rFonts w:ascii="Arial" w:hAnsi="Arial" w:cs="Arial"/>
          <w:color w:val="000000" w:themeColor="text1"/>
          <w:sz w:val="20"/>
          <w:szCs w:val="20"/>
        </w:rPr>
        <w:t>Grain yield (t ha</w:t>
      </w:r>
      <w:r w:rsidRPr="00C13684">
        <w:rPr>
          <w:rFonts w:ascii="Cambria Math" w:hAnsi="Cambria Math" w:cs="Cambria Math"/>
          <w:color w:val="000000" w:themeColor="text1"/>
          <w:sz w:val="20"/>
          <w:szCs w:val="20"/>
        </w:rPr>
        <w:t>⁻</w:t>
      </w:r>
      <w:r w:rsidRPr="00C13684">
        <w:rPr>
          <w:rFonts w:ascii="Arial" w:hAnsi="Arial" w:cs="Arial"/>
          <w:color w:val="000000" w:themeColor="text1"/>
          <w:sz w:val="20"/>
          <w:szCs w:val="20"/>
        </w:rPr>
        <w:t>¹) calculated as:</w:t>
      </w:r>
    </w:p>
    <w:p w14:paraId="3F25FF74" w14:textId="624732DD" w:rsidR="00C13684" w:rsidRPr="00C13684" w:rsidRDefault="00C13684" w:rsidP="003D21DF">
      <w:pPr>
        <w:pStyle w:val="ListParagraph"/>
        <w:numPr>
          <w:ilvl w:val="0"/>
          <w:numId w:val="5"/>
        </w:numPr>
        <w:spacing w:before="60" w:after="60"/>
        <w:rPr>
          <w:rFonts w:ascii="Arial" w:hAnsi="Arial" w:cs="Arial"/>
          <w:color w:val="000000" w:themeColor="text1"/>
          <w:sz w:val="20"/>
          <w:szCs w:val="20"/>
        </w:rPr>
      </w:pPr>
      <w:r w:rsidRPr="00C13684">
        <w:rPr>
          <w:rFonts w:ascii="Arial" w:hAnsi="Arial" w:cs="Arial"/>
          <w:color w:val="000000" w:themeColor="text1"/>
          <w:sz w:val="20"/>
          <w:szCs w:val="20"/>
        </w:rPr>
        <w:t>Grain yield</w:t>
      </w:r>
      <w:r w:rsidR="00F661BD">
        <w:rPr>
          <w:rFonts w:ascii="Arial" w:hAnsi="Arial" w:cs="Arial"/>
          <w:color w:val="000000" w:themeColor="text1"/>
          <w:sz w:val="20"/>
          <w:szCs w:val="20"/>
        </w:rPr>
        <w:t xml:space="preserve"> </w:t>
      </w:r>
      <w:r w:rsidRPr="00C13684">
        <w:rPr>
          <w:rFonts w:ascii="Arial" w:hAnsi="Arial" w:cs="Arial"/>
          <w:color w:val="000000" w:themeColor="text1"/>
          <w:sz w:val="20"/>
          <w:szCs w:val="20"/>
        </w:rPr>
        <w:t>=</w:t>
      </w:r>
      <w:r w:rsidR="00F661BD">
        <w:rPr>
          <w:rFonts w:ascii="Arial" w:hAnsi="Arial" w:cs="Arial"/>
          <w:color w:val="000000" w:themeColor="text1"/>
          <w:sz w:val="20"/>
          <w:szCs w:val="20"/>
        </w:rPr>
        <w:t xml:space="preserve"> </w:t>
      </w:r>
      <w:r w:rsidRPr="00C13684">
        <w:rPr>
          <w:rFonts w:ascii="Arial" w:hAnsi="Arial" w:cs="Arial"/>
          <w:color w:val="000000" w:themeColor="text1"/>
          <w:sz w:val="20"/>
          <w:szCs w:val="20"/>
        </w:rPr>
        <w:t>85</w:t>
      </w:r>
      <w:r w:rsidR="00F661BD">
        <w:rPr>
          <w:rFonts w:ascii="Arial" w:hAnsi="Arial" w:cs="Arial"/>
          <w:color w:val="000000" w:themeColor="text1"/>
          <w:sz w:val="20"/>
          <w:szCs w:val="20"/>
        </w:rPr>
        <w:t xml:space="preserve"> </w:t>
      </w:r>
      <w:r w:rsidRPr="00C13684">
        <w:rPr>
          <w:rFonts w:ascii="Arial" w:hAnsi="Arial" w:cs="Arial"/>
          <w:color w:val="000000" w:themeColor="text1"/>
          <w:sz w:val="20"/>
          <w:szCs w:val="20"/>
        </w:rPr>
        <w:t>(100</w:t>
      </w:r>
      <w:r w:rsidR="00F661BD">
        <w:rPr>
          <w:rFonts w:ascii="Arial" w:hAnsi="Arial" w:cs="Arial"/>
          <w:color w:val="000000" w:themeColor="text1"/>
          <w:sz w:val="20"/>
          <w:szCs w:val="20"/>
        </w:rPr>
        <w:t xml:space="preserve"> </w:t>
      </w:r>
      <w:r w:rsidRPr="00C13684">
        <w:rPr>
          <w:rFonts w:ascii="Arial" w:hAnsi="Arial" w:cs="Arial"/>
          <w:color w:val="000000" w:themeColor="text1"/>
          <w:sz w:val="20"/>
          <w:szCs w:val="20"/>
        </w:rPr>
        <w:t>−</w:t>
      </w:r>
      <w:r w:rsidR="00F661BD">
        <w:rPr>
          <w:rFonts w:ascii="Arial" w:hAnsi="Arial" w:cs="Arial"/>
          <w:color w:val="000000" w:themeColor="text1"/>
          <w:sz w:val="20"/>
          <w:szCs w:val="20"/>
        </w:rPr>
        <w:t xml:space="preserve"> </w:t>
      </w:r>
      <w:r w:rsidRPr="00C13684">
        <w:rPr>
          <w:rFonts w:ascii="Arial" w:hAnsi="Arial" w:cs="Arial"/>
          <w:color w:val="000000" w:themeColor="text1"/>
          <w:sz w:val="20"/>
          <w:szCs w:val="20"/>
        </w:rPr>
        <w:t>Moisture%)</w:t>
      </w:r>
      <w:r w:rsidR="00F661BD">
        <w:rPr>
          <w:rFonts w:ascii="Arial" w:hAnsi="Arial" w:cs="Arial"/>
          <w:color w:val="000000" w:themeColor="text1"/>
          <w:sz w:val="20"/>
          <w:szCs w:val="20"/>
        </w:rPr>
        <w:t xml:space="preserve"> </w:t>
      </w:r>
      <w:r w:rsidRPr="00C13684">
        <w:rPr>
          <w:rFonts w:ascii="Arial" w:hAnsi="Arial" w:cs="Arial"/>
          <w:color w:val="000000" w:themeColor="text1"/>
          <w:sz w:val="20"/>
          <w:szCs w:val="20"/>
        </w:rPr>
        <w:t>×</w:t>
      </w:r>
      <w:r w:rsidR="00F661BD">
        <w:rPr>
          <w:rFonts w:ascii="Arial" w:hAnsi="Arial" w:cs="Arial"/>
          <w:color w:val="000000" w:themeColor="text1"/>
          <w:sz w:val="20"/>
          <w:szCs w:val="20"/>
        </w:rPr>
        <w:t xml:space="preserve"> </w:t>
      </w:r>
      <w:r w:rsidRPr="00C13684">
        <w:rPr>
          <w:rFonts w:ascii="Arial" w:hAnsi="Arial" w:cs="Arial"/>
          <w:color w:val="000000" w:themeColor="text1"/>
          <w:sz w:val="20"/>
          <w:szCs w:val="20"/>
        </w:rPr>
        <w:t>Field weight (kg)</w:t>
      </w:r>
      <w:r w:rsidR="00F661BD">
        <w:rPr>
          <w:rFonts w:ascii="Arial" w:hAnsi="Arial" w:cs="Arial"/>
          <w:color w:val="000000" w:themeColor="text1"/>
          <w:sz w:val="20"/>
          <w:szCs w:val="20"/>
        </w:rPr>
        <w:t xml:space="preserve"> </w:t>
      </w:r>
      <w:r w:rsidRPr="00C13684">
        <w:rPr>
          <w:rFonts w:ascii="Arial" w:hAnsi="Arial" w:cs="Arial"/>
          <w:color w:val="000000" w:themeColor="text1"/>
          <w:sz w:val="20"/>
          <w:szCs w:val="20"/>
        </w:rPr>
        <w:t>×</w:t>
      </w:r>
      <w:r w:rsidR="00F661BD">
        <w:rPr>
          <w:rFonts w:ascii="Arial" w:hAnsi="Arial" w:cs="Arial"/>
          <w:color w:val="000000" w:themeColor="text1"/>
          <w:sz w:val="20"/>
          <w:szCs w:val="20"/>
        </w:rPr>
        <w:t xml:space="preserve"> </w:t>
      </w:r>
      <w:r w:rsidRPr="00C13684">
        <w:rPr>
          <w:rFonts w:ascii="Arial" w:hAnsi="Arial" w:cs="Arial"/>
          <w:color w:val="000000" w:themeColor="text1"/>
          <w:sz w:val="20"/>
          <w:szCs w:val="20"/>
        </w:rPr>
        <w:t>Shelling%​</w:t>
      </w:r>
      <w:r w:rsidR="00F661BD">
        <w:rPr>
          <w:rFonts w:ascii="Arial" w:hAnsi="Arial" w:cs="Arial"/>
          <w:color w:val="000000" w:themeColor="text1"/>
          <w:sz w:val="20"/>
          <w:szCs w:val="20"/>
        </w:rPr>
        <w:t xml:space="preserve"> </w:t>
      </w:r>
      <w:r w:rsidRPr="00C13684">
        <w:rPr>
          <w:rFonts w:ascii="Arial" w:hAnsi="Arial" w:cs="Arial"/>
          <w:color w:val="000000" w:themeColor="text1"/>
          <w:sz w:val="20"/>
          <w:szCs w:val="20"/>
        </w:rPr>
        <w:t>×</w:t>
      </w:r>
      <w:r w:rsidR="00F661BD">
        <w:rPr>
          <w:rFonts w:ascii="Arial" w:hAnsi="Arial" w:cs="Arial"/>
          <w:color w:val="000000" w:themeColor="text1"/>
          <w:sz w:val="20"/>
          <w:szCs w:val="20"/>
        </w:rPr>
        <w:t xml:space="preserve"> </w:t>
      </w:r>
      <w:r w:rsidRPr="00C13684">
        <w:rPr>
          <w:rFonts w:ascii="Arial" w:hAnsi="Arial" w:cs="Arial"/>
          <w:color w:val="000000" w:themeColor="text1"/>
          <w:sz w:val="20"/>
          <w:szCs w:val="20"/>
        </w:rPr>
        <w:t>Harvest area (m²)</w:t>
      </w:r>
      <w:r w:rsidR="00F661BD">
        <w:rPr>
          <w:rFonts w:ascii="Arial" w:hAnsi="Arial" w:cs="Arial"/>
          <w:color w:val="000000" w:themeColor="text1"/>
          <w:sz w:val="20"/>
          <w:szCs w:val="20"/>
        </w:rPr>
        <w:t xml:space="preserve"> </w:t>
      </w:r>
      <w:r w:rsidR="00F661BD" w:rsidRPr="00F661BD">
        <w:rPr>
          <w:rFonts w:ascii="Arial" w:hAnsi="Arial" w:cs="Arial"/>
          <w:color w:val="000000" w:themeColor="text1"/>
          <w:sz w:val="20"/>
          <w:szCs w:val="20"/>
        </w:rPr>
        <w:t>×</w:t>
      </w:r>
      <w:r w:rsidR="00F661BD">
        <w:rPr>
          <w:rFonts w:ascii="Arial" w:hAnsi="Arial" w:cs="Arial"/>
          <w:color w:val="000000" w:themeColor="text1"/>
          <w:sz w:val="20"/>
          <w:szCs w:val="20"/>
        </w:rPr>
        <w:t xml:space="preserve"> </w:t>
      </w:r>
      <w:r w:rsidRPr="00C13684">
        <w:rPr>
          <w:rFonts w:ascii="Arial" w:hAnsi="Arial" w:cs="Arial"/>
          <w:color w:val="000000" w:themeColor="text1"/>
          <w:sz w:val="20"/>
          <w:szCs w:val="20"/>
        </w:rPr>
        <w:t>10,000</w:t>
      </w:r>
      <w:r w:rsidR="00F661BD">
        <w:rPr>
          <w:rFonts w:ascii="Arial" w:hAnsi="Arial" w:cs="Arial"/>
          <w:color w:val="000000" w:themeColor="text1"/>
          <w:sz w:val="20"/>
          <w:szCs w:val="20"/>
        </w:rPr>
        <w:t xml:space="preserve"> </w:t>
      </w:r>
      <w:r w:rsidRPr="00C13684">
        <w:rPr>
          <w:rFonts w:ascii="Arial" w:hAnsi="Arial" w:cs="Arial"/>
          <w:color w:val="000000" w:themeColor="text1"/>
          <w:sz w:val="20"/>
          <w:szCs w:val="20"/>
        </w:rPr>
        <w:t>​÷</w:t>
      </w:r>
      <w:r w:rsidR="00F661BD">
        <w:rPr>
          <w:rFonts w:ascii="Arial" w:hAnsi="Arial" w:cs="Arial"/>
          <w:color w:val="000000" w:themeColor="text1"/>
          <w:sz w:val="20"/>
          <w:szCs w:val="20"/>
        </w:rPr>
        <w:t xml:space="preserve"> </w:t>
      </w:r>
      <w:r w:rsidRPr="00C13684">
        <w:rPr>
          <w:rFonts w:ascii="Arial" w:hAnsi="Arial" w:cs="Arial"/>
          <w:color w:val="000000" w:themeColor="text1"/>
          <w:sz w:val="20"/>
          <w:szCs w:val="20"/>
        </w:rPr>
        <w:t>1,000</w:t>
      </w:r>
    </w:p>
    <w:p w14:paraId="2FC5E234" w14:textId="4998DF66" w:rsidR="00C13684" w:rsidRDefault="00C13684" w:rsidP="003D21DF">
      <w:pPr>
        <w:spacing w:before="60" w:after="60"/>
        <w:jc w:val="both"/>
        <w:rPr>
          <w:rFonts w:ascii="Arial" w:hAnsi="Arial" w:cs="Arial"/>
          <w:b/>
          <w:bCs/>
          <w:color w:val="000000" w:themeColor="text1"/>
        </w:rPr>
      </w:pPr>
      <w:r>
        <w:rPr>
          <w:rFonts w:ascii="Arial" w:hAnsi="Arial" w:cs="Arial"/>
          <w:b/>
          <w:bCs/>
          <w:color w:val="000000" w:themeColor="text1"/>
        </w:rPr>
        <w:t xml:space="preserve">2.5 </w:t>
      </w:r>
      <w:r w:rsidRPr="006355D2">
        <w:rPr>
          <w:rFonts w:ascii="Arial" w:hAnsi="Arial" w:cs="Arial"/>
          <w:b/>
          <w:bCs/>
          <w:color w:val="000000" w:themeColor="text1"/>
        </w:rPr>
        <w:t>Statistical Analysis</w:t>
      </w:r>
    </w:p>
    <w:p w14:paraId="2BE0C16C" w14:textId="77777777" w:rsidR="009E4FEF" w:rsidRPr="009E4FEF" w:rsidRDefault="009E4FEF" w:rsidP="009E4FEF">
      <w:pPr>
        <w:spacing w:before="60" w:after="60"/>
        <w:ind w:firstLine="720"/>
        <w:jc w:val="both"/>
        <w:rPr>
          <w:rFonts w:ascii="Arial" w:hAnsi="Arial" w:cs="Arial"/>
          <w:color w:val="000000" w:themeColor="text1"/>
        </w:rPr>
      </w:pPr>
      <w:r w:rsidRPr="009E4FEF">
        <w:rPr>
          <w:rFonts w:ascii="Arial" w:hAnsi="Arial" w:cs="Arial"/>
          <w:color w:val="000000" w:themeColor="text1"/>
        </w:rPr>
        <w:t xml:space="preserve">Data were analyzed using ANOVA under RCBD. Mean comparisons were made using the Least Significant Difference (LSD) test at </w:t>
      </w:r>
      <w:r w:rsidRPr="009E4FEF">
        <w:rPr>
          <w:rFonts w:ascii="Arial" w:hAnsi="Arial" w:cs="Arial"/>
          <w:i/>
          <w:iCs/>
          <w:color w:val="000000" w:themeColor="text1"/>
        </w:rPr>
        <w:t>P</w:t>
      </w:r>
      <w:r w:rsidRPr="009E4FEF">
        <w:rPr>
          <w:rFonts w:ascii="Arial" w:hAnsi="Arial" w:cs="Arial"/>
          <w:color w:val="000000" w:themeColor="text1"/>
        </w:rPr>
        <w:t xml:space="preserve"> &lt; 0.05. Analyses were performed using </w:t>
      </w:r>
      <w:proofErr w:type="spellStart"/>
      <w:r w:rsidRPr="009E4FEF">
        <w:rPr>
          <w:rFonts w:ascii="Arial" w:hAnsi="Arial" w:cs="Arial"/>
          <w:color w:val="000000" w:themeColor="text1"/>
        </w:rPr>
        <w:t>Statistix</w:t>
      </w:r>
      <w:proofErr w:type="spellEnd"/>
      <w:r w:rsidRPr="009E4FEF">
        <w:rPr>
          <w:rFonts w:ascii="Arial" w:hAnsi="Arial" w:cs="Arial"/>
          <w:color w:val="000000" w:themeColor="text1"/>
        </w:rPr>
        <w:t xml:space="preserve"> 8. Coefficients of variation (CV%) were calculated to assess data reliability.</w:t>
      </w:r>
    </w:p>
    <w:p w14:paraId="65A992B9" w14:textId="77777777" w:rsidR="009E4FEF" w:rsidRDefault="009E4FEF" w:rsidP="003D21DF">
      <w:pPr>
        <w:spacing w:before="60" w:after="60"/>
        <w:jc w:val="both"/>
        <w:rPr>
          <w:rFonts w:ascii="Arial" w:hAnsi="Arial" w:cs="Arial"/>
          <w:b/>
          <w:bCs/>
          <w:color w:val="000000" w:themeColor="text1"/>
        </w:rPr>
      </w:pPr>
    </w:p>
    <w:p w14:paraId="17ADC364" w14:textId="77777777" w:rsidR="009E4FEF" w:rsidRDefault="009E4FEF" w:rsidP="003D21DF">
      <w:pPr>
        <w:spacing w:before="60" w:after="60"/>
        <w:jc w:val="both"/>
        <w:rPr>
          <w:rFonts w:ascii="Arial" w:hAnsi="Arial" w:cs="Arial"/>
          <w:b/>
          <w:bCs/>
          <w:color w:val="000000" w:themeColor="text1"/>
        </w:rPr>
      </w:pPr>
    </w:p>
    <w:p w14:paraId="6C998A04" w14:textId="77777777" w:rsidR="009E4FEF" w:rsidRPr="006355D2" w:rsidRDefault="009E4FEF" w:rsidP="003D21DF">
      <w:pPr>
        <w:spacing w:before="60" w:after="60"/>
        <w:jc w:val="both"/>
        <w:rPr>
          <w:rFonts w:ascii="Arial" w:hAnsi="Arial" w:cs="Arial"/>
          <w:b/>
          <w:bCs/>
          <w:color w:val="000000" w:themeColor="text1"/>
        </w:rPr>
      </w:pPr>
    </w:p>
    <w:p w14:paraId="5422C7BD" w14:textId="06A3F9F8" w:rsidR="009E4FEF" w:rsidRDefault="005117F1" w:rsidP="003D21DF">
      <w:pPr>
        <w:spacing w:before="60" w:after="120"/>
        <w:ind w:firstLine="720"/>
        <w:jc w:val="both"/>
        <w:rPr>
          <w:rFonts w:ascii="Arial" w:hAnsi="Arial" w:cs="Arial"/>
          <w:color w:val="000000" w:themeColor="text1"/>
        </w:rPr>
      </w:pPr>
      <w:r w:rsidRPr="006355D2">
        <w:rPr>
          <w:rFonts w:ascii="Arial" w:hAnsi="Arial" w:cs="Arial"/>
          <w:noProof/>
          <w:color w:val="000000" w:themeColor="text1"/>
        </w:rPr>
        <w:lastRenderedPageBreak/>
        <w:drawing>
          <wp:inline distT="0" distB="0" distL="0" distR="0" wp14:anchorId="722D7B32" wp14:editId="01C7A3D0">
            <wp:extent cx="4469130" cy="2681605"/>
            <wp:effectExtent l="0" t="0" r="7620" b="4445"/>
            <wp:docPr id="2063817501" name="Chart 1">
              <a:extLst xmlns:a="http://schemas.openxmlformats.org/drawingml/2006/main">
                <a:ext uri="{FF2B5EF4-FFF2-40B4-BE49-F238E27FC236}">
                  <a16:creationId xmlns:a16="http://schemas.microsoft.com/office/drawing/2014/main" id="{584BB5D5-C848-6A14-3B25-828166EB5E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DAA48AF" w14:textId="645A5DBC" w:rsidR="00C13684" w:rsidRDefault="00C13684" w:rsidP="009E4FEF">
      <w:pPr>
        <w:spacing w:before="240" w:after="60"/>
        <w:ind w:left="900" w:hanging="900"/>
        <w:jc w:val="both"/>
        <w:rPr>
          <w:rFonts w:ascii="Arial" w:hAnsi="Arial" w:cs="Arial"/>
          <w:b/>
          <w:bCs/>
          <w:color w:val="000000" w:themeColor="text1"/>
        </w:rPr>
      </w:pPr>
      <w:bookmarkStart w:id="0" w:name="_Toc207639968"/>
      <w:r w:rsidRPr="006355D2">
        <w:rPr>
          <w:rFonts w:ascii="Arial" w:hAnsi="Arial" w:cs="Arial"/>
          <w:b/>
          <w:bCs/>
          <w:color w:val="000000" w:themeColor="text1"/>
        </w:rPr>
        <w:t xml:space="preserve">Figure 1. Monthly </w:t>
      </w:r>
      <w:r w:rsidR="009701C0">
        <w:rPr>
          <w:rFonts w:ascii="Arial" w:hAnsi="Arial" w:cs="Arial"/>
          <w:b/>
          <w:bCs/>
          <w:color w:val="000000" w:themeColor="text1"/>
        </w:rPr>
        <w:t xml:space="preserve">weather </w:t>
      </w:r>
      <w:r w:rsidRPr="006355D2">
        <w:rPr>
          <w:rFonts w:ascii="Arial" w:hAnsi="Arial" w:cs="Arial"/>
          <w:b/>
          <w:bCs/>
          <w:color w:val="000000" w:themeColor="text1"/>
        </w:rPr>
        <w:t xml:space="preserve">data on maximum and minimum temperatures and rainfall in </w:t>
      </w:r>
      <w:proofErr w:type="spellStart"/>
      <w:r w:rsidRPr="006355D2">
        <w:rPr>
          <w:rFonts w:ascii="Arial" w:hAnsi="Arial" w:cs="Arial"/>
          <w:b/>
          <w:bCs/>
          <w:color w:val="000000" w:themeColor="text1"/>
        </w:rPr>
        <w:t>Yezin</w:t>
      </w:r>
      <w:proofErr w:type="spellEnd"/>
      <w:r w:rsidRPr="006355D2">
        <w:rPr>
          <w:rFonts w:ascii="Arial" w:hAnsi="Arial" w:cs="Arial"/>
          <w:b/>
          <w:bCs/>
          <w:color w:val="000000" w:themeColor="text1"/>
        </w:rPr>
        <w:t xml:space="preserve"> during the experimental period</w:t>
      </w:r>
      <w:bookmarkEnd w:id="0"/>
      <w:r w:rsidRPr="006355D2">
        <w:rPr>
          <w:rFonts w:ascii="Arial" w:hAnsi="Arial" w:cs="Arial"/>
          <w:b/>
          <w:bCs/>
          <w:color w:val="000000" w:themeColor="text1"/>
        </w:rPr>
        <w:t xml:space="preserve"> (December 2024 to August 2025)</w:t>
      </w:r>
    </w:p>
    <w:p w14:paraId="49B73256" w14:textId="77777777" w:rsidR="009E4FEF" w:rsidRPr="006355D2" w:rsidRDefault="009E4FEF" w:rsidP="009E4FEF">
      <w:pPr>
        <w:spacing w:before="240" w:after="60"/>
        <w:ind w:left="900" w:hanging="900"/>
        <w:jc w:val="both"/>
        <w:rPr>
          <w:rFonts w:ascii="Arial" w:hAnsi="Arial" w:cs="Arial"/>
          <w:b/>
          <w:bCs/>
          <w:color w:val="000000" w:themeColor="text1"/>
        </w:rPr>
      </w:pPr>
    </w:p>
    <w:p w14:paraId="428ADDAC" w14:textId="1C51A59B" w:rsidR="009E4FEF" w:rsidRDefault="009E4FEF" w:rsidP="009E4FEF">
      <w:pPr>
        <w:tabs>
          <w:tab w:val="left" w:pos="720"/>
          <w:tab w:val="left" w:pos="1260"/>
          <w:tab w:val="left" w:pos="1620"/>
        </w:tabs>
        <w:jc w:val="both"/>
        <w:rPr>
          <w:rFonts w:ascii="Arial" w:hAnsi="Arial" w:cs="Arial"/>
          <w:b/>
          <w:bCs/>
        </w:rPr>
      </w:pPr>
      <w:r w:rsidRPr="00115A3C">
        <w:rPr>
          <w:rFonts w:ascii="Arial" w:hAnsi="Arial" w:cs="Arial"/>
          <w:b/>
          <w:bCs/>
        </w:rPr>
        <w:t xml:space="preserve">Table </w:t>
      </w:r>
      <w:r>
        <w:rPr>
          <w:rFonts w:ascii="Arial" w:hAnsi="Arial" w:cs="Arial"/>
          <w:b/>
          <w:bCs/>
        </w:rPr>
        <w:t>1</w:t>
      </w:r>
      <w:r w:rsidRPr="00115A3C">
        <w:rPr>
          <w:rFonts w:ascii="Arial" w:hAnsi="Arial" w:cs="Arial"/>
          <w:b/>
          <w:bCs/>
        </w:rPr>
        <w:t xml:space="preserve">. </w:t>
      </w:r>
      <w:r w:rsidRPr="005360DC">
        <w:rPr>
          <w:rFonts w:ascii="Arial" w:hAnsi="Arial" w:cs="Arial"/>
          <w:b/>
          <w:bCs/>
        </w:rPr>
        <w:t>Physicochemical properties of experimental soil</w:t>
      </w:r>
    </w:p>
    <w:p w14:paraId="52F95EC3" w14:textId="77777777" w:rsidR="009E4FEF" w:rsidRDefault="009E4FEF" w:rsidP="009E4FEF">
      <w:pPr>
        <w:tabs>
          <w:tab w:val="left" w:pos="720"/>
          <w:tab w:val="left" w:pos="1260"/>
          <w:tab w:val="left" w:pos="1620"/>
        </w:tabs>
        <w:jc w:val="both"/>
        <w:rPr>
          <w:rFonts w:ascii="Arial" w:hAnsi="Arial" w:cs="Arial"/>
          <w:b/>
          <w:bCs/>
        </w:rPr>
      </w:pPr>
    </w:p>
    <w:tbl>
      <w:tblPr>
        <w:tblW w:w="6336" w:type="dxa"/>
        <w:jc w:val="center"/>
        <w:tblLook w:val="04A0" w:firstRow="1" w:lastRow="0" w:firstColumn="1" w:lastColumn="0" w:noHBand="0" w:noVBand="1"/>
      </w:tblPr>
      <w:tblGrid>
        <w:gridCol w:w="2736"/>
        <w:gridCol w:w="1152"/>
        <w:gridCol w:w="2304"/>
        <w:gridCol w:w="144"/>
      </w:tblGrid>
      <w:tr w:rsidR="009E4FEF" w:rsidRPr="009E4FEF" w14:paraId="29086E5B" w14:textId="77777777" w:rsidTr="007827F0">
        <w:trPr>
          <w:gridAfter w:val="1"/>
          <w:wAfter w:w="144" w:type="dxa"/>
          <w:trHeight w:val="432"/>
          <w:jc w:val="center"/>
        </w:trPr>
        <w:tc>
          <w:tcPr>
            <w:tcW w:w="2736" w:type="dxa"/>
            <w:tcBorders>
              <w:top w:val="single" w:sz="4" w:space="0" w:color="auto"/>
              <w:left w:val="nil"/>
              <w:bottom w:val="single" w:sz="4" w:space="0" w:color="auto"/>
              <w:right w:val="nil"/>
            </w:tcBorders>
            <w:noWrap/>
            <w:vAlign w:val="center"/>
            <w:hideMark/>
          </w:tcPr>
          <w:p w14:paraId="507C140C" w14:textId="77777777" w:rsidR="009E4FEF" w:rsidRPr="009E4FEF" w:rsidRDefault="009E4FEF" w:rsidP="009E4FEF">
            <w:pPr>
              <w:tabs>
                <w:tab w:val="left" w:pos="720"/>
                <w:tab w:val="left" w:pos="1260"/>
                <w:tab w:val="left" w:pos="1620"/>
              </w:tabs>
              <w:spacing w:after="160"/>
              <w:jc w:val="center"/>
              <w:rPr>
                <w:rFonts w:ascii="Arial" w:eastAsia="Aptos" w:hAnsi="Arial" w:cs="Arial"/>
                <w:b/>
                <w:bCs/>
                <w:kern w:val="2"/>
                <w14:ligatures w14:val="standardContextual"/>
              </w:rPr>
            </w:pPr>
            <w:r w:rsidRPr="009E4FEF">
              <w:rPr>
                <w:rFonts w:ascii="Arial" w:eastAsia="Aptos" w:hAnsi="Arial" w:cs="Arial"/>
                <w:b/>
                <w:bCs/>
                <w:kern w:val="2"/>
                <w14:ligatures w14:val="standardContextual"/>
              </w:rPr>
              <w:t>Characteristics</w:t>
            </w:r>
          </w:p>
        </w:tc>
        <w:tc>
          <w:tcPr>
            <w:tcW w:w="1152" w:type="dxa"/>
            <w:tcBorders>
              <w:top w:val="single" w:sz="4" w:space="0" w:color="auto"/>
              <w:left w:val="nil"/>
              <w:bottom w:val="single" w:sz="4" w:space="0" w:color="auto"/>
              <w:right w:val="nil"/>
            </w:tcBorders>
            <w:noWrap/>
            <w:vAlign w:val="center"/>
            <w:hideMark/>
          </w:tcPr>
          <w:p w14:paraId="4319E9E6" w14:textId="77777777" w:rsidR="009E4FEF" w:rsidRPr="009E4FEF" w:rsidRDefault="009E4FEF" w:rsidP="009E4FEF">
            <w:pPr>
              <w:tabs>
                <w:tab w:val="left" w:pos="720"/>
                <w:tab w:val="left" w:pos="1260"/>
                <w:tab w:val="left" w:pos="1620"/>
              </w:tabs>
              <w:spacing w:after="160"/>
              <w:jc w:val="both"/>
              <w:rPr>
                <w:rFonts w:ascii="Arial" w:eastAsia="Aptos" w:hAnsi="Arial" w:cs="Arial"/>
                <w:b/>
                <w:bCs/>
                <w:kern w:val="2"/>
                <w14:ligatures w14:val="standardContextual"/>
              </w:rPr>
            </w:pPr>
            <w:r w:rsidRPr="009E4FEF">
              <w:rPr>
                <w:rFonts w:ascii="Arial" w:eastAsia="Aptos" w:hAnsi="Arial" w:cs="Arial"/>
                <w:b/>
                <w:bCs/>
                <w:kern w:val="2"/>
                <w14:ligatures w14:val="standardContextual"/>
              </w:rPr>
              <w:t> </w:t>
            </w:r>
          </w:p>
        </w:tc>
        <w:tc>
          <w:tcPr>
            <w:tcW w:w="2304" w:type="dxa"/>
            <w:tcBorders>
              <w:top w:val="single" w:sz="4" w:space="0" w:color="auto"/>
              <w:left w:val="nil"/>
              <w:bottom w:val="single" w:sz="4" w:space="0" w:color="auto"/>
              <w:right w:val="nil"/>
            </w:tcBorders>
            <w:noWrap/>
            <w:vAlign w:val="center"/>
            <w:hideMark/>
          </w:tcPr>
          <w:p w14:paraId="542EF8B7" w14:textId="77777777" w:rsidR="009E4FEF" w:rsidRPr="009E4FEF" w:rsidRDefault="009E4FEF" w:rsidP="009E4FEF">
            <w:pPr>
              <w:tabs>
                <w:tab w:val="left" w:pos="720"/>
                <w:tab w:val="left" w:pos="1260"/>
                <w:tab w:val="left" w:pos="1620"/>
              </w:tabs>
              <w:spacing w:after="160"/>
              <w:jc w:val="both"/>
              <w:rPr>
                <w:rFonts w:ascii="Arial" w:eastAsia="Aptos" w:hAnsi="Arial" w:cs="Arial"/>
                <w:b/>
                <w:bCs/>
                <w:kern w:val="2"/>
                <w14:ligatures w14:val="standardContextual"/>
              </w:rPr>
            </w:pPr>
            <w:r w:rsidRPr="009E4FEF">
              <w:rPr>
                <w:rFonts w:ascii="Arial" w:eastAsia="Aptos" w:hAnsi="Arial" w:cs="Arial"/>
                <w:b/>
                <w:bCs/>
                <w:kern w:val="2"/>
                <w14:ligatures w14:val="standardContextual"/>
              </w:rPr>
              <w:t>Rating</w:t>
            </w:r>
          </w:p>
        </w:tc>
      </w:tr>
      <w:tr w:rsidR="009E4FEF" w:rsidRPr="009E4FEF" w14:paraId="2BD0569C" w14:textId="77777777" w:rsidTr="007827F0">
        <w:trPr>
          <w:trHeight w:val="432"/>
          <w:jc w:val="center"/>
        </w:trPr>
        <w:tc>
          <w:tcPr>
            <w:tcW w:w="2736" w:type="dxa"/>
            <w:tcBorders>
              <w:top w:val="nil"/>
              <w:left w:val="nil"/>
              <w:bottom w:val="nil"/>
              <w:right w:val="nil"/>
            </w:tcBorders>
            <w:noWrap/>
            <w:vAlign w:val="center"/>
            <w:hideMark/>
          </w:tcPr>
          <w:p w14:paraId="437E65C9" w14:textId="77777777" w:rsidR="009E4FEF" w:rsidRPr="009E4FEF" w:rsidRDefault="009E4FEF" w:rsidP="009E4FEF">
            <w:pPr>
              <w:tabs>
                <w:tab w:val="left" w:pos="720"/>
                <w:tab w:val="left" w:pos="1260"/>
                <w:tab w:val="left" w:pos="1620"/>
              </w:tabs>
              <w:spacing w:after="160"/>
              <w:jc w:val="both"/>
              <w:rPr>
                <w:rFonts w:ascii="Arial" w:eastAsia="Aptos" w:hAnsi="Arial" w:cs="Arial"/>
                <w:kern w:val="2"/>
                <w14:ligatures w14:val="standardContextual"/>
              </w:rPr>
            </w:pPr>
            <w:r w:rsidRPr="009E4FEF">
              <w:rPr>
                <w:rFonts w:ascii="Arial" w:eastAsia="Aptos" w:hAnsi="Arial" w:cs="Arial"/>
                <w:kern w:val="2"/>
                <w14:ligatures w14:val="standardContextual"/>
              </w:rPr>
              <w:t>% sand</w:t>
            </w:r>
          </w:p>
        </w:tc>
        <w:tc>
          <w:tcPr>
            <w:tcW w:w="1152" w:type="dxa"/>
            <w:tcBorders>
              <w:top w:val="nil"/>
              <w:left w:val="nil"/>
              <w:bottom w:val="nil"/>
              <w:right w:val="nil"/>
            </w:tcBorders>
            <w:noWrap/>
            <w:vAlign w:val="center"/>
            <w:hideMark/>
          </w:tcPr>
          <w:p w14:paraId="6313A9DB" w14:textId="77777777" w:rsidR="009E4FEF" w:rsidRPr="009E4FEF" w:rsidRDefault="009E4FEF" w:rsidP="009E4FEF">
            <w:pPr>
              <w:tabs>
                <w:tab w:val="left" w:pos="720"/>
                <w:tab w:val="left" w:pos="1260"/>
                <w:tab w:val="left" w:pos="1620"/>
              </w:tabs>
              <w:spacing w:after="160"/>
              <w:jc w:val="center"/>
              <w:rPr>
                <w:rFonts w:ascii="Arial" w:eastAsia="Aptos" w:hAnsi="Arial" w:cs="Arial"/>
                <w:kern w:val="2"/>
                <w14:ligatures w14:val="standardContextual"/>
              </w:rPr>
            </w:pPr>
            <w:r w:rsidRPr="009E4FEF">
              <w:rPr>
                <w:rFonts w:ascii="Arial" w:eastAsia="Aptos" w:hAnsi="Arial" w:cs="Arial"/>
                <w:kern w:val="2"/>
                <w14:ligatures w14:val="standardContextual"/>
              </w:rPr>
              <w:t>-</w:t>
            </w:r>
          </w:p>
        </w:tc>
        <w:tc>
          <w:tcPr>
            <w:tcW w:w="2448" w:type="dxa"/>
            <w:gridSpan w:val="2"/>
            <w:tcBorders>
              <w:top w:val="nil"/>
              <w:left w:val="nil"/>
              <w:bottom w:val="nil"/>
              <w:right w:val="nil"/>
            </w:tcBorders>
            <w:noWrap/>
            <w:vAlign w:val="center"/>
            <w:hideMark/>
          </w:tcPr>
          <w:p w14:paraId="04682E99" w14:textId="77777777" w:rsidR="009E4FEF" w:rsidRPr="009E4FEF" w:rsidRDefault="009E4FEF" w:rsidP="009E4FEF">
            <w:pPr>
              <w:tabs>
                <w:tab w:val="left" w:pos="720"/>
                <w:tab w:val="left" w:pos="1260"/>
                <w:tab w:val="left" w:pos="1620"/>
              </w:tabs>
              <w:spacing w:after="160"/>
              <w:jc w:val="both"/>
              <w:rPr>
                <w:rFonts w:ascii="Arial" w:eastAsia="Aptos" w:hAnsi="Arial" w:cs="Arial"/>
                <w:kern w:val="2"/>
                <w14:ligatures w14:val="standardContextual"/>
              </w:rPr>
            </w:pPr>
            <w:r w:rsidRPr="009E4FEF">
              <w:rPr>
                <w:rFonts w:ascii="Arial" w:eastAsia="Aptos" w:hAnsi="Arial" w:cs="Arial"/>
                <w:kern w:val="2"/>
                <w14:ligatures w14:val="standardContextual"/>
              </w:rPr>
              <w:t>82.9</w:t>
            </w:r>
          </w:p>
        </w:tc>
      </w:tr>
      <w:tr w:rsidR="009E4FEF" w:rsidRPr="009E4FEF" w14:paraId="62103E99" w14:textId="77777777" w:rsidTr="007827F0">
        <w:trPr>
          <w:trHeight w:val="432"/>
          <w:jc w:val="center"/>
        </w:trPr>
        <w:tc>
          <w:tcPr>
            <w:tcW w:w="2736" w:type="dxa"/>
            <w:tcBorders>
              <w:top w:val="nil"/>
              <w:left w:val="nil"/>
              <w:bottom w:val="nil"/>
              <w:right w:val="nil"/>
            </w:tcBorders>
            <w:noWrap/>
            <w:vAlign w:val="center"/>
            <w:hideMark/>
          </w:tcPr>
          <w:p w14:paraId="72976CE5" w14:textId="77777777" w:rsidR="009E4FEF" w:rsidRPr="009E4FEF" w:rsidRDefault="009E4FEF" w:rsidP="009E4FEF">
            <w:pPr>
              <w:tabs>
                <w:tab w:val="left" w:pos="720"/>
                <w:tab w:val="left" w:pos="1260"/>
                <w:tab w:val="left" w:pos="1620"/>
              </w:tabs>
              <w:spacing w:after="160"/>
              <w:jc w:val="both"/>
              <w:rPr>
                <w:rFonts w:ascii="Arial" w:eastAsia="Aptos" w:hAnsi="Arial" w:cs="Arial"/>
                <w:kern w:val="2"/>
                <w14:ligatures w14:val="standardContextual"/>
              </w:rPr>
            </w:pPr>
            <w:r w:rsidRPr="009E4FEF">
              <w:rPr>
                <w:rFonts w:ascii="Arial" w:eastAsia="Aptos" w:hAnsi="Arial" w:cs="Arial"/>
                <w:kern w:val="2"/>
                <w14:ligatures w14:val="standardContextual"/>
              </w:rPr>
              <w:t xml:space="preserve">% silt </w:t>
            </w:r>
          </w:p>
        </w:tc>
        <w:tc>
          <w:tcPr>
            <w:tcW w:w="1152" w:type="dxa"/>
            <w:tcBorders>
              <w:top w:val="nil"/>
              <w:left w:val="nil"/>
              <w:bottom w:val="nil"/>
              <w:right w:val="nil"/>
            </w:tcBorders>
            <w:noWrap/>
            <w:hideMark/>
          </w:tcPr>
          <w:p w14:paraId="36397F4F" w14:textId="77777777" w:rsidR="009E4FEF" w:rsidRPr="009E4FEF" w:rsidRDefault="009E4FEF" w:rsidP="009E4FEF">
            <w:pPr>
              <w:tabs>
                <w:tab w:val="left" w:pos="720"/>
                <w:tab w:val="left" w:pos="1260"/>
                <w:tab w:val="left" w:pos="1620"/>
              </w:tabs>
              <w:spacing w:after="160"/>
              <w:jc w:val="center"/>
              <w:rPr>
                <w:rFonts w:ascii="Arial" w:eastAsia="Aptos" w:hAnsi="Arial" w:cs="Arial"/>
                <w:kern w:val="2"/>
                <w14:ligatures w14:val="standardContextual"/>
              </w:rPr>
            </w:pPr>
            <w:r w:rsidRPr="009E4FEF">
              <w:rPr>
                <w:rFonts w:ascii="Arial" w:eastAsia="Aptos" w:hAnsi="Arial" w:cs="Arial"/>
                <w:kern w:val="2"/>
                <w14:ligatures w14:val="standardContextual"/>
              </w:rPr>
              <w:t>-</w:t>
            </w:r>
          </w:p>
        </w:tc>
        <w:tc>
          <w:tcPr>
            <w:tcW w:w="2448" w:type="dxa"/>
            <w:gridSpan w:val="2"/>
            <w:tcBorders>
              <w:top w:val="nil"/>
              <w:left w:val="nil"/>
              <w:bottom w:val="nil"/>
              <w:right w:val="nil"/>
            </w:tcBorders>
            <w:noWrap/>
            <w:vAlign w:val="center"/>
            <w:hideMark/>
          </w:tcPr>
          <w:p w14:paraId="56D5C5C0" w14:textId="77777777" w:rsidR="009E4FEF" w:rsidRPr="009E4FEF" w:rsidRDefault="009E4FEF" w:rsidP="009E4FEF">
            <w:pPr>
              <w:tabs>
                <w:tab w:val="left" w:pos="720"/>
                <w:tab w:val="left" w:pos="1260"/>
                <w:tab w:val="left" w:pos="1620"/>
              </w:tabs>
              <w:spacing w:after="160"/>
              <w:jc w:val="both"/>
              <w:rPr>
                <w:rFonts w:ascii="Arial" w:eastAsia="Aptos" w:hAnsi="Arial" w:cs="Arial"/>
                <w:kern w:val="2"/>
                <w14:ligatures w14:val="standardContextual"/>
              </w:rPr>
            </w:pPr>
            <w:r w:rsidRPr="009E4FEF">
              <w:rPr>
                <w:rFonts w:ascii="Arial" w:eastAsia="Aptos" w:hAnsi="Arial" w:cs="Arial"/>
                <w:kern w:val="2"/>
                <w14:ligatures w14:val="standardContextual"/>
              </w:rPr>
              <w:t>8.52</w:t>
            </w:r>
          </w:p>
        </w:tc>
      </w:tr>
      <w:tr w:rsidR="009E4FEF" w:rsidRPr="009E4FEF" w14:paraId="10F60CFB" w14:textId="77777777" w:rsidTr="007827F0">
        <w:trPr>
          <w:trHeight w:val="432"/>
          <w:jc w:val="center"/>
        </w:trPr>
        <w:tc>
          <w:tcPr>
            <w:tcW w:w="2736" w:type="dxa"/>
            <w:tcBorders>
              <w:top w:val="nil"/>
              <w:left w:val="nil"/>
              <w:bottom w:val="nil"/>
              <w:right w:val="nil"/>
            </w:tcBorders>
            <w:noWrap/>
            <w:vAlign w:val="center"/>
            <w:hideMark/>
          </w:tcPr>
          <w:p w14:paraId="243E6A58" w14:textId="77777777" w:rsidR="009E4FEF" w:rsidRPr="009E4FEF" w:rsidRDefault="009E4FEF" w:rsidP="009E4FEF">
            <w:pPr>
              <w:tabs>
                <w:tab w:val="left" w:pos="720"/>
                <w:tab w:val="left" w:pos="1260"/>
                <w:tab w:val="left" w:pos="1620"/>
              </w:tabs>
              <w:spacing w:after="160"/>
              <w:jc w:val="both"/>
              <w:rPr>
                <w:rFonts w:ascii="Arial" w:eastAsia="Aptos" w:hAnsi="Arial" w:cs="Arial"/>
                <w:kern w:val="2"/>
                <w14:ligatures w14:val="standardContextual"/>
              </w:rPr>
            </w:pPr>
            <w:r w:rsidRPr="009E4FEF">
              <w:rPr>
                <w:rFonts w:ascii="Arial" w:eastAsia="Aptos" w:hAnsi="Arial" w:cs="Arial"/>
                <w:kern w:val="2"/>
                <w14:ligatures w14:val="standardContextual"/>
              </w:rPr>
              <w:t xml:space="preserve">% clay </w:t>
            </w:r>
          </w:p>
        </w:tc>
        <w:tc>
          <w:tcPr>
            <w:tcW w:w="1152" w:type="dxa"/>
            <w:tcBorders>
              <w:top w:val="nil"/>
              <w:left w:val="nil"/>
              <w:bottom w:val="nil"/>
              <w:right w:val="nil"/>
            </w:tcBorders>
            <w:noWrap/>
            <w:hideMark/>
          </w:tcPr>
          <w:p w14:paraId="098287FD" w14:textId="77777777" w:rsidR="009E4FEF" w:rsidRPr="009E4FEF" w:rsidRDefault="009E4FEF" w:rsidP="009E4FEF">
            <w:pPr>
              <w:tabs>
                <w:tab w:val="left" w:pos="720"/>
                <w:tab w:val="left" w:pos="1260"/>
                <w:tab w:val="left" w:pos="1620"/>
              </w:tabs>
              <w:spacing w:after="160"/>
              <w:jc w:val="center"/>
              <w:rPr>
                <w:rFonts w:ascii="Arial" w:eastAsia="Aptos" w:hAnsi="Arial" w:cs="Arial"/>
                <w:kern w:val="2"/>
                <w14:ligatures w14:val="standardContextual"/>
              </w:rPr>
            </w:pPr>
            <w:r w:rsidRPr="009E4FEF">
              <w:rPr>
                <w:rFonts w:ascii="Arial" w:eastAsia="Aptos" w:hAnsi="Arial" w:cs="Arial"/>
                <w:kern w:val="2"/>
                <w14:ligatures w14:val="standardContextual"/>
              </w:rPr>
              <w:t>-</w:t>
            </w:r>
          </w:p>
        </w:tc>
        <w:tc>
          <w:tcPr>
            <w:tcW w:w="2448" w:type="dxa"/>
            <w:gridSpan w:val="2"/>
            <w:tcBorders>
              <w:top w:val="nil"/>
              <w:left w:val="nil"/>
              <w:bottom w:val="nil"/>
              <w:right w:val="nil"/>
            </w:tcBorders>
            <w:noWrap/>
            <w:vAlign w:val="center"/>
            <w:hideMark/>
          </w:tcPr>
          <w:p w14:paraId="6FA7BC77" w14:textId="77777777" w:rsidR="009E4FEF" w:rsidRPr="009E4FEF" w:rsidRDefault="009E4FEF" w:rsidP="009E4FEF">
            <w:pPr>
              <w:tabs>
                <w:tab w:val="left" w:pos="720"/>
                <w:tab w:val="left" w:pos="1260"/>
                <w:tab w:val="left" w:pos="1620"/>
              </w:tabs>
              <w:spacing w:after="160"/>
              <w:jc w:val="both"/>
              <w:rPr>
                <w:rFonts w:ascii="Arial" w:eastAsia="Aptos" w:hAnsi="Arial" w:cs="Arial"/>
                <w:kern w:val="2"/>
                <w14:ligatures w14:val="standardContextual"/>
              </w:rPr>
            </w:pPr>
            <w:r w:rsidRPr="009E4FEF">
              <w:rPr>
                <w:rFonts w:ascii="Arial" w:eastAsia="Aptos" w:hAnsi="Arial" w:cs="Arial"/>
                <w:kern w:val="2"/>
                <w14:ligatures w14:val="standardContextual"/>
              </w:rPr>
              <w:t>8.58</w:t>
            </w:r>
          </w:p>
        </w:tc>
      </w:tr>
      <w:tr w:rsidR="009E4FEF" w:rsidRPr="009E4FEF" w14:paraId="432C37FD" w14:textId="77777777" w:rsidTr="007827F0">
        <w:trPr>
          <w:trHeight w:val="432"/>
          <w:jc w:val="center"/>
        </w:trPr>
        <w:tc>
          <w:tcPr>
            <w:tcW w:w="2736" w:type="dxa"/>
            <w:tcBorders>
              <w:top w:val="nil"/>
              <w:left w:val="nil"/>
              <w:bottom w:val="nil"/>
              <w:right w:val="nil"/>
            </w:tcBorders>
            <w:noWrap/>
            <w:vAlign w:val="center"/>
            <w:hideMark/>
          </w:tcPr>
          <w:p w14:paraId="4A5CB474" w14:textId="77777777" w:rsidR="009E4FEF" w:rsidRPr="009E4FEF" w:rsidRDefault="009E4FEF" w:rsidP="009E4FEF">
            <w:pPr>
              <w:tabs>
                <w:tab w:val="left" w:pos="720"/>
                <w:tab w:val="left" w:pos="1260"/>
                <w:tab w:val="left" w:pos="1620"/>
              </w:tabs>
              <w:spacing w:after="160"/>
              <w:jc w:val="both"/>
              <w:rPr>
                <w:rFonts w:ascii="Arial" w:eastAsia="Aptos" w:hAnsi="Arial" w:cs="Arial"/>
                <w:kern w:val="2"/>
                <w14:ligatures w14:val="standardContextual"/>
              </w:rPr>
            </w:pPr>
            <w:r w:rsidRPr="009E4FEF">
              <w:rPr>
                <w:rFonts w:ascii="Arial" w:eastAsia="Aptos" w:hAnsi="Arial" w:cs="Arial"/>
                <w:kern w:val="2"/>
                <w14:ligatures w14:val="standardContextual"/>
              </w:rPr>
              <w:t>Texture class</w:t>
            </w:r>
          </w:p>
        </w:tc>
        <w:tc>
          <w:tcPr>
            <w:tcW w:w="1152" w:type="dxa"/>
            <w:tcBorders>
              <w:top w:val="nil"/>
              <w:left w:val="nil"/>
              <w:bottom w:val="nil"/>
              <w:right w:val="nil"/>
            </w:tcBorders>
            <w:noWrap/>
            <w:hideMark/>
          </w:tcPr>
          <w:p w14:paraId="6183939D" w14:textId="77777777" w:rsidR="009E4FEF" w:rsidRPr="009E4FEF" w:rsidRDefault="009E4FEF" w:rsidP="009E4FEF">
            <w:pPr>
              <w:tabs>
                <w:tab w:val="left" w:pos="720"/>
                <w:tab w:val="left" w:pos="1260"/>
                <w:tab w:val="left" w:pos="1620"/>
              </w:tabs>
              <w:spacing w:after="160"/>
              <w:jc w:val="center"/>
              <w:rPr>
                <w:rFonts w:ascii="Arial" w:eastAsia="Aptos" w:hAnsi="Arial" w:cs="Arial"/>
                <w:kern w:val="2"/>
                <w14:ligatures w14:val="standardContextual"/>
              </w:rPr>
            </w:pPr>
            <w:r w:rsidRPr="009E4FEF">
              <w:rPr>
                <w:rFonts w:ascii="Arial" w:eastAsia="Aptos" w:hAnsi="Arial" w:cs="Arial"/>
                <w:kern w:val="2"/>
                <w14:ligatures w14:val="standardContextual"/>
              </w:rPr>
              <w:t>-</w:t>
            </w:r>
          </w:p>
        </w:tc>
        <w:tc>
          <w:tcPr>
            <w:tcW w:w="2448" w:type="dxa"/>
            <w:gridSpan w:val="2"/>
            <w:tcBorders>
              <w:top w:val="nil"/>
              <w:left w:val="nil"/>
              <w:bottom w:val="nil"/>
              <w:right w:val="nil"/>
            </w:tcBorders>
            <w:noWrap/>
            <w:vAlign w:val="center"/>
            <w:hideMark/>
          </w:tcPr>
          <w:p w14:paraId="0FC2E733" w14:textId="77777777" w:rsidR="009E4FEF" w:rsidRPr="009E4FEF" w:rsidRDefault="009E4FEF" w:rsidP="009E4FEF">
            <w:pPr>
              <w:tabs>
                <w:tab w:val="left" w:pos="720"/>
                <w:tab w:val="left" w:pos="1260"/>
                <w:tab w:val="left" w:pos="1620"/>
              </w:tabs>
              <w:spacing w:after="160"/>
              <w:jc w:val="both"/>
              <w:rPr>
                <w:rFonts w:ascii="Arial" w:eastAsia="Aptos" w:hAnsi="Arial" w:cs="Arial"/>
                <w:kern w:val="2"/>
                <w14:ligatures w14:val="standardContextual"/>
              </w:rPr>
            </w:pPr>
            <w:r w:rsidRPr="009E4FEF">
              <w:rPr>
                <w:rFonts w:ascii="Arial" w:eastAsia="Aptos" w:hAnsi="Arial" w:cs="Arial"/>
                <w:kern w:val="2"/>
                <w14:ligatures w14:val="standardContextual"/>
              </w:rPr>
              <w:t>Loamy sand</w:t>
            </w:r>
          </w:p>
        </w:tc>
      </w:tr>
      <w:tr w:rsidR="009E4FEF" w:rsidRPr="009E4FEF" w14:paraId="70B0BE58" w14:textId="77777777" w:rsidTr="007827F0">
        <w:trPr>
          <w:trHeight w:val="432"/>
          <w:jc w:val="center"/>
        </w:trPr>
        <w:tc>
          <w:tcPr>
            <w:tcW w:w="2736" w:type="dxa"/>
            <w:tcBorders>
              <w:top w:val="nil"/>
              <w:left w:val="nil"/>
              <w:bottom w:val="nil"/>
              <w:right w:val="nil"/>
            </w:tcBorders>
            <w:noWrap/>
            <w:vAlign w:val="center"/>
            <w:hideMark/>
          </w:tcPr>
          <w:p w14:paraId="126CC20D" w14:textId="77777777" w:rsidR="009E4FEF" w:rsidRPr="009E4FEF" w:rsidRDefault="009E4FEF" w:rsidP="009E4FEF">
            <w:pPr>
              <w:tabs>
                <w:tab w:val="left" w:pos="720"/>
                <w:tab w:val="left" w:pos="1260"/>
                <w:tab w:val="left" w:pos="1620"/>
              </w:tabs>
              <w:spacing w:after="160"/>
              <w:jc w:val="both"/>
              <w:rPr>
                <w:rFonts w:ascii="Arial" w:eastAsia="Aptos" w:hAnsi="Arial" w:cs="Arial"/>
                <w:kern w:val="2"/>
                <w14:ligatures w14:val="standardContextual"/>
              </w:rPr>
            </w:pPr>
            <w:r w:rsidRPr="009E4FEF">
              <w:rPr>
                <w:rFonts w:ascii="Arial" w:eastAsia="Aptos" w:hAnsi="Arial" w:cs="Arial"/>
                <w:kern w:val="2"/>
                <w14:ligatures w14:val="standardContextual"/>
              </w:rPr>
              <w:t>Bulk density (g cm</w:t>
            </w:r>
            <w:r w:rsidRPr="009E4FEF">
              <w:rPr>
                <w:rFonts w:ascii="Arial" w:eastAsia="Aptos" w:hAnsi="Arial" w:cs="Arial"/>
                <w:kern w:val="2"/>
                <w:vertAlign w:val="superscript"/>
                <w14:ligatures w14:val="standardContextual"/>
              </w:rPr>
              <w:t>-3</w:t>
            </w:r>
            <w:r w:rsidRPr="009E4FEF">
              <w:rPr>
                <w:rFonts w:ascii="Arial" w:eastAsia="Aptos" w:hAnsi="Arial" w:cs="Arial"/>
                <w:kern w:val="2"/>
                <w14:ligatures w14:val="standardContextual"/>
              </w:rPr>
              <w:t>)</w:t>
            </w:r>
          </w:p>
        </w:tc>
        <w:tc>
          <w:tcPr>
            <w:tcW w:w="1152" w:type="dxa"/>
            <w:tcBorders>
              <w:top w:val="nil"/>
              <w:left w:val="nil"/>
              <w:bottom w:val="nil"/>
              <w:right w:val="nil"/>
            </w:tcBorders>
            <w:noWrap/>
            <w:hideMark/>
          </w:tcPr>
          <w:p w14:paraId="715D17BB" w14:textId="77777777" w:rsidR="009E4FEF" w:rsidRPr="009E4FEF" w:rsidRDefault="009E4FEF" w:rsidP="009E4FEF">
            <w:pPr>
              <w:tabs>
                <w:tab w:val="left" w:pos="720"/>
                <w:tab w:val="left" w:pos="1260"/>
                <w:tab w:val="left" w:pos="1620"/>
              </w:tabs>
              <w:spacing w:after="160"/>
              <w:jc w:val="center"/>
              <w:rPr>
                <w:rFonts w:ascii="Arial" w:eastAsia="Aptos" w:hAnsi="Arial" w:cs="Arial"/>
                <w:kern w:val="2"/>
                <w14:ligatures w14:val="standardContextual"/>
              </w:rPr>
            </w:pPr>
            <w:r w:rsidRPr="009E4FEF">
              <w:rPr>
                <w:rFonts w:ascii="Arial" w:eastAsia="Aptos" w:hAnsi="Arial" w:cs="Arial"/>
                <w:kern w:val="2"/>
                <w14:ligatures w14:val="standardContextual"/>
              </w:rPr>
              <w:t>-</w:t>
            </w:r>
          </w:p>
        </w:tc>
        <w:tc>
          <w:tcPr>
            <w:tcW w:w="2448" w:type="dxa"/>
            <w:gridSpan w:val="2"/>
            <w:tcBorders>
              <w:top w:val="nil"/>
              <w:left w:val="nil"/>
              <w:bottom w:val="nil"/>
              <w:right w:val="nil"/>
            </w:tcBorders>
            <w:noWrap/>
            <w:vAlign w:val="center"/>
            <w:hideMark/>
          </w:tcPr>
          <w:p w14:paraId="1B6444D1" w14:textId="77777777" w:rsidR="009E4FEF" w:rsidRPr="009E4FEF" w:rsidRDefault="009E4FEF" w:rsidP="009E4FEF">
            <w:pPr>
              <w:tabs>
                <w:tab w:val="left" w:pos="720"/>
                <w:tab w:val="left" w:pos="1260"/>
                <w:tab w:val="left" w:pos="1620"/>
              </w:tabs>
              <w:spacing w:after="160"/>
              <w:jc w:val="both"/>
              <w:rPr>
                <w:rFonts w:ascii="Arial" w:eastAsia="Aptos" w:hAnsi="Arial" w:cs="Arial"/>
                <w:kern w:val="2"/>
                <w14:ligatures w14:val="standardContextual"/>
              </w:rPr>
            </w:pPr>
            <w:r w:rsidRPr="009E4FEF">
              <w:rPr>
                <w:rFonts w:ascii="Arial" w:eastAsia="Aptos" w:hAnsi="Arial" w:cs="Arial"/>
                <w:kern w:val="2"/>
                <w14:ligatures w14:val="standardContextual"/>
              </w:rPr>
              <w:t>1.3</w:t>
            </w:r>
          </w:p>
        </w:tc>
      </w:tr>
      <w:tr w:rsidR="009E4FEF" w:rsidRPr="009E4FEF" w14:paraId="790BA323" w14:textId="77777777" w:rsidTr="007827F0">
        <w:trPr>
          <w:trHeight w:val="432"/>
          <w:jc w:val="center"/>
        </w:trPr>
        <w:tc>
          <w:tcPr>
            <w:tcW w:w="2736" w:type="dxa"/>
            <w:tcBorders>
              <w:top w:val="nil"/>
              <w:left w:val="nil"/>
              <w:bottom w:val="nil"/>
              <w:right w:val="nil"/>
            </w:tcBorders>
            <w:noWrap/>
            <w:vAlign w:val="center"/>
            <w:hideMark/>
          </w:tcPr>
          <w:p w14:paraId="47832D8E" w14:textId="77777777" w:rsidR="009E4FEF" w:rsidRPr="009E4FEF" w:rsidRDefault="009E4FEF" w:rsidP="009E4FEF">
            <w:pPr>
              <w:tabs>
                <w:tab w:val="left" w:pos="720"/>
                <w:tab w:val="left" w:pos="1260"/>
                <w:tab w:val="left" w:pos="1620"/>
              </w:tabs>
              <w:spacing w:after="160"/>
              <w:jc w:val="both"/>
              <w:rPr>
                <w:rFonts w:ascii="Arial" w:eastAsia="Aptos" w:hAnsi="Arial" w:cs="Arial"/>
                <w:kern w:val="2"/>
                <w14:ligatures w14:val="standardContextual"/>
              </w:rPr>
            </w:pPr>
            <w:r w:rsidRPr="009E4FEF">
              <w:rPr>
                <w:rFonts w:ascii="Arial" w:eastAsia="Aptos" w:hAnsi="Arial" w:cs="Arial"/>
                <w:kern w:val="2"/>
                <w14:ligatures w14:val="standardContextual"/>
              </w:rPr>
              <w:t>Particle density (g cm</w:t>
            </w:r>
            <w:r w:rsidRPr="009E4FEF">
              <w:rPr>
                <w:rFonts w:ascii="Arial" w:eastAsia="Aptos" w:hAnsi="Arial" w:cs="Arial"/>
                <w:kern w:val="2"/>
                <w:vertAlign w:val="superscript"/>
                <w14:ligatures w14:val="standardContextual"/>
              </w:rPr>
              <w:t>-3</w:t>
            </w:r>
            <w:r w:rsidRPr="009E4FEF">
              <w:rPr>
                <w:rFonts w:ascii="Arial" w:eastAsia="Aptos" w:hAnsi="Arial" w:cs="Arial"/>
                <w:kern w:val="2"/>
                <w14:ligatures w14:val="standardContextual"/>
              </w:rPr>
              <w:t>)</w:t>
            </w:r>
          </w:p>
        </w:tc>
        <w:tc>
          <w:tcPr>
            <w:tcW w:w="1152" w:type="dxa"/>
            <w:tcBorders>
              <w:top w:val="nil"/>
              <w:left w:val="nil"/>
              <w:bottom w:val="nil"/>
              <w:right w:val="nil"/>
            </w:tcBorders>
            <w:noWrap/>
            <w:hideMark/>
          </w:tcPr>
          <w:p w14:paraId="0E777688" w14:textId="77777777" w:rsidR="009E4FEF" w:rsidRPr="009E4FEF" w:rsidRDefault="009E4FEF" w:rsidP="009E4FEF">
            <w:pPr>
              <w:tabs>
                <w:tab w:val="left" w:pos="720"/>
                <w:tab w:val="left" w:pos="1260"/>
                <w:tab w:val="left" w:pos="1620"/>
              </w:tabs>
              <w:spacing w:after="160"/>
              <w:jc w:val="center"/>
              <w:rPr>
                <w:rFonts w:ascii="Arial" w:eastAsia="Aptos" w:hAnsi="Arial" w:cs="Arial"/>
                <w:kern w:val="2"/>
                <w14:ligatures w14:val="standardContextual"/>
              </w:rPr>
            </w:pPr>
            <w:r w:rsidRPr="009E4FEF">
              <w:rPr>
                <w:rFonts w:ascii="Arial" w:eastAsia="Aptos" w:hAnsi="Arial" w:cs="Arial"/>
                <w:kern w:val="2"/>
                <w14:ligatures w14:val="standardContextual"/>
              </w:rPr>
              <w:t>-</w:t>
            </w:r>
          </w:p>
        </w:tc>
        <w:tc>
          <w:tcPr>
            <w:tcW w:w="2448" w:type="dxa"/>
            <w:gridSpan w:val="2"/>
            <w:tcBorders>
              <w:top w:val="nil"/>
              <w:left w:val="nil"/>
              <w:bottom w:val="nil"/>
              <w:right w:val="nil"/>
            </w:tcBorders>
            <w:noWrap/>
            <w:vAlign w:val="center"/>
            <w:hideMark/>
          </w:tcPr>
          <w:p w14:paraId="180AFFFF" w14:textId="77777777" w:rsidR="009E4FEF" w:rsidRPr="009E4FEF" w:rsidRDefault="009E4FEF" w:rsidP="009E4FEF">
            <w:pPr>
              <w:tabs>
                <w:tab w:val="left" w:pos="720"/>
                <w:tab w:val="left" w:pos="1260"/>
                <w:tab w:val="left" w:pos="1620"/>
              </w:tabs>
              <w:spacing w:after="160"/>
              <w:jc w:val="both"/>
              <w:rPr>
                <w:rFonts w:ascii="Arial" w:eastAsia="Aptos" w:hAnsi="Arial" w:cs="Arial"/>
                <w:kern w:val="2"/>
                <w14:ligatures w14:val="standardContextual"/>
              </w:rPr>
            </w:pPr>
            <w:r w:rsidRPr="009E4FEF">
              <w:rPr>
                <w:rFonts w:ascii="Arial" w:eastAsia="Aptos" w:hAnsi="Arial" w:cs="Arial"/>
                <w:kern w:val="2"/>
                <w14:ligatures w14:val="standardContextual"/>
              </w:rPr>
              <w:t>2.47</w:t>
            </w:r>
          </w:p>
        </w:tc>
      </w:tr>
      <w:tr w:rsidR="009E4FEF" w:rsidRPr="009E4FEF" w14:paraId="1F6084DC" w14:textId="77777777" w:rsidTr="007827F0">
        <w:trPr>
          <w:trHeight w:val="432"/>
          <w:jc w:val="center"/>
        </w:trPr>
        <w:tc>
          <w:tcPr>
            <w:tcW w:w="2736" w:type="dxa"/>
            <w:tcBorders>
              <w:top w:val="nil"/>
              <w:left w:val="nil"/>
              <w:bottom w:val="nil"/>
              <w:right w:val="nil"/>
            </w:tcBorders>
            <w:noWrap/>
            <w:vAlign w:val="center"/>
            <w:hideMark/>
          </w:tcPr>
          <w:p w14:paraId="4E7E7D2F" w14:textId="77777777" w:rsidR="009E4FEF" w:rsidRPr="009E4FEF" w:rsidRDefault="009E4FEF" w:rsidP="009E4FEF">
            <w:pPr>
              <w:tabs>
                <w:tab w:val="left" w:pos="720"/>
                <w:tab w:val="left" w:pos="1260"/>
                <w:tab w:val="left" w:pos="1620"/>
              </w:tabs>
              <w:spacing w:after="160"/>
              <w:jc w:val="both"/>
              <w:rPr>
                <w:rFonts w:ascii="Arial" w:eastAsia="Aptos" w:hAnsi="Arial" w:cs="Arial"/>
                <w:kern w:val="2"/>
                <w14:ligatures w14:val="standardContextual"/>
              </w:rPr>
            </w:pPr>
            <w:r w:rsidRPr="009E4FEF">
              <w:rPr>
                <w:rFonts w:ascii="Arial" w:eastAsia="Aptos" w:hAnsi="Arial" w:cs="Arial"/>
                <w:kern w:val="2"/>
                <w14:ligatures w14:val="standardContextual"/>
              </w:rPr>
              <w:t>Porosity (%)</w:t>
            </w:r>
          </w:p>
        </w:tc>
        <w:tc>
          <w:tcPr>
            <w:tcW w:w="1152" w:type="dxa"/>
            <w:tcBorders>
              <w:top w:val="nil"/>
              <w:left w:val="nil"/>
              <w:bottom w:val="nil"/>
              <w:right w:val="nil"/>
            </w:tcBorders>
            <w:noWrap/>
            <w:hideMark/>
          </w:tcPr>
          <w:p w14:paraId="65955D7F" w14:textId="77777777" w:rsidR="009E4FEF" w:rsidRPr="009E4FEF" w:rsidRDefault="009E4FEF" w:rsidP="009E4FEF">
            <w:pPr>
              <w:tabs>
                <w:tab w:val="left" w:pos="720"/>
                <w:tab w:val="left" w:pos="1260"/>
                <w:tab w:val="left" w:pos="1620"/>
              </w:tabs>
              <w:spacing w:after="160"/>
              <w:jc w:val="center"/>
              <w:rPr>
                <w:rFonts w:ascii="Arial" w:eastAsia="Aptos" w:hAnsi="Arial" w:cs="Arial"/>
                <w:kern w:val="2"/>
                <w14:ligatures w14:val="standardContextual"/>
              </w:rPr>
            </w:pPr>
            <w:r w:rsidRPr="009E4FEF">
              <w:rPr>
                <w:rFonts w:ascii="Arial" w:eastAsia="Aptos" w:hAnsi="Arial" w:cs="Arial"/>
                <w:kern w:val="2"/>
                <w14:ligatures w14:val="standardContextual"/>
              </w:rPr>
              <w:t>-</w:t>
            </w:r>
          </w:p>
        </w:tc>
        <w:tc>
          <w:tcPr>
            <w:tcW w:w="2448" w:type="dxa"/>
            <w:gridSpan w:val="2"/>
            <w:tcBorders>
              <w:top w:val="nil"/>
              <w:left w:val="nil"/>
              <w:bottom w:val="nil"/>
              <w:right w:val="nil"/>
            </w:tcBorders>
            <w:noWrap/>
            <w:vAlign w:val="center"/>
            <w:hideMark/>
          </w:tcPr>
          <w:p w14:paraId="2E30C0C8" w14:textId="77777777" w:rsidR="009E4FEF" w:rsidRPr="009E4FEF" w:rsidRDefault="009E4FEF" w:rsidP="009E4FEF">
            <w:pPr>
              <w:tabs>
                <w:tab w:val="left" w:pos="720"/>
                <w:tab w:val="left" w:pos="1260"/>
                <w:tab w:val="left" w:pos="1620"/>
              </w:tabs>
              <w:spacing w:after="160"/>
              <w:jc w:val="both"/>
              <w:rPr>
                <w:rFonts w:ascii="Arial" w:eastAsia="Aptos" w:hAnsi="Arial" w:cs="Arial"/>
                <w:kern w:val="2"/>
                <w14:ligatures w14:val="standardContextual"/>
              </w:rPr>
            </w:pPr>
            <w:r w:rsidRPr="009E4FEF">
              <w:rPr>
                <w:rFonts w:ascii="Arial" w:eastAsia="Aptos" w:hAnsi="Arial" w:cs="Arial"/>
                <w:kern w:val="2"/>
                <w14:ligatures w14:val="standardContextual"/>
              </w:rPr>
              <w:t>47</w:t>
            </w:r>
          </w:p>
        </w:tc>
      </w:tr>
      <w:tr w:rsidR="009E4FEF" w:rsidRPr="009E4FEF" w14:paraId="5A23E439" w14:textId="77777777" w:rsidTr="007827F0">
        <w:trPr>
          <w:trHeight w:val="432"/>
          <w:jc w:val="center"/>
        </w:trPr>
        <w:tc>
          <w:tcPr>
            <w:tcW w:w="2736" w:type="dxa"/>
            <w:tcBorders>
              <w:top w:val="nil"/>
              <w:left w:val="nil"/>
              <w:bottom w:val="nil"/>
              <w:right w:val="nil"/>
            </w:tcBorders>
            <w:noWrap/>
            <w:vAlign w:val="center"/>
            <w:hideMark/>
          </w:tcPr>
          <w:p w14:paraId="54D5BB58" w14:textId="77777777" w:rsidR="009E4FEF" w:rsidRPr="009E4FEF" w:rsidRDefault="009E4FEF" w:rsidP="009E4FEF">
            <w:pPr>
              <w:tabs>
                <w:tab w:val="left" w:pos="720"/>
                <w:tab w:val="left" w:pos="1260"/>
                <w:tab w:val="left" w:pos="1620"/>
              </w:tabs>
              <w:spacing w:after="160"/>
              <w:jc w:val="both"/>
              <w:rPr>
                <w:rFonts w:ascii="Arial" w:eastAsia="Aptos" w:hAnsi="Arial" w:cs="Arial"/>
                <w:kern w:val="2"/>
                <w14:ligatures w14:val="standardContextual"/>
              </w:rPr>
            </w:pPr>
            <w:r w:rsidRPr="009E4FEF">
              <w:rPr>
                <w:rFonts w:ascii="Arial" w:eastAsia="Aptos" w:hAnsi="Arial" w:cs="Arial"/>
                <w:kern w:val="2"/>
                <w14:ligatures w14:val="standardContextual"/>
              </w:rPr>
              <w:t>Water holding capacity (%)</w:t>
            </w:r>
          </w:p>
        </w:tc>
        <w:tc>
          <w:tcPr>
            <w:tcW w:w="1152" w:type="dxa"/>
            <w:tcBorders>
              <w:top w:val="nil"/>
              <w:left w:val="nil"/>
              <w:bottom w:val="nil"/>
              <w:right w:val="nil"/>
            </w:tcBorders>
            <w:noWrap/>
            <w:hideMark/>
          </w:tcPr>
          <w:p w14:paraId="26810D7D" w14:textId="77777777" w:rsidR="009E4FEF" w:rsidRPr="009E4FEF" w:rsidRDefault="009E4FEF" w:rsidP="009E4FEF">
            <w:pPr>
              <w:tabs>
                <w:tab w:val="left" w:pos="720"/>
                <w:tab w:val="left" w:pos="1260"/>
                <w:tab w:val="left" w:pos="1620"/>
              </w:tabs>
              <w:spacing w:after="160"/>
              <w:jc w:val="center"/>
              <w:rPr>
                <w:rFonts w:ascii="Arial" w:eastAsia="Aptos" w:hAnsi="Arial" w:cs="Arial"/>
                <w:kern w:val="2"/>
                <w14:ligatures w14:val="standardContextual"/>
              </w:rPr>
            </w:pPr>
            <w:r w:rsidRPr="009E4FEF">
              <w:rPr>
                <w:rFonts w:ascii="Arial" w:eastAsia="Aptos" w:hAnsi="Arial" w:cs="Arial"/>
                <w:kern w:val="2"/>
                <w14:ligatures w14:val="standardContextual"/>
              </w:rPr>
              <w:t>-</w:t>
            </w:r>
          </w:p>
        </w:tc>
        <w:tc>
          <w:tcPr>
            <w:tcW w:w="2448" w:type="dxa"/>
            <w:gridSpan w:val="2"/>
            <w:tcBorders>
              <w:top w:val="nil"/>
              <w:left w:val="nil"/>
              <w:bottom w:val="nil"/>
              <w:right w:val="nil"/>
            </w:tcBorders>
            <w:noWrap/>
            <w:vAlign w:val="center"/>
            <w:hideMark/>
          </w:tcPr>
          <w:p w14:paraId="3FEF4B2D" w14:textId="77777777" w:rsidR="009E4FEF" w:rsidRPr="009E4FEF" w:rsidRDefault="009E4FEF" w:rsidP="009E4FEF">
            <w:pPr>
              <w:tabs>
                <w:tab w:val="left" w:pos="720"/>
                <w:tab w:val="left" w:pos="1260"/>
                <w:tab w:val="left" w:pos="1620"/>
              </w:tabs>
              <w:spacing w:after="160"/>
              <w:jc w:val="both"/>
              <w:rPr>
                <w:rFonts w:ascii="Arial" w:eastAsia="Aptos" w:hAnsi="Arial" w:cs="Arial"/>
                <w:kern w:val="2"/>
                <w14:ligatures w14:val="standardContextual"/>
              </w:rPr>
            </w:pPr>
            <w:r w:rsidRPr="009E4FEF">
              <w:rPr>
                <w:rFonts w:ascii="Arial" w:eastAsia="Aptos" w:hAnsi="Arial" w:cs="Arial"/>
                <w:kern w:val="2"/>
                <w14:ligatures w14:val="standardContextual"/>
              </w:rPr>
              <w:t>46</w:t>
            </w:r>
          </w:p>
        </w:tc>
      </w:tr>
      <w:tr w:rsidR="009E4FEF" w:rsidRPr="009E4FEF" w14:paraId="227DAF18" w14:textId="77777777" w:rsidTr="007827F0">
        <w:trPr>
          <w:trHeight w:val="432"/>
          <w:jc w:val="center"/>
        </w:trPr>
        <w:tc>
          <w:tcPr>
            <w:tcW w:w="2736" w:type="dxa"/>
            <w:tcBorders>
              <w:top w:val="nil"/>
              <w:left w:val="nil"/>
              <w:bottom w:val="nil"/>
              <w:right w:val="nil"/>
            </w:tcBorders>
            <w:noWrap/>
            <w:vAlign w:val="center"/>
            <w:hideMark/>
          </w:tcPr>
          <w:p w14:paraId="2DF7479C" w14:textId="77777777" w:rsidR="009E4FEF" w:rsidRPr="009E4FEF" w:rsidRDefault="009E4FEF" w:rsidP="009E4FEF">
            <w:pPr>
              <w:tabs>
                <w:tab w:val="left" w:pos="720"/>
                <w:tab w:val="left" w:pos="1260"/>
                <w:tab w:val="left" w:pos="1620"/>
              </w:tabs>
              <w:spacing w:after="160"/>
              <w:jc w:val="both"/>
              <w:rPr>
                <w:rFonts w:ascii="Arial" w:eastAsia="Aptos" w:hAnsi="Arial" w:cs="Arial"/>
                <w:kern w:val="2"/>
                <w14:ligatures w14:val="standardContextual"/>
              </w:rPr>
            </w:pPr>
            <w:r w:rsidRPr="009E4FEF">
              <w:rPr>
                <w:rFonts w:ascii="Arial" w:eastAsia="Aptos" w:hAnsi="Arial" w:cs="Arial"/>
                <w:kern w:val="2"/>
                <w14:ligatures w14:val="standardContextual"/>
              </w:rPr>
              <w:t>pH</w:t>
            </w:r>
          </w:p>
        </w:tc>
        <w:tc>
          <w:tcPr>
            <w:tcW w:w="1152" w:type="dxa"/>
            <w:tcBorders>
              <w:top w:val="nil"/>
              <w:left w:val="nil"/>
              <w:bottom w:val="nil"/>
              <w:right w:val="nil"/>
            </w:tcBorders>
            <w:noWrap/>
            <w:hideMark/>
          </w:tcPr>
          <w:p w14:paraId="0282EA8A" w14:textId="77777777" w:rsidR="009E4FEF" w:rsidRPr="009E4FEF" w:rsidRDefault="009E4FEF" w:rsidP="009E4FEF">
            <w:pPr>
              <w:tabs>
                <w:tab w:val="left" w:pos="720"/>
                <w:tab w:val="left" w:pos="1260"/>
                <w:tab w:val="left" w:pos="1620"/>
              </w:tabs>
              <w:spacing w:after="160"/>
              <w:jc w:val="center"/>
              <w:rPr>
                <w:rFonts w:ascii="Arial" w:eastAsia="Aptos" w:hAnsi="Arial" w:cs="Arial"/>
                <w:kern w:val="2"/>
                <w14:ligatures w14:val="standardContextual"/>
              </w:rPr>
            </w:pPr>
            <w:r w:rsidRPr="009E4FEF">
              <w:rPr>
                <w:rFonts w:ascii="Arial" w:eastAsia="Aptos" w:hAnsi="Arial" w:cs="Arial"/>
                <w:kern w:val="2"/>
                <w14:ligatures w14:val="standardContextual"/>
              </w:rPr>
              <w:t>-</w:t>
            </w:r>
          </w:p>
        </w:tc>
        <w:tc>
          <w:tcPr>
            <w:tcW w:w="2448" w:type="dxa"/>
            <w:gridSpan w:val="2"/>
            <w:tcBorders>
              <w:top w:val="nil"/>
              <w:left w:val="nil"/>
              <w:bottom w:val="nil"/>
              <w:right w:val="nil"/>
            </w:tcBorders>
            <w:noWrap/>
            <w:vAlign w:val="center"/>
            <w:hideMark/>
          </w:tcPr>
          <w:p w14:paraId="736C72D1" w14:textId="77777777" w:rsidR="009E4FEF" w:rsidRPr="009E4FEF" w:rsidRDefault="009E4FEF" w:rsidP="009E4FEF">
            <w:pPr>
              <w:tabs>
                <w:tab w:val="left" w:pos="720"/>
                <w:tab w:val="left" w:pos="1260"/>
                <w:tab w:val="left" w:pos="1620"/>
              </w:tabs>
              <w:spacing w:after="160"/>
              <w:jc w:val="both"/>
              <w:rPr>
                <w:rFonts w:ascii="Arial" w:eastAsia="Aptos" w:hAnsi="Arial" w:cs="Arial"/>
                <w:kern w:val="2"/>
                <w14:ligatures w14:val="standardContextual"/>
              </w:rPr>
            </w:pPr>
            <w:r w:rsidRPr="009E4FEF">
              <w:rPr>
                <w:rFonts w:ascii="Arial" w:eastAsia="Aptos" w:hAnsi="Arial" w:cs="Arial"/>
                <w:kern w:val="2"/>
                <w14:ligatures w14:val="standardContextual"/>
              </w:rPr>
              <w:t>5.75</w:t>
            </w:r>
          </w:p>
        </w:tc>
      </w:tr>
      <w:tr w:rsidR="009E4FEF" w:rsidRPr="009E4FEF" w14:paraId="7F7DF8AE" w14:textId="77777777" w:rsidTr="007827F0">
        <w:trPr>
          <w:trHeight w:val="432"/>
          <w:jc w:val="center"/>
        </w:trPr>
        <w:tc>
          <w:tcPr>
            <w:tcW w:w="2736" w:type="dxa"/>
            <w:tcBorders>
              <w:top w:val="nil"/>
              <w:left w:val="nil"/>
              <w:bottom w:val="nil"/>
              <w:right w:val="nil"/>
            </w:tcBorders>
            <w:noWrap/>
            <w:vAlign w:val="center"/>
            <w:hideMark/>
          </w:tcPr>
          <w:p w14:paraId="4AB2FD2A" w14:textId="77777777" w:rsidR="009E4FEF" w:rsidRPr="009E4FEF" w:rsidRDefault="009E4FEF" w:rsidP="009E4FEF">
            <w:pPr>
              <w:tabs>
                <w:tab w:val="left" w:pos="720"/>
                <w:tab w:val="left" w:pos="1260"/>
                <w:tab w:val="left" w:pos="1620"/>
              </w:tabs>
              <w:spacing w:after="160"/>
              <w:jc w:val="both"/>
              <w:rPr>
                <w:rFonts w:ascii="Arial" w:eastAsia="Aptos" w:hAnsi="Arial" w:cs="Arial"/>
                <w:kern w:val="2"/>
                <w14:ligatures w14:val="standardContextual"/>
              </w:rPr>
            </w:pPr>
            <w:r w:rsidRPr="009E4FEF">
              <w:rPr>
                <w:rFonts w:ascii="Arial" w:eastAsia="Aptos" w:hAnsi="Arial" w:cs="Arial"/>
                <w:kern w:val="2"/>
                <w14:ligatures w14:val="standardContextual"/>
              </w:rPr>
              <w:t>CEC (</w:t>
            </w:r>
            <w:proofErr w:type="spellStart"/>
            <w:r w:rsidRPr="009E4FEF">
              <w:rPr>
                <w:rFonts w:ascii="Arial" w:eastAsia="Aptos" w:hAnsi="Arial" w:cs="Arial"/>
                <w:kern w:val="2"/>
                <w14:ligatures w14:val="standardContextual"/>
              </w:rPr>
              <w:t>cmol</w:t>
            </w:r>
            <w:r w:rsidRPr="009E4FEF">
              <w:rPr>
                <w:rFonts w:ascii="Arial" w:eastAsia="Aptos" w:hAnsi="Arial" w:cs="Arial"/>
                <w:kern w:val="2"/>
                <w:vertAlign w:val="subscript"/>
                <w14:ligatures w14:val="standardContextual"/>
              </w:rPr>
              <w:t>c</w:t>
            </w:r>
            <w:proofErr w:type="spellEnd"/>
            <w:r w:rsidRPr="009E4FEF">
              <w:rPr>
                <w:rFonts w:ascii="Arial" w:eastAsia="Aptos" w:hAnsi="Arial" w:cs="Arial"/>
                <w:kern w:val="2"/>
                <w14:ligatures w14:val="standardContextual"/>
              </w:rPr>
              <w:t xml:space="preserve"> kg</w:t>
            </w:r>
            <w:r w:rsidRPr="009E4FEF">
              <w:rPr>
                <w:rFonts w:ascii="Arial" w:eastAsia="Aptos" w:hAnsi="Arial" w:cs="Arial"/>
                <w:kern w:val="2"/>
                <w:vertAlign w:val="superscript"/>
                <w14:ligatures w14:val="standardContextual"/>
              </w:rPr>
              <w:t>-1</w:t>
            </w:r>
            <w:r w:rsidRPr="009E4FEF">
              <w:rPr>
                <w:rFonts w:ascii="Arial" w:eastAsia="Aptos" w:hAnsi="Arial" w:cs="Arial"/>
                <w:kern w:val="2"/>
                <w14:ligatures w14:val="standardContextual"/>
              </w:rPr>
              <w:t>)</w:t>
            </w:r>
          </w:p>
        </w:tc>
        <w:tc>
          <w:tcPr>
            <w:tcW w:w="1152" w:type="dxa"/>
            <w:tcBorders>
              <w:top w:val="nil"/>
              <w:left w:val="nil"/>
              <w:bottom w:val="nil"/>
              <w:right w:val="nil"/>
            </w:tcBorders>
            <w:noWrap/>
            <w:hideMark/>
          </w:tcPr>
          <w:p w14:paraId="4FA71F1B" w14:textId="77777777" w:rsidR="009E4FEF" w:rsidRPr="009E4FEF" w:rsidRDefault="009E4FEF" w:rsidP="009E4FEF">
            <w:pPr>
              <w:tabs>
                <w:tab w:val="left" w:pos="720"/>
                <w:tab w:val="left" w:pos="1260"/>
                <w:tab w:val="left" w:pos="1620"/>
              </w:tabs>
              <w:spacing w:after="160"/>
              <w:jc w:val="center"/>
              <w:rPr>
                <w:rFonts w:ascii="Arial" w:eastAsia="Aptos" w:hAnsi="Arial" w:cs="Arial"/>
                <w:kern w:val="2"/>
                <w14:ligatures w14:val="standardContextual"/>
              </w:rPr>
            </w:pPr>
            <w:r w:rsidRPr="009E4FEF">
              <w:rPr>
                <w:rFonts w:ascii="Arial" w:eastAsia="Aptos" w:hAnsi="Arial" w:cs="Arial"/>
                <w:kern w:val="2"/>
                <w14:ligatures w14:val="standardContextual"/>
              </w:rPr>
              <w:t>-</w:t>
            </w:r>
          </w:p>
        </w:tc>
        <w:tc>
          <w:tcPr>
            <w:tcW w:w="2448" w:type="dxa"/>
            <w:gridSpan w:val="2"/>
            <w:tcBorders>
              <w:top w:val="nil"/>
              <w:left w:val="nil"/>
              <w:bottom w:val="nil"/>
              <w:right w:val="nil"/>
            </w:tcBorders>
            <w:noWrap/>
            <w:vAlign w:val="center"/>
            <w:hideMark/>
          </w:tcPr>
          <w:p w14:paraId="59612965" w14:textId="77777777" w:rsidR="009E4FEF" w:rsidRPr="009E4FEF" w:rsidRDefault="009E4FEF" w:rsidP="009E4FEF">
            <w:pPr>
              <w:tabs>
                <w:tab w:val="left" w:pos="720"/>
                <w:tab w:val="left" w:pos="1260"/>
                <w:tab w:val="left" w:pos="1620"/>
              </w:tabs>
              <w:spacing w:after="160"/>
              <w:jc w:val="both"/>
              <w:rPr>
                <w:rFonts w:ascii="Arial" w:eastAsia="Aptos" w:hAnsi="Arial" w:cs="Arial"/>
                <w:kern w:val="2"/>
                <w14:ligatures w14:val="standardContextual"/>
              </w:rPr>
            </w:pPr>
            <w:r w:rsidRPr="009E4FEF">
              <w:rPr>
                <w:rFonts w:ascii="Arial" w:eastAsia="Aptos" w:hAnsi="Arial" w:cs="Arial"/>
                <w:kern w:val="2"/>
                <w14:ligatures w14:val="standardContextual"/>
              </w:rPr>
              <w:t>13.26</w:t>
            </w:r>
          </w:p>
        </w:tc>
      </w:tr>
      <w:tr w:rsidR="009E4FEF" w:rsidRPr="009E4FEF" w14:paraId="7F4185A3" w14:textId="77777777" w:rsidTr="007827F0">
        <w:trPr>
          <w:trHeight w:val="432"/>
          <w:jc w:val="center"/>
        </w:trPr>
        <w:tc>
          <w:tcPr>
            <w:tcW w:w="2736" w:type="dxa"/>
            <w:tcBorders>
              <w:top w:val="nil"/>
              <w:left w:val="nil"/>
              <w:bottom w:val="nil"/>
              <w:right w:val="nil"/>
            </w:tcBorders>
            <w:noWrap/>
            <w:vAlign w:val="center"/>
            <w:hideMark/>
          </w:tcPr>
          <w:p w14:paraId="1EBA281E" w14:textId="77777777" w:rsidR="009E4FEF" w:rsidRPr="009E4FEF" w:rsidRDefault="009E4FEF" w:rsidP="009E4FEF">
            <w:pPr>
              <w:tabs>
                <w:tab w:val="left" w:pos="720"/>
                <w:tab w:val="left" w:pos="1260"/>
                <w:tab w:val="left" w:pos="1620"/>
              </w:tabs>
              <w:spacing w:after="160"/>
              <w:jc w:val="both"/>
              <w:rPr>
                <w:rFonts w:ascii="Arial" w:eastAsia="Aptos" w:hAnsi="Arial" w:cs="Arial"/>
                <w:kern w:val="2"/>
                <w14:ligatures w14:val="standardContextual"/>
              </w:rPr>
            </w:pPr>
            <w:r w:rsidRPr="009E4FEF">
              <w:rPr>
                <w:rFonts w:ascii="Arial" w:eastAsia="Aptos" w:hAnsi="Arial" w:cs="Arial"/>
                <w:kern w:val="2"/>
                <w14:ligatures w14:val="standardContextual"/>
              </w:rPr>
              <w:t>EC (</w:t>
            </w:r>
            <w:proofErr w:type="spellStart"/>
            <w:r w:rsidRPr="009E4FEF">
              <w:rPr>
                <w:rFonts w:ascii="Arial" w:eastAsia="Aptos" w:hAnsi="Arial" w:cs="Arial"/>
                <w:kern w:val="2"/>
                <w14:ligatures w14:val="standardContextual"/>
              </w:rPr>
              <w:t>dS</w:t>
            </w:r>
            <w:proofErr w:type="spellEnd"/>
            <w:r w:rsidRPr="009E4FEF">
              <w:rPr>
                <w:rFonts w:ascii="Arial" w:eastAsia="Aptos" w:hAnsi="Arial" w:cs="Arial"/>
                <w:kern w:val="2"/>
                <w14:ligatures w14:val="standardContextual"/>
              </w:rPr>
              <w:t xml:space="preserve"> m</w:t>
            </w:r>
            <w:r w:rsidRPr="009E4FEF">
              <w:rPr>
                <w:rFonts w:ascii="Arial" w:eastAsia="Aptos" w:hAnsi="Arial" w:cs="Arial"/>
                <w:kern w:val="2"/>
                <w:vertAlign w:val="superscript"/>
                <w14:ligatures w14:val="standardContextual"/>
              </w:rPr>
              <w:t>-1</w:t>
            </w:r>
            <w:r w:rsidRPr="009E4FEF">
              <w:rPr>
                <w:rFonts w:ascii="Arial" w:eastAsia="Aptos" w:hAnsi="Arial" w:cs="Arial"/>
                <w:kern w:val="2"/>
                <w14:ligatures w14:val="standardContextual"/>
              </w:rPr>
              <w:t>)</w:t>
            </w:r>
          </w:p>
        </w:tc>
        <w:tc>
          <w:tcPr>
            <w:tcW w:w="1152" w:type="dxa"/>
            <w:tcBorders>
              <w:top w:val="nil"/>
              <w:left w:val="nil"/>
              <w:bottom w:val="nil"/>
              <w:right w:val="nil"/>
            </w:tcBorders>
            <w:noWrap/>
            <w:hideMark/>
          </w:tcPr>
          <w:p w14:paraId="66A1D8F1" w14:textId="77777777" w:rsidR="009E4FEF" w:rsidRPr="009E4FEF" w:rsidRDefault="009E4FEF" w:rsidP="009E4FEF">
            <w:pPr>
              <w:tabs>
                <w:tab w:val="left" w:pos="720"/>
                <w:tab w:val="left" w:pos="1260"/>
                <w:tab w:val="left" w:pos="1620"/>
              </w:tabs>
              <w:spacing w:after="160"/>
              <w:jc w:val="center"/>
              <w:rPr>
                <w:rFonts w:ascii="Arial" w:eastAsia="Aptos" w:hAnsi="Arial" w:cs="Arial"/>
                <w:kern w:val="2"/>
                <w14:ligatures w14:val="standardContextual"/>
              </w:rPr>
            </w:pPr>
            <w:r w:rsidRPr="009E4FEF">
              <w:rPr>
                <w:rFonts w:ascii="Arial" w:eastAsia="Aptos" w:hAnsi="Arial" w:cs="Arial"/>
                <w:kern w:val="2"/>
                <w14:ligatures w14:val="standardContextual"/>
              </w:rPr>
              <w:t>-</w:t>
            </w:r>
          </w:p>
        </w:tc>
        <w:tc>
          <w:tcPr>
            <w:tcW w:w="2448" w:type="dxa"/>
            <w:gridSpan w:val="2"/>
            <w:tcBorders>
              <w:top w:val="nil"/>
              <w:left w:val="nil"/>
              <w:bottom w:val="nil"/>
              <w:right w:val="nil"/>
            </w:tcBorders>
            <w:noWrap/>
            <w:vAlign w:val="center"/>
            <w:hideMark/>
          </w:tcPr>
          <w:p w14:paraId="6A0C91C8" w14:textId="77777777" w:rsidR="009E4FEF" w:rsidRPr="009E4FEF" w:rsidRDefault="009E4FEF" w:rsidP="009E4FEF">
            <w:pPr>
              <w:tabs>
                <w:tab w:val="left" w:pos="720"/>
                <w:tab w:val="left" w:pos="1260"/>
                <w:tab w:val="left" w:pos="1620"/>
              </w:tabs>
              <w:spacing w:after="160"/>
              <w:jc w:val="both"/>
              <w:rPr>
                <w:rFonts w:ascii="Arial" w:eastAsia="Aptos" w:hAnsi="Arial" w:cs="Arial"/>
                <w:kern w:val="2"/>
                <w14:ligatures w14:val="standardContextual"/>
              </w:rPr>
            </w:pPr>
            <w:r w:rsidRPr="009E4FEF">
              <w:rPr>
                <w:rFonts w:ascii="Arial" w:eastAsia="Aptos" w:hAnsi="Arial" w:cs="Arial"/>
                <w:kern w:val="2"/>
                <w14:ligatures w14:val="standardContextual"/>
              </w:rPr>
              <w:t>0.03</w:t>
            </w:r>
          </w:p>
        </w:tc>
      </w:tr>
      <w:tr w:rsidR="009E4FEF" w:rsidRPr="009E4FEF" w14:paraId="15FE7AA4" w14:textId="77777777" w:rsidTr="007827F0">
        <w:trPr>
          <w:trHeight w:val="432"/>
          <w:jc w:val="center"/>
        </w:trPr>
        <w:tc>
          <w:tcPr>
            <w:tcW w:w="2736" w:type="dxa"/>
            <w:tcBorders>
              <w:top w:val="nil"/>
              <w:left w:val="nil"/>
              <w:bottom w:val="nil"/>
              <w:right w:val="nil"/>
            </w:tcBorders>
            <w:noWrap/>
            <w:vAlign w:val="center"/>
            <w:hideMark/>
          </w:tcPr>
          <w:p w14:paraId="0FB0B235" w14:textId="77777777" w:rsidR="009E4FEF" w:rsidRPr="009E4FEF" w:rsidRDefault="009E4FEF" w:rsidP="009E4FEF">
            <w:pPr>
              <w:tabs>
                <w:tab w:val="left" w:pos="720"/>
                <w:tab w:val="left" w:pos="1260"/>
                <w:tab w:val="left" w:pos="1620"/>
              </w:tabs>
              <w:spacing w:after="160"/>
              <w:jc w:val="both"/>
              <w:rPr>
                <w:rFonts w:ascii="Arial" w:eastAsia="Aptos" w:hAnsi="Arial" w:cs="Arial"/>
                <w:kern w:val="2"/>
                <w14:ligatures w14:val="standardContextual"/>
              </w:rPr>
            </w:pPr>
            <w:r w:rsidRPr="009E4FEF">
              <w:rPr>
                <w:rFonts w:ascii="Arial" w:eastAsia="Aptos" w:hAnsi="Arial" w:cs="Arial"/>
                <w:kern w:val="2"/>
                <w14:ligatures w14:val="standardContextual"/>
              </w:rPr>
              <w:t>Organic carbon (%)</w:t>
            </w:r>
          </w:p>
        </w:tc>
        <w:tc>
          <w:tcPr>
            <w:tcW w:w="1152" w:type="dxa"/>
            <w:tcBorders>
              <w:top w:val="nil"/>
              <w:left w:val="nil"/>
              <w:bottom w:val="nil"/>
              <w:right w:val="nil"/>
            </w:tcBorders>
            <w:noWrap/>
            <w:hideMark/>
          </w:tcPr>
          <w:p w14:paraId="08B155A0" w14:textId="77777777" w:rsidR="009E4FEF" w:rsidRPr="009E4FEF" w:rsidRDefault="009E4FEF" w:rsidP="009E4FEF">
            <w:pPr>
              <w:tabs>
                <w:tab w:val="left" w:pos="720"/>
                <w:tab w:val="left" w:pos="1260"/>
                <w:tab w:val="left" w:pos="1620"/>
              </w:tabs>
              <w:spacing w:after="160"/>
              <w:jc w:val="center"/>
              <w:rPr>
                <w:rFonts w:ascii="Arial" w:eastAsia="Aptos" w:hAnsi="Arial" w:cs="Arial"/>
                <w:kern w:val="2"/>
                <w14:ligatures w14:val="standardContextual"/>
              </w:rPr>
            </w:pPr>
            <w:r w:rsidRPr="009E4FEF">
              <w:rPr>
                <w:rFonts w:ascii="Arial" w:eastAsia="Aptos" w:hAnsi="Arial" w:cs="Arial"/>
                <w:kern w:val="2"/>
                <w14:ligatures w14:val="standardContextual"/>
              </w:rPr>
              <w:t>-</w:t>
            </w:r>
          </w:p>
        </w:tc>
        <w:tc>
          <w:tcPr>
            <w:tcW w:w="2448" w:type="dxa"/>
            <w:gridSpan w:val="2"/>
            <w:tcBorders>
              <w:top w:val="nil"/>
              <w:left w:val="nil"/>
              <w:bottom w:val="nil"/>
              <w:right w:val="nil"/>
            </w:tcBorders>
            <w:noWrap/>
            <w:vAlign w:val="center"/>
            <w:hideMark/>
          </w:tcPr>
          <w:p w14:paraId="162EA1B6" w14:textId="77777777" w:rsidR="009E4FEF" w:rsidRPr="009E4FEF" w:rsidRDefault="009E4FEF" w:rsidP="009E4FEF">
            <w:pPr>
              <w:tabs>
                <w:tab w:val="left" w:pos="720"/>
                <w:tab w:val="left" w:pos="1260"/>
                <w:tab w:val="left" w:pos="1620"/>
              </w:tabs>
              <w:spacing w:after="160"/>
              <w:jc w:val="both"/>
              <w:rPr>
                <w:rFonts w:ascii="Arial" w:eastAsia="Aptos" w:hAnsi="Arial" w:cs="Arial"/>
                <w:kern w:val="2"/>
                <w14:ligatures w14:val="standardContextual"/>
              </w:rPr>
            </w:pPr>
            <w:r w:rsidRPr="009E4FEF">
              <w:rPr>
                <w:rFonts w:ascii="Arial" w:eastAsia="Aptos" w:hAnsi="Arial" w:cs="Arial"/>
                <w:kern w:val="2"/>
                <w14:ligatures w14:val="standardContextual"/>
              </w:rPr>
              <w:t>1.35</w:t>
            </w:r>
          </w:p>
        </w:tc>
      </w:tr>
      <w:tr w:rsidR="009E4FEF" w:rsidRPr="009E4FEF" w14:paraId="3BB7B6B8" w14:textId="77777777" w:rsidTr="007827F0">
        <w:trPr>
          <w:trHeight w:val="432"/>
          <w:jc w:val="center"/>
        </w:trPr>
        <w:tc>
          <w:tcPr>
            <w:tcW w:w="2736" w:type="dxa"/>
            <w:tcBorders>
              <w:top w:val="nil"/>
              <w:left w:val="nil"/>
              <w:bottom w:val="nil"/>
              <w:right w:val="nil"/>
            </w:tcBorders>
            <w:noWrap/>
            <w:vAlign w:val="center"/>
            <w:hideMark/>
          </w:tcPr>
          <w:p w14:paraId="5EB3AFE8" w14:textId="77777777" w:rsidR="009E4FEF" w:rsidRPr="009E4FEF" w:rsidRDefault="009E4FEF" w:rsidP="009E4FEF">
            <w:pPr>
              <w:tabs>
                <w:tab w:val="left" w:pos="720"/>
                <w:tab w:val="left" w:pos="1260"/>
                <w:tab w:val="left" w:pos="1620"/>
              </w:tabs>
              <w:spacing w:after="160"/>
              <w:jc w:val="both"/>
              <w:rPr>
                <w:rFonts w:ascii="Arial" w:eastAsia="Aptos" w:hAnsi="Arial" w:cs="Arial"/>
                <w:kern w:val="2"/>
                <w14:ligatures w14:val="standardContextual"/>
              </w:rPr>
            </w:pPr>
            <w:r w:rsidRPr="009E4FEF">
              <w:rPr>
                <w:rFonts w:ascii="Arial" w:eastAsia="Aptos" w:hAnsi="Arial" w:cs="Arial"/>
                <w:kern w:val="2"/>
                <w14:ligatures w14:val="standardContextual"/>
              </w:rPr>
              <w:t xml:space="preserve">Total N </w:t>
            </w:r>
            <w:proofErr w:type="gramStart"/>
            <w:r w:rsidRPr="009E4FEF">
              <w:rPr>
                <w:rFonts w:ascii="Arial" w:eastAsia="Aptos" w:hAnsi="Arial" w:cs="Arial"/>
                <w:kern w:val="2"/>
                <w14:ligatures w14:val="standardContextual"/>
              </w:rPr>
              <w:t>( %</w:t>
            </w:r>
            <w:proofErr w:type="gramEnd"/>
            <w:r w:rsidRPr="009E4FEF">
              <w:rPr>
                <w:rFonts w:ascii="Arial" w:eastAsia="Aptos" w:hAnsi="Arial" w:cs="Arial"/>
                <w:kern w:val="2"/>
                <w14:ligatures w14:val="standardContextual"/>
              </w:rPr>
              <w:t xml:space="preserve"> )</w:t>
            </w:r>
          </w:p>
        </w:tc>
        <w:tc>
          <w:tcPr>
            <w:tcW w:w="1152" w:type="dxa"/>
            <w:tcBorders>
              <w:top w:val="nil"/>
              <w:left w:val="nil"/>
              <w:bottom w:val="nil"/>
              <w:right w:val="nil"/>
            </w:tcBorders>
            <w:noWrap/>
            <w:hideMark/>
          </w:tcPr>
          <w:p w14:paraId="2E703851" w14:textId="77777777" w:rsidR="009E4FEF" w:rsidRPr="009E4FEF" w:rsidRDefault="009E4FEF" w:rsidP="009E4FEF">
            <w:pPr>
              <w:tabs>
                <w:tab w:val="left" w:pos="720"/>
                <w:tab w:val="left" w:pos="1260"/>
                <w:tab w:val="left" w:pos="1620"/>
              </w:tabs>
              <w:spacing w:after="160"/>
              <w:jc w:val="center"/>
              <w:rPr>
                <w:rFonts w:ascii="Arial" w:eastAsia="Aptos" w:hAnsi="Arial" w:cs="Arial"/>
                <w:kern w:val="2"/>
                <w14:ligatures w14:val="standardContextual"/>
              </w:rPr>
            </w:pPr>
            <w:r w:rsidRPr="009E4FEF">
              <w:rPr>
                <w:rFonts w:ascii="Arial" w:eastAsia="Aptos" w:hAnsi="Arial" w:cs="Arial"/>
                <w:kern w:val="2"/>
                <w14:ligatures w14:val="standardContextual"/>
              </w:rPr>
              <w:t>-</w:t>
            </w:r>
          </w:p>
        </w:tc>
        <w:tc>
          <w:tcPr>
            <w:tcW w:w="2448" w:type="dxa"/>
            <w:gridSpan w:val="2"/>
            <w:tcBorders>
              <w:top w:val="nil"/>
              <w:left w:val="nil"/>
              <w:bottom w:val="nil"/>
              <w:right w:val="nil"/>
            </w:tcBorders>
            <w:noWrap/>
            <w:vAlign w:val="center"/>
            <w:hideMark/>
          </w:tcPr>
          <w:p w14:paraId="222D3785" w14:textId="77777777" w:rsidR="009E4FEF" w:rsidRPr="009E4FEF" w:rsidRDefault="009E4FEF" w:rsidP="009E4FEF">
            <w:pPr>
              <w:tabs>
                <w:tab w:val="left" w:pos="720"/>
                <w:tab w:val="left" w:pos="1260"/>
                <w:tab w:val="left" w:pos="1620"/>
              </w:tabs>
              <w:spacing w:after="160"/>
              <w:jc w:val="both"/>
              <w:rPr>
                <w:rFonts w:ascii="Arial" w:eastAsia="Aptos" w:hAnsi="Arial" w:cs="Arial"/>
                <w:kern w:val="2"/>
                <w14:ligatures w14:val="standardContextual"/>
              </w:rPr>
            </w:pPr>
            <w:r w:rsidRPr="009E4FEF">
              <w:rPr>
                <w:rFonts w:ascii="Arial" w:eastAsia="Aptos" w:hAnsi="Arial" w:cs="Arial"/>
                <w:kern w:val="2"/>
                <w14:ligatures w14:val="standardContextual"/>
              </w:rPr>
              <w:t>0.06</w:t>
            </w:r>
          </w:p>
        </w:tc>
      </w:tr>
      <w:tr w:rsidR="009E4FEF" w:rsidRPr="009E4FEF" w14:paraId="3D94131A" w14:textId="77777777" w:rsidTr="007827F0">
        <w:trPr>
          <w:trHeight w:val="432"/>
          <w:jc w:val="center"/>
        </w:trPr>
        <w:tc>
          <w:tcPr>
            <w:tcW w:w="2736" w:type="dxa"/>
            <w:tcBorders>
              <w:top w:val="nil"/>
              <w:left w:val="nil"/>
              <w:bottom w:val="nil"/>
              <w:right w:val="nil"/>
            </w:tcBorders>
            <w:noWrap/>
            <w:vAlign w:val="center"/>
            <w:hideMark/>
          </w:tcPr>
          <w:p w14:paraId="11E97CAD" w14:textId="77777777" w:rsidR="009E4FEF" w:rsidRPr="009E4FEF" w:rsidRDefault="009E4FEF" w:rsidP="009E4FEF">
            <w:pPr>
              <w:tabs>
                <w:tab w:val="left" w:pos="720"/>
                <w:tab w:val="left" w:pos="1260"/>
                <w:tab w:val="left" w:pos="1620"/>
              </w:tabs>
              <w:spacing w:after="160"/>
              <w:jc w:val="both"/>
              <w:rPr>
                <w:rFonts w:ascii="Arial" w:eastAsia="Aptos" w:hAnsi="Arial" w:cs="Arial"/>
                <w:kern w:val="2"/>
                <w14:ligatures w14:val="standardContextual"/>
              </w:rPr>
            </w:pPr>
            <w:r w:rsidRPr="009E4FEF">
              <w:rPr>
                <w:rFonts w:ascii="Arial" w:eastAsia="Aptos" w:hAnsi="Arial" w:cs="Arial"/>
                <w:kern w:val="2"/>
                <w14:ligatures w14:val="standardContextual"/>
              </w:rPr>
              <w:t xml:space="preserve">Available P </w:t>
            </w:r>
            <w:proofErr w:type="gramStart"/>
            <w:r w:rsidRPr="009E4FEF">
              <w:rPr>
                <w:rFonts w:ascii="Arial" w:eastAsia="Aptos" w:hAnsi="Arial" w:cs="Arial"/>
                <w:kern w:val="2"/>
                <w14:ligatures w14:val="standardContextual"/>
              </w:rPr>
              <w:t>( mg</w:t>
            </w:r>
            <w:proofErr w:type="gramEnd"/>
            <w:r w:rsidRPr="009E4FEF">
              <w:rPr>
                <w:rFonts w:ascii="Arial" w:eastAsia="Aptos" w:hAnsi="Arial" w:cs="Arial"/>
                <w:kern w:val="2"/>
                <w14:ligatures w14:val="standardContextual"/>
              </w:rPr>
              <w:t xml:space="preserve"> kg</w:t>
            </w:r>
            <w:r w:rsidRPr="009E4FEF">
              <w:rPr>
                <w:rFonts w:ascii="Arial" w:eastAsia="Aptos" w:hAnsi="Arial" w:cs="Arial"/>
                <w:kern w:val="2"/>
                <w:vertAlign w:val="superscript"/>
                <w14:ligatures w14:val="standardContextual"/>
              </w:rPr>
              <w:t>-</w:t>
            </w:r>
            <w:proofErr w:type="gramStart"/>
            <w:r w:rsidRPr="009E4FEF">
              <w:rPr>
                <w:rFonts w:ascii="Arial" w:eastAsia="Aptos" w:hAnsi="Arial" w:cs="Arial"/>
                <w:kern w:val="2"/>
                <w:vertAlign w:val="superscript"/>
                <w14:ligatures w14:val="standardContextual"/>
              </w:rPr>
              <w:t>1</w:t>
            </w:r>
            <w:r w:rsidRPr="009E4FEF">
              <w:rPr>
                <w:rFonts w:ascii="Arial" w:eastAsia="Aptos" w:hAnsi="Arial" w:cs="Arial"/>
                <w:kern w:val="2"/>
                <w14:ligatures w14:val="standardContextual"/>
              </w:rPr>
              <w:t xml:space="preserve"> )</w:t>
            </w:r>
            <w:proofErr w:type="gramEnd"/>
          </w:p>
        </w:tc>
        <w:tc>
          <w:tcPr>
            <w:tcW w:w="1152" w:type="dxa"/>
            <w:tcBorders>
              <w:top w:val="nil"/>
              <w:left w:val="nil"/>
              <w:bottom w:val="nil"/>
              <w:right w:val="nil"/>
            </w:tcBorders>
            <w:noWrap/>
            <w:hideMark/>
          </w:tcPr>
          <w:p w14:paraId="4560A56E" w14:textId="77777777" w:rsidR="009E4FEF" w:rsidRPr="009E4FEF" w:rsidRDefault="009E4FEF" w:rsidP="009E4FEF">
            <w:pPr>
              <w:tabs>
                <w:tab w:val="left" w:pos="720"/>
                <w:tab w:val="left" w:pos="1260"/>
                <w:tab w:val="left" w:pos="1620"/>
              </w:tabs>
              <w:spacing w:after="160"/>
              <w:jc w:val="center"/>
              <w:rPr>
                <w:rFonts w:ascii="Arial" w:eastAsia="Aptos" w:hAnsi="Arial" w:cs="Arial"/>
                <w:kern w:val="2"/>
                <w14:ligatures w14:val="standardContextual"/>
              </w:rPr>
            </w:pPr>
            <w:r w:rsidRPr="009E4FEF">
              <w:rPr>
                <w:rFonts w:ascii="Arial" w:eastAsia="Aptos" w:hAnsi="Arial" w:cs="Arial"/>
                <w:kern w:val="2"/>
                <w14:ligatures w14:val="standardContextual"/>
              </w:rPr>
              <w:t>-</w:t>
            </w:r>
          </w:p>
        </w:tc>
        <w:tc>
          <w:tcPr>
            <w:tcW w:w="2448" w:type="dxa"/>
            <w:gridSpan w:val="2"/>
            <w:tcBorders>
              <w:top w:val="nil"/>
              <w:left w:val="nil"/>
              <w:bottom w:val="nil"/>
              <w:right w:val="nil"/>
            </w:tcBorders>
            <w:noWrap/>
            <w:vAlign w:val="center"/>
            <w:hideMark/>
          </w:tcPr>
          <w:p w14:paraId="27B749B9" w14:textId="77777777" w:rsidR="009E4FEF" w:rsidRPr="009E4FEF" w:rsidRDefault="009E4FEF" w:rsidP="009E4FEF">
            <w:pPr>
              <w:tabs>
                <w:tab w:val="left" w:pos="720"/>
                <w:tab w:val="left" w:pos="1260"/>
                <w:tab w:val="left" w:pos="1620"/>
              </w:tabs>
              <w:spacing w:after="160"/>
              <w:jc w:val="both"/>
              <w:rPr>
                <w:rFonts w:ascii="Arial" w:eastAsia="Aptos" w:hAnsi="Arial" w:cs="Arial"/>
                <w:kern w:val="2"/>
                <w14:ligatures w14:val="standardContextual"/>
              </w:rPr>
            </w:pPr>
            <w:r w:rsidRPr="009E4FEF">
              <w:rPr>
                <w:rFonts w:ascii="Arial" w:eastAsia="Aptos" w:hAnsi="Arial" w:cs="Arial"/>
                <w:kern w:val="2"/>
                <w14:ligatures w14:val="standardContextual"/>
              </w:rPr>
              <w:t>22.58</w:t>
            </w:r>
          </w:p>
        </w:tc>
      </w:tr>
      <w:tr w:rsidR="009E4FEF" w:rsidRPr="009E4FEF" w14:paraId="6DF41E02" w14:textId="77777777" w:rsidTr="007827F0">
        <w:trPr>
          <w:trHeight w:val="432"/>
          <w:jc w:val="center"/>
        </w:trPr>
        <w:tc>
          <w:tcPr>
            <w:tcW w:w="2736" w:type="dxa"/>
            <w:tcBorders>
              <w:top w:val="nil"/>
              <w:left w:val="nil"/>
              <w:bottom w:val="single" w:sz="4" w:space="0" w:color="auto"/>
              <w:right w:val="nil"/>
            </w:tcBorders>
            <w:noWrap/>
            <w:vAlign w:val="center"/>
            <w:hideMark/>
          </w:tcPr>
          <w:p w14:paraId="74AD9E90" w14:textId="77777777" w:rsidR="009E4FEF" w:rsidRPr="009E4FEF" w:rsidRDefault="009E4FEF" w:rsidP="009E4FEF">
            <w:pPr>
              <w:tabs>
                <w:tab w:val="left" w:pos="720"/>
                <w:tab w:val="left" w:pos="1260"/>
                <w:tab w:val="left" w:pos="1620"/>
              </w:tabs>
              <w:spacing w:after="160"/>
              <w:jc w:val="both"/>
              <w:rPr>
                <w:rFonts w:ascii="Arial" w:eastAsia="Aptos" w:hAnsi="Arial" w:cs="Arial"/>
                <w:kern w:val="2"/>
                <w14:ligatures w14:val="standardContextual"/>
              </w:rPr>
            </w:pPr>
            <w:r w:rsidRPr="009E4FEF">
              <w:rPr>
                <w:rFonts w:ascii="Arial" w:eastAsia="Aptos" w:hAnsi="Arial" w:cs="Arial"/>
                <w:kern w:val="2"/>
                <w14:ligatures w14:val="standardContextual"/>
              </w:rPr>
              <w:t xml:space="preserve">Available K </w:t>
            </w:r>
            <w:proofErr w:type="gramStart"/>
            <w:r w:rsidRPr="009E4FEF">
              <w:rPr>
                <w:rFonts w:ascii="Arial" w:eastAsia="Aptos" w:hAnsi="Arial" w:cs="Arial"/>
                <w:kern w:val="2"/>
                <w14:ligatures w14:val="standardContextual"/>
              </w:rPr>
              <w:t>( mg</w:t>
            </w:r>
            <w:proofErr w:type="gramEnd"/>
            <w:r w:rsidRPr="009E4FEF">
              <w:rPr>
                <w:rFonts w:ascii="Arial" w:eastAsia="Aptos" w:hAnsi="Arial" w:cs="Arial"/>
                <w:kern w:val="2"/>
                <w14:ligatures w14:val="standardContextual"/>
              </w:rPr>
              <w:t xml:space="preserve"> kg</w:t>
            </w:r>
            <w:r w:rsidRPr="009E4FEF">
              <w:rPr>
                <w:rFonts w:ascii="Arial" w:eastAsia="Aptos" w:hAnsi="Arial" w:cs="Arial"/>
                <w:kern w:val="2"/>
                <w:vertAlign w:val="superscript"/>
                <w14:ligatures w14:val="standardContextual"/>
              </w:rPr>
              <w:t>-</w:t>
            </w:r>
            <w:proofErr w:type="gramStart"/>
            <w:r w:rsidRPr="009E4FEF">
              <w:rPr>
                <w:rFonts w:ascii="Arial" w:eastAsia="Aptos" w:hAnsi="Arial" w:cs="Arial"/>
                <w:kern w:val="2"/>
                <w:vertAlign w:val="superscript"/>
                <w14:ligatures w14:val="standardContextual"/>
              </w:rPr>
              <w:t>1</w:t>
            </w:r>
            <w:r w:rsidRPr="009E4FEF">
              <w:rPr>
                <w:rFonts w:ascii="Arial" w:eastAsia="Aptos" w:hAnsi="Arial" w:cs="Arial"/>
                <w:kern w:val="2"/>
                <w14:ligatures w14:val="standardContextual"/>
              </w:rPr>
              <w:t xml:space="preserve"> )</w:t>
            </w:r>
            <w:proofErr w:type="gramEnd"/>
          </w:p>
        </w:tc>
        <w:tc>
          <w:tcPr>
            <w:tcW w:w="1152" w:type="dxa"/>
            <w:tcBorders>
              <w:top w:val="nil"/>
              <w:left w:val="nil"/>
              <w:bottom w:val="single" w:sz="4" w:space="0" w:color="auto"/>
              <w:right w:val="nil"/>
            </w:tcBorders>
            <w:noWrap/>
            <w:hideMark/>
          </w:tcPr>
          <w:p w14:paraId="43A8FD83" w14:textId="77777777" w:rsidR="009E4FEF" w:rsidRPr="009E4FEF" w:rsidRDefault="009E4FEF" w:rsidP="009E4FEF">
            <w:pPr>
              <w:tabs>
                <w:tab w:val="left" w:pos="720"/>
                <w:tab w:val="left" w:pos="1260"/>
                <w:tab w:val="left" w:pos="1620"/>
              </w:tabs>
              <w:spacing w:after="160"/>
              <w:jc w:val="center"/>
              <w:rPr>
                <w:rFonts w:ascii="Arial" w:eastAsia="Aptos" w:hAnsi="Arial" w:cs="Arial"/>
                <w:kern w:val="2"/>
                <w14:ligatures w14:val="standardContextual"/>
              </w:rPr>
            </w:pPr>
            <w:r w:rsidRPr="009E4FEF">
              <w:rPr>
                <w:rFonts w:ascii="Arial" w:eastAsia="Aptos" w:hAnsi="Arial" w:cs="Arial"/>
                <w:kern w:val="2"/>
                <w14:ligatures w14:val="standardContextual"/>
              </w:rPr>
              <w:t>-</w:t>
            </w:r>
          </w:p>
        </w:tc>
        <w:tc>
          <w:tcPr>
            <w:tcW w:w="2448" w:type="dxa"/>
            <w:gridSpan w:val="2"/>
            <w:tcBorders>
              <w:top w:val="nil"/>
              <w:left w:val="nil"/>
              <w:bottom w:val="single" w:sz="4" w:space="0" w:color="auto"/>
              <w:right w:val="nil"/>
            </w:tcBorders>
            <w:noWrap/>
            <w:vAlign w:val="center"/>
            <w:hideMark/>
          </w:tcPr>
          <w:p w14:paraId="45126687" w14:textId="77777777" w:rsidR="009E4FEF" w:rsidRPr="009E4FEF" w:rsidRDefault="009E4FEF" w:rsidP="009E4FEF">
            <w:pPr>
              <w:tabs>
                <w:tab w:val="left" w:pos="720"/>
                <w:tab w:val="left" w:pos="1260"/>
                <w:tab w:val="left" w:pos="1620"/>
              </w:tabs>
              <w:spacing w:after="160"/>
              <w:jc w:val="both"/>
              <w:rPr>
                <w:rFonts w:ascii="Arial" w:eastAsia="Aptos" w:hAnsi="Arial" w:cs="Arial"/>
                <w:kern w:val="2"/>
                <w14:ligatures w14:val="standardContextual"/>
              </w:rPr>
            </w:pPr>
            <w:r w:rsidRPr="009E4FEF">
              <w:rPr>
                <w:rFonts w:ascii="Arial" w:eastAsia="Aptos" w:hAnsi="Arial" w:cs="Arial"/>
                <w:kern w:val="2"/>
                <w14:ligatures w14:val="standardContextual"/>
              </w:rPr>
              <w:t>78.43</w:t>
            </w:r>
          </w:p>
        </w:tc>
      </w:tr>
    </w:tbl>
    <w:p w14:paraId="3651B230" w14:textId="77777777" w:rsidR="009E4FEF" w:rsidRDefault="009E4FEF" w:rsidP="008E5D48">
      <w:pPr>
        <w:spacing w:before="120" w:after="120"/>
        <w:jc w:val="both"/>
        <w:rPr>
          <w:rFonts w:ascii="Arial" w:hAnsi="Arial" w:cs="Arial"/>
          <w:b/>
          <w:bCs/>
          <w:color w:val="000000" w:themeColor="text1"/>
        </w:rPr>
      </w:pPr>
    </w:p>
    <w:p w14:paraId="33F095C6" w14:textId="6004E1A7" w:rsidR="00707275" w:rsidRDefault="00707275" w:rsidP="008E5D48">
      <w:pPr>
        <w:spacing w:before="120" w:after="120"/>
        <w:jc w:val="both"/>
        <w:rPr>
          <w:rFonts w:ascii="Arial" w:hAnsi="Arial" w:cs="Arial"/>
          <w:b/>
          <w:bCs/>
          <w:color w:val="000000" w:themeColor="text1"/>
        </w:rPr>
      </w:pPr>
      <w:r>
        <w:rPr>
          <w:rFonts w:ascii="Arial" w:hAnsi="Arial" w:cs="Arial"/>
          <w:b/>
          <w:bCs/>
          <w:color w:val="000000" w:themeColor="text1"/>
        </w:rPr>
        <w:br w:type="page"/>
      </w:r>
    </w:p>
    <w:p w14:paraId="61AB9415" w14:textId="5D056B41" w:rsidR="00C13684" w:rsidRPr="006355D2" w:rsidRDefault="00C13684" w:rsidP="008E5D48">
      <w:pPr>
        <w:spacing w:before="120" w:after="120"/>
        <w:jc w:val="both"/>
        <w:rPr>
          <w:rFonts w:ascii="Arial" w:hAnsi="Arial" w:cs="Arial"/>
          <w:b/>
          <w:bCs/>
          <w:color w:val="000000" w:themeColor="text1"/>
        </w:rPr>
      </w:pPr>
      <w:r>
        <w:rPr>
          <w:rFonts w:ascii="Arial" w:hAnsi="Arial" w:cs="Arial"/>
          <w:b/>
          <w:bCs/>
          <w:color w:val="000000" w:themeColor="text1"/>
        </w:rPr>
        <w:lastRenderedPageBreak/>
        <w:t xml:space="preserve">3. </w:t>
      </w:r>
      <w:r w:rsidRPr="006355D2">
        <w:rPr>
          <w:rFonts w:ascii="Arial" w:hAnsi="Arial" w:cs="Arial"/>
          <w:b/>
          <w:bCs/>
          <w:color w:val="000000" w:themeColor="text1"/>
        </w:rPr>
        <w:t>Results and Discussion</w:t>
      </w:r>
    </w:p>
    <w:p w14:paraId="0E5CD142" w14:textId="2D88C9FB" w:rsidR="00C13684" w:rsidRPr="006355D2" w:rsidRDefault="00C13684" w:rsidP="008E5D48">
      <w:pPr>
        <w:spacing w:before="120" w:after="120"/>
        <w:jc w:val="both"/>
        <w:rPr>
          <w:rFonts w:ascii="Arial" w:hAnsi="Arial" w:cs="Arial"/>
          <w:b/>
          <w:bCs/>
          <w:color w:val="000000" w:themeColor="text1"/>
        </w:rPr>
      </w:pPr>
      <w:r>
        <w:rPr>
          <w:rFonts w:ascii="Arial" w:hAnsi="Arial" w:cs="Arial"/>
          <w:b/>
          <w:bCs/>
          <w:color w:val="000000" w:themeColor="text1"/>
        </w:rPr>
        <w:t>3.</w:t>
      </w:r>
      <w:r w:rsidRPr="006355D2">
        <w:rPr>
          <w:rFonts w:ascii="Arial" w:hAnsi="Arial" w:cs="Arial"/>
          <w:b/>
          <w:bCs/>
          <w:color w:val="000000" w:themeColor="text1"/>
        </w:rPr>
        <w:t>1 Post-Monsoon Season (December 2024 – April 2025)</w:t>
      </w:r>
    </w:p>
    <w:p w14:paraId="19D48C79" w14:textId="0AA8B871" w:rsidR="00C13684" w:rsidRPr="006355D2" w:rsidRDefault="00C13684" w:rsidP="008E5D48">
      <w:pPr>
        <w:spacing w:before="120" w:after="120"/>
        <w:jc w:val="both"/>
        <w:rPr>
          <w:rFonts w:ascii="Arial" w:hAnsi="Arial" w:cs="Arial"/>
          <w:b/>
          <w:bCs/>
          <w:color w:val="000000" w:themeColor="text1"/>
        </w:rPr>
      </w:pPr>
      <w:r>
        <w:rPr>
          <w:rFonts w:ascii="Arial" w:hAnsi="Arial" w:cs="Arial"/>
          <w:b/>
          <w:bCs/>
          <w:color w:val="000000" w:themeColor="text1"/>
        </w:rPr>
        <w:t>3.</w:t>
      </w:r>
      <w:r w:rsidRPr="006355D2">
        <w:rPr>
          <w:rFonts w:ascii="Arial" w:hAnsi="Arial" w:cs="Arial"/>
          <w:b/>
          <w:bCs/>
          <w:color w:val="000000" w:themeColor="text1"/>
        </w:rPr>
        <w:t>1.1 Plant Height (cm)</w:t>
      </w:r>
    </w:p>
    <w:p w14:paraId="0F22881B" w14:textId="66F3F5B8" w:rsidR="00C13684" w:rsidRPr="006355D2" w:rsidRDefault="00C13684" w:rsidP="008E5D48">
      <w:pPr>
        <w:ind w:firstLine="720"/>
        <w:jc w:val="both"/>
        <w:rPr>
          <w:rFonts w:ascii="Arial" w:hAnsi="Arial" w:cs="Arial"/>
          <w:noProof/>
          <w:color w:val="000000" w:themeColor="text1"/>
        </w:rPr>
      </w:pPr>
      <w:r w:rsidRPr="006355D2">
        <w:rPr>
          <w:rFonts w:ascii="Arial" w:hAnsi="Arial" w:cs="Arial"/>
          <w:noProof/>
          <w:color w:val="000000" w:themeColor="text1"/>
        </w:rPr>
        <w:t>Plant height was significantly influenced by treatments at all growth stages (</w:t>
      </w:r>
      <w:r w:rsidR="009E4FEF">
        <w:rPr>
          <w:rFonts w:ascii="Arial" w:hAnsi="Arial" w:cs="Arial"/>
          <w:noProof/>
          <w:color w:val="000000" w:themeColor="text1"/>
        </w:rPr>
        <w:t>Table 3</w:t>
      </w:r>
      <w:r w:rsidRPr="006355D2">
        <w:rPr>
          <w:rFonts w:ascii="Arial" w:hAnsi="Arial" w:cs="Arial"/>
          <w:noProof/>
          <w:color w:val="000000" w:themeColor="text1"/>
        </w:rPr>
        <w:t>). At 63 DAS, the tallest plants were recorded in T</w:t>
      </w:r>
      <w:r w:rsidRPr="006355D2">
        <w:rPr>
          <w:rFonts w:ascii="Cambria Math" w:hAnsi="Cambria Math" w:cs="Cambria Math"/>
          <w:noProof/>
          <w:color w:val="000000" w:themeColor="text1"/>
        </w:rPr>
        <w:t>₃</w:t>
      </w:r>
      <w:r w:rsidRPr="006355D2">
        <w:rPr>
          <w:rFonts w:ascii="Arial" w:hAnsi="Arial" w:cs="Arial"/>
          <w:noProof/>
          <w:color w:val="000000" w:themeColor="text1"/>
        </w:rPr>
        <w:t xml:space="preserve"> (185.03 cm) and T</w:t>
      </w:r>
      <w:r w:rsidRPr="006355D2">
        <w:rPr>
          <w:rFonts w:ascii="Cambria Math" w:hAnsi="Cambria Math" w:cs="Cambria Math"/>
          <w:noProof/>
          <w:color w:val="000000" w:themeColor="text1"/>
        </w:rPr>
        <w:t>₆</w:t>
      </w:r>
      <w:r w:rsidRPr="006355D2">
        <w:rPr>
          <w:rFonts w:ascii="Arial" w:hAnsi="Arial" w:cs="Arial"/>
          <w:noProof/>
          <w:color w:val="000000" w:themeColor="text1"/>
        </w:rPr>
        <w:t xml:space="preserve"> (182.98 cm), which were statistically similar. The control (T</w:t>
      </w:r>
      <w:r w:rsidRPr="006355D2">
        <w:rPr>
          <w:rFonts w:ascii="Cambria Math" w:hAnsi="Cambria Math" w:cs="Cambria Math"/>
          <w:noProof/>
          <w:color w:val="000000" w:themeColor="text1"/>
        </w:rPr>
        <w:t>₁</w:t>
      </w:r>
      <w:r w:rsidRPr="006355D2">
        <w:rPr>
          <w:rFonts w:ascii="Arial" w:hAnsi="Arial" w:cs="Arial"/>
          <w:noProof/>
          <w:color w:val="000000" w:themeColor="text1"/>
        </w:rPr>
        <w:t>: 98.13 cm) and OA-only (T</w:t>
      </w:r>
      <w:r w:rsidRPr="006355D2">
        <w:rPr>
          <w:rFonts w:ascii="Cambria Math" w:hAnsi="Cambria Math" w:cs="Cambria Math"/>
          <w:noProof/>
          <w:color w:val="000000" w:themeColor="text1"/>
        </w:rPr>
        <w:t>₂</w:t>
      </w:r>
      <w:r w:rsidRPr="006355D2">
        <w:rPr>
          <w:rFonts w:ascii="Arial" w:hAnsi="Arial" w:cs="Arial"/>
          <w:noProof/>
          <w:color w:val="000000" w:themeColor="text1"/>
        </w:rPr>
        <w:t>: 113.15 cm) treatments were significantly shorter. The rapid vegetative growth under full inorganic fertilization is attributed to the immediate availability of nitrogen (N), which promotes cell division and stem elongation (Rawat, Sanwal &amp; Saxena, 2016). N is a key component of chlorophyll and amino acids, directly influencing photosynthetic efficiency and biomass accumulation (Bender et al., 2013). The near-equivalence of T</w:t>
      </w:r>
      <w:r w:rsidRPr="006355D2">
        <w:rPr>
          <w:rFonts w:ascii="Cambria Math" w:hAnsi="Cambria Math" w:cs="Cambria Math"/>
          <w:noProof/>
          <w:color w:val="000000" w:themeColor="text1"/>
        </w:rPr>
        <w:t>₃</w:t>
      </w:r>
      <w:r w:rsidRPr="006355D2">
        <w:rPr>
          <w:rFonts w:ascii="Arial" w:hAnsi="Arial" w:cs="Arial"/>
          <w:noProof/>
          <w:color w:val="000000" w:themeColor="text1"/>
        </w:rPr>
        <w:t xml:space="preserve"> and T</w:t>
      </w:r>
      <w:r w:rsidRPr="006355D2">
        <w:rPr>
          <w:rFonts w:ascii="Cambria Math" w:hAnsi="Cambria Math" w:cs="Cambria Math"/>
          <w:noProof/>
          <w:color w:val="000000" w:themeColor="text1"/>
        </w:rPr>
        <w:t>₆</w:t>
      </w:r>
      <w:r w:rsidRPr="006355D2">
        <w:rPr>
          <w:rFonts w:ascii="Arial" w:hAnsi="Arial" w:cs="Arial"/>
          <w:noProof/>
          <w:color w:val="000000" w:themeColor="text1"/>
        </w:rPr>
        <w:t xml:space="preserve"> suggests that OA does not hinder vegetative growth when combine with full NPK, supporting the concept of Integrated Nutrient Management (INM) (Tittonell et al., 2008). The intermediate performance of T</w:t>
      </w:r>
      <w:r w:rsidRPr="006355D2">
        <w:rPr>
          <w:rFonts w:ascii="Cambria Math" w:hAnsi="Cambria Math" w:cs="Cambria Math"/>
          <w:noProof/>
          <w:color w:val="000000" w:themeColor="text1"/>
        </w:rPr>
        <w:t>₄</w:t>
      </w:r>
      <w:r w:rsidRPr="006355D2">
        <w:rPr>
          <w:rFonts w:ascii="Arial" w:hAnsi="Arial" w:cs="Arial"/>
          <w:noProof/>
          <w:color w:val="000000" w:themeColor="text1"/>
        </w:rPr>
        <w:t xml:space="preserve"> and T</w:t>
      </w:r>
      <w:r w:rsidRPr="006355D2">
        <w:rPr>
          <w:rFonts w:ascii="Cambria Math" w:hAnsi="Cambria Math" w:cs="Cambria Math"/>
          <w:noProof/>
          <w:color w:val="000000" w:themeColor="text1"/>
        </w:rPr>
        <w:t>₅</w:t>
      </w:r>
      <w:r w:rsidRPr="006355D2">
        <w:rPr>
          <w:rFonts w:ascii="Arial" w:hAnsi="Arial" w:cs="Arial"/>
          <w:noProof/>
          <w:color w:val="000000" w:themeColor="text1"/>
        </w:rPr>
        <w:t xml:space="preserve"> indicates a dose-dependent response to NPK, </w:t>
      </w:r>
      <w:r w:rsidR="007C49E7" w:rsidRPr="006355D2">
        <w:rPr>
          <w:rFonts w:ascii="Arial" w:hAnsi="Arial" w:cs="Arial"/>
          <w:noProof/>
          <w:color w:val="000000" w:themeColor="text1"/>
        </w:rPr>
        <w:t>supporting</w:t>
      </w:r>
      <w:r w:rsidRPr="006355D2">
        <w:rPr>
          <w:rFonts w:ascii="Arial" w:hAnsi="Arial" w:cs="Arial"/>
          <w:noProof/>
          <w:color w:val="000000" w:themeColor="text1"/>
        </w:rPr>
        <w:t xml:space="preserve"> the importance of balanced nutrition.</w:t>
      </w:r>
    </w:p>
    <w:p w14:paraId="3ACC1DB2" w14:textId="7FA74D95" w:rsidR="00C13684" w:rsidRPr="008E5D48" w:rsidRDefault="009E4FEF" w:rsidP="009701C0">
      <w:pPr>
        <w:spacing w:before="120" w:after="120"/>
        <w:ind w:left="990" w:hanging="990"/>
        <w:jc w:val="both"/>
        <w:rPr>
          <w:rFonts w:ascii="Arial" w:hAnsi="Arial" w:cs="Arial"/>
          <w:b/>
          <w:bCs/>
          <w:color w:val="000000" w:themeColor="text1"/>
        </w:rPr>
      </w:pPr>
      <w:r>
        <w:rPr>
          <w:rFonts w:ascii="Arial" w:hAnsi="Arial" w:cs="Arial"/>
          <w:b/>
          <w:bCs/>
          <w:color w:val="000000" w:themeColor="text1"/>
        </w:rPr>
        <w:t>Table 2</w:t>
      </w:r>
      <w:r w:rsidR="00C13684" w:rsidRPr="008E5D48">
        <w:rPr>
          <w:rFonts w:ascii="Arial" w:hAnsi="Arial" w:cs="Arial"/>
          <w:b/>
          <w:bCs/>
          <w:color w:val="000000" w:themeColor="text1"/>
        </w:rPr>
        <w:t>.  Mean plant height</w:t>
      </w:r>
      <w:r w:rsidR="009701C0">
        <w:rPr>
          <w:rFonts w:ascii="Arial" w:hAnsi="Arial" w:cs="Arial"/>
          <w:b/>
          <w:bCs/>
          <w:color w:val="000000" w:themeColor="text1"/>
        </w:rPr>
        <w:t>s</w:t>
      </w:r>
      <w:r w:rsidR="00C13684" w:rsidRPr="008E5D48">
        <w:rPr>
          <w:rFonts w:ascii="Arial" w:hAnsi="Arial" w:cs="Arial"/>
          <w:b/>
          <w:bCs/>
          <w:color w:val="000000" w:themeColor="text1"/>
        </w:rPr>
        <w:t xml:space="preserve"> as influenced by organic amendment and inorganic fertilizers </w:t>
      </w:r>
      <w:r w:rsidR="009701C0">
        <w:rPr>
          <w:rFonts w:ascii="Arial" w:hAnsi="Arial" w:cs="Arial"/>
          <w:b/>
          <w:bCs/>
          <w:color w:val="000000" w:themeColor="text1"/>
        </w:rPr>
        <w:t xml:space="preserve">during the </w:t>
      </w:r>
      <w:proofErr w:type="spellStart"/>
      <w:r w:rsidR="009701C0">
        <w:rPr>
          <w:rFonts w:ascii="Arial" w:hAnsi="Arial" w:cs="Arial"/>
          <w:b/>
          <w:bCs/>
          <w:color w:val="000000" w:themeColor="text1"/>
        </w:rPr>
        <w:t>postmonsoon</w:t>
      </w:r>
      <w:proofErr w:type="spellEnd"/>
      <w:r w:rsidR="009701C0">
        <w:rPr>
          <w:rFonts w:ascii="Arial" w:hAnsi="Arial" w:cs="Arial"/>
          <w:b/>
          <w:bCs/>
          <w:color w:val="000000" w:themeColor="text1"/>
        </w:rPr>
        <w:t xml:space="preserve"> experiment</w:t>
      </w:r>
    </w:p>
    <w:tbl>
      <w:tblPr>
        <w:tblW w:w="5232" w:type="pct"/>
        <w:tblLook w:val="04A0" w:firstRow="1" w:lastRow="0" w:firstColumn="1" w:lastColumn="0" w:noHBand="0" w:noVBand="1"/>
      </w:tblPr>
      <w:tblGrid>
        <w:gridCol w:w="1079"/>
        <w:gridCol w:w="617"/>
        <w:gridCol w:w="305"/>
        <w:gridCol w:w="617"/>
        <w:gridCol w:w="305"/>
        <w:gridCol w:w="617"/>
        <w:gridCol w:w="305"/>
        <w:gridCol w:w="617"/>
        <w:gridCol w:w="305"/>
        <w:gridCol w:w="706"/>
        <w:gridCol w:w="305"/>
        <w:gridCol w:w="706"/>
        <w:gridCol w:w="305"/>
        <w:gridCol w:w="706"/>
        <w:gridCol w:w="305"/>
        <w:gridCol w:w="707"/>
        <w:gridCol w:w="305"/>
      </w:tblGrid>
      <w:tr w:rsidR="008E5D48" w:rsidRPr="008E5D48" w14:paraId="5A031110" w14:textId="77777777" w:rsidTr="007C49E7">
        <w:trPr>
          <w:trHeight w:val="360"/>
        </w:trPr>
        <w:tc>
          <w:tcPr>
            <w:tcW w:w="612" w:type="pct"/>
            <w:vMerge w:val="restart"/>
            <w:tcBorders>
              <w:top w:val="single" w:sz="8" w:space="0" w:color="auto"/>
              <w:left w:val="nil"/>
              <w:bottom w:val="single" w:sz="4" w:space="0" w:color="auto"/>
              <w:right w:val="nil"/>
            </w:tcBorders>
            <w:noWrap/>
            <w:vAlign w:val="center"/>
            <w:hideMark/>
          </w:tcPr>
          <w:p w14:paraId="439BFDBF" w14:textId="77777777" w:rsidR="00C13684" w:rsidRPr="008E5D48" w:rsidRDefault="00C13684" w:rsidP="008E5D48">
            <w:pPr>
              <w:jc w:val="center"/>
              <w:rPr>
                <w:rFonts w:ascii="Arial" w:hAnsi="Arial" w:cs="Arial"/>
                <w:b/>
                <w:bCs/>
                <w:color w:val="000000" w:themeColor="text1"/>
                <w:sz w:val="16"/>
                <w:szCs w:val="16"/>
              </w:rPr>
            </w:pPr>
            <w:r w:rsidRPr="008E5D48">
              <w:rPr>
                <w:rFonts w:ascii="Arial" w:hAnsi="Arial" w:cs="Arial"/>
                <w:b/>
                <w:bCs/>
                <w:color w:val="000000" w:themeColor="text1"/>
                <w:sz w:val="16"/>
                <w:szCs w:val="16"/>
              </w:rPr>
              <w:t>Treatments</w:t>
            </w:r>
          </w:p>
        </w:tc>
        <w:tc>
          <w:tcPr>
            <w:tcW w:w="4215" w:type="pct"/>
            <w:gridSpan w:val="15"/>
            <w:tcBorders>
              <w:top w:val="single" w:sz="8" w:space="0" w:color="auto"/>
              <w:left w:val="nil"/>
              <w:bottom w:val="single" w:sz="4" w:space="0" w:color="auto"/>
              <w:right w:val="nil"/>
            </w:tcBorders>
            <w:noWrap/>
            <w:vAlign w:val="center"/>
            <w:hideMark/>
          </w:tcPr>
          <w:p w14:paraId="5262582F" w14:textId="77777777" w:rsidR="00C13684" w:rsidRPr="008E5D48" w:rsidRDefault="00C13684" w:rsidP="008E5D48">
            <w:pPr>
              <w:jc w:val="center"/>
              <w:rPr>
                <w:rFonts w:ascii="Arial" w:hAnsi="Arial" w:cs="Arial"/>
                <w:b/>
                <w:bCs/>
                <w:color w:val="000000" w:themeColor="text1"/>
                <w:sz w:val="16"/>
                <w:szCs w:val="16"/>
              </w:rPr>
            </w:pPr>
            <w:r w:rsidRPr="008E5D48">
              <w:rPr>
                <w:rFonts w:ascii="Arial" w:hAnsi="Arial" w:cs="Arial"/>
                <w:b/>
                <w:bCs/>
                <w:color w:val="000000" w:themeColor="text1"/>
                <w:sz w:val="16"/>
                <w:szCs w:val="16"/>
              </w:rPr>
              <w:t>Plant height (cm)</w:t>
            </w:r>
          </w:p>
        </w:tc>
        <w:tc>
          <w:tcPr>
            <w:tcW w:w="173" w:type="pct"/>
            <w:tcBorders>
              <w:top w:val="single" w:sz="8" w:space="0" w:color="auto"/>
              <w:left w:val="nil"/>
              <w:bottom w:val="single" w:sz="4" w:space="0" w:color="auto"/>
              <w:right w:val="nil"/>
            </w:tcBorders>
            <w:noWrap/>
            <w:vAlign w:val="center"/>
            <w:hideMark/>
          </w:tcPr>
          <w:p w14:paraId="21DDEE13" w14:textId="62BB56FD" w:rsidR="00C13684" w:rsidRPr="008E5D48" w:rsidRDefault="00C13684" w:rsidP="008E5D48">
            <w:pPr>
              <w:jc w:val="center"/>
              <w:rPr>
                <w:rFonts w:ascii="Arial" w:hAnsi="Arial" w:cs="Arial"/>
                <w:b/>
                <w:bCs/>
                <w:color w:val="000000" w:themeColor="text1"/>
                <w:sz w:val="16"/>
                <w:szCs w:val="16"/>
              </w:rPr>
            </w:pPr>
          </w:p>
        </w:tc>
      </w:tr>
      <w:tr w:rsidR="008E5D48" w:rsidRPr="008E5D48" w14:paraId="3610971A" w14:textId="77777777" w:rsidTr="007C49E7">
        <w:trPr>
          <w:trHeight w:val="360"/>
        </w:trPr>
        <w:tc>
          <w:tcPr>
            <w:tcW w:w="612" w:type="pct"/>
            <w:vMerge/>
            <w:tcBorders>
              <w:top w:val="single" w:sz="8" w:space="0" w:color="auto"/>
              <w:left w:val="nil"/>
              <w:bottom w:val="single" w:sz="4" w:space="0" w:color="auto"/>
              <w:right w:val="nil"/>
            </w:tcBorders>
            <w:vAlign w:val="center"/>
            <w:hideMark/>
          </w:tcPr>
          <w:p w14:paraId="42B27B90" w14:textId="77777777" w:rsidR="00C13684" w:rsidRPr="008E5D48" w:rsidRDefault="00C13684" w:rsidP="008E5D48">
            <w:pPr>
              <w:jc w:val="center"/>
              <w:rPr>
                <w:rFonts w:ascii="Arial" w:hAnsi="Arial" w:cs="Arial"/>
                <w:b/>
                <w:bCs/>
                <w:color w:val="000000" w:themeColor="text1"/>
                <w:sz w:val="16"/>
                <w:szCs w:val="16"/>
              </w:rPr>
            </w:pPr>
          </w:p>
        </w:tc>
        <w:tc>
          <w:tcPr>
            <w:tcW w:w="523" w:type="pct"/>
            <w:gridSpan w:val="2"/>
            <w:tcBorders>
              <w:top w:val="single" w:sz="4" w:space="0" w:color="auto"/>
              <w:left w:val="nil"/>
              <w:bottom w:val="single" w:sz="4" w:space="0" w:color="auto"/>
              <w:right w:val="nil"/>
            </w:tcBorders>
            <w:noWrap/>
            <w:vAlign w:val="center"/>
            <w:hideMark/>
          </w:tcPr>
          <w:p w14:paraId="543B1A9A" w14:textId="77777777" w:rsidR="00C13684" w:rsidRPr="008E5D48" w:rsidRDefault="00C13684" w:rsidP="008E5D48">
            <w:pPr>
              <w:jc w:val="center"/>
              <w:rPr>
                <w:rFonts w:ascii="Arial" w:hAnsi="Arial" w:cs="Arial"/>
                <w:b/>
                <w:bCs/>
                <w:color w:val="000000" w:themeColor="text1"/>
                <w:sz w:val="16"/>
                <w:szCs w:val="16"/>
              </w:rPr>
            </w:pPr>
            <w:r w:rsidRPr="008E5D48">
              <w:rPr>
                <w:rFonts w:ascii="Arial" w:hAnsi="Arial" w:cs="Arial"/>
                <w:b/>
                <w:bCs/>
                <w:color w:val="000000" w:themeColor="text1"/>
                <w:sz w:val="16"/>
                <w:szCs w:val="16"/>
              </w:rPr>
              <w:t>14 DAS</w:t>
            </w:r>
          </w:p>
        </w:tc>
        <w:tc>
          <w:tcPr>
            <w:tcW w:w="523" w:type="pct"/>
            <w:gridSpan w:val="2"/>
            <w:tcBorders>
              <w:top w:val="single" w:sz="4" w:space="0" w:color="auto"/>
              <w:left w:val="nil"/>
              <w:bottom w:val="single" w:sz="4" w:space="0" w:color="auto"/>
              <w:right w:val="nil"/>
            </w:tcBorders>
            <w:noWrap/>
            <w:vAlign w:val="center"/>
            <w:hideMark/>
          </w:tcPr>
          <w:p w14:paraId="7A78773C" w14:textId="77777777" w:rsidR="00C13684" w:rsidRPr="008E5D48" w:rsidRDefault="00C13684" w:rsidP="008E5D48">
            <w:pPr>
              <w:jc w:val="center"/>
              <w:rPr>
                <w:rFonts w:ascii="Arial" w:hAnsi="Arial" w:cs="Arial"/>
                <w:b/>
                <w:bCs/>
                <w:color w:val="000000" w:themeColor="text1"/>
                <w:sz w:val="16"/>
                <w:szCs w:val="16"/>
              </w:rPr>
            </w:pPr>
            <w:r w:rsidRPr="008E5D48">
              <w:rPr>
                <w:rFonts w:ascii="Arial" w:hAnsi="Arial" w:cs="Arial"/>
                <w:b/>
                <w:bCs/>
                <w:color w:val="000000" w:themeColor="text1"/>
                <w:sz w:val="16"/>
                <w:szCs w:val="16"/>
              </w:rPr>
              <w:t>21 DAS</w:t>
            </w:r>
          </w:p>
        </w:tc>
        <w:tc>
          <w:tcPr>
            <w:tcW w:w="523" w:type="pct"/>
            <w:gridSpan w:val="2"/>
            <w:tcBorders>
              <w:top w:val="single" w:sz="4" w:space="0" w:color="auto"/>
              <w:left w:val="nil"/>
              <w:bottom w:val="single" w:sz="4" w:space="0" w:color="auto"/>
              <w:right w:val="nil"/>
            </w:tcBorders>
            <w:noWrap/>
            <w:vAlign w:val="center"/>
            <w:hideMark/>
          </w:tcPr>
          <w:p w14:paraId="7A832B36" w14:textId="77777777" w:rsidR="00C13684" w:rsidRPr="008E5D48" w:rsidRDefault="00C13684" w:rsidP="008E5D48">
            <w:pPr>
              <w:jc w:val="center"/>
              <w:rPr>
                <w:rFonts w:ascii="Arial" w:hAnsi="Arial" w:cs="Arial"/>
                <w:b/>
                <w:bCs/>
                <w:color w:val="000000" w:themeColor="text1"/>
                <w:sz w:val="16"/>
                <w:szCs w:val="16"/>
              </w:rPr>
            </w:pPr>
            <w:r w:rsidRPr="008E5D48">
              <w:rPr>
                <w:rFonts w:ascii="Arial" w:hAnsi="Arial" w:cs="Arial"/>
                <w:b/>
                <w:bCs/>
                <w:color w:val="000000" w:themeColor="text1"/>
                <w:sz w:val="16"/>
                <w:szCs w:val="16"/>
              </w:rPr>
              <w:t>28 DAS</w:t>
            </w:r>
          </w:p>
        </w:tc>
        <w:tc>
          <w:tcPr>
            <w:tcW w:w="523" w:type="pct"/>
            <w:gridSpan w:val="2"/>
            <w:tcBorders>
              <w:top w:val="single" w:sz="4" w:space="0" w:color="auto"/>
              <w:left w:val="nil"/>
              <w:bottom w:val="single" w:sz="4" w:space="0" w:color="auto"/>
              <w:right w:val="nil"/>
            </w:tcBorders>
            <w:noWrap/>
            <w:vAlign w:val="center"/>
            <w:hideMark/>
          </w:tcPr>
          <w:p w14:paraId="151D9E8C" w14:textId="77777777" w:rsidR="00C13684" w:rsidRPr="008E5D48" w:rsidRDefault="00C13684" w:rsidP="008E5D48">
            <w:pPr>
              <w:jc w:val="center"/>
              <w:rPr>
                <w:rFonts w:ascii="Arial" w:hAnsi="Arial" w:cs="Arial"/>
                <w:b/>
                <w:bCs/>
                <w:color w:val="000000" w:themeColor="text1"/>
                <w:sz w:val="16"/>
                <w:szCs w:val="16"/>
              </w:rPr>
            </w:pPr>
            <w:r w:rsidRPr="008E5D48">
              <w:rPr>
                <w:rFonts w:ascii="Arial" w:hAnsi="Arial" w:cs="Arial"/>
                <w:b/>
                <w:bCs/>
                <w:color w:val="000000" w:themeColor="text1"/>
                <w:sz w:val="16"/>
                <w:szCs w:val="16"/>
              </w:rPr>
              <w:t>35 DAS</w:t>
            </w:r>
          </w:p>
        </w:tc>
        <w:tc>
          <w:tcPr>
            <w:tcW w:w="574" w:type="pct"/>
            <w:gridSpan w:val="2"/>
            <w:tcBorders>
              <w:top w:val="single" w:sz="4" w:space="0" w:color="auto"/>
              <w:left w:val="nil"/>
              <w:bottom w:val="single" w:sz="4" w:space="0" w:color="auto"/>
              <w:right w:val="nil"/>
            </w:tcBorders>
            <w:noWrap/>
            <w:vAlign w:val="center"/>
            <w:hideMark/>
          </w:tcPr>
          <w:p w14:paraId="2C5811F0" w14:textId="77777777" w:rsidR="00C13684" w:rsidRPr="008E5D48" w:rsidRDefault="00C13684" w:rsidP="008E5D48">
            <w:pPr>
              <w:jc w:val="center"/>
              <w:rPr>
                <w:rFonts w:ascii="Arial" w:hAnsi="Arial" w:cs="Arial"/>
                <w:b/>
                <w:bCs/>
                <w:color w:val="000000" w:themeColor="text1"/>
                <w:sz w:val="16"/>
                <w:szCs w:val="16"/>
              </w:rPr>
            </w:pPr>
            <w:r w:rsidRPr="008E5D48">
              <w:rPr>
                <w:rFonts w:ascii="Arial" w:hAnsi="Arial" w:cs="Arial"/>
                <w:b/>
                <w:bCs/>
                <w:color w:val="000000" w:themeColor="text1"/>
                <w:sz w:val="16"/>
                <w:szCs w:val="16"/>
              </w:rPr>
              <w:t>42 DAS</w:t>
            </w:r>
          </w:p>
        </w:tc>
        <w:tc>
          <w:tcPr>
            <w:tcW w:w="574" w:type="pct"/>
            <w:gridSpan w:val="2"/>
            <w:tcBorders>
              <w:top w:val="single" w:sz="4" w:space="0" w:color="auto"/>
              <w:left w:val="nil"/>
              <w:bottom w:val="single" w:sz="4" w:space="0" w:color="auto"/>
              <w:right w:val="nil"/>
            </w:tcBorders>
            <w:noWrap/>
            <w:vAlign w:val="center"/>
            <w:hideMark/>
          </w:tcPr>
          <w:p w14:paraId="49B4FD0D" w14:textId="77777777" w:rsidR="00C13684" w:rsidRPr="008E5D48" w:rsidRDefault="00C13684" w:rsidP="008E5D48">
            <w:pPr>
              <w:jc w:val="center"/>
              <w:rPr>
                <w:rFonts w:ascii="Arial" w:hAnsi="Arial" w:cs="Arial"/>
                <w:b/>
                <w:bCs/>
                <w:color w:val="000000" w:themeColor="text1"/>
                <w:sz w:val="16"/>
                <w:szCs w:val="16"/>
              </w:rPr>
            </w:pPr>
            <w:r w:rsidRPr="008E5D48">
              <w:rPr>
                <w:rFonts w:ascii="Arial" w:hAnsi="Arial" w:cs="Arial"/>
                <w:b/>
                <w:bCs/>
                <w:color w:val="000000" w:themeColor="text1"/>
                <w:sz w:val="16"/>
                <w:szCs w:val="16"/>
              </w:rPr>
              <w:t>49 DAS</w:t>
            </w:r>
          </w:p>
        </w:tc>
        <w:tc>
          <w:tcPr>
            <w:tcW w:w="574" w:type="pct"/>
            <w:gridSpan w:val="2"/>
            <w:tcBorders>
              <w:top w:val="single" w:sz="4" w:space="0" w:color="auto"/>
              <w:left w:val="nil"/>
              <w:bottom w:val="single" w:sz="4" w:space="0" w:color="auto"/>
              <w:right w:val="nil"/>
            </w:tcBorders>
            <w:noWrap/>
            <w:vAlign w:val="center"/>
            <w:hideMark/>
          </w:tcPr>
          <w:p w14:paraId="3F5CC5E5" w14:textId="77777777" w:rsidR="00C13684" w:rsidRPr="008E5D48" w:rsidRDefault="00C13684" w:rsidP="008E5D48">
            <w:pPr>
              <w:jc w:val="center"/>
              <w:rPr>
                <w:rFonts w:ascii="Arial" w:hAnsi="Arial" w:cs="Arial"/>
                <w:b/>
                <w:bCs/>
                <w:color w:val="000000" w:themeColor="text1"/>
                <w:sz w:val="16"/>
                <w:szCs w:val="16"/>
              </w:rPr>
            </w:pPr>
            <w:r w:rsidRPr="008E5D48">
              <w:rPr>
                <w:rFonts w:ascii="Arial" w:hAnsi="Arial" w:cs="Arial"/>
                <w:b/>
                <w:bCs/>
                <w:color w:val="000000" w:themeColor="text1"/>
                <w:sz w:val="16"/>
                <w:szCs w:val="16"/>
              </w:rPr>
              <w:t>56 DAS</w:t>
            </w:r>
          </w:p>
        </w:tc>
        <w:tc>
          <w:tcPr>
            <w:tcW w:w="574" w:type="pct"/>
            <w:gridSpan w:val="2"/>
            <w:tcBorders>
              <w:top w:val="single" w:sz="4" w:space="0" w:color="auto"/>
              <w:left w:val="nil"/>
              <w:bottom w:val="single" w:sz="4" w:space="0" w:color="auto"/>
              <w:right w:val="nil"/>
            </w:tcBorders>
            <w:noWrap/>
            <w:vAlign w:val="center"/>
            <w:hideMark/>
          </w:tcPr>
          <w:p w14:paraId="6520CACA" w14:textId="77777777" w:rsidR="00C13684" w:rsidRPr="008E5D48" w:rsidRDefault="00C13684" w:rsidP="008E5D48">
            <w:pPr>
              <w:jc w:val="center"/>
              <w:rPr>
                <w:rFonts w:ascii="Arial" w:hAnsi="Arial" w:cs="Arial"/>
                <w:b/>
                <w:bCs/>
                <w:color w:val="000000" w:themeColor="text1"/>
                <w:sz w:val="16"/>
                <w:szCs w:val="16"/>
              </w:rPr>
            </w:pPr>
            <w:r w:rsidRPr="008E5D48">
              <w:rPr>
                <w:rFonts w:ascii="Arial" w:hAnsi="Arial" w:cs="Arial"/>
                <w:b/>
                <w:bCs/>
                <w:color w:val="000000" w:themeColor="text1"/>
                <w:sz w:val="16"/>
                <w:szCs w:val="16"/>
              </w:rPr>
              <w:t>63 DAS</w:t>
            </w:r>
          </w:p>
        </w:tc>
      </w:tr>
      <w:tr w:rsidR="007C49E7" w:rsidRPr="008E5D48" w14:paraId="41466CB3" w14:textId="77777777" w:rsidTr="007C49E7">
        <w:trPr>
          <w:trHeight w:val="360"/>
        </w:trPr>
        <w:tc>
          <w:tcPr>
            <w:tcW w:w="612" w:type="pct"/>
            <w:tcBorders>
              <w:top w:val="nil"/>
              <w:left w:val="nil"/>
              <w:bottom w:val="nil"/>
              <w:right w:val="nil"/>
            </w:tcBorders>
            <w:noWrap/>
            <w:vAlign w:val="center"/>
            <w:hideMark/>
          </w:tcPr>
          <w:p w14:paraId="3581939E" w14:textId="6C48E203" w:rsidR="007C49E7" w:rsidRPr="008E5D48" w:rsidRDefault="007C49E7" w:rsidP="007C49E7">
            <w:pPr>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1</w:t>
            </w:r>
          </w:p>
        </w:tc>
        <w:tc>
          <w:tcPr>
            <w:tcW w:w="350" w:type="pct"/>
            <w:tcBorders>
              <w:top w:val="nil"/>
              <w:left w:val="nil"/>
              <w:bottom w:val="nil"/>
              <w:right w:val="nil"/>
            </w:tcBorders>
            <w:noWrap/>
            <w:vAlign w:val="center"/>
            <w:hideMark/>
          </w:tcPr>
          <w:p w14:paraId="4708DFB4"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10.43</w:t>
            </w:r>
          </w:p>
        </w:tc>
        <w:tc>
          <w:tcPr>
            <w:tcW w:w="173" w:type="pct"/>
            <w:tcBorders>
              <w:top w:val="nil"/>
              <w:left w:val="nil"/>
              <w:bottom w:val="nil"/>
              <w:right w:val="nil"/>
            </w:tcBorders>
            <w:noWrap/>
            <w:vAlign w:val="center"/>
            <w:hideMark/>
          </w:tcPr>
          <w:p w14:paraId="3A7AC4EC"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d</w:t>
            </w:r>
          </w:p>
        </w:tc>
        <w:tc>
          <w:tcPr>
            <w:tcW w:w="350" w:type="pct"/>
            <w:tcBorders>
              <w:top w:val="nil"/>
              <w:left w:val="nil"/>
              <w:bottom w:val="nil"/>
              <w:right w:val="nil"/>
            </w:tcBorders>
            <w:noWrap/>
            <w:vAlign w:val="center"/>
            <w:hideMark/>
          </w:tcPr>
          <w:p w14:paraId="12E164FC"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22.83</w:t>
            </w:r>
          </w:p>
        </w:tc>
        <w:tc>
          <w:tcPr>
            <w:tcW w:w="173" w:type="pct"/>
            <w:tcBorders>
              <w:top w:val="nil"/>
              <w:left w:val="nil"/>
              <w:bottom w:val="nil"/>
              <w:right w:val="nil"/>
            </w:tcBorders>
            <w:noWrap/>
            <w:vAlign w:val="center"/>
            <w:hideMark/>
          </w:tcPr>
          <w:p w14:paraId="6BEBC374"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c</w:t>
            </w:r>
          </w:p>
        </w:tc>
        <w:tc>
          <w:tcPr>
            <w:tcW w:w="350" w:type="pct"/>
            <w:tcBorders>
              <w:top w:val="nil"/>
              <w:left w:val="nil"/>
              <w:bottom w:val="nil"/>
              <w:right w:val="nil"/>
            </w:tcBorders>
            <w:noWrap/>
            <w:vAlign w:val="center"/>
            <w:hideMark/>
          </w:tcPr>
          <w:p w14:paraId="4EB623EA"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31.32</w:t>
            </w:r>
          </w:p>
        </w:tc>
        <w:tc>
          <w:tcPr>
            <w:tcW w:w="173" w:type="pct"/>
            <w:tcBorders>
              <w:top w:val="nil"/>
              <w:left w:val="nil"/>
              <w:bottom w:val="nil"/>
              <w:right w:val="nil"/>
            </w:tcBorders>
            <w:noWrap/>
            <w:vAlign w:val="center"/>
            <w:hideMark/>
          </w:tcPr>
          <w:p w14:paraId="3C8C9BB4"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c</w:t>
            </w:r>
          </w:p>
        </w:tc>
        <w:tc>
          <w:tcPr>
            <w:tcW w:w="350" w:type="pct"/>
            <w:tcBorders>
              <w:top w:val="nil"/>
              <w:left w:val="nil"/>
              <w:bottom w:val="nil"/>
              <w:right w:val="nil"/>
            </w:tcBorders>
            <w:noWrap/>
            <w:vAlign w:val="center"/>
            <w:hideMark/>
          </w:tcPr>
          <w:p w14:paraId="793E1E1B"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45.41</w:t>
            </w:r>
          </w:p>
        </w:tc>
        <w:tc>
          <w:tcPr>
            <w:tcW w:w="173" w:type="pct"/>
            <w:tcBorders>
              <w:top w:val="nil"/>
              <w:left w:val="nil"/>
              <w:bottom w:val="nil"/>
              <w:right w:val="nil"/>
            </w:tcBorders>
            <w:noWrap/>
            <w:vAlign w:val="center"/>
            <w:hideMark/>
          </w:tcPr>
          <w:p w14:paraId="5F15EA37"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e</w:t>
            </w:r>
          </w:p>
        </w:tc>
        <w:tc>
          <w:tcPr>
            <w:tcW w:w="401" w:type="pct"/>
            <w:tcBorders>
              <w:top w:val="nil"/>
              <w:left w:val="nil"/>
              <w:bottom w:val="nil"/>
              <w:right w:val="nil"/>
            </w:tcBorders>
            <w:noWrap/>
            <w:vAlign w:val="center"/>
            <w:hideMark/>
          </w:tcPr>
          <w:p w14:paraId="66C73C49"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58.34</w:t>
            </w:r>
          </w:p>
        </w:tc>
        <w:tc>
          <w:tcPr>
            <w:tcW w:w="173" w:type="pct"/>
            <w:tcBorders>
              <w:top w:val="nil"/>
              <w:left w:val="nil"/>
              <w:bottom w:val="nil"/>
              <w:right w:val="nil"/>
            </w:tcBorders>
            <w:noWrap/>
            <w:vAlign w:val="center"/>
            <w:hideMark/>
          </w:tcPr>
          <w:p w14:paraId="0460A37A"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e</w:t>
            </w:r>
          </w:p>
        </w:tc>
        <w:tc>
          <w:tcPr>
            <w:tcW w:w="401" w:type="pct"/>
            <w:tcBorders>
              <w:top w:val="nil"/>
              <w:left w:val="nil"/>
              <w:bottom w:val="nil"/>
              <w:right w:val="nil"/>
            </w:tcBorders>
            <w:noWrap/>
            <w:vAlign w:val="center"/>
            <w:hideMark/>
          </w:tcPr>
          <w:p w14:paraId="0A6C2277"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66.77</w:t>
            </w:r>
          </w:p>
        </w:tc>
        <w:tc>
          <w:tcPr>
            <w:tcW w:w="173" w:type="pct"/>
            <w:tcBorders>
              <w:top w:val="nil"/>
              <w:left w:val="nil"/>
              <w:bottom w:val="nil"/>
              <w:right w:val="nil"/>
            </w:tcBorders>
            <w:noWrap/>
            <w:vAlign w:val="center"/>
            <w:hideMark/>
          </w:tcPr>
          <w:p w14:paraId="7172E9F9"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f</w:t>
            </w:r>
          </w:p>
        </w:tc>
        <w:tc>
          <w:tcPr>
            <w:tcW w:w="401" w:type="pct"/>
            <w:tcBorders>
              <w:top w:val="nil"/>
              <w:left w:val="nil"/>
              <w:bottom w:val="nil"/>
              <w:right w:val="nil"/>
            </w:tcBorders>
            <w:noWrap/>
            <w:vAlign w:val="center"/>
            <w:hideMark/>
          </w:tcPr>
          <w:p w14:paraId="6086DEE1"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83.41</w:t>
            </w:r>
          </w:p>
        </w:tc>
        <w:tc>
          <w:tcPr>
            <w:tcW w:w="173" w:type="pct"/>
            <w:tcBorders>
              <w:top w:val="nil"/>
              <w:left w:val="nil"/>
              <w:bottom w:val="nil"/>
              <w:right w:val="nil"/>
            </w:tcBorders>
            <w:noWrap/>
            <w:vAlign w:val="center"/>
            <w:hideMark/>
          </w:tcPr>
          <w:p w14:paraId="31214D75"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e</w:t>
            </w:r>
          </w:p>
        </w:tc>
        <w:tc>
          <w:tcPr>
            <w:tcW w:w="401" w:type="pct"/>
            <w:tcBorders>
              <w:top w:val="nil"/>
              <w:left w:val="nil"/>
              <w:bottom w:val="nil"/>
              <w:right w:val="nil"/>
            </w:tcBorders>
            <w:noWrap/>
            <w:vAlign w:val="center"/>
            <w:hideMark/>
          </w:tcPr>
          <w:p w14:paraId="65A554AC"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98.13</w:t>
            </w:r>
          </w:p>
        </w:tc>
        <w:tc>
          <w:tcPr>
            <w:tcW w:w="173" w:type="pct"/>
            <w:tcBorders>
              <w:top w:val="nil"/>
              <w:left w:val="nil"/>
              <w:bottom w:val="nil"/>
              <w:right w:val="nil"/>
            </w:tcBorders>
            <w:noWrap/>
            <w:vAlign w:val="center"/>
            <w:hideMark/>
          </w:tcPr>
          <w:p w14:paraId="12AE3C27"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e</w:t>
            </w:r>
          </w:p>
        </w:tc>
      </w:tr>
      <w:tr w:rsidR="007C49E7" w:rsidRPr="008E5D48" w14:paraId="09C0D641" w14:textId="77777777" w:rsidTr="007C49E7">
        <w:trPr>
          <w:trHeight w:val="360"/>
        </w:trPr>
        <w:tc>
          <w:tcPr>
            <w:tcW w:w="612" w:type="pct"/>
            <w:tcBorders>
              <w:top w:val="nil"/>
              <w:left w:val="nil"/>
              <w:bottom w:val="nil"/>
              <w:right w:val="nil"/>
            </w:tcBorders>
            <w:noWrap/>
            <w:vAlign w:val="center"/>
            <w:hideMark/>
          </w:tcPr>
          <w:p w14:paraId="45C4E246" w14:textId="5E76DB22" w:rsidR="007C49E7" w:rsidRPr="008E5D48" w:rsidRDefault="007C49E7" w:rsidP="007C49E7">
            <w:pPr>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2</w:t>
            </w:r>
          </w:p>
        </w:tc>
        <w:tc>
          <w:tcPr>
            <w:tcW w:w="350" w:type="pct"/>
            <w:tcBorders>
              <w:top w:val="nil"/>
              <w:left w:val="nil"/>
              <w:bottom w:val="nil"/>
              <w:right w:val="nil"/>
            </w:tcBorders>
            <w:noWrap/>
            <w:vAlign w:val="center"/>
            <w:hideMark/>
          </w:tcPr>
          <w:p w14:paraId="2D2969B4"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10.51</w:t>
            </w:r>
          </w:p>
        </w:tc>
        <w:tc>
          <w:tcPr>
            <w:tcW w:w="173" w:type="pct"/>
            <w:tcBorders>
              <w:top w:val="nil"/>
              <w:left w:val="nil"/>
              <w:bottom w:val="nil"/>
              <w:right w:val="nil"/>
            </w:tcBorders>
            <w:noWrap/>
            <w:vAlign w:val="center"/>
            <w:hideMark/>
          </w:tcPr>
          <w:p w14:paraId="28C8E2CD"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d</w:t>
            </w:r>
          </w:p>
        </w:tc>
        <w:tc>
          <w:tcPr>
            <w:tcW w:w="350" w:type="pct"/>
            <w:tcBorders>
              <w:top w:val="nil"/>
              <w:left w:val="nil"/>
              <w:bottom w:val="nil"/>
              <w:right w:val="nil"/>
            </w:tcBorders>
            <w:noWrap/>
            <w:vAlign w:val="center"/>
            <w:hideMark/>
          </w:tcPr>
          <w:p w14:paraId="3DB1A618"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23.38</w:t>
            </w:r>
          </w:p>
        </w:tc>
        <w:tc>
          <w:tcPr>
            <w:tcW w:w="173" w:type="pct"/>
            <w:tcBorders>
              <w:top w:val="nil"/>
              <w:left w:val="nil"/>
              <w:bottom w:val="nil"/>
              <w:right w:val="nil"/>
            </w:tcBorders>
            <w:noWrap/>
            <w:vAlign w:val="center"/>
            <w:hideMark/>
          </w:tcPr>
          <w:p w14:paraId="633DB577"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c</w:t>
            </w:r>
          </w:p>
        </w:tc>
        <w:tc>
          <w:tcPr>
            <w:tcW w:w="350" w:type="pct"/>
            <w:tcBorders>
              <w:top w:val="nil"/>
              <w:left w:val="nil"/>
              <w:bottom w:val="nil"/>
              <w:right w:val="nil"/>
            </w:tcBorders>
            <w:noWrap/>
            <w:vAlign w:val="center"/>
            <w:hideMark/>
          </w:tcPr>
          <w:p w14:paraId="516792C3"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33.53</w:t>
            </w:r>
          </w:p>
        </w:tc>
        <w:tc>
          <w:tcPr>
            <w:tcW w:w="173" w:type="pct"/>
            <w:tcBorders>
              <w:top w:val="nil"/>
              <w:left w:val="nil"/>
              <w:bottom w:val="nil"/>
              <w:right w:val="nil"/>
            </w:tcBorders>
            <w:noWrap/>
            <w:vAlign w:val="center"/>
            <w:hideMark/>
          </w:tcPr>
          <w:p w14:paraId="0D761856"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c</w:t>
            </w:r>
          </w:p>
        </w:tc>
        <w:tc>
          <w:tcPr>
            <w:tcW w:w="350" w:type="pct"/>
            <w:tcBorders>
              <w:top w:val="nil"/>
              <w:left w:val="nil"/>
              <w:bottom w:val="nil"/>
              <w:right w:val="nil"/>
            </w:tcBorders>
            <w:noWrap/>
            <w:vAlign w:val="center"/>
            <w:hideMark/>
          </w:tcPr>
          <w:p w14:paraId="06905863"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50.56</w:t>
            </w:r>
          </w:p>
        </w:tc>
        <w:tc>
          <w:tcPr>
            <w:tcW w:w="173" w:type="pct"/>
            <w:tcBorders>
              <w:top w:val="nil"/>
              <w:left w:val="nil"/>
              <w:bottom w:val="nil"/>
              <w:right w:val="nil"/>
            </w:tcBorders>
            <w:noWrap/>
            <w:vAlign w:val="center"/>
            <w:hideMark/>
          </w:tcPr>
          <w:p w14:paraId="6A9B89D5"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d</w:t>
            </w:r>
          </w:p>
        </w:tc>
        <w:tc>
          <w:tcPr>
            <w:tcW w:w="401" w:type="pct"/>
            <w:tcBorders>
              <w:top w:val="nil"/>
              <w:left w:val="nil"/>
              <w:bottom w:val="nil"/>
              <w:right w:val="nil"/>
            </w:tcBorders>
            <w:noWrap/>
            <w:vAlign w:val="center"/>
            <w:hideMark/>
          </w:tcPr>
          <w:p w14:paraId="6C038F3C"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67.27</w:t>
            </w:r>
          </w:p>
        </w:tc>
        <w:tc>
          <w:tcPr>
            <w:tcW w:w="173" w:type="pct"/>
            <w:tcBorders>
              <w:top w:val="nil"/>
              <w:left w:val="nil"/>
              <w:bottom w:val="nil"/>
              <w:right w:val="nil"/>
            </w:tcBorders>
            <w:noWrap/>
            <w:vAlign w:val="center"/>
            <w:hideMark/>
          </w:tcPr>
          <w:p w14:paraId="5F9AEF59"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d</w:t>
            </w:r>
          </w:p>
        </w:tc>
        <w:tc>
          <w:tcPr>
            <w:tcW w:w="401" w:type="pct"/>
            <w:tcBorders>
              <w:top w:val="nil"/>
              <w:left w:val="nil"/>
              <w:bottom w:val="nil"/>
              <w:right w:val="nil"/>
            </w:tcBorders>
            <w:noWrap/>
            <w:vAlign w:val="center"/>
            <w:hideMark/>
          </w:tcPr>
          <w:p w14:paraId="55DD2197"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81.55</w:t>
            </w:r>
          </w:p>
        </w:tc>
        <w:tc>
          <w:tcPr>
            <w:tcW w:w="173" w:type="pct"/>
            <w:tcBorders>
              <w:top w:val="nil"/>
              <w:left w:val="nil"/>
              <w:bottom w:val="nil"/>
              <w:right w:val="nil"/>
            </w:tcBorders>
            <w:noWrap/>
            <w:vAlign w:val="center"/>
            <w:hideMark/>
          </w:tcPr>
          <w:p w14:paraId="1F5E8C27"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e</w:t>
            </w:r>
          </w:p>
        </w:tc>
        <w:tc>
          <w:tcPr>
            <w:tcW w:w="401" w:type="pct"/>
            <w:tcBorders>
              <w:top w:val="nil"/>
              <w:left w:val="nil"/>
              <w:bottom w:val="nil"/>
              <w:right w:val="nil"/>
            </w:tcBorders>
            <w:noWrap/>
            <w:vAlign w:val="center"/>
            <w:hideMark/>
          </w:tcPr>
          <w:p w14:paraId="09337609"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95.91</w:t>
            </w:r>
          </w:p>
        </w:tc>
        <w:tc>
          <w:tcPr>
            <w:tcW w:w="173" w:type="pct"/>
            <w:tcBorders>
              <w:top w:val="nil"/>
              <w:left w:val="nil"/>
              <w:bottom w:val="nil"/>
              <w:right w:val="nil"/>
            </w:tcBorders>
            <w:noWrap/>
            <w:vAlign w:val="center"/>
            <w:hideMark/>
          </w:tcPr>
          <w:p w14:paraId="1643DDC9"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d</w:t>
            </w:r>
          </w:p>
        </w:tc>
        <w:tc>
          <w:tcPr>
            <w:tcW w:w="401" w:type="pct"/>
            <w:tcBorders>
              <w:top w:val="nil"/>
              <w:left w:val="nil"/>
              <w:bottom w:val="nil"/>
              <w:right w:val="nil"/>
            </w:tcBorders>
            <w:noWrap/>
            <w:vAlign w:val="center"/>
            <w:hideMark/>
          </w:tcPr>
          <w:p w14:paraId="44A0296F"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113.15</w:t>
            </w:r>
          </w:p>
        </w:tc>
        <w:tc>
          <w:tcPr>
            <w:tcW w:w="173" w:type="pct"/>
            <w:tcBorders>
              <w:top w:val="nil"/>
              <w:left w:val="nil"/>
              <w:bottom w:val="nil"/>
              <w:right w:val="nil"/>
            </w:tcBorders>
            <w:noWrap/>
            <w:vAlign w:val="center"/>
            <w:hideMark/>
          </w:tcPr>
          <w:p w14:paraId="4F6250C1"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d</w:t>
            </w:r>
          </w:p>
        </w:tc>
      </w:tr>
      <w:tr w:rsidR="007C49E7" w:rsidRPr="008E5D48" w14:paraId="740BCFC1" w14:textId="77777777" w:rsidTr="007C49E7">
        <w:trPr>
          <w:trHeight w:val="360"/>
        </w:trPr>
        <w:tc>
          <w:tcPr>
            <w:tcW w:w="612" w:type="pct"/>
            <w:tcBorders>
              <w:top w:val="nil"/>
              <w:left w:val="nil"/>
              <w:bottom w:val="nil"/>
              <w:right w:val="nil"/>
            </w:tcBorders>
            <w:noWrap/>
            <w:vAlign w:val="center"/>
            <w:hideMark/>
          </w:tcPr>
          <w:p w14:paraId="45E842CC" w14:textId="6AEAA1F2" w:rsidR="007C49E7" w:rsidRPr="008E5D48" w:rsidRDefault="007C49E7" w:rsidP="007C49E7">
            <w:pPr>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3</w:t>
            </w:r>
          </w:p>
        </w:tc>
        <w:tc>
          <w:tcPr>
            <w:tcW w:w="350" w:type="pct"/>
            <w:tcBorders>
              <w:top w:val="nil"/>
              <w:left w:val="nil"/>
              <w:bottom w:val="nil"/>
              <w:right w:val="nil"/>
            </w:tcBorders>
            <w:noWrap/>
            <w:vAlign w:val="center"/>
            <w:hideMark/>
          </w:tcPr>
          <w:p w14:paraId="7A575503"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16.07</w:t>
            </w:r>
          </w:p>
        </w:tc>
        <w:tc>
          <w:tcPr>
            <w:tcW w:w="173" w:type="pct"/>
            <w:tcBorders>
              <w:top w:val="nil"/>
              <w:left w:val="nil"/>
              <w:bottom w:val="nil"/>
              <w:right w:val="nil"/>
            </w:tcBorders>
            <w:noWrap/>
            <w:vAlign w:val="center"/>
            <w:hideMark/>
          </w:tcPr>
          <w:p w14:paraId="03654A2E"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a</w:t>
            </w:r>
          </w:p>
        </w:tc>
        <w:tc>
          <w:tcPr>
            <w:tcW w:w="350" w:type="pct"/>
            <w:tcBorders>
              <w:top w:val="nil"/>
              <w:left w:val="nil"/>
              <w:bottom w:val="nil"/>
              <w:right w:val="nil"/>
            </w:tcBorders>
            <w:noWrap/>
            <w:vAlign w:val="center"/>
            <w:hideMark/>
          </w:tcPr>
          <w:p w14:paraId="5FDB8460"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37.81</w:t>
            </w:r>
          </w:p>
        </w:tc>
        <w:tc>
          <w:tcPr>
            <w:tcW w:w="173" w:type="pct"/>
            <w:tcBorders>
              <w:top w:val="nil"/>
              <w:left w:val="nil"/>
              <w:bottom w:val="nil"/>
              <w:right w:val="nil"/>
            </w:tcBorders>
            <w:noWrap/>
            <w:vAlign w:val="center"/>
            <w:hideMark/>
          </w:tcPr>
          <w:p w14:paraId="03724386"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a</w:t>
            </w:r>
          </w:p>
        </w:tc>
        <w:tc>
          <w:tcPr>
            <w:tcW w:w="350" w:type="pct"/>
            <w:tcBorders>
              <w:top w:val="nil"/>
              <w:left w:val="nil"/>
              <w:bottom w:val="nil"/>
              <w:right w:val="nil"/>
            </w:tcBorders>
            <w:noWrap/>
            <w:vAlign w:val="center"/>
            <w:hideMark/>
          </w:tcPr>
          <w:p w14:paraId="51952DB1"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57.90</w:t>
            </w:r>
          </w:p>
        </w:tc>
        <w:tc>
          <w:tcPr>
            <w:tcW w:w="173" w:type="pct"/>
            <w:tcBorders>
              <w:top w:val="nil"/>
              <w:left w:val="nil"/>
              <w:bottom w:val="nil"/>
              <w:right w:val="nil"/>
            </w:tcBorders>
            <w:noWrap/>
            <w:vAlign w:val="center"/>
            <w:hideMark/>
          </w:tcPr>
          <w:p w14:paraId="6306BA1D"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a</w:t>
            </w:r>
          </w:p>
        </w:tc>
        <w:tc>
          <w:tcPr>
            <w:tcW w:w="350" w:type="pct"/>
            <w:tcBorders>
              <w:top w:val="nil"/>
              <w:left w:val="nil"/>
              <w:bottom w:val="nil"/>
              <w:right w:val="nil"/>
            </w:tcBorders>
            <w:noWrap/>
            <w:vAlign w:val="center"/>
            <w:hideMark/>
          </w:tcPr>
          <w:p w14:paraId="141ECA12"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74.45</w:t>
            </w:r>
          </w:p>
        </w:tc>
        <w:tc>
          <w:tcPr>
            <w:tcW w:w="173" w:type="pct"/>
            <w:tcBorders>
              <w:top w:val="nil"/>
              <w:left w:val="nil"/>
              <w:bottom w:val="nil"/>
              <w:right w:val="nil"/>
            </w:tcBorders>
            <w:noWrap/>
            <w:vAlign w:val="center"/>
            <w:hideMark/>
          </w:tcPr>
          <w:p w14:paraId="7C3ADEB7"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a</w:t>
            </w:r>
          </w:p>
        </w:tc>
        <w:tc>
          <w:tcPr>
            <w:tcW w:w="401" w:type="pct"/>
            <w:tcBorders>
              <w:top w:val="nil"/>
              <w:left w:val="nil"/>
              <w:bottom w:val="nil"/>
              <w:right w:val="nil"/>
            </w:tcBorders>
            <w:noWrap/>
            <w:vAlign w:val="center"/>
            <w:hideMark/>
          </w:tcPr>
          <w:p w14:paraId="797F0BF0"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103.59</w:t>
            </w:r>
          </w:p>
        </w:tc>
        <w:tc>
          <w:tcPr>
            <w:tcW w:w="173" w:type="pct"/>
            <w:tcBorders>
              <w:top w:val="nil"/>
              <w:left w:val="nil"/>
              <w:bottom w:val="nil"/>
              <w:right w:val="nil"/>
            </w:tcBorders>
            <w:noWrap/>
            <w:vAlign w:val="center"/>
            <w:hideMark/>
          </w:tcPr>
          <w:p w14:paraId="19F9E0F7"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a</w:t>
            </w:r>
          </w:p>
        </w:tc>
        <w:tc>
          <w:tcPr>
            <w:tcW w:w="401" w:type="pct"/>
            <w:tcBorders>
              <w:top w:val="nil"/>
              <w:left w:val="nil"/>
              <w:bottom w:val="nil"/>
              <w:right w:val="nil"/>
            </w:tcBorders>
            <w:noWrap/>
            <w:vAlign w:val="center"/>
            <w:hideMark/>
          </w:tcPr>
          <w:p w14:paraId="22381110"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137.58</w:t>
            </w:r>
          </w:p>
        </w:tc>
        <w:tc>
          <w:tcPr>
            <w:tcW w:w="173" w:type="pct"/>
            <w:tcBorders>
              <w:top w:val="nil"/>
              <w:left w:val="nil"/>
              <w:bottom w:val="nil"/>
              <w:right w:val="nil"/>
            </w:tcBorders>
            <w:noWrap/>
            <w:vAlign w:val="center"/>
            <w:hideMark/>
          </w:tcPr>
          <w:p w14:paraId="5BF36887"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a</w:t>
            </w:r>
          </w:p>
        </w:tc>
        <w:tc>
          <w:tcPr>
            <w:tcW w:w="401" w:type="pct"/>
            <w:tcBorders>
              <w:top w:val="nil"/>
              <w:left w:val="nil"/>
              <w:bottom w:val="nil"/>
              <w:right w:val="nil"/>
            </w:tcBorders>
            <w:noWrap/>
            <w:vAlign w:val="center"/>
            <w:hideMark/>
          </w:tcPr>
          <w:p w14:paraId="23FDFB74"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172.23</w:t>
            </w:r>
          </w:p>
        </w:tc>
        <w:tc>
          <w:tcPr>
            <w:tcW w:w="173" w:type="pct"/>
            <w:tcBorders>
              <w:top w:val="nil"/>
              <w:left w:val="nil"/>
              <w:bottom w:val="nil"/>
              <w:right w:val="nil"/>
            </w:tcBorders>
            <w:noWrap/>
            <w:vAlign w:val="center"/>
            <w:hideMark/>
          </w:tcPr>
          <w:p w14:paraId="61A46702"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a</w:t>
            </w:r>
          </w:p>
        </w:tc>
        <w:tc>
          <w:tcPr>
            <w:tcW w:w="401" w:type="pct"/>
            <w:tcBorders>
              <w:top w:val="nil"/>
              <w:left w:val="nil"/>
              <w:bottom w:val="nil"/>
              <w:right w:val="nil"/>
            </w:tcBorders>
            <w:noWrap/>
            <w:vAlign w:val="center"/>
            <w:hideMark/>
          </w:tcPr>
          <w:p w14:paraId="7B1097B5"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185.03</w:t>
            </w:r>
          </w:p>
        </w:tc>
        <w:tc>
          <w:tcPr>
            <w:tcW w:w="173" w:type="pct"/>
            <w:tcBorders>
              <w:top w:val="nil"/>
              <w:left w:val="nil"/>
              <w:bottom w:val="nil"/>
              <w:right w:val="nil"/>
            </w:tcBorders>
            <w:noWrap/>
            <w:vAlign w:val="center"/>
            <w:hideMark/>
          </w:tcPr>
          <w:p w14:paraId="4698EEBE"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a</w:t>
            </w:r>
          </w:p>
        </w:tc>
      </w:tr>
      <w:tr w:rsidR="007C49E7" w:rsidRPr="008E5D48" w14:paraId="003BA8B6" w14:textId="77777777" w:rsidTr="007C49E7">
        <w:trPr>
          <w:trHeight w:val="360"/>
        </w:trPr>
        <w:tc>
          <w:tcPr>
            <w:tcW w:w="612" w:type="pct"/>
            <w:tcBorders>
              <w:top w:val="nil"/>
              <w:left w:val="nil"/>
              <w:bottom w:val="nil"/>
              <w:right w:val="nil"/>
            </w:tcBorders>
            <w:noWrap/>
            <w:vAlign w:val="center"/>
            <w:hideMark/>
          </w:tcPr>
          <w:p w14:paraId="042E0C10" w14:textId="11B500A8" w:rsidR="007C49E7" w:rsidRPr="008E5D48" w:rsidRDefault="007C49E7" w:rsidP="007C49E7">
            <w:pPr>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4</w:t>
            </w:r>
          </w:p>
        </w:tc>
        <w:tc>
          <w:tcPr>
            <w:tcW w:w="350" w:type="pct"/>
            <w:tcBorders>
              <w:top w:val="nil"/>
              <w:left w:val="nil"/>
              <w:bottom w:val="nil"/>
              <w:right w:val="nil"/>
            </w:tcBorders>
            <w:noWrap/>
            <w:vAlign w:val="center"/>
            <w:hideMark/>
          </w:tcPr>
          <w:p w14:paraId="7591797B"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13.09</w:t>
            </w:r>
          </w:p>
        </w:tc>
        <w:tc>
          <w:tcPr>
            <w:tcW w:w="173" w:type="pct"/>
            <w:tcBorders>
              <w:top w:val="nil"/>
              <w:left w:val="nil"/>
              <w:bottom w:val="nil"/>
              <w:right w:val="nil"/>
            </w:tcBorders>
            <w:noWrap/>
            <w:vAlign w:val="center"/>
            <w:hideMark/>
          </w:tcPr>
          <w:p w14:paraId="68EE624F"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c</w:t>
            </w:r>
          </w:p>
        </w:tc>
        <w:tc>
          <w:tcPr>
            <w:tcW w:w="350" w:type="pct"/>
            <w:tcBorders>
              <w:top w:val="nil"/>
              <w:left w:val="nil"/>
              <w:bottom w:val="nil"/>
              <w:right w:val="nil"/>
            </w:tcBorders>
            <w:noWrap/>
            <w:vAlign w:val="center"/>
            <w:hideMark/>
          </w:tcPr>
          <w:p w14:paraId="1C3E7001"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33.12</w:t>
            </w:r>
          </w:p>
        </w:tc>
        <w:tc>
          <w:tcPr>
            <w:tcW w:w="173" w:type="pct"/>
            <w:tcBorders>
              <w:top w:val="nil"/>
              <w:left w:val="nil"/>
              <w:bottom w:val="nil"/>
              <w:right w:val="nil"/>
            </w:tcBorders>
            <w:noWrap/>
            <w:vAlign w:val="center"/>
            <w:hideMark/>
          </w:tcPr>
          <w:p w14:paraId="225BA125"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b</w:t>
            </w:r>
          </w:p>
        </w:tc>
        <w:tc>
          <w:tcPr>
            <w:tcW w:w="350" w:type="pct"/>
            <w:tcBorders>
              <w:top w:val="nil"/>
              <w:left w:val="nil"/>
              <w:bottom w:val="nil"/>
              <w:right w:val="nil"/>
            </w:tcBorders>
            <w:noWrap/>
            <w:vAlign w:val="center"/>
            <w:hideMark/>
          </w:tcPr>
          <w:p w14:paraId="3041C68F"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48.31</w:t>
            </w:r>
          </w:p>
        </w:tc>
        <w:tc>
          <w:tcPr>
            <w:tcW w:w="173" w:type="pct"/>
            <w:tcBorders>
              <w:top w:val="nil"/>
              <w:left w:val="nil"/>
              <w:bottom w:val="nil"/>
              <w:right w:val="nil"/>
            </w:tcBorders>
            <w:noWrap/>
            <w:vAlign w:val="center"/>
            <w:hideMark/>
          </w:tcPr>
          <w:p w14:paraId="666B25AD"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b</w:t>
            </w:r>
          </w:p>
        </w:tc>
        <w:tc>
          <w:tcPr>
            <w:tcW w:w="350" w:type="pct"/>
            <w:tcBorders>
              <w:top w:val="nil"/>
              <w:left w:val="nil"/>
              <w:bottom w:val="nil"/>
              <w:right w:val="nil"/>
            </w:tcBorders>
            <w:noWrap/>
            <w:vAlign w:val="center"/>
            <w:hideMark/>
          </w:tcPr>
          <w:p w14:paraId="379153DC"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62.48</w:t>
            </w:r>
          </w:p>
        </w:tc>
        <w:tc>
          <w:tcPr>
            <w:tcW w:w="173" w:type="pct"/>
            <w:tcBorders>
              <w:top w:val="nil"/>
              <w:left w:val="nil"/>
              <w:bottom w:val="nil"/>
              <w:right w:val="nil"/>
            </w:tcBorders>
            <w:noWrap/>
            <w:vAlign w:val="center"/>
            <w:hideMark/>
          </w:tcPr>
          <w:p w14:paraId="5D4AFBFB"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c</w:t>
            </w:r>
          </w:p>
        </w:tc>
        <w:tc>
          <w:tcPr>
            <w:tcW w:w="401" w:type="pct"/>
            <w:tcBorders>
              <w:top w:val="nil"/>
              <w:left w:val="nil"/>
              <w:bottom w:val="nil"/>
              <w:right w:val="nil"/>
            </w:tcBorders>
            <w:noWrap/>
            <w:vAlign w:val="center"/>
            <w:hideMark/>
          </w:tcPr>
          <w:p w14:paraId="20B1BCF4"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87.47</w:t>
            </w:r>
          </w:p>
        </w:tc>
        <w:tc>
          <w:tcPr>
            <w:tcW w:w="173" w:type="pct"/>
            <w:tcBorders>
              <w:top w:val="nil"/>
              <w:left w:val="nil"/>
              <w:bottom w:val="nil"/>
              <w:right w:val="nil"/>
            </w:tcBorders>
            <w:noWrap/>
            <w:vAlign w:val="center"/>
            <w:hideMark/>
          </w:tcPr>
          <w:p w14:paraId="5DAA9E47"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c</w:t>
            </w:r>
          </w:p>
        </w:tc>
        <w:tc>
          <w:tcPr>
            <w:tcW w:w="401" w:type="pct"/>
            <w:tcBorders>
              <w:top w:val="nil"/>
              <w:left w:val="nil"/>
              <w:bottom w:val="nil"/>
              <w:right w:val="nil"/>
            </w:tcBorders>
            <w:noWrap/>
            <w:vAlign w:val="center"/>
            <w:hideMark/>
          </w:tcPr>
          <w:p w14:paraId="7586E820"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120.29</w:t>
            </w:r>
          </w:p>
        </w:tc>
        <w:tc>
          <w:tcPr>
            <w:tcW w:w="173" w:type="pct"/>
            <w:tcBorders>
              <w:top w:val="nil"/>
              <w:left w:val="nil"/>
              <w:bottom w:val="nil"/>
              <w:right w:val="nil"/>
            </w:tcBorders>
            <w:noWrap/>
            <w:vAlign w:val="center"/>
            <w:hideMark/>
          </w:tcPr>
          <w:p w14:paraId="538407C3"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d</w:t>
            </w:r>
          </w:p>
        </w:tc>
        <w:tc>
          <w:tcPr>
            <w:tcW w:w="401" w:type="pct"/>
            <w:tcBorders>
              <w:top w:val="nil"/>
              <w:left w:val="nil"/>
              <w:bottom w:val="nil"/>
              <w:right w:val="nil"/>
            </w:tcBorders>
            <w:noWrap/>
            <w:vAlign w:val="center"/>
            <w:hideMark/>
          </w:tcPr>
          <w:p w14:paraId="0B2AB2AA"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146.00</w:t>
            </w:r>
          </w:p>
        </w:tc>
        <w:tc>
          <w:tcPr>
            <w:tcW w:w="173" w:type="pct"/>
            <w:tcBorders>
              <w:top w:val="nil"/>
              <w:left w:val="nil"/>
              <w:bottom w:val="nil"/>
              <w:right w:val="nil"/>
            </w:tcBorders>
            <w:noWrap/>
            <w:vAlign w:val="center"/>
            <w:hideMark/>
          </w:tcPr>
          <w:p w14:paraId="0014C9AD"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c</w:t>
            </w:r>
          </w:p>
        </w:tc>
        <w:tc>
          <w:tcPr>
            <w:tcW w:w="401" w:type="pct"/>
            <w:tcBorders>
              <w:top w:val="nil"/>
              <w:left w:val="nil"/>
              <w:bottom w:val="nil"/>
              <w:right w:val="nil"/>
            </w:tcBorders>
            <w:noWrap/>
            <w:vAlign w:val="center"/>
            <w:hideMark/>
          </w:tcPr>
          <w:p w14:paraId="3889A1E1"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163.11</w:t>
            </w:r>
          </w:p>
        </w:tc>
        <w:tc>
          <w:tcPr>
            <w:tcW w:w="173" w:type="pct"/>
            <w:tcBorders>
              <w:top w:val="nil"/>
              <w:left w:val="nil"/>
              <w:bottom w:val="nil"/>
              <w:right w:val="nil"/>
            </w:tcBorders>
            <w:noWrap/>
            <w:vAlign w:val="center"/>
            <w:hideMark/>
          </w:tcPr>
          <w:p w14:paraId="1313F8C7"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c</w:t>
            </w:r>
          </w:p>
        </w:tc>
      </w:tr>
      <w:tr w:rsidR="007C49E7" w:rsidRPr="008E5D48" w14:paraId="1C49CFC6" w14:textId="77777777" w:rsidTr="007C49E7">
        <w:trPr>
          <w:trHeight w:val="360"/>
        </w:trPr>
        <w:tc>
          <w:tcPr>
            <w:tcW w:w="612" w:type="pct"/>
            <w:tcBorders>
              <w:top w:val="nil"/>
              <w:left w:val="nil"/>
              <w:bottom w:val="nil"/>
              <w:right w:val="nil"/>
            </w:tcBorders>
            <w:noWrap/>
            <w:vAlign w:val="center"/>
            <w:hideMark/>
          </w:tcPr>
          <w:p w14:paraId="0BC40D5C" w14:textId="21A9B118" w:rsidR="007C49E7" w:rsidRPr="008E5D48" w:rsidRDefault="007C49E7" w:rsidP="007C49E7">
            <w:pPr>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5</w:t>
            </w:r>
          </w:p>
        </w:tc>
        <w:tc>
          <w:tcPr>
            <w:tcW w:w="350" w:type="pct"/>
            <w:tcBorders>
              <w:top w:val="nil"/>
              <w:left w:val="nil"/>
              <w:bottom w:val="nil"/>
              <w:right w:val="nil"/>
            </w:tcBorders>
            <w:noWrap/>
            <w:vAlign w:val="center"/>
            <w:hideMark/>
          </w:tcPr>
          <w:p w14:paraId="7B414196"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13.84</w:t>
            </w:r>
          </w:p>
        </w:tc>
        <w:tc>
          <w:tcPr>
            <w:tcW w:w="173" w:type="pct"/>
            <w:tcBorders>
              <w:top w:val="nil"/>
              <w:left w:val="nil"/>
              <w:bottom w:val="nil"/>
              <w:right w:val="nil"/>
            </w:tcBorders>
            <w:noWrap/>
            <w:vAlign w:val="center"/>
            <w:hideMark/>
          </w:tcPr>
          <w:p w14:paraId="117E046F"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b</w:t>
            </w:r>
          </w:p>
        </w:tc>
        <w:tc>
          <w:tcPr>
            <w:tcW w:w="350" w:type="pct"/>
            <w:tcBorders>
              <w:top w:val="nil"/>
              <w:left w:val="nil"/>
              <w:bottom w:val="nil"/>
              <w:right w:val="nil"/>
            </w:tcBorders>
            <w:noWrap/>
            <w:vAlign w:val="center"/>
            <w:hideMark/>
          </w:tcPr>
          <w:p w14:paraId="2A7CBEB6"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36.80</w:t>
            </w:r>
          </w:p>
        </w:tc>
        <w:tc>
          <w:tcPr>
            <w:tcW w:w="173" w:type="pct"/>
            <w:tcBorders>
              <w:top w:val="nil"/>
              <w:left w:val="nil"/>
              <w:bottom w:val="nil"/>
              <w:right w:val="nil"/>
            </w:tcBorders>
            <w:noWrap/>
            <w:vAlign w:val="center"/>
            <w:hideMark/>
          </w:tcPr>
          <w:p w14:paraId="0EAD224A"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a</w:t>
            </w:r>
          </w:p>
        </w:tc>
        <w:tc>
          <w:tcPr>
            <w:tcW w:w="350" w:type="pct"/>
            <w:tcBorders>
              <w:top w:val="nil"/>
              <w:left w:val="nil"/>
              <w:bottom w:val="nil"/>
              <w:right w:val="nil"/>
            </w:tcBorders>
            <w:noWrap/>
            <w:vAlign w:val="center"/>
            <w:hideMark/>
          </w:tcPr>
          <w:p w14:paraId="23092004"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51.17</w:t>
            </w:r>
          </w:p>
        </w:tc>
        <w:tc>
          <w:tcPr>
            <w:tcW w:w="173" w:type="pct"/>
            <w:tcBorders>
              <w:top w:val="nil"/>
              <w:left w:val="nil"/>
              <w:bottom w:val="nil"/>
              <w:right w:val="nil"/>
            </w:tcBorders>
            <w:noWrap/>
            <w:vAlign w:val="center"/>
            <w:hideMark/>
          </w:tcPr>
          <w:p w14:paraId="301DF699"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a</w:t>
            </w:r>
          </w:p>
        </w:tc>
        <w:tc>
          <w:tcPr>
            <w:tcW w:w="350" w:type="pct"/>
            <w:tcBorders>
              <w:top w:val="nil"/>
              <w:left w:val="nil"/>
              <w:bottom w:val="nil"/>
              <w:right w:val="nil"/>
            </w:tcBorders>
            <w:noWrap/>
            <w:vAlign w:val="center"/>
            <w:hideMark/>
          </w:tcPr>
          <w:p w14:paraId="088A0774"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69.09</w:t>
            </w:r>
          </w:p>
        </w:tc>
        <w:tc>
          <w:tcPr>
            <w:tcW w:w="173" w:type="pct"/>
            <w:tcBorders>
              <w:top w:val="nil"/>
              <w:left w:val="nil"/>
              <w:bottom w:val="nil"/>
              <w:right w:val="nil"/>
            </w:tcBorders>
            <w:noWrap/>
            <w:vAlign w:val="center"/>
            <w:hideMark/>
          </w:tcPr>
          <w:p w14:paraId="324CA5A3"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b</w:t>
            </w:r>
          </w:p>
        </w:tc>
        <w:tc>
          <w:tcPr>
            <w:tcW w:w="401" w:type="pct"/>
            <w:tcBorders>
              <w:top w:val="nil"/>
              <w:left w:val="nil"/>
              <w:bottom w:val="nil"/>
              <w:right w:val="nil"/>
            </w:tcBorders>
            <w:noWrap/>
            <w:vAlign w:val="center"/>
            <w:hideMark/>
          </w:tcPr>
          <w:p w14:paraId="417B3668"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92.48</w:t>
            </w:r>
          </w:p>
        </w:tc>
        <w:tc>
          <w:tcPr>
            <w:tcW w:w="173" w:type="pct"/>
            <w:tcBorders>
              <w:top w:val="nil"/>
              <w:left w:val="nil"/>
              <w:bottom w:val="nil"/>
              <w:right w:val="nil"/>
            </w:tcBorders>
            <w:noWrap/>
            <w:vAlign w:val="center"/>
            <w:hideMark/>
          </w:tcPr>
          <w:p w14:paraId="2EE3059B"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b</w:t>
            </w:r>
          </w:p>
        </w:tc>
        <w:tc>
          <w:tcPr>
            <w:tcW w:w="401" w:type="pct"/>
            <w:tcBorders>
              <w:top w:val="nil"/>
              <w:left w:val="nil"/>
              <w:bottom w:val="nil"/>
              <w:right w:val="nil"/>
            </w:tcBorders>
            <w:noWrap/>
            <w:vAlign w:val="center"/>
            <w:hideMark/>
          </w:tcPr>
          <w:p w14:paraId="565ACC45"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124.84</w:t>
            </w:r>
          </w:p>
        </w:tc>
        <w:tc>
          <w:tcPr>
            <w:tcW w:w="173" w:type="pct"/>
            <w:tcBorders>
              <w:top w:val="nil"/>
              <w:left w:val="nil"/>
              <w:bottom w:val="nil"/>
              <w:right w:val="nil"/>
            </w:tcBorders>
            <w:noWrap/>
            <w:vAlign w:val="center"/>
            <w:hideMark/>
          </w:tcPr>
          <w:p w14:paraId="745B5F69"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c</w:t>
            </w:r>
          </w:p>
        </w:tc>
        <w:tc>
          <w:tcPr>
            <w:tcW w:w="401" w:type="pct"/>
            <w:tcBorders>
              <w:top w:val="nil"/>
              <w:left w:val="nil"/>
              <w:bottom w:val="nil"/>
              <w:right w:val="nil"/>
            </w:tcBorders>
            <w:noWrap/>
            <w:vAlign w:val="center"/>
            <w:hideMark/>
          </w:tcPr>
          <w:p w14:paraId="70683202"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158.93</w:t>
            </w:r>
          </w:p>
        </w:tc>
        <w:tc>
          <w:tcPr>
            <w:tcW w:w="173" w:type="pct"/>
            <w:tcBorders>
              <w:top w:val="nil"/>
              <w:left w:val="nil"/>
              <w:bottom w:val="nil"/>
              <w:right w:val="nil"/>
            </w:tcBorders>
            <w:noWrap/>
            <w:vAlign w:val="center"/>
            <w:hideMark/>
          </w:tcPr>
          <w:p w14:paraId="68536219"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b</w:t>
            </w:r>
          </w:p>
        </w:tc>
        <w:tc>
          <w:tcPr>
            <w:tcW w:w="401" w:type="pct"/>
            <w:tcBorders>
              <w:top w:val="nil"/>
              <w:left w:val="nil"/>
              <w:bottom w:val="nil"/>
              <w:right w:val="nil"/>
            </w:tcBorders>
            <w:noWrap/>
            <w:vAlign w:val="center"/>
            <w:hideMark/>
          </w:tcPr>
          <w:p w14:paraId="61E73E29"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176.40</w:t>
            </w:r>
          </w:p>
        </w:tc>
        <w:tc>
          <w:tcPr>
            <w:tcW w:w="173" w:type="pct"/>
            <w:tcBorders>
              <w:top w:val="nil"/>
              <w:left w:val="nil"/>
              <w:bottom w:val="nil"/>
              <w:right w:val="nil"/>
            </w:tcBorders>
            <w:noWrap/>
            <w:vAlign w:val="center"/>
            <w:hideMark/>
          </w:tcPr>
          <w:p w14:paraId="7F488601"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b</w:t>
            </w:r>
          </w:p>
        </w:tc>
      </w:tr>
      <w:tr w:rsidR="007C49E7" w:rsidRPr="008E5D48" w14:paraId="3CF5FBDD" w14:textId="77777777" w:rsidTr="007C49E7">
        <w:trPr>
          <w:trHeight w:val="360"/>
        </w:trPr>
        <w:tc>
          <w:tcPr>
            <w:tcW w:w="612" w:type="pct"/>
            <w:tcBorders>
              <w:top w:val="nil"/>
              <w:left w:val="nil"/>
              <w:bottom w:val="single" w:sz="4" w:space="0" w:color="auto"/>
              <w:right w:val="nil"/>
            </w:tcBorders>
            <w:noWrap/>
            <w:vAlign w:val="center"/>
            <w:hideMark/>
          </w:tcPr>
          <w:p w14:paraId="56B498B3" w14:textId="255289BC" w:rsidR="007C49E7" w:rsidRPr="008E5D48" w:rsidRDefault="007C49E7" w:rsidP="007C49E7">
            <w:pPr>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6</w:t>
            </w:r>
          </w:p>
        </w:tc>
        <w:tc>
          <w:tcPr>
            <w:tcW w:w="350" w:type="pct"/>
            <w:tcBorders>
              <w:top w:val="nil"/>
              <w:left w:val="nil"/>
              <w:bottom w:val="nil"/>
              <w:right w:val="nil"/>
            </w:tcBorders>
            <w:noWrap/>
            <w:vAlign w:val="center"/>
            <w:hideMark/>
          </w:tcPr>
          <w:p w14:paraId="6952E696"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16.01</w:t>
            </w:r>
          </w:p>
        </w:tc>
        <w:tc>
          <w:tcPr>
            <w:tcW w:w="173" w:type="pct"/>
            <w:tcBorders>
              <w:top w:val="nil"/>
              <w:left w:val="nil"/>
              <w:bottom w:val="nil"/>
              <w:right w:val="nil"/>
            </w:tcBorders>
            <w:noWrap/>
            <w:vAlign w:val="center"/>
            <w:hideMark/>
          </w:tcPr>
          <w:p w14:paraId="2C650759"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a</w:t>
            </w:r>
          </w:p>
        </w:tc>
        <w:tc>
          <w:tcPr>
            <w:tcW w:w="350" w:type="pct"/>
            <w:tcBorders>
              <w:top w:val="nil"/>
              <w:left w:val="nil"/>
              <w:bottom w:val="nil"/>
              <w:right w:val="nil"/>
            </w:tcBorders>
            <w:noWrap/>
            <w:vAlign w:val="center"/>
            <w:hideMark/>
          </w:tcPr>
          <w:p w14:paraId="3AD7A8AA"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37.60</w:t>
            </w:r>
          </w:p>
        </w:tc>
        <w:tc>
          <w:tcPr>
            <w:tcW w:w="173" w:type="pct"/>
            <w:tcBorders>
              <w:top w:val="nil"/>
              <w:left w:val="nil"/>
              <w:bottom w:val="nil"/>
              <w:right w:val="nil"/>
            </w:tcBorders>
            <w:noWrap/>
            <w:vAlign w:val="center"/>
            <w:hideMark/>
          </w:tcPr>
          <w:p w14:paraId="7E6E5899"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a</w:t>
            </w:r>
          </w:p>
        </w:tc>
        <w:tc>
          <w:tcPr>
            <w:tcW w:w="350" w:type="pct"/>
            <w:tcBorders>
              <w:top w:val="nil"/>
              <w:left w:val="nil"/>
              <w:bottom w:val="nil"/>
              <w:right w:val="nil"/>
            </w:tcBorders>
            <w:noWrap/>
            <w:vAlign w:val="center"/>
            <w:hideMark/>
          </w:tcPr>
          <w:p w14:paraId="6A49D36D"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56.43</w:t>
            </w:r>
          </w:p>
        </w:tc>
        <w:tc>
          <w:tcPr>
            <w:tcW w:w="173" w:type="pct"/>
            <w:tcBorders>
              <w:top w:val="nil"/>
              <w:left w:val="nil"/>
              <w:bottom w:val="nil"/>
              <w:right w:val="nil"/>
            </w:tcBorders>
            <w:noWrap/>
            <w:vAlign w:val="center"/>
            <w:hideMark/>
          </w:tcPr>
          <w:p w14:paraId="2D40E187"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a</w:t>
            </w:r>
          </w:p>
        </w:tc>
        <w:tc>
          <w:tcPr>
            <w:tcW w:w="350" w:type="pct"/>
            <w:tcBorders>
              <w:top w:val="nil"/>
              <w:left w:val="nil"/>
              <w:bottom w:val="nil"/>
              <w:right w:val="nil"/>
            </w:tcBorders>
            <w:noWrap/>
            <w:vAlign w:val="center"/>
            <w:hideMark/>
          </w:tcPr>
          <w:p w14:paraId="2D18C538"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71.68</w:t>
            </w:r>
          </w:p>
        </w:tc>
        <w:tc>
          <w:tcPr>
            <w:tcW w:w="173" w:type="pct"/>
            <w:tcBorders>
              <w:top w:val="nil"/>
              <w:left w:val="nil"/>
              <w:bottom w:val="nil"/>
              <w:right w:val="nil"/>
            </w:tcBorders>
            <w:noWrap/>
            <w:vAlign w:val="center"/>
            <w:hideMark/>
          </w:tcPr>
          <w:p w14:paraId="2A52D2A2"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b</w:t>
            </w:r>
          </w:p>
        </w:tc>
        <w:tc>
          <w:tcPr>
            <w:tcW w:w="401" w:type="pct"/>
            <w:tcBorders>
              <w:top w:val="nil"/>
              <w:left w:val="nil"/>
              <w:bottom w:val="nil"/>
              <w:right w:val="nil"/>
            </w:tcBorders>
            <w:noWrap/>
            <w:vAlign w:val="center"/>
            <w:hideMark/>
          </w:tcPr>
          <w:p w14:paraId="466749CC"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100.81</w:t>
            </w:r>
          </w:p>
        </w:tc>
        <w:tc>
          <w:tcPr>
            <w:tcW w:w="173" w:type="pct"/>
            <w:tcBorders>
              <w:top w:val="nil"/>
              <w:left w:val="nil"/>
              <w:bottom w:val="nil"/>
              <w:right w:val="nil"/>
            </w:tcBorders>
            <w:noWrap/>
            <w:vAlign w:val="center"/>
            <w:hideMark/>
          </w:tcPr>
          <w:p w14:paraId="0386F2C0"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a</w:t>
            </w:r>
          </w:p>
        </w:tc>
        <w:tc>
          <w:tcPr>
            <w:tcW w:w="401" w:type="pct"/>
            <w:tcBorders>
              <w:top w:val="nil"/>
              <w:left w:val="nil"/>
              <w:bottom w:val="nil"/>
              <w:right w:val="nil"/>
            </w:tcBorders>
            <w:noWrap/>
            <w:vAlign w:val="center"/>
            <w:hideMark/>
          </w:tcPr>
          <w:p w14:paraId="6B1B68D8"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132.82</w:t>
            </w:r>
          </w:p>
        </w:tc>
        <w:tc>
          <w:tcPr>
            <w:tcW w:w="173" w:type="pct"/>
            <w:tcBorders>
              <w:top w:val="nil"/>
              <w:left w:val="nil"/>
              <w:bottom w:val="nil"/>
              <w:right w:val="nil"/>
            </w:tcBorders>
            <w:noWrap/>
            <w:vAlign w:val="center"/>
            <w:hideMark/>
          </w:tcPr>
          <w:p w14:paraId="1592100C"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b</w:t>
            </w:r>
          </w:p>
        </w:tc>
        <w:tc>
          <w:tcPr>
            <w:tcW w:w="401" w:type="pct"/>
            <w:tcBorders>
              <w:top w:val="nil"/>
              <w:left w:val="nil"/>
              <w:bottom w:val="nil"/>
              <w:right w:val="nil"/>
            </w:tcBorders>
            <w:noWrap/>
            <w:vAlign w:val="center"/>
            <w:hideMark/>
          </w:tcPr>
          <w:p w14:paraId="1F7E4D4A"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169.97</w:t>
            </w:r>
          </w:p>
        </w:tc>
        <w:tc>
          <w:tcPr>
            <w:tcW w:w="173" w:type="pct"/>
            <w:tcBorders>
              <w:top w:val="nil"/>
              <w:left w:val="nil"/>
              <w:bottom w:val="nil"/>
              <w:right w:val="nil"/>
            </w:tcBorders>
            <w:noWrap/>
            <w:vAlign w:val="center"/>
            <w:hideMark/>
          </w:tcPr>
          <w:p w14:paraId="4B67DAD0"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a</w:t>
            </w:r>
          </w:p>
        </w:tc>
        <w:tc>
          <w:tcPr>
            <w:tcW w:w="401" w:type="pct"/>
            <w:tcBorders>
              <w:top w:val="nil"/>
              <w:left w:val="nil"/>
              <w:bottom w:val="nil"/>
              <w:right w:val="nil"/>
            </w:tcBorders>
            <w:noWrap/>
            <w:vAlign w:val="center"/>
            <w:hideMark/>
          </w:tcPr>
          <w:p w14:paraId="6A42299D"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182.98</w:t>
            </w:r>
          </w:p>
        </w:tc>
        <w:tc>
          <w:tcPr>
            <w:tcW w:w="173" w:type="pct"/>
            <w:tcBorders>
              <w:top w:val="nil"/>
              <w:left w:val="nil"/>
              <w:bottom w:val="nil"/>
              <w:right w:val="nil"/>
            </w:tcBorders>
            <w:noWrap/>
            <w:vAlign w:val="center"/>
            <w:hideMark/>
          </w:tcPr>
          <w:p w14:paraId="074353E4"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a</w:t>
            </w:r>
          </w:p>
        </w:tc>
      </w:tr>
      <w:tr w:rsidR="008E5D48" w:rsidRPr="008E5D48" w14:paraId="01A192EE" w14:textId="77777777" w:rsidTr="007C49E7">
        <w:trPr>
          <w:trHeight w:val="360"/>
        </w:trPr>
        <w:tc>
          <w:tcPr>
            <w:tcW w:w="612" w:type="pct"/>
            <w:tcBorders>
              <w:top w:val="nil"/>
              <w:left w:val="nil"/>
              <w:bottom w:val="nil"/>
              <w:right w:val="nil"/>
            </w:tcBorders>
            <w:noWrap/>
            <w:vAlign w:val="center"/>
            <w:hideMark/>
          </w:tcPr>
          <w:p w14:paraId="43CC234E" w14:textId="77777777" w:rsidR="00C13684" w:rsidRPr="008E5D48" w:rsidRDefault="00C13684" w:rsidP="008E5D48">
            <w:pPr>
              <w:jc w:val="center"/>
              <w:rPr>
                <w:rFonts w:ascii="Arial" w:hAnsi="Arial" w:cs="Arial"/>
                <w:color w:val="000000" w:themeColor="text1"/>
                <w:sz w:val="16"/>
                <w:szCs w:val="16"/>
              </w:rPr>
            </w:pPr>
            <w:r w:rsidRPr="008E5D48">
              <w:rPr>
                <w:rFonts w:ascii="Arial" w:hAnsi="Arial" w:cs="Arial"/>
                <w:color w:val="000000" w:themeColor="text1"/>
                <w:sz w:val="16"/>
                <w:szCs w:val="16"/>
              </w:rPr>
              <w:t>LSD 0.05</w:t>
            </w:r>
          </w:p>
        </w:tc>
        <w:tc>
          <w:tcPr>
            <w:tcW w:w="523" w:type="pct"/>
            <w:gridSpan w:val="2"/>
            <w:tcBorders>
              <w:top w:val="single" w:sz="4" w:space="0" w:color="auto"/>
              <w:left w:val="nil"/>
              <w:bottom w:val="nil"/>
              <w:right w:val="nil"/>
            </w:tcBorders>
            <w:noWrap/>
            <w:vAlign w:val="center"/>
            <w:hideMark/>
          </w:tcPr>
          <w:p w14:paraId="09732EE5" w14:textId="77777777" w:rsidR="00C13684" w:rsidRPr="008E5D48" w:rsidRDefault="00C13684" w:rsidP="008E5D48">
            <w:pPr>
              <w:jc w:val="center"/>
              <w:rPr>
                <w:rFonts w:ascii="Arial" w:hAnsi="Arial" w:cs="Arial"/>
                <w:color w:val="000000" w:themeColor="text1"/>
                <w:sz w:val="16"/>
                <w:szCs w:val="16"/>
              </w:rPr>
            </w:pPr>
            <w:r w:rsidRPr="008E5D48">
              <w:rPr>
                <w:rFonts w:ascii="Arial" w:hAnsi="Arial" w:cs="Arial"/>
                <w:color w:val="000000" w:themeColor="text1"/>
                <w:sz w:val="16"/>
                <w:szCs w:val="16"/>
              </w:rPr>
              <w:t>0.24</w:t>
            </w:r>
          </w:p>
        </w:tc>
        <w:tc>
          <w:tcPr>
            <w:tcW w:w="523" w:type="pct"/>
            <w:gridSpan w:val="2"/>
            <w:tcBorders>
              <w:top w:val="single" w:sz="4" w:space="0" w:color="auto"/>
              <w:left w:val="nil"/>
              <w:bottom w:val="nil"/>
              <w:right w:val="nil"/>
            </w:tcBorders>
            <w:noWrap/>
            <w:vAlign w:val="center"/>
            <w:hideMark/>
          </w:tcPr>
          <w:p w14:paraId="22DACC94" w14:textId="77777777" w:rsidR="00C13684" w:rsidRPr="008E5D48" w:rsidRDefault="00C13684" w:rsidP="008E5D48">
            <w:pPr>
              <w:jc w:val="center"/>
              <w:rPr>
                <w:rFonts w:ascii="Arial" w:hAnsi="Arial" w:cs="Arial"/>
                <w:color w:val="000000" w:themeColor="text1"/>
                <w:sz w:val="16"/>
                <w:szCs w:val="16"/>
              </w:rPr>
            </w:pPr>
            <w:r w:rsidRPr="008E5D48">
              <w:rPr>
                <w:rFonts w:ascii="Arial" w:hAnsi="Arial" w:cs="Arial"/>
                <w:color w:val="000000" w:themeColor="text1"/>
                <w:sz w:val="16"/>
                <w:szCs w:val="16"/>
              </w:rPr>
              <w:t>1.18</w:t>
            </w:r>
          </w:p>
        </w:tc>
        <w:tc>
          <w:tcPr>
            <w:tcW w:w="523" w:type="pct"/>
            <w:gridSpan w:val="2"/>
            <w:tcBorders>
              <w:top w:val="single" w:sz="4" w:space="0" w:color="auto"/>
              <w:left w:val="nil"/>
              <w:bottom w:val="nil"/>
              <w:right w:val="nil"/>
            </w:tcBorders>
            <w:noWrap/>
            <w:vAlign w:val="center"/>
            <w:hideMark/>
          </w:tcPr>
          <w:p w14:paraId="3EE704E2" w14:textId="77777777" w:rsidR="00C13684" w:rsidRPr="008E5D48" w:rsidRDefault="00C13684" w:rsidP="008E5D48">
            <w:pPr>
              <w:jc w:val="center"/>
              <w:rPr>
                <w:rFonts w:ascii="Arial" w:hAnsi="Arial" w:cs="Arial"/>
                <w:color w:val="000000" w:themeColor="text1"/>
                <w:sz w:val="16"/>
                <w:szCs w:val="16"/>
              </w:rPr>
            </w:pPr>
            <w:r w:rsidRPr="008E5D48">
              <w:rPr>
                <w:rFonts w:ascii="Arial" w:hAnsi="Arial" w:cs="Arial"/>
                <w:color w:val="000000" w:themeColor="text1"/>
                <w:sz w:val="16"/>
                <w:szCs w:val="16"/>
              </w:rPr>
              <w:t>2.62</w:t>
            </w:r>
          </w:p>
        </w:tc>
        <w:tc>
          <w:tcPr>
            <w:tcW w:w="523" w:type="pct"/>
            <w:gridSpan w:val="2"/>
            <w:tcBorders>
              <w:top w:val="single" w:sz="4" w:space="0" w:color="auto"/>
              <w:left w:val="nil"/>
              <w:bottom w:val="nil"/>
              <w:right w:val="nil"/>
            </w:tcBorders>
            <w:noWrap/>
            <w:vAlign w:val="center"/>
            <w:hideMark/>
          </w:tcPr>
          <w:p w14:paraId="3FB33801" w14:textId="77777777" w:rsidR="00C13684" w:rsidRPr="008E5D48" w:rsidRDefault="00C13684" w:rsidP="008E5D48">
            <w:pPr>
              <w:jc w:val="center"/>
              <w:rPr>
                <w:rFonts w:ascii="Arial" w:hAnsi="Arial" w:cs="Arial"/>
                <w:color w:val="000000" w:themeColor="text1"/>
                <w:sz w:val="16"/>
                <w:szCs w:val="16"/>
              </w:rPr>
            </w:pPr>
            <w:r w:rsidRPr="008E5D48">
              <w:rPr>
                <w:rFonts w:ascii="Arial" w:hAnsi="Arial" w:cs="Arial"/>
                <w:color w:val="000000" w:themeColor="text1"/>
                <w:sz w:val="16"/>
                <w:szCs w:val="16"/>
              </w:rPr>
              <w:t>2.68</w:t>
            </w:r>
          </w:p>
        </w:tc>
        <w:tc>
          <w:tcPr>
            <w:tcW w:w="574" w:type="pct"/>
            <w:gridSpan w:val="2"/>
            <w:tcBorders>
              <w:top w:val="single" w:sz="4" w:space="0" w:color="auto"/>
              <w:left w:val="nil"/>
              <w:bottom w:val="nil"/>
              <w:right w:val="nil"/>
            </w:tcBorders>
            <w:noWrap/>
            <w:vAlign w:val="center"/>
            <w:hideMark/>
          </w:tcPr>
          <w:p w14:paraId="59785966" w14:textId="77777777" w:rsidR="00C13684" w:rsidRPr="008E5D48" w:rsidRDefault="00C13684" w:rsidP="008E5D48">
            <w:pPr>
              <w:jc w:val="center"/>
              <w:rPr>
                <w:rFonts w:ascii="Arial" w:hAnsi="Arial" w:cs="Arial"/>
                <w:color w:val="000000" w:themeColor="text1"/>
                <w:sz w:val="16"/>
                <w:szCs w:val="16"/>
              </w:rPr>
            </w:pPr>
            <w:r w:rsidRPr="008E5D48">
              <w:rPr>
                <w:rFonts w:ascii="Arial" w:hAnsi="Arial" w:cs="Arial"/>
                <w:color w:val="000000" w:themeColor="text1"/>
                <w:sz w:val="16"/>
                <w:szCs w:val="16"/>
              </w:rPr>
              <w:t>4.61</w:t>
            </w:r>
          </w:p>
        </w:tc>
        <w:tc>
          <w:tcPr>
            <w:tcW w:w="574" w:type="pct"/>
            <w:gridSpan w:val="2"/>
            <w:tcBorders>
              <w:top w:val="single" w:sz="4" w:space="0" w:color="auto"/>
              <w:left w:val="nil"/>
              <w:bottom w:val="nil"/>
              <w:right w:val="nil"/>
            </w:tcBorders>
            <w:noWrap/>
            <w:vAlign w:val="center"/>
            <w:hideMark/>
          </w:tcPr>
          <w:p w14:paraId="790A927D" w14:textId="77777777" w:rsidR="00C13684" w:rsidRPr="008E5D48" w:rsidRDefault="00C13684" w:rsidP="008E5D48">
            <w:pPr>
              <w:jc w:val="center"/>
              <w:rPr>
                <w:rFonts w:ascii="Arial" w:hAnsi="Arial" w:cs="Arial"/>
                <w:color w:val="000000" w:themeColor="text1"/>
                <w:sz w:val="16"/>
                <w:szCs w:val="16"/>
              </w:rPr>
            </w:pPr>
            <w:r w:rsidRPr="008E5D48">
              <w:rPr>
                <w:rFonts w:ascii="Arial" w:hAnsi="Arial" w:cs="Arial"/>
                <w:color w:val="000000" w:themeColor="text1"/>
                <w:sz w:val="16"/>
                <w:szCs w:val="16"/>
              </w:rPr>
              <w:t>4.00</w:t>
            </w:r>
          </w:p>
        </w:tc>
        <w:tc>
          <w:tcPr>
            <w:tcW w:w="574" w:type="pct"/>
            <w:gridSpan w:val="2"/>
            <w:tcBorders>
              <w:top w:val="single" w:sz="4" w:space="0" w:color="auto"/>
              <w:left w:val="nil"/>
              <w:bottom w:val="nil"/>
              <w:right w:val="nil"/>
            </w:tcBorders>
            <w:noWrap/>
            <w:vAlign w:val="center"/>
            <w:hideMark/>
          </w:tcPr>
          <w:p w14:paraId="25A2CFF4" w14:textId="77777777" w:rsidR="00C13684" w:rsidRPr="008E5D48" w:rsidRDefault="00C13684" w:rsidP="008E5D48">
            <w:pPr>
              <w:jc w:val="center"/>
              <w:rPr>
                <w:rFonts w:ascii="Arial" w:hAnsi="Arial" w:cs="Arial"/>
                <w:color w:val="000000" w:themeColor="text1"/>
                <w:sz w:val="16"/>
                <w:szCs w:val="16"/>
              </w:rPr>
            </w:pPr>
            <w:r w:rsidRPr="008E5D48">
              <w:rPr>
                <w:rFonts w:ascii="Arial" w:hAnsi="Arial" w:cs="Arial"/>
                <w:color w:val="000000" w:themeColor="text1"/>
                <w:sz w:val="16"/>
                <w:szCs w:val="16"/>
              </w:rPr>
              <w:t>8.00</w:t>
            </w:r>
          </w:p>
        </w:tc>
        <w:tc>
          <w:tcPr>
            <w:tcW w:w="574" w:type="pct"/>
            <w:gridSpan w:val="2"/>
            <w:tcBorders>
              <w:top w:val="single" w:sz="4" w:space="0" w:color="auto"/>
              <w:left w:val="nil"/>
              <w:bottom w:val="nil"/>
              <w:right w:val="nil"/>
            </w:tcBorders>
            <w:noWrap/>
            <w:vAlign w:val="center"/>
            <w:hideMark/>
          </w:tcPr>
          <w:p w14:paraId="721097EF" w14:textId="77777777" w:rsidR="00C13684" w:rsidRPr="008E5D48" w:rsidRDefault="00C13684" w:rsidP="008E5D48">
            <w:pPr>
              <w:jc w:val="center"/>
              <w:rPr>
                <w:rFonts w:ascii="Arial" w:hAnsi="Arial" w:cs="Arial"/>
                <w:color w:val="000000" w:themeColor="text1"/>
                <w:sz w:val="16"/>
                <w:szCs w:val="16"/>
              </w:rPr>
            </w:pPr>
            <w:r w:rsidRPr="008E5D48">
              <w:rPr>
                <w:rFonts w:ascii="Arial" w:hAnsi="Arial" w:cs="Arial"/>
                <w:color w:val="000000" w:themeColor="text1"/>
                <w:sz w:val="16"/>
                <w:szCs w:val="16"/>
              </w:rPr>
              <w:t>6.50</w:t>
            </w:r>
          </w:p>
        </w:tc>
      </w:tr>
      <w:tr w:rsidR="008E5D48" w:rsidRPr="008E5D48" w14:paraId="31D464EC" w14:textId="77777777" w:rsidTr="007C49E7">
        <w:trPr>
          <w:trHeight w:val="360"/>
        </w:trPr>
        <w:tc>
          <w:tcPr>
            <w:tcW w:w="612" w:type="pct"/>
            <w:tcBorders>
              <w:top w:val="nil"/>
              <w:left w:val="nil"/>
              <w:bottom w:val="nil"/>
              <w:right w:val="nil"/>
            </w:tcBorders>
            <w:noWrap/>
            <w:vAlign w:val="center"/>
            <w:hideMark/>
          </w:tcPr>
          <w:p w14:paraId="2E8E658A" w14:textId="77777777" w:rsidR="00C13684" w:rsidRPr="008E5D48" w:rsidRDefault="00C13684" w:rsidP="008E5D48">
            <w:pPr>
              <w:jc w:val="center"/>
              <w:rPr>
                <w:rFonts w:ascii="Arial" w:hAnsi="Arial" w:cs="Arial"/>
                <w:color w:val="000000" w:themeColor="text1"/>
                <w:sz w:val="16"/>
                <w:szCs w:val="16"/>
              </w:rPr>
            </w:pPr>
            <w:proofErr w:type="spellStart"/>
            <w:r w:rsidRPr="008E5D48">
              <w:rPr>
                <w:rFonts w:ascii="Arial" w:hAnsi="Arial" w:cs="Arial"/>
                <w:color w:val="000000" w:themeColor="text1"/>
                <w:sz w:val="16"/>
                <w:szCs w:val="16"/>
              </w:rPr>
              <w:t>Pr</w:t>
            </w:r>
            <w:proofErr w:type="spellEnd"/>
            <w:r w:rsidRPr="008E5D48">
              <w:rPr>
                <w:rFonts w:ascii="Arial" w:hAnsi="Arial" w:cs="Arial"/>
                <w:color w:val="000000" w:themeColor="text1"/>
                <w:sz w:val="16"/>
                <w:szCs w:val="16"/>
              </w:rPr>
              <w:t>&gt;F</w:t>
            </w:r>
          </w:p>
        </w:tc>
        <w:tc>
          <w:tcPr>
            <w:tcW w:w="523" w:type="pct"/>
            <w:gridSpan w:val="2"/>
            <w:tcBorders>
              <w:top w:val="single" w:sz="4" w:space="0" w:color="auto"/>
              <w:left w:val="nil"/>
              <w:bottom w:val="nil"/>
              <w:right w:val="nil"/>
            </w:tcBorders>
            <w:noWrap/>
            <w:vAlign w:val="center"/>
            <w:hideMark/>
          </w:tcPr>
          <w:p w14:paraId="27DA3800" w14:textId="77777777" w:rsidR="00C13684" w:rsidRPr="008E5D48" w:rsidRDefault="00C13684" w:rsidP="008E5D48">
            <w:pPr>
              <w:jc w:val="center"/>
              <w:rPr>
                <w:rFonts w:ascii="Arial" w:hAnsi="Arial" w:cs="Arial"/>
                <w:color w:val="000000" w:themeColor="text1"/>
                <w:sz w:val="16"/>
                <w:szCs w:val="16"/>
              </w:rPr>
            </w:pPr>
            <w:r w:rsidRPr="008E5D48">
              <w:rPr>
                <w:rFonts w:ascii="Arial" w:hAnsi="Arial" w:cs="Arial"/>
                <w:color w:val="000000" w:themeColor="text1"/>
                <w:sz w:val="16"/>
                <w:szCs w:val="16"/>
              </w:rPr>
              <w:t>**</w:t>
            </w:r>
          </w:p>
        </w:tc>
        <w:tc>
          <w:tcPr>
            <w:tcW w:w="523" w:type="pct"/>
            <w:gridSpan w:val="2"/>
            <w:tcBorders>
              <w:top w:val="single" w:sz="4" w:space="0" w:color="auto"/>
              <w:left w:val="nil"/>
              <w:bottom w:val="nil"/>
              <w:right w:val="nil"/>
            </w:tcBorders>
            <w:noWrap/>
            <w:vAlign w:val="center"/>
            <w:hideMark/>
          </w:tcPr>
          <w:p w14:paraId="79A3274F" w14:textId="77777777" w:rsidR="00C13684" w:rsidRPr="008E5D48" w:rsidRDefault="00C13684" w:rsidP="008E5D48">
            <w:pPr>
              <w:jc w:val="center"/>
              <w:rPr>
                <w:rFonts w:ascii="Arial" w:hAnsi="Arial" w:cs="Arial"/>
                <w:color w:val="000000" w:themeColor="text1"/>
                <w:sz w:val="16"/>
                <w:szCs w:val="16"/>
              </w:rPr>
            </w:pPr>
            <w:r w:rsidRPr="008E5D48">
              <w:rPr>
                <w:rFonts w:ascii="Arial" w:hAnsi="Arial" w:cs="Arial"/>
                <w:color w:val="000000" w:themeColor="text1"/>
                <w:sz w:val="16"/>
                <w:szCs w:val="16"/>
              </w:rPr>
              <w:t>**</w:t>
            </w:r>
          </w:p>
        </w:tc>
        <w:tc>
          <w:tcPr>
            <w:tcW w:w="523" w:type="pct"/>
            <w:gridSpan w:val="2"/>
            <w:tcBorders>
              <w:top w:val="single" w:sz="4" w:space="0" w:color="auto"/>
              <w:left w:val="nil"/>
              <w:bottom w:val="nil"/>
              <w:right w:val="nil"/>
            </w:tcBorders>
            <w:noWrap/>
            <w:vAlign w:val="center"/>
            <w:hideMark/>
          </w:tcPr>
          <w:p w14:paraId="0327F8F4" w14:textId="77777777" w:rsidR="00C13684" w:rsidRPr="008E5D48" w:rsidRDefault="00C13684" w:rsidP="008E5D48">
            <w:pPr>
              <w:jc w:val="center"/>
              <w:rPr>
                <w:rFonts w:ascii="Arial" w:hAnsi="Arial" w:cs="Arial"/>
                <w:color w:val="000000" w:themeColor="text1"/>
                <w:sz w:val="16"/>
                <w:szCs w:val="16"/>
              </w:rPr>
            </w:pPr>
            <w:r w:rsidRPr="008E5D48">
              <w:rPr>
                <w:rFonts w:ascii="Arial" w:hAnsi="Arial" w:cs="Arial"/>
                <w:color w:val="000000" w:themeColor="text1"/>
                <w:sz w:val="16"/>
                <w:szCs w:val="16"/>
              </w:rPr>
              <w:t>**</w:t>
            </w:r>
          </w:p>
        </w:tc>
        <w:tc>
          <w:tcPr>
            <w:tcW w:w="523" w:type="pct"/>
            <w:gridSpan w:val="2"/>
            <w:tcBorders>
              <w:top w:val="single" w:sz="4" w:space="0" w:color="auto"/>
              <w:left w:val="nil"/>
              <w:bottom w:val="nil"/>
              <w:right w:val="nil"/>
            </w:tcBorders>
            <w:noWrap/>
            <w:vAlign w:val="center"/>
            <w:hideMark/>
          </w:tcPr>
          <w:p w14:paraId="2F864C15" w14:textId="77777777" w:rsidR="00C13684" w:rsidRPr="008E5D48" w:rsidRDefault="00C13684" w:rsidP="008E5D48">
            <w:pPr>
              <w:jc w:val="center"/>
              <w:rPr>
                <w:rFonts w:ascii="Arial" w:hAnsi="Arial" w:cs="Arial"/>
                <w:color w:val="000000" w:themeColor="text1"/>
                <w:sz w:val="16"/>
                <w:szCs w:val="16"/>
              </w:rPr>
            </w:pPr>
            <w:r w:rsidRPr="008E5D48">
              <w:rPr>
                <w:rFonts w:ascii="Arial" w:hAnsi="Arial" w:cs="Arial"/>
                <w:color w:val="000000" w:themeColor="text1"/>
                <w:sz w:val="16"/>
                <w:szCs w:val="16"/>
              </w:rPr>
              <w:t>**</w:t>
            </w:r>
          </w:p>
        </w:tc>
        <w:tc>
          <w:tcPr>
            <w:tcW w:w="574" w:type="pct"/>
            <w:gridSpan w:val="2"/>
            <w:tcBorders>
              <w:top w:val="single" w:sz="4" w:space="0" w:color="auto"/>
              <w:left w:val="nil"/>
              <w:bottom w:val="nil"/>
              <w:right w:val="nil"/>
            </w:tcBorders>
            <w:noWrap/>
            <w:vAlign w:val="center"/>
            <w:hideMark/>
          </w:tcPr>
          <w:p w14:paraId="4E21983F" w14:textId="77777777" w:rsidR="00C13684" w:rsidRPr="008E5D48" w:rsidRDefault="00C13684" w:rsidP="008E5D48">
            <w:pPr>
              <w:jc w:val="center"/>
              <w:rPr>
                <w:rFonts w:ascii="Arial" w:hAnsi="Arial" w:cs="Arial"/>
                <w:color w:val="000000" w:themeColor="text1"/>
                <w:sz w:val="16"/>
                <w:szCs w:val="16"/>
              </w:rPr>
            </w:pPr>
            <w:r w:rsidRPr="008E5D48">
              <w:rPr>
                <w:rFonts w:ascii="Arial" w:hAnsi="Arial" w:cs="Arial"/>
                <w:color w:val="000000" w:themeColor="text1"/>
                <w:sz w:val="16"/>
                <w:szCs w:val="16"/>
              </w:rPr>
              <w:t>**</w:t>
            </w:r>
          </w:p>
        </w:tc>
        <w:tc>
          <w:tcPr>
            <w:tcW w:w="574" w:type="pct"/>
            <w:gridSpan w:val="2"/>
            <w:tcBorders>
              <w:top w:val="single" w:sz="4" w:space="0" w:color="auto"/>
              <w:left w:val="nil"/>
              <w:bottom w:val="nil"/>
              <w:right w:val="nil"/>
            </w:tcBorders>
            <w:noWrap/>
            <w:vAlign w:val="center"/>
            <w:hideMark/>
          </w:tcPr>
          <w:p w14:paraId="79DA98D4" w14:textId="77777777" w:rsidR="00C13684" w:rsidRPr="008E5D48" w:rsidRDefault="00C13684" w:rsidP="008E5D48">
            <w:pPr>
              <w:jc w:val="center"/>
              <w:rPr>
                <w:rFonts w:ascii="Arial" w:hAnsi="Arial" w:cs="Arial"/>
                <w:color w:val="000000" w:themeColor="text1"/>
                <w:sz w:val="16"/>
                <w:szCs w:val="16"/>
              </w:rPr>
            </w:pPr>
            <w:r w:rsidRPr="008E5D48">
              <w:rPr>
                <w:rFonts w:ascii="Arial" w:hAnsi="Arial" w:cs="Arial"/>
                <w:color w:val="000000" w:themeColor="text1"/>
                <w:sz w:val="16"/>
                <w:szCs w:val="16"/>
              </w:rPr>
              <w:t>**</w:t>
            </w:r>
          </w:p>
        </w:tc>
        <w:tc>
          <w:tcPr>
            <w:tcW w:w="574" w:type="pct"/>
            <w:gridSpan w:val="2"/>
            <w:tcBorders>
              <w:top w:val="single" w:sz="4" w:space="0" w:color="auto"/>
              <w:left w:val="nil"/>
              <w:bottom w:val="nil"/>
              <w:right w:val="nil"/>
            </w:tcBorders>
            <w:noWrap/>
            <w:vAlign w:val="center"/>
            <w:hideMark/>
          </w:tcPr>
          <w:p w14:paraId="5225E517" w14:textId="77777777" w:rsidR="00C13684" w:rsidRPr="008E5D48" w:rsidRDefault="00C13684" w:rsidP="008E5D48">
            <w:pPr>
              <w:jc w:val="center"/>
              <w:rPr>
                <w:rFonts w:ascii="Arial" w:hAnsi="Arial" w:cs="Arial"/>
                <w:color w:val="000000" w:themeColor="text1"/>
                <w:sz w:val="16"/>
                <w:szCs w:val="16"/>
              </w:rPr>
            </w:pPr>
            <w:r w:rsidRPr="008E5D48">
              <w:rPr>
                <w:rFonts w:ascii="Arial" w:hAnsi="Arial" w:cs="Arial"/>
                <w:color w:val="000000" w:themeColor="text1"/>
                <w:sz w:val="16"/>
                <w:szCs w:val="16"/>
              </w:rPr>
              <w:t>**</w:t>
            </w:r>
          </w:p>
        </w:tc>
        <w:tc>
          <w:tcPr>
            <w:tcW w:w="574" w:type="pct"/>
            <w:gridSpan w:val="2"/>
            <w:tcBorders>
              <w:top w:val="single" w:sz="4" w:space="0" w:color="auto"/>
              <w:left w:val="nil"/>
              <w:bottom w:val="nil"/>
              <w:right w:val="nil"/>
            </w:tcBorders>
            <w:noWrap/>
            <w:vAlign w:val="center"/>
            <w:hideMark/>
          </w:tcPr>
          <w:p w14:paraId="12D288BD" w14:textId="77777777" w:rsidR="00C13684" w:rsidRPr="008E5D48" w:rsidRDefault="00C13684" w:rsidP="008E5D48">
            <w:pPr>
              <w:jc w:val="center"/>
              <w:rPr>
                <w:rFonts w:ascii="Arial" w:hAnsi="Arial" w:cs="Arial"/>
                <w:color w:val="000000" w:themeColor="text1"/>
                <w:sz w:val="16"/>
                <w:szCs w:val="16"/>
              </w:rPr>
            </w:pPr>
            <w:r w:rsidRPr="008E5D48">
              <w:rPr>
                <w:rFonts w:ascii="Arial" w:hAnsi="Arial" w:cs="Arial"/>
                <w:color w:val="000000" w:themeColor="text1"/>
                <w:sz w:val="16"/>
                <w:szCs w:val="16"/>
              </w:rPr>
              <w:t>**</w:t>
            </w:r>
          </w:p>
        </w:tc>
      </w:tr>
      <w:tr w:rsidR="008E5D48" w:rsidRPr="008E5D48" w14:paraId="0C048CD8" w14:textId="77777777" w:rsidTr="007C49E7">
        <w:trPr>
          <w:trHeight w:val="360"/>
        </w:trPr>
        <w:tc>
          <w:tcPr>
            <w:tcW w:w="612" w:type="pct"/>
            <w:tcBorders>
              <w:top w:val="nil"/>
              <w:left w:val="nil"/>
              <w:bottom w:val="single" w:sz="4" w:space="0" w:color="auto"/>
              <w:right w:val="nil"/>
            </w:tcBorders>
            <w:noWrap/>
            <w:vAlign w:val="center"/>
            <w:hideMark/>
          </w:tcPr>
          <w:p w14:paraId="3C30764B" w14:textId="77777777" w:rsidR="00C13684" w:rsidRPr="008E5D48" w:rsidRDefault="00C13684" w:rsidP="008E5D48">
            <w:pPr>
              <w:jc w:val="center"/>
              <w:rPr>
                <w:rFonts w:ascii="Arial" w:hAnsi="Arial" w:cs="Arial"/>
                <w:color w:val="000000" w:themeColor="text1"/>
                <w:sz w:val="16"/>
                <w:szCs w:val="16"/>
              </w:rPr>
            </w:pPr>
            <w:r w:rsidRPr="008E5D48">
              <w:rPr>
                <w:rFonts w:ascii="Arial" w:hAnsi="Arial" w:cs="Arial"/>
                <w:color w:val="000000" w:themeColor="text1"/>
                <w:sz w:val="16"/>
                <w:szCs w:val="16"/>
              </w:rPr>
              <w:t>CV%</w:t>
            </w:r>
          </w:p>
        </w:tc>
        <w:tc>
          <w:tcPr>
            <w:tcW w:w="523" w:type="pct"/>
            <w:gridSpan w:val="2"/>
            <w:tcBorders>
              <w:top w:val="single" w:sz="4" w:space="0" w:color="auto"/>
              <w:left w:val="nil"/>
              <w:bottom w:val="single" w:sz="4" w:space="0" w:color="auto"/>
              <w:right w:val="nil"/>
            </w:tcBorders>
            <w:noWrap/>
            <w:vAlign w:val="center"/>
            <w:hideMark/>
          </w:tcPr>
          <w:p w14:paraId="2A36FCCE" w14:textId="77777777" w:rsidR="00C13684" w:rsidRPr="008E5D48" w:rsidRDefault="00C13684" w:rsidP="008E5D48">
            <w:pPr>
              <w:jc w:val="center"/>
              <w:rPr>
                <w:rFonts w:ascii="Arial" w:hAnsi="Arial" w:cs="Arial"/>
                <w:color w:val="000000" w:themeColor="text1"/>
                <w:sz w:val="16"/>
                <w:szCs w:val="16"/>
              </w:rPr>
            </w:pPr>
            <w:r w:rsidRPr="008E5D48">
              <w:rPr>
                <w:rFonts w:ascii="Arial" w:hAnsi="Arial" w:cs="Arial"/>
                <w:color w:val="000000" w:themeColor="text1"/>
                <w:sz w:val="16"/>
                <w:szCs w:val="16"/>
              </w:rPr>
              <w:t>1.19</w:t>
            </w:r>
          </w:p>
        </w:tc>
        <w:tc>
          <w:tcPr>
            <w:tcW w:w="523" w:type="pct"/>
            <w:gridSpan w:val="2"/>
            <w:tcBorders>
              <w:top w:val="single" w:sz="4" w:space="0" w:color="auto"/>
              <w:left w:val="nil"/>
              <w:bottom w:val="single" w:sz="4" w:space="0" w:color="auto"/>
              <w:right w:val="nil"/>
            </w:tcBorders>
            <w:noWrap/>
            <w:vAlign w:val="center"/>
            <w:hideMark/>
          </w:tcPr>
          <w:p w14:paraId="1A8D3159" w14:textId="77777777" w:rsidR="00C13684" w:rsidRPr="008E5D48" w:rsidRDefault="00C13684" w:rsidP="008E5D48">
            <w:pPr>
              <w:jc w:val="center"/>
              <w:rPr>
                <w:rFonts w:ascii="Arial" w:hAnsi="Arial" w:cs="Arial"/>
                <w:color w:val="000000" w:themeColor="text1"/>
                <w:sz w:val="16"/>
                <w:szCs w:val="16"/>
              </w:rPr>
            </w:pPr>
            <w:r w:rsidRPr="008E5D48">
              <w:rPr>
                <w:rFonts w:ascii="Arial" w:hAnsi="Arial" w:cs="Arial"/>
                <w:color w:val="000000" w:themeColor="text1"/>
                <w:sz w:val="16"/>
                <w:szCs w:val="16"/>
              </w:rPr>
              <w:t>2.46</w:t>
            </w:r>
          </w:p>
        </w:tc>
        <w:tc>
          <w:tcPr>
            <w:tcW w:w="523" w:type="pct"/>
            <w:gridSpan w:val="2"/>
            <w:tcBorders>
              <w:top w:val="single" w:sz="4" w:space="0" w:color="auto"/>
              <w:left w:val="nil"/>
              <w:bottom w:val="single" w:sz="4" w:space="0" w:color="auto"/>
              <w:right w:val="nil"/>
            </w:tcBorders>
            <w:noWrap/>
            <w:vAlign w:val="center"/>
            <w:hideMark/>
          </w:tcPr>
          <w:p w14:paraId="35AAD3E3" w14:textId="77777777" w:rsidR="00C13684" w:rsidRPr="008E5D48" w:rsidRDefault="00C13684" w:rsidP="008E5D48">
            <w:pPr>
              <w:jc w:val="center"/>
              <w:rPr>
                <w:rFonts w:ascii="Arial" w:hAnsi="Arial" w:cs="Arial"/>
                <w:color w:val="000000" w:themeColor="text1"/>
                <w:sz w:val="16"/>
                <w:szCs w:val="16"/>
              </w:rPr>
            </w:pPr>
            <w:r w:rsidRPr="008E5D48">
              <w:rPr>
                <w:rFonts w:ascii="Arial" w:hAnsi="Arial" w:cs="Arial"/>
                <w:color w:val="000000" w:themeColor="text1"/>
                <w:sz w:val="16"/>
                <w:szCs w:val="16"/>
              </w:rPr>
              <w:t>3.74</w:t>
            </w:r>
          </w:p>
        </w:tc>
        <w:tc>
          <w:tcPr>
            <w:tcW w:w="523" w:type="pct"/>
            <w:gridSpan w:val="2"/>
            <w:tcBorders>
              <w:top w:val="single" w:sz="4" w:space="0" w:color="auto"/>
              <w:left w:val="nil"/>
              <w:bottom w:val="single" w:sz="4" w:space="0" w:color="auto"/>
              <w:right w:val="nil"/>
            </w:tcBorders>
            <w:noWrap/>
            <w:vAlign w:val="center"/>
            <w:hideMark/>
          </w:tcPr>
          <w:p w14:paraId="758F79E9" w14:textId="77777777" w:rsidR="00C13684" w:rsidRPr="008E5D48" w:rsidRDefault="00C13684" w:rsidP="008E5D48">
            <w:pPr>
              <w:jc w:val="center"/>
              <w:rPr>
                <w:rFonts w:ascii="Arial" w:hAnsi="Arial" w:cs="Arial"/>
                <w:color w:val="000000" w:themeColor="text1"/>
                <w:sz w:val="16"/>
                <w:szCs w:val="16"/>
              </w:rPr>
            </w:pPr>
            <w:r w:rsidRPr="008E5D48">
              <w:rPr>
                <w:rFonts w:ascii="Arial" w:hAnsi="Arial" w:cs="Arial"/>
                <w:color w:val="000000" w:themeColor="text1"/>
                <w:sz w:val="16"/>
                <w:szCs w:val="16"/>
              </w:rPr>
              <w:t>2.85</w:t>
            </w:r>
          </w:p>
        </w:tc>
        <w:tc>
          <w:tcPr>
            <w:tcW w:w="574" w:type="pct"/>
            <w:gridSpan w:val="2"/>
            <w:tcBorders>
              <w:top w:val="single" w:sz="4" w:space="0" w:color="auto"/>
              <w:left w:val="nil"/>
              <w:bottom w:val="single" w:sz="4" w:space="0" w:color="auto"/>
              <w:right w:val="nil"/>
            </w:tcBorders>
            <w:noWrap/>
            <w:vAlign w:val="center"/>
            <w:hideMark/>
          </w:tcPr>
          <w:p w14:paraId="1C44E6AB" w14:textId="77777777" w:rsidR="00C13684" w:rsidRPr="008E5D48" w:rsidRDefault="00C13684" w:rsidP="008E5D48">
            <w:pPr>
              <w:jc w:val="center"/>
              <w:rPr>
                <w:rFonts w:ascii="Arial" w:hAnsi="Arial" w:cs="Arial"/>
                <w:color w:val="000000" w:themeColor="text1"/>
                <w:sz w:val="16"/>
                <w:szCs w:val="16"/>
              </w:rPr>
            </w:pPr>
            <w:r w:rsidRPr="008E5D48">
              <w:rPr>
                <w:rFonts w:ascii="Arial" w:hAnsi="Arial" w:cs="Arial"/>
                <w:color w:val="000000" w:themeColor="text1"/>
                <w:sz w:val="16"/>
                <w:szCs w:val="16"/>
              </w:rPr>
              <w:t>3.60</w:t>
            </w:r>
          </w:p>
        </w:tc>
        <w:tc>
          <w:tcPr>
            <w:tcW w:w="574" w:type="pct"/>
            <w:gridSpan w:val="2"/>
            <w:tcBorders>
              <w:top w:val="single" w:sz="4" w:space="0" w:color="auto"/>
              <w:left w:val="nil"/>
              <w:bottom w:val="single" w:sz="4" w:space="0" w:color="auto"/>
              <w:right w:val="nil"/>
            </w:tcBorders>
            <w:noWrap/>
            <w:vAlign w:val="center"/>
            <w:hideMark/>
          </w:tcPr>
          <w:p w14:paraId="1A51EDE3" w14:textId="77777777" w:rsidR="00C13684" w:rsidRPr="008E5D48" w:rsidRDefault="00C13684" w:rsidP="008E5D48">
            <w:pPr>
              <w:jc w:val="center"/>
              <w:rPr>
                <w:rFonts w:ascii="Arial" w:hAnsi="Arial" w:cs="Arial"/>
                <w:color w:val="000000" w:themeColor="text1"/>
                <w:sz w:val="16"/>
                <w:szCs w:val="16"/>
              </w:rPr>
            </w:pPr>
            <w:r w:rsidRPr="008E5D48">
              <w:rPr>
                <w:rFonts w:ascii="Arial" w:hAnsi="Arial" w:cs="Arial"/>
                <w:color w:val="000000" w:themeColor="text1"/>
                <w:sz w:val="16"/>
                <w:szCs w:val="16"/>
              </w:rPr>
              <w:t>2.40</w:t>
            </w:r>
          </w:p>
        </w:tc>
        <w:tc>
          <w:tcPr>
            <w:tcW w:w="574" w:type="pct"/>
            <w:gridSpan w:val="2"/>
            <w:tcBorders>
              <w:top w:val="single" w:sz="4" w:space="0" w:color="auto"/>
              <w:left w:val="nil"/>
              <w:bottom w:val="single" w:sz="4" w:space="0" w:color="auto"/>
              <w:right w:val="nil"/>
            </w:tcBorders>
            <w:noWrap/>
            <w:vAlign w:val="center"/>
            <w:hideMark/>
          </w:tcPr>
          <w:p w14:paraId="541FE70B" w14:textId="77777777" w:rsidR="00C13684" w:rsidRPr="008E5D48" w:rsidRDefault="00C13684" w:rsidP="008E5D48">
            <w:pPr>
              <w:jc w:val="center"/>
              <w:rPr>
                <w:rFonts w:ascii="Arial" w:hAnsi="Arial" w:cs="Arial"/>
                <w:color w:val="000000" w:themeColor="text1"/>
                <w:sz w:val="16"/>
                <w:szCs w:val="16"/>
              </w:rPr>
            </w:pPr>
            <w:r w:rsidRPr="008E5D48">
              <w:rPr>
                <w:rFonts w:ascii="Arial" w:hAnsi="Arial" w:cs="Arial"/>
                <w:color w:val="000000" w:themeColor="text1"/>
                <w:sz w:val="16"/>
                <w:szCs w:val="16"/>
              </w:rPr>
              <w:t>3.85</w:t>
            </w:r>
          </w:p>
        </w:tc>
        <w:tc>
          <w:tcPr>
            <w:tcW w:w="574" w:type="pct"/>
            <w:gridSpan w:val="2"/>
            <w:tcBorders>
              <w:top w:val="single" w:sz="4" w:space="0" w:color="auto"/>
              <w:left w:val="nil"/>
              <w:bottom w:val="single" w:sz="4" w:space="0" w:color="auto"/>
              <w:right w:val="nil"/>
            </w:tcBorders>
            <w:noWrap/>
            <w:vAlign w:val="center"/>
            <w:hideMark/>
          </w:tcPr>
          <w:p w14:paraId="66EF7912" w14:textId="77777777" w:rsidR="00C13684" w:rsidRPr="008E5D48" w:rsidRDefault="00C13684" w:rsidP="008E5D48">
            <w:pPr>
              <w:jc w:val="center"/>
              <w:rPr>
                <w:rFonts w:ascii="Arial" w:hAnsi="Arial" w:cs="Arial"/>
                <w:color w:val="000000" w:themeColor="text1"/>
                <w:sz w:val="16"/>
                <w:szCs w:val="16"/>
              </w:rPr>
            </w:pPr>
            <w:r w:rsidRPr="008E5D48">
              <w:rPr>
                <w:rFonts w:ascii="Arial" w:hAnsi="Arial" w:cs="Arial"/>
                <w:color w:val="000000" w:themeColor="text1"/>
                <w:sz w:val="16"/>
                <w:szCs w:val="16"/>
              </w:rPr>
              <w:t>2.81</w:t>
            </w:r>
          </w:p>
        </w:tc>
      </w:tr>
    </w:tbl>
    <w:p w14:paraId="259C0420" w14:textId="77777777" w:rsidR="00C13684" w:rsidRPr="006355D2" w:rsidRDefault="00C13684" w:rsidP="00C13684">
      <w:pPr>
        <w:jc w:val="both"/>
        <w:rPr>
          <w:rFonts w:ascii="Arial" w:hAnsi="Arial" w:cs="Arial"/>
          <w:color w:val="000000" w:themeColor="text1"/>
        </w:rPr>
      </w:pPr>
    </w:p>
    <w:p w14:paraId="6D57084E" w14:textId="1AC35F4E" w:rsidR="00C13684" w:rsidRPr="00F661BD" w:rsidRDefault="00C13684" w:rsidP="00C13684">
      <w:pPr>
        <w:jc w:val="both"/>
        <w:rPr>
          <w:rFonts w:ascii="Arial" w:hAnsi="Arial" w:cs="Arial"/>
          <w:color w:val="000000" w:themeColor="text1"/>
          <w:sz w:val="16"/>
          <w:szCs w:val="16"/>
        </w:rPr>
      </w:pPr>
      <w:bookmarkStart w:id="1" w:name="_Hlk198836457"/>
      <w:r w:rsidRPr="00F661BD">
        <w:rPr>
          <w:rFonts w:ascii="Arial" w:hAnsi="Arial" w:cs="Arial"/>
          <w:color w:val="000000" w:themeColor="text1"/>
          <w:sz w:val="16"/>
          <w:szCs w:val="16"/>
        </w:rPr>
        <w:t>Means followed by the same letter in each column are not significantly different</w:t>
      </w:r>
    </w:p>
    <w:p w14:paraId="303F571E" w14:textId="368559DA" w:rsidR="00F661BD" w:rsidRPr="00F661BD" w:rsidRDefault="00F661BD" w:rsidP="00C13684">
      <w:pPr>
        <w:jc w:val="both"/>
        <w:rPr>
          <w:rFonts w:ascii="Arial" w:hAnsi="Arial" w:cs="Arial"/>
          <w:color w:val="000000" w:themeColor="text1"/>
          <w:sz w:val="16"/>
          <w:szCs w:val="16"/>
        </w:rPr>
      </w:pPr>
      <w:r w:rsidRPr="00F661BD">
        <w:rPr>
          <w:rFonts w:ascii="Arial" w:hAnsi="Arial" w:cs="Arial"/>
          <w:bCs/>
          <w:color w:val="000000" w:themeColor="text1"/>
          <w:sz w:val="16"/>
          <w:szCs w:val="16"/>
        </w:rPr>
        <w:t>** Significant difference at 1% level</w:t>
      </w:r>
    </w:p>
    <w:p w14:paraId="47106737" w14:textId="647CBBC8" w:rsidR="008E5D48" w:rsidRPr="00F661BD" w:rsidRDefault="00C13684" w:rsidP="00C13684">
      <w:pPr>
        <w:jc w:val="both"/>
        <w:rPr>
          <w:rFonts w:ascii="Arial" w:hAnsi="Arial" w:cs="Arial"/>
          <w:noProof/>
          <w:color w:val="000000" w:themeColor="text1"/>
          <w:sz w:val="16"/>
          <w:szCs w:val="16"/>
        </w:rPr>
      </w:pPr>
      <w:r w:rsidRPr="00F661BD">
        <w:rPr>
          <w:rFonts w:ascii="Arial" w:hAnsi="Arial" w:cs="Arial"/>
          <w:noProof/>
          <w:color w:val="000000" w:themeColor="text1"/>
          <w:sz w:val="16"/>
          <w:szCs w:val="16"/>
        </w:rPr>
        <w:t>T</w:t>
      </w:r>
      <w:r w:rsidRPr="00F661BD">
        <w:rPr>
          <w:rFonts w:ascii="Arial" w:hAnsi="Arial" w:cs="Arial"/>
          <w:noProof/>
          <w:color w:val="000000" w:themeColor="text1"/>
          <w:sz w:val="16"/>
          <w:szCs w:val="16"/>
          <w:vertAlign w:val="subscript"/>
        </w:rPr>
        <w:t>1</w:t>
      </w:r>
      <w:r w:rsidRPr="00F661BD">
        <w:rPr>
          <w:rFonts w:ascii="Arial" w:hAnsi="Arial" w:cs="Arial"/>
          <w:noProof/>
          <w:color w:val="000000" w:themeColor="text1"/>
          <w:sz w:val="16"/>
          <w:szCs w:val="16"/>
        </w:rPr>
        <w:t xml:space="preserve"> – (control), T</w:t>
      </w:r>
      <w:r w:rsidRPr="00F661BD">
        <w:rPr>
          <w:rFonts w:ascii="Arial" w:hAnsi="Arial" w:cs="Arial"/>
          <w:noProof/>
          <w:color w:val="000000" w:themeColor="text1"/>
          <w:sz w:val="16"/>
          <w:szCs w:val="16"/>
          <w:vertAlign w:val="subscript"/>
        </w:rPr>
        <w:t>2</w:t>
      </w:r>
      <w:r w:rsidRPr="00F661BD">
        <w:rPr>
          <w:rFonts w:ascii="Arial" w:hAnsi="Arial" w:cs="Arial"/>
          <w:noProof/>
          <w:color w:val="000000" w:themeColor="text1"/>
          <w:sz w:val="16"/>
          <w:szCs w:val="16"/>
        </w:rPr>
        <w:t xml:space="preserve"> – (</w:t>
      </w:r>
      <w:r w:rsidR="007C49E7" w:rsidRPr="00F661BD">
        <w:rPr>
          <w:rFonts w:ascii="Arial" w:hAnsi="Arial" w:cs="Arial"/>
          <w:noProof/>
          <w:color w:val="000000" w:themeColor="text1"/>
          <w:sz w:val="16"/>
          <w:szCs w:val="16"/>
        </w:rPr>
        <w:t>Organic amendment (OA)</w:t>
      </w:r>
      <w:r w:rsidRPr="00F661BD">
        <w:rPr>
          <w:rFonts w:ascii="Arial" w:hAnsi="Arial" w:cs="Arial"/>
          <w:noProof/>
          <w:color w:val="000000" w:themeColor="text1"/>
          <w:sz w:val="16"/>
          <w:szCs w:val="16"/>
        </w:rPr>
        <w:t>), T</w:t>
      </w:r>
      <w:r w:rsidRPr="00F661BD">
        <w:rPr>
          <w:rFonts w:ascii="Arial" w:hAnsi="Arial" w:cs="Arial"/>
          <w:noProof/>
          <w:color w:val="000000" w:themeColor="text1"/>
          <w:sz w:val="16"/>
          <w:szCs w:val="16"/>
          <w:vertAlign w:val="subscript"/>
        </w:rPr>
        <w:t>3</w:t>
      </w:r>
      <w:r w:rsidRPr="00F661BD">
        <w:rPr>
          <w:rFonts w:ascii="Arial" w:hAnsi="Arial" w:cs="Arial"/>
          <w:noProof/>
          <w:color w:val="000000" w:themeColor="text1"/>
          <w:sz w:val="16"/>
          <w:szCs w:val="16"/>
        </w:rPr>
        <w:t xml:space="preserve"> – (</w:t>
      </w:r>
      <w:r w:rsidR="007C49E7" w:rsidRPr="00F661BD">
        <w:rPr>
          <w:rFonts w:ascii="Arial" w:hAnsi="Arial" w:cs="Arial"/>
          <w:noProof/>
          <w:color w:val="000000" w:themeColor="text1"/>
          <w:sz w:val="16"/>
          <w:szCs w:val="16"/>
        </w:rPr>
        <w:t>100%NPK</w:t>
      </w:r>
      <w:r w:rsidRPr="00F661BD">
        <w:rPr>
          <w:rFonts w:ascii="Arial" w:hAnsi="Arial" w:cs="Arial"/>
          <w:noProof/>
          <w:color w:val="000000" w:themeColor="text1"/>
          <w:sz w:val="16"/>
          <w:szCs w:val="16"/>
        </w:rPr>
        <w:t>), T</w:t>
      </w:r>
      <w:r w:rsidRPr="00F661BD">
        <w:rPr>
          <w:rFonts w:ascii="Arial" w:hAnsi="Arial" w:cs="Arial"/>
          <w:noProof/>
          <w:color w:val="000000" w:themeColor="text1"/>
          <w:sz w:val="16"/>
          <w:szCs w:val="16"/>
          <w:vertAlign w:val="subscript"/>
        </w:rPr>
        <w:t>4</w:t>
      </w:r>
      <w:r w:rsidRPr="00F661BD">
        <w:rPr>
          <w:rFonts w:ascii="Arial" w:hAnsi="Arial" w:cs="Arial"/>
          <w:noProof/>
          <w:color w:val="000000" w:themeColor="text1"/>
          <w:sz w:val="16"/>
          <w:szCs w:val="16"/>
        </w:rPr>
        <w:t xml:space="preserve"> – (OA + </w:t>
      </w:r>
      <w:r w:rsidR="007C49E7" w:rsidRPr="00F661BD">
        <w:rPr>
          <w:rFonts w:ascii="Arial" w:hAnsi="Arial" w:cs="Arial"/>
          <w:noProof/>
          <w:color w:val="000000" w:themeColor="text1"/>
          <w:sz w:val="16"/>
          <w:szCs w:val="16"/>
        </w:rPr>
        <w:t>5</w:t>
      </w:r>
      <w:r w:rsidRPr="00F661BD">
        <w:rPr>
          <w:rFonts w:ascii="Arial" w:hAnsi="Arial" w:cs="Arial"/>
          <w:noProof/>
          <w:color w:val="000000" w:themeColor="text1"/>
          <w:sz w:val="16"/>
          <w:szCs w:val="16"/>
        </w:rPr>
        <w:t>0% NPK), T</w:t>
      </w:r>
      <w:r w:rsidRPr="00F661BD">
        <w:rPr>
          <w:rFonts w:ascii="Arial" w:hAnsi="Arial" w:cs="Arial"/>
          <w:noProof/>
          <w:color w:val="000000" w:themeColor="text1"/>
          <w:sz w:val="16"/>
          <w:szCs w:val="16"/>
          <w:vertAlign w:val="subscript"/>
        </w:rPr>
        <w:t>5</w:t>
      </w:r>
      <w:r w:rsidRPr="00F661BD">
        <w:rPr>
          <w:rFonts w:ascii="Arial" w:hAnsi="Arial" w:cs="Arial"/>
          <w:noProof/>
          <w:color w:val="000000" w:themeColor="text1"/>
          <w:sz w:val="16"/>
          <w:szCs w:val="16"/>
        </w:rPr>
        <w:t xml:space="preserve"> – (OA + 75% NPK), T</w:t>
      </w:r>
      <w:r w:rsidRPr="00F661BD">
        <w:rPr>
          <w:rFonts w:ascii="Arial" w:hAnsi="Arial" w:cs="Arial"/>
          <w:noProof/>
          <w:color w:val="000000" w:themeColor="text1"/>
          <w:sz w:val="16"/>
          <w:szCs w:val="16"/>
          <w:vertAlign w:val="subscript"/>
        </w:rPr>
        <w:t>6</w:t>
      </w:r>
      <w:r w:rsidRPr="00F661BD">
        <w:rPr>
          <w:rFonts w:ascii="Arial" w:hAnsi="Arial" w:cs="Arial"/>
          <w:noProof/>
          <w:color w:val="000000" w:themeColor="text1"/>
          <w:sz w:val="16"/>
          <w:szCs w:val="16"/>
        </w:rPr>
        <w:t xml:space="preserve"> – (OA + </w:t>
      </w:r>
      <w:r w:rsidR="007C49E7" w:rsidRPr="00F661BD">
        <w:rPr>
          <w:rFonts w:ascii="Arial" w:hAnsi="Arial" w:cs="Arial"/>
          <w:noProof/>
          <w:color w:val="000000" w:themeColor="text1"/>
          <w:sz w:val="16"/>
          <w:szCs w:val="16"/>
        </w:rPr>
        <w:t>10</w:t>
      </w:r>
      <w:r w:rsidRPr="00F661BD">
        <w:rPr>
          <w:rFonts w:ascii="Arial" w:hAnsi="Arial" w:cs="Arial"/>
          <w:noProof/>
          <w:color w:val="000000" w:themeColor="text1"/>
          <w:sz w:val="16"/>
          <w:szCs w:val="16"/>
        </w:rPr>
        <w:t>0% NPK)</w:t>
      </w:r>
      <w:bookmarkEnd w:id="1"/>
    </w:p>
    <w:p w14:paraId="2AD0AD6C" w14:textId="6B268D1A" w:rsidR="00C13684" w:rsidRPr="00C13684" w:rsidRDefault="00C13684" w:rsidP="008E5D48">
      <w:pPr>
        <w:spacing w:before="120" w:after="120"/>
        <w:jc w:val="both"/>
        <w:rPr>
          <w:rFonts w:ascii="Arial" w:hAnsi="Arial" w:cs="Arial"/>
          <w:b/>
          <w:bCs/>
          <w:color w:val="000000" w:themeColor="text1"/>
        </w:rPr>
      </w:pPr>
      <w:r w:rsidRPr="00C13684">
        <w:rPr>
          <w:rFonts w:ascii="Arial" w:hAnsi="Arial" w:cs="Arial"/>
          <w:b/>
          <w:bCs/>
          <w:color w:val="000000" w:themeColor="text1"/>
        </w:rPr>
        <w:t xml:space="preserve">3.1.2 Days to 50% Tasseling </w:t>
      </w:r>
    </w:p>
    <w:p w14:paraId="2299D45D" w14:textId="4729FBB6" w:rsidR="00C13684" w:rsidRPr="006355D2" w:rsidRDefault="00C13684" w:rsidP="008E5D48">
      <w:pPr>
        <w:ind w:firstLine="720"/>
        <w:jc w:val="both"/>
        <w:rPr>
          <w:rFonts w:ascii="Arial" w:hAnsi="Arial" w:cs="Arial"/>
          <w:color w:val="000000" w:themeColor="text1"/>
        </w:rPr>
      </w:pPr>
      <w:r w:rsidRPr="006355D2">
        <w:rPr>
          <w:rFonts w:ascii="Arial" w:hAnsi="Arial" w:cs="Arial"/>
          <w:color w:val="000000" w:themeColor="text1"/>
        </w:rPr>
        <w:t>Tasseling occurred earliest in T</w:t>
      </w:r>
      <w:r w:rsidRPr="006355D2">
        <w:rPr>
          <w:rFonts w:ascii="Cambria Math" w:hAnsi="Cambria Math" w:cs="Cambria Math"/>
          <w:color w:val="000000" w:themeColor="text1"/>
        </w:rPr>
        <w:t>₃</w:t>
      </w:r>
      <w:r w:rsidRPr="006355D2">
        <w:rPr>
          <w:rFonts w:ascii="Arial" w:hAnsi="Arial" w:cs="Arial"/>
          <w:color w:val="000000" w:themeColor="text1"/>
        </w:rPr>
        <w:t xml:space="preserve"> and T</w:t>
      </w:r>
      <w:r w:rsidRPr="006355D2">
        <w:rPr>
          <w:rFonts w:ascii="Cambria Math" w:hAnsi="Cambria Math" w:cs="Cambria Math"/>
          <w:color w:val="000000" w:themeColor="text1"/>
        </w:rPr>
        <w:t>₆</w:t>
      </w:r>
      <w:r w:rsidRPr="006355D2">
        <w:rPr>
          <w:rFonts w:ascii="Arial" w:hAnsi="Arial" w:cs="Arial"/>
          <w:color w:val="000000" w:themeColor="text1"/>
        </w:rPr>
        <w:t xml:space="preserve"> (53 days), while the control (T</w:t>
      </w:r>
      <w:r w:rsidRPr="006355D2">
        <w:rPr>
          <w:rFonts w:ascii="Cambria Math" w:hAnsi="Cambria Math" w:cs="Cambria Math"/>
          <w:color w:val="000000" w:themeColor="text1"/>
        </w:rPr>
        <w:t>₁</w:t>
      </w:r>
      <w:r w:rsidRPr="006355D2">
        <w:rPr>
          <w:rFonts w:ascii="Arial" w:hAnsi="Arial" w:cs="Arial"/>
          <w:color w:val="000000" w:themeColor="text1"/>
        </w:rPr>
        <w:t>) took the longest (56 days) (</w:t>
      </w:r>
      <w:r w:rsidR="009E4FEF">
        <w:rPr>
          <w:rFonts w:ascii="Arial" w:hAnsi="Arial" w:cs="Arial"/>
          <w:color w:val="000000" w:themeColor="text1"/>
        </w:rPr>
        <w:t>Table 3</w:t>
      </w:r>
      <w:r w:rsidRPr="006355D2">
        <w:rPr>
          <w:rFonts w:ascii="Arial" w:hAnsi="Arial" w:cs="Arial"/>
          <w:color w:val="000000" w:themeColor="text1"/>
        </w:rPr>
        <w:t>). The delay in T</w:t>
      </w:r>
      <w:r w:rsidRPr="006355D2">
        <w:rPr>
          <w:rFonts w:ascii="Cambria Math" w:hAnsi="Cambria Math" w:cs="Cambria Math"/>
          <w:color w:val="000000" w:themeColor="text1"/>
        </w:rPr>
        <w:t>₁</w:t>
      </w:r>
      <w:r w:rsidRPr="006355D2">
        <w:rPr>
          <w:rFonts w:ascii="Arial" w:hAnsi="Arial" w:cs="Arial"/>
          <w:color w:val="000000" w:themeColor="text1"/>
        </w:rPr>
        <w:t xml:space="preserve"> and T</w:t>
      </w:r>
      <w:r w:rsidRPr="006355D2">
        <w:rPr>
          <w:rFonts w:ascii="Cambria Math" w:hAnsi="Cambria Math" w:cs="Cambria Math"/>
          <w:color w:val="000000" w:themeColor="text1"/>
        </w:rPr>
        <w:t>₂</w:t>
      </w:r>
      <w:r w:rsidRPr="006355D2">
        <w:rPr>
          <w:rFonts w:ascii="Arial" w:hAnsi="Arial" w:cs="Arial"/>
          <w:color w:val="000000" w:themeColor="text1"/>
        </w:rPr>
        <w:t xml:space="preserve"> indicates nutrient limitation, particularly nitrogen, which slows developmental processes (Pixley &amp; Bjarnason, 1993). The lack of difference between T</w:t>
      </w:r>
      <w:r w:rsidRPr="006355D2">
        <w:rPr>
          <w:rFonts w:ascii="Cambria Math" w:hAnsi="Cambria Math" w:cs="Cambria Math"/>
          <w:color w:val="000000" w:themeColor="text1"/>
        </w:rPr>
        <w:t>₃</w:t>
      </w:r>
      <w:r w:rsidRPr="006355D2">
        <w:rPr>
          <w:rFonts w:ascii="Arial" w:hAnsi="Arial" w:cs="Arial"/>
          <w:color w:val="000000" w:themeColor="text1"/>
        </w:rPr>
        <w:t xml:space="preserve"> and T</w:t>
      </w:r>
      <w:r w:rsidRPr="006355D2">
        <w:rPr>
          <w:rFonts w:ascii="Cambria Math" w:hAnsi="Cambria Math" w:cs="Cambria Math"/>
          <w:color w:val="000000" w:themeColor="text1"/>
        </w:rPr>
        <w:t>₆</w:t>
      </w:r>
      <w:r w:rsidRPr="006355D2">
        <w:rPr>
          <w:rFonts w:ascii="Arial" w:hAnsi="Arial" w:cs="Arial"/>
          <w:color w:val="000000" w:themeColor="text1"/>
        </w:rPr>
        <w:t xml:space="preserve"> shows that OA does not delay tasseling when combined with full NPK. Early and synchronized tasseling reduces the anthesis-silking interval (ASI), improving pollination efficiency (Mclaughlin &amp; Boyer, 2004). A shorter ASI is associated with higher kernel set and yield stability, especially in environments with terminal drought stress (Ahmad, Hassan &amp; Belford, 2009).</w:t>
      </w:r>
    </w:p>
    <w:p w14:paraId="0274BC3F" w14:textId="04CEE341" w:rsidR="00C13684" w:rsidRPr="00F42131" w:rsidRDefault="00F42131" w:rsidP="008E5D48">
      <w:pPr>
        <w:spacing w:before="120" w:after="120"/>
        <w:jc w:val="both"/>
        <w:rPr>
          <w:rFonts w:ascii="Arial" w:hAnsi="Arial" w:cs="Arial"/>
          <w:b/>
          <w:bCs/>
          <w:color w:val="000000" w:themeColor="text1"/>
        </w:rPr>
      </w:pPr>
      <w:r w:rsidRPr="00F42131">
        <w:rPr>
          <w:rFonts w:ascii="Arial" w:hAnsi="Arial" w:cs="Arial"/>
          <w:b/>
          <w:bCs/>
          <w:color w:val="000000" w:themeColor="text1"/>
        </w:rPr>
        <w:t>3.</w:t>
      </w:r>
      <w:r w:rsidR="00C13684" w:rsidRPr="00F42131">
        <w:rPr>
          <w:rFonts w:ascii="Arial" w:hAnsi="Arial" w:cs="Arial"/>
          <w:b/>
          <w:bCs/>
          <w:color w:val="000000" w:themeColor="text1"/>
        </w:rPr>
        <w:t xml:space="preserve">1.3 Days to 50% Silking </w:t>
      </w:r>
    </w:p>
    <w:p w14:paraId="536662CD" w14:textId="7951DE37" w:rsidR="008E5D48" w:rsidRDefault="00C13684" w:rsidP="008E5D48">
      <w:pPr>
        <w:ind w:firstLine="720"/>
        <w:jc w:val="both"/>
        <w:rPr>
          <w:rFonts w:ascii="Arial" w:hAnsi="Arial" w:cs="Arial"/>
          <w:color w:val="000000" w:themeColor="text1"/>
        </w:rPr>
      </w:pPr>
      <w:r w:rsidRPr="006355D2">
        <w:rPr>
          <w:rFonts w:ascii="Arial" w:hAnsi="Arial" w:cs="Arial"/>
          <w:color w:val="000000" w:themeColor="text1"/>
        </w:rPr>
        <w:t>Silking was earliest in T</w:t>
      </w:r>
      <w:r w:rsidRPr="006355D2">
        <w:rPr>
          <w:rFonts w:ascii="Cambria Math" w:hAnsi="Cambria Math" w:cs="Cambria Math"/>
          <w:color w:val="000000" w:themeColor="text1"/>
        </w:rPr>
        <w:t>₃</w:t>
      </w:r>
      <w:r w:rsidRPr="006355D2">
        <w:rPr>
          <w:rFonts w:ascii="Arial" w:hAnsi="Arial" w:cs="Arial"/>
          <w:color w:val="000000" w:themeColor="text1"/>
        </w:rPr>
        <w:t xml:space="preserve"> and T</w:t>
      </w:r>
      <w:r w:rsidRPr="006355D2">
        <w:rPr>
          <w:rFonts w:ascii="Cambria Math" w:hAnsi="Cambria Math" w:cs="Cambria Math"/>
          <w:color w:val="000000" w:themeColor="text1"/>
        </w:rPr>
        <w:t>₆</w:t>
      </w:r>
      <w:r w:rsidRPr="006355D2">
        <w:rPr>
          <w:rFonts w:ascii="Arial" w:hAnsi="Arial" w:cs="Arial"/>
          <w:color w:val="000000" w:themeColor="text1"/>
        </w:rPr>
        <w:t xml:space="preserve"> (58 days) and latest in T</w:t>
      </w:r>
      <w:r w:rsidRPr="006355D2">
        <w:rPr>
          <w:rFonts w:ascii="Cambria Math" w:hAnsi="Cambria Math" w:cs="Cambria Math"/>
          <w:color w:val="000000" w:themeColor="text1"/>
        </w:rPr>
        <w:t>₁</w:t>
      </w:r>
      <w:r w:rsidRPr="006355D2">
        <w:rPr>
          <w:rFonts w:ascii="Arial" w:hAnsi="Arial" w:cs="Arial"/>
          <w:color w:val="000000" w:themeColor="text1"/>
        </w:rPr>
        <w:t xml:space="preserve"> (66 days). Silking is highly sensitive to nutrient and water stress. Early silking under full NPK reflects optimal nutrient availability, supporting rapid ear development and silk emergence (Ahmad, Hassan &amp; Belford, 2009). Phosphorus (P) and potassium (K) play critical roles in energy transfer (ATP synthesis) and water regulation, both essential for silk elongation (Rawat, </w:t>
      </w:r>
      <w:proofErr w:type="spellStart"/>
      <w:r w:rsidRPr="006355D2">
        <w:rPr>
          <w:rFonts w:ascii="Arial" w:hAnsi="Arial" w:cs="Arial"/>
          <w:color w:val="000000" w:themeColor="text1"/>
        </w:rPr>
        <w:t>Sanwal</w:t>
      </w:r>
      <w:proofErr w:type="spellEnd"/>
      <w:r w:rsidRPr="006355D2">
        <w:rPr>
          <w:rFonts w:ascii="Arial" w:hAnsi="Arial" w:cs="Arial"/>
          <w:color w:val="000000" w:themeColor="text1"/>
        </w:rPr>
        <w:t xml:space="preserve"> &amp; Saxena, 2016). The synchronization of tasseling and silking in T</w:t>
      </w:r>
      <w:r w:rsidRPr="006355D2">
        <w:rPr>
          <w:rFonts w:ascii="Cambria Math" w:hAnsi="Cambria Math" w:cs="Cambria Math"/>
          <w:color w:val="000000" w:themeColor="text1"/>
        </w:rPr>
        <w:t>₃</w:t>
      </w:r>
      <w:r w:rsidRPr="006355D2">
        <w:rPr>
          <w:rFonts w:ascii="Arial" w:hAnsi="Arial" w:cs="Arial"/>
          <w:color w:val="000000" w:themeColor="text1"/>
        </w:rPr>
        <w:t xml:space="preserve"> and T</w:t>
      </w:r>
      <w:r w:rsidRPr="006355D2">
        <w:rPr>
          <w:rFonts w:ascii="Cambria Math" w:hAnsi="Cambria Math" w:cs="Cambria Math"/>
          <w:color w:val="000000" w:themeColor="text1"/>
        </w:rPr>
        <w:t>₆</w:t>
      </w:r>
      <w:r w:rsidRPr="006355D2">
        <w:rPr>
          <w:rFonts w:ascii="Arial" w:hAnsi="Arial" w:cs="Arial"/>
          <w:color w:val="000000" w:themeColor="text1"/>
        </w:rPr>
        <w:t xml:space="preserve"> reduces ASI, enhancing pollination success. </w:t>
      </w:r>
      <w:r w:rsidR="00440EBE" w:rsidRPr="00440EBE">
        <w:rPr>
          <w:rFonts w:ascii="Arial" w:hAnsi="Arial" w:cs="Arial"/>
          <w:color w:val="000000" w:themeColor="text1"/>
        </w:rPr>
        <w:t xml:space="preserve">The results support the source-sink theory, which posits that adequate </w:t>
      </w:r>
      <w:r w:rsidR="00440EBE" w:rsidRPr="00440EBE">
        <w:rPr>
          <w:rFonts w:ascii="Arial" w:hAnsi="Arial" w:cs="Arial"/>
          <w:color w:val="000000" w:themeColor="text1"/>
        </w:rPr>
        <w:lastRenderedPageBreak/>
        <w:t>nutrient supply enhances the partitioning of assimilates to reproductive organs</w:t>
      </w:r>
      <w:r w:rsidR="00440EBE">
        <w:rPr>
          <w:rFonts w:ascii="Arial" w:hAnsi="Arial" w:cs="Arial"/>
          <w:color w:val="000000" w:themeColor="text1"/>
        </w:rPr>
        <w:t xml:space="preserve"> </w:t>
      </w:r>
      <w:r w:rsidRPr="006355D2">
        <w:rPr>
          <w:rFonts w:ascii="Arial" w:hAnsi="Arial" w:cs="Arial"/>
          <w:color w:val="000000" w:themeColor="text1"/>
        </w:rPr>
        <w:t>(Ahmad, Hassan &amp; Belford, 2009).</w:t>
      </w:r>
    </w:p>
    <w:p w14:paraId="19E928DF" w14:textId="2EB9E309" w:rsidR="00C13684" w:rsidRPr="00F42131" w:rsidRDefault="00F42131" w:rsidP="008E5D48">
      <w:pPr>
        <w:spacing w:before="120" w:after="120"/>
        <w:jc w:val="both"/>
        <w:rPr>
          <w:rFonts w:ascii="Arial" w:hAnsi="Arial" w:cs="Arial"/>
          <w:b/>
          <w:bCs/>
          <w:color w:val="000000" w:themeColor="text1"/>
        </w:rPr>
      </w:pPr>
      <w:r w:rsidRPr="00F42131">
        <w:rPr>
          <w:rFonts w:ascii="Arial" w:hAnsi="Arial" w:cs="Arial"/>
          <w:b/>
          <w:bCs/>
          <w:color w:val="000000" w:themeColor="text1"/>
        </w:rPr>
        <w:t>3.</w:t>
      </w:r>
      <w:r w:rsidR="00C13684" w:rsidRPr="00F42131">
        <w:rPr>
          <w:rFonts w:ascii="Arial" w:hAnsi="Arial" w:cs="Arial"/>
          <w:b/>
          <w:bCs/>
          <w:color w:val="000000" w:themeColor="text1"/>
        </w:rPr>
        <w:t xml:space="preserve">1.4 Ear Height </w:t>
      </w:r>
    </w:p>
    <w:p w14:paraId="20D1A7B0" w14:textId="7276A5E7" w:rsidR="00C13684" w:rsidRPr="006355D2" w:rsidRDefault="00C13684" w:rsidP="00F666E1">
      <w:pPr>
        <w:ind w:firstLine="720"/>
        <w:jc w:val="both"/>
        <w:rPr>
          <w:rFonts w:ascii="Arial" w:hAnsi="Arial" w:cs="Arial"/>
          <w:color w:val="000000" w:themeColor="text1"/>
        </w:rPr>
      </w:pPr>
      <w:r w:rsidRPr="006355D2">
        <w:rPr>
          <w:rFonts w:ascii="Arial" w:hAnsi="Arial" w:cs="Arial"/>
          <w:color w:val="000000" w:themeColor="text1"/>
        </w:rPr>
        <w:t>Ear height was highest in T</w:t>
      </w:r>
      <w:r w:rsidRPr="006355D2">
        <w:rPr>
          <w:rFonts w:ascii="Cambria Math" w:hAnsi="Cambria Math" w:cs="Cambria Math"/>
          <w:color w:val="000000" w:themeColor="text1"/>
        </w:rPr>
        <w:t>₃</w:t>
      </w:r>
      <w:r w:rsidRPr="006355D2">
        <w:rPr>
          <w:rFonts w:ascii="Arial" w:hAnsi="Arial" w:cs="Arial"/>
          <w:color w:val="000000" w:themeColor="text1"/>
        </w:rPr>
        <w:t xml:space="preserve"> (96.23 cm) and lowest in T</w:t>
      </w:r>
      <w:r w:rsidRPr="006355D2">
        <w:rPr>
          <w:rFonts w:ascii="Cambria Math" w:hAnsi="Cambria Math" w:cs="Cambria Math"/>
          <w:color w:val="000000" w:themeColor="text1"/>
        </w:rPr>
        <w:t>₁</w:t>
      </w:r>
      <w:r w:rsidRPr="006355D2">
        <w:rPr>
          <w:rFonts w:ascii="Arial" w:hAnsi="Arial" w:cs="Arial"/>
          <w:color w:val="000000" w:themeColor="text1"/>
        </w:rPr>
        <w:t xml:space="preserve"> (36.25 cm). High ear height is linked to strong apical dominance and adequate N and K supply (Sánchez, Rasmussen &amp; Porter, 2014). </w:t>
      </w:r>
      <w:r w:rsidR="007C49E7">
        <w:rPr>
          <w:rFonts w:ascii="Arial" w:hAnsi="Arial" w:cs="Arial"/>
          <w:color w:val="000000" w:themeColor="text1"/>
        </w:rPr>
        <w:t xml:space="preserve">K </w:t>
      </w:r>
      <w:r w:rsidRPr="006355D2">
        <w:rPr>
          <w:rFonts w:ascii="Arial" w:hAnsi="Arial" w:cs="Arial"/>
          <w:color w:val="000000" w:themeColor="text1"/>
        </w:rPr>
        <w:t xml:space="preserve">enhances cell turgor and stem strength, reducing lodging risk (Rawat, </w:t>
      </w:r>
      <w:proofErr w:type="spellStart"/>
      <w:r w:rsidRPr="006355D2">
        <w:rPr>
          <w:rFonts w:ascii="Arial" w:hAnsi="Arial" w:cs="Arial"/>
          <w:color w:val="000000" w:themeColor="text1"/>
        </w:rPr>
        <w:t>Sanwal</w:t>
      </w:r>
      <w:proofErr w:type="spellEnd"/>
      <w:r w:rsidRPr="006355D2">
        <w:rPr>
          <w:rFonts w:ascii="Arial" w:hAnsi="Arial" w:cs="Arial"/>
          <w:color w:val="000000" w:themeColor="text1"/>
        </w:rPr>
        <w:t xml:space="preserve"> &amp; Saxena, 2016). The similarity between T</w:t>
      </w:r>
      <w:r w:rsidRPr="006355D2">
        <w:rPr>
          <w:rFonts w:ascii="Cambria Math" w:hAnsi="Cambria Math" w:cs="Cambria Math"/>
          <w:color w:val="000000" w:themeColor="text1"/>
        </w:rPr>
        <w:t>₃</w:t>
      </w:r>
      <w:r w:rsidRPr="006355D2">
        <w:rPr>
          <w:rFonts w:ascii="Arial" w:hAnsi="Arial" w:cs="Arial"/>
          <w:color w:val="000000" w:themeColor="text1"/>
        </w:rPr>
        <w:t xml:space="preserve"> and T</w:t>
      </w:r>
      <w:r w:rsidRPr="006355D2">
        <w:rPr>
          <w:rFonts w:ascii="Cambria Math" w:hAnsi="Cambria Math" w:cs="Cambria Math"/>
          <w:color w:val="000000" w:themeColor="text1"/>
        </w:rPr>
        <w:t>₆</w:t>
      </w:r>
      <w:r w:rsidRPr="006355D2">
        <w:rPr>
          <w:rFonts w:ascii="Arial" w:hAnsi="Arial" w:cs="Arial"/>
          <w:color w:val="000000" w:themeColor="text1"/>
        </w:rPr>
        <w:t xml:space="preserve"> indicates that OA supports optimal ear positioning without compromising structural stability. High ear height may improve light interception but excessively high ears can increase harvest losses. T</w:t>
      </w:r>
      <w:r w:rsidRPr="006355D2">
        <w:rPr>
          <w:rFonts w:ascii="Cambria Math" w:hAnsi="Cambria Math" w:cs="Cambria Math"/>
          <w:color w:val="000000" w:themeColor="text1"/>
        </w:rPr>
        <w:t>₆</w:t>
      </w:r>
      <w:r w:rsidRPr="006355D2">
        <w:rPr>
          <w:rFonts w:ascii="Arial" w:hAnsi="Arial" w:cs="Arial"/>
          <w:color w:val="000000" w:themeColor="text1"/>
        </w:rPr>
        <w:t xml:space="preserve"> achieves an optimal balance between yield potential and harvestability. The results also suggest that OA improves root anchorage and mechanical stability, contributing to high EH (Lynch, 2019).</w:t>
      </w:r>
    </w:p>
    <w:p w14:paraId="261AD904" w14:textId="4155EAA8" w:rsidR="00C13684" w:rsidRPr="00F42131" w:rsidRDefault="00F42131" w:rsidP="00F666E1">
      <w:pPr>
        <w:spacing w:before="120" w:after="120"/>
        <w:jc w:val="both"/>
        <w:rPr>
          <w:rFonts w:ascii="Arial" w:hAnsi="Arial" w:cs="Arial"/>
          <w:b/>
          <w:bCs/>
          <w:color w:val="000000" w:themeColor="text1"/>
        </w:rPr>
      </w:pPr>
      <w:r w:rsidRPr="00F42131">
        <w:rPr>
          <w:rFonts w:ascii="Arial" w:hAnsi="Arial" w:cs="Arial"/>
          <w:b/>
          <w:bCs/>
          <w:color w:val="000000" w:themeColor="text1"/>
        </w:rPr>
        <w:t>3.</w:t>
      </w:r>
      <w:r w:rsidR="00C13684" w:rsidRPr="00F42131">
        <w:rPr>
          <w:rFonts w:ascii="Arial" w:hAnsi="Arial" w:cs="Arial"/>
          <w:b/>
          <w:bCs/>
          <w:color w:val="000000" w:themeColor="text1"/>
        </w:rPr>
        <w:t xml:space="preserve">1.5 Ear Length, Row Length, and Ear Diameter </w:t>
      </w:r>
    </w:p>
    <w:p w14:paraId="57ED544D" w14:textId="118F8964" w:rsidR="0092235A" w:rsidRDefault="0092235A" w:rsidP="0092235A">
      <w:pPr>
        <w:spacing w:before="120" w:after="120"/>
        <w:ind w:firstLine="720"/>
        <w:jc w:val="both"/>
        <w:rPr>
          <w:rFonts w:ascii="Arial" w:hAnsi="Arial" w:cs="Arial"/>
          <w:color w:val="000000" w:themeColor="text1"/>
        </w:rPr>
      </w:pPr>
      <w:r w:rsidRPr="0092235A">
        <w:rPr>
          <w:rFonts w:ascii="Arial" w:hAnsi="Arial" w:cs="Arial"/>
          <w:color w:val="000000" w:themeColor="text1"/>
        </w:rPr>
        <w:t>The longest ear length was observed in treatment T</w:t>
      </w:r>
      <w:r w:rsidRPr="0092235A">
        <w:rPr>
          <w:rFonts w:ascii="Cambria Math" w:hAnsi="Cambria Math" w:cs="Cambria Math"/>
          <w:color w:val="000000" w:themeColor="text1"/>
        </w:rPr>
        <w:t>₃</w:t>
      </w:r>
      <w:r w:rsidRPr="0092235A">
        <w:rPr>
          <w:rFonts w:ascii="Arial" w:hAnsi="Arial" w:cs="Arial"/>
          <w:color w:val="000000" w:themeColor="text1"/>
        </w:rPr>
        <w:t xml:space="preserve"> (20.79 cm) and T</w:t>
      </w:r>
      <w:r w:rsidRPr="0092235A">
        <w:rPr>
          <w:rFonts w:ascii="Cambria Math" w:hAnsi="Cambria Math" w:cs="Cambria Math"/>
          <w:color w:val="000000" w:themeColor="text1"/>
        </w:rPr>
        <w:t>₆</w:t>
      </w:r>
      <w:r w:rsidRPr="0092235A">
        <w:rPr>
          <w:rFonts w:ascii="Arial" w:hAnsi="Arial" w:cs="Arial"/>
          <w:color w:val="000000" w:themeColor="text1"/>
        </w:rPr>
        <w:t xml:space="preserve"> (20.47 cm), while the shortest ear length was recorded in T</w:t>
      </w:r>
      <w:r w:rsidRPr="0092235A">
        <w:rPr>
          <w:rFonts w:ascii="Cambria Math" w:hAnsi="Cambria Math" w:cs="Cambria Math"/>
          <w:color w:val="000000" w:themeColor="text1"/>
        </w:rPr>
        <w:t>₁</w:t>
      </w:r>
      <w:r w:rsidRPr="0092235A">
        <w:rPr>
          <w:rFonts w:ascii="Arial" w:hAnsi="Arial" w:cs="Arial"/>
          <w:color w:val="000000" w:themeColor="text1"/>
        </w:rPr>
        <w:t xml:space="preserve"> (12.83 cm). Similarly, row length was greatest in T</w:t>
      </w:r>
      <w:r w:rsidRPr="0092235A">
        <w:rPr>
          <w:rFonts w:ascii="Cambria Math" w:hAnsi="Cambria Math" w:cs="Cambria Math"/>
          <w:color w:val="000000" w:themeColor="text1"/>
        </w:rPr>
        <w:t>₃</w:t>
      </w:r>
      <w:r w:rsidRPr="0092235A">
        <w:rPr>
          <w:rFonts w:ascii="Arial" w:hAnsi="Arial" w:cs="Arial"/>
          <w:color w:val="000000" w:themeColor="text1"/>
        </w:rPr>
        <w:t xml:space="preserve"> (19.11 cm) and T</w:t>
      </w:r>
      <w:r w:rsidRPr="0092235A">
        <w:rPr>
          <w:rFonts w:ascii="Cambria Math" w:hAnsi="Cambria Math" w:cs="Cambria Math"/>
          <w:color w:val="000000" w:themeColor="text1"/>
        </w:rPr>
        <w:t>₆</w:t>
      </w:r>
      <w:r w:rsidRPr="0092235A">
        <w:rPr>
          <w:rFonts w:ascii="Arial" w:hAnsi="Arial" w:cs="Arial"/>
          <w:color w:val="000000" w:themeColor="text1"/>
        </w:rPr>
        <w:t xml:space="preserve"> (18.73 cm), and ear diameter was largest in T</w:t>
      </w:r>
      <w:r w:rsidRPr="0092235A">
        <w:rPr>
          <w:rFonts w:ascii="Cambria Math" w:hAnsi="Cambria Math" w:cs="Cambria Math"/>
          <w:color w:val="000000" w:themeColor="text1"/>
        </w:rPr>
        <w:t>₃</w:t>
      </w:r>
      <w:r w:rsidRPr="0092235A">
        <w:rPr>
          <w:rFonts w:ascii="Arial" w:hAnsi="Arial" w:cs="Arial"/>
          <w:color w:val="000000" w:themeColor="text1"/>
        </w:rPr>
        <w:t xml:space="preserve"> (5.20 cm) and T</w:t>
      </w:r>
      <w:r w:rsidRPr="0092235A">
        <w:rPr>
          <w:rFonts w:ascii="Cambria Math" w:hAnsi="Cambria Math" w:cs="Cambria Math"/>
          <w:color w:val="000000" w:themeColor="text1"/>
        </w:rPr>
        <w:t>₆</w:t>
      </w:r>
      <w:r w:rsidRPr="0092235A">
        <w:rPr>
          <w:rFonts w:ascii="Arial" w:hAnsi="Arial" w:cs="Arial"/>
          <w:color w:val="000000" w:themeColor="text1"/>
        </w:rPr>
        <w:t xml:space="preserve"> (5.08 cm). These ear morphological traits—ear length, row length, and ear diameter—are key yield components that are strongly influenced by phosphorus (P) and potassium (K) availability. Phosphorus supports cell division during ear development, while potassium contributes to spikelet survival and overall sink strength (</w:t>
      </w:r>
      <w:r w:rsidR="00412C5A" w:rsidRPr="00412C5A">
        <w:rPr>
          <w:rFonts w:ascii="Arial" w:hAnsi="Arial" w:cs="Arial"/>
          <w:iCs/>
          <w:color w:val="000000" w:themeColor="text1"/>
        </w:rPr>
        <w:t>Khaleeq</w:t>
      </w:r>
      <w:r w:rsidRPr="0092235A">
        <w:rPr>
          <w:rFonts w:ascii="Arial" w:hAnsi="Arial" w:cs="Arial"/>
          <w:color w:val="000000" w:themeColor="text1"/>
        </w:rPr>
        <w:t xml:space="preserve"> et al., 20</w:t>
      </w:r>
      <w:r w:rsidR="00412C5A">
        <w:rPr>
          <w:rFonts w:ascii="Arial" w:hAnsi="Arial" w:cs="Arial"/>
          <w:color w:val="000000" w:themeColor="text1"/>
        </w:rPr>
        <w:t>23</w:t>
      </w:r>
      <w:r w:rsidRPr="0092235A">
        <w:rPr>
          <w:rFonts w:ascii="Arial" w:hAnsi="Arial" w:cs="Arial"/>
          <w:color w:val="000000" w:themeColor="text1"/>
        </w:rPr>
        <w:t>). The superior performance of T</w:t>
      </w:r>
      <w:r w:rsidRPr="0092235A">
        <w:rPr>
          <w:rFonts w:ascii="Cambria Math" w:hAnsi="Cambria Math" w:cs="Cambria Math"/>
          <w:color w:val="000000" w:themeColor="text1"/>
        </w:rPr>
        <w:t>₃</w:t>
      </w:r>
      <w:r w:rsidRPr="0092235A">
        <w:rPr>
          <w:rFonts w:ascii="Arial" w:hAnsi="Arial" w:cs="Arial"/>
          <w:color w:val="000000" w:themeColor="text1"/>
        </w:rPr>
        <w:t xml:space="preserve"> and T</w:t>
      </w:r>
      <w:r w:rsidRPr="0092235A">
        <w:rPr>
          <w:rFonts w:ascii="Cambria Math" w:hAnsi="Cambria Math" w:cs="Cambria Math"/>
          <w:color w:val="000000" w:themeColor="text1"/>
        </w:rPr>
        <w:t>₆</w:t>
      </w:r>
      <w:r w:rsidRPr="0092235A">
        <w:rPr>
          <w:rFonts w:ascii="Arial" w:hAnsi="Arial" w:cs="Arial"/>
          <w:color w:val="000000" w:themeColor="text1"/>
        </w:rPr>
        <w:t xml:space="preserve"> suggests that adequate nutrient supply, particularly from balanced inorganic fertilizers (T</w:t>
      </w:r>
      <w:r w:rsidRPr="0092235A">
        <w:rPr>
          <w:rFonts w:ascii="Cambria Math" w:hAnsi="Cambria Math" w:cs="Cambria Math"/>
          <w:color w:val="000000" w:themeColor="text1"/>
        </w:rPr>
        <w:t>₃</w:t>
      </w:r>
      <w:r w:rsidRPr="0092235A">
        <w:rPr>
          <w:rFonts w:ascii="Arial" w:hAnsi="Arial" w:cs="Arial"/>
          <w:color w:val="000000" w:themeColor="text1"/>
        </w:rPr>
        <w:t>) and integrated organic-inorganic applications (T</w:t>
      </w:r>
      <w:r w:rsidRPr="0092235A">
        <w:rPr>
          <w:rFonts w:ascii="Cambria Math" w:hAnsi="Cambria Math" w:cs="Cambria Math"/>
          <w:color w:val="000000" w:themeColor="text1"/>
        </w:rPr>
        <w:t>₆</w:t>
      </w:r>
      <w:r w:rsidRPr="0092235A">
        <w:rPr>
          <w:rFonts w:ascii="Arial" w:hAnsi="Arial" w:cs="Arial"/>
          <w:color w:val="000000" w:themeColor="text1"/>
        </w:rPr>
        <w:t>), enhances ear formation and increases potential grain number per ear. This improved sink capacity under optimal nutritional conditions directly contributes to higher grain yield, as reported in previous studies (Nleya, Chungu &amp; Kleinjan, 2016).</w:t>
      </w:r>
    </w:p>
    <w:p w14:paraId="03CEDD14" w14:textId="12D18597" w:rsidR="00C13684" w:rsidRPr="00F42131" w:rsidRDefault="009E4FEF" w:rsidP="0092235A">
      <w:pPr>
        <w:spacing w:before="120" w:after="120"/>
        <w:ind w:left="900" w:hanging="900"/>
        <w:jc w:val="both"/>
        <w:rPr>
          <w:rFonts w:ascii="Arial" w:hAnsi="Arial" w:cs="Arial"/>
          <w:b/>
          <w:bCs/>
          <w:color w:val="000000" w:themeColor="text1"/>
        </w:rPr>
      </w:pPr>
      <w:r>
        <w:rPr>
          <w:rFonts w:ascii="Arial" w:hAnsi="Arial" w:cs="Arial"/>
          <w:b/>
          <w:bCs/>
          <w:color w:val="000000" w:themeColor="text1"/>
        </w:rPr>
        <w:t>Table 3</w:t>
      </w:r>
      <w:r w:rsidR="00C13684" w:rsidRPr="00F42131">
        <w:rPr>
          <w:rFonts w:ascii="Arial" w:hAnsi="Arial" w:cs="Arial"/>
          <w:b/>
          <w:bCs/>
          <w:color w:val="000000" w:themeColor="text1"/>
        </w:rPr>
        <w:t xml:space="preserve">.  Mean effect of organic amendment and inorganic fertilizers on agronomic characters of maize </w:t>
      </w:r>
      <w:r w:rsidR="009701C0">
        <w:rPr>
          <w:rFonts w:ascii="Arial" w:hAnsi="Arial" w:cs="Arial"/>
          <w:b/>
          <w:bCs/>
          <w:color w:val="000000" w:themeColor="text1"/>
        </w:rPr>
        <w:t>during the monsoon experiment.</w:t>
      </w:r>
    </w:p>
    <w:tbl>
      <w:tblPr>
        <w:tblW w:w="5000" w:type="pct"/>
        <w:tblLook w:val="04A0" w:firstRow="1" w:lastRow="0" w:firstColumn="1" w:lastColumn="0" w:noHBand="0" w:noVBand="1"/>
      </w:tblPr>
      <w:tblGrid>
        <w:gridCol w:w="1481"/>
        <w:gridCol w:w="530"/>
        <w:gridCol w:w="495"/>
        <w:gridCol w:w="694"/>
        <w:gridCol w:w="360"/>
        <w:gridCol w:w="874"/>
        <w:gridCol w:w="354"/>
        <w:gridCol w:w="874"/>
        <w:gridCol w:w="355"/>
        <w:gridCol w:w="874"/>
        <w:gridCol w:w="355"/>
        <w:gridCol w:w="825"/>
        <w:gridCol w:w="350"/>
      </w:tblGrid>
      <w:tr w:rsidR="00C13684" w:rsidRPr="006355D2" w14:paraId="193741AF" w14:textId="77777777" w:rsidTr="005179A3">
        <w:trPr>
          <w:trHeight w:val="230"/>
        </w:trPr>
        <w:tc>
          <w:tcPr>
            <w:tcW w:w="879" w:type="pct"/>
            <w:vMerge w:val="restart"/>
            <w:tcBorders>
              <w:top w:val="single" w:sz="8" w:space="0" w:color="auto"/>
              <w:left w:val="nil"/>
              <w:bottom w:val="single" w:sz="4" w:space="0" w:color="auto"/>
              <w:right w:val="nil"/>
            </w:tcBorders>
            <w:noWrap/>
            <w:vAlign w:val="center"/>
            <w:hideMark/>
          </w:tcPr>
          <w:p w14:paraId="3203F72C" w14:textId="77777777" w:rsidR="00C13684" w:rsidRPr="00F666E1" w:rsidRDefault="00C13684" w:rsidP="005179A3">
            <w:pPr>
              <w:jc w:val="center"/>
              <w:rPr>
                <w:rFonts w:ascii="Arial" w:hAnsi="Arial" w:cs="Arial"/>
                <w:b/>
                <w:bCs/>
                <w:color w:val="000000" w:themeColor="text1"/>
                <w:sz w:val="16"/>
                <w:szCs w:val="16"/>
              </w:rPr>
            </w:pPr>
            <w:r w:rsidRPr="00F666E1">
              <w:rPr>
                <w:rFonts w:ascii="Arial" w:hAnsi="Arial" w:cs="Arial"/>
                <w:b/>
                <w:bCs/>
                <w:color w:val="000000" w:themeColor="text1"/>
                <w:sz w:val="16"/>
                <w:szCs w:val="16"/>
              </w:rPr>
              <w:t>Treatments</w:t>
            </w:r>
          </w:p>
        </w:tc>
        <w:tc>
          <w:tcPr>
            <w:tcW w:w="607" w:type="pct"/>
            <w:gridSpan w:val="2"/>
            <w:vMerge w:val="restart"/>
            <w:tcBorders>
              <w:top w:val="single" w:sz="8" w:space="0" w:color="auto"/>
              <w:left w:val="nil"/>
              <w:bottom w:val="single" w:sz="4" w:space="0" w:color="000000"/>
              <w:right w:val="nil"/>
            </w:tcBorders>
            <w:vAlign w:val="center"/>
            <w:hideMark/>
          </w:tcPr>
          <w:p w14:paraId="5D2E2195" w14:textId="77777777" w:rsidR="00C13684" w:rsidRPr="00F666E1" w:rsidRDefault="00C13684" w:rsidP="005179A3">
            <w:pPr>
              <w:jc w:val="center"/>
              <w:rPr>
                <w:rFonts w:ascii="Arial" w:hAnsi="Arial" w:cs="Arial"/>
                <w:b/>
                <w:bCs/>
                <w:color w:val="000000" w:themeColor="text1"/>
                <w:sz w:val="16"/>
                <w:szCs w:val="16"/>
              </w:rPr>
            </w:pPr>
            <w:r w:rsidRPr="00F666E1">
              <w:rPr>
                <w:rFonts w:ascii="Arial" w:hAnsi="Arial" w:cs="Arial"/>
                <w:b/>
                <w:bCs/>
                <w:color w:val="000000" w:themeColor="text1"/>
                <w:sz w:val="16"/>
                <w:szCs w:val="16"/>
              </w:rPr>
              <w:t>DA</w:t>
            </w:r>
          </w:p>
        </w:tc>
        <w:tc>
          <w:tcPr>
            <w:tcW w:w="626" w:type="pct"/>
            <w:gridSpan w:val="2"/>
            <w:vMerge w:val="restart"/>
            <w:tcBorders>
              <w:top w:val="single" w:sz="8" w:space="0" w:color="auto"/>
              <w:left w:val="nil"/>
              <w:bottom w:val="single" w:sz="4" w:space="0" w:color="000000"/>
              <w:right w:val="nil"/>
            </w:tcBorders>
            <w:noWrap/>
            <w:vAlign w:val="center"/>
            <w:hideMark/>
          </w:tcPr>
          <w:p w14:paraId="4DCB3FB9" w14:textId="77777777" w:rsidR="00C13684" w:rsidRPr="00F666E1" w:rsidRDefault="00C13684" w:rsidP="005179A3">
            <w:pPr>
              <w:jc w:val="center"/>
              <w:rPr>
                <w:rFonts w:ascii="Arial" w:hAnsi="Arial" w:cs="Arial"/>
                <w:b/>
                <w:bCs/>
                <w:color w:val="000000" w:themeColor="text1"/>
                <w:sz w:val="16"/>
                <w:szCs w:val="16"/>
              </w:rPr>
            </w:pPr>
            <w:r w:rsidRPr="00F666E1">
              <w:rPr>
                <w:rFonts w:ascii="Arial" w:hAnsi="Arial" w:cs="Arial"/>
                <w:b/>
                <w:bCs/>
                <w:color w:val="000000" w:themeColor="text1"/>
                <w:sz w:val="16"/>
                <w:szCs w:val="16"/>
              </w:rPr>
              <w:t>DS</w:t>
            </w:r>
          </w:p>
        </w:tc>
        <w:tc>
          <w:tcPr>
            <w:tcW w:w="729" w:type="pct"/>
            <w:gridSpan w:val="2"/>
            <w:vMerge w:val="restart"/>
            <w:tcBorders>
              <w:top w:val="single" w:sz="8" w:space="0" w:color="auto"/>
              <w:left w:val="nil"/>
              <w:bottom w:val="single" w:sz="4" w:space="0" w:color="000000"/>
              <w:right w:val="nil"/>
            </w:tcBorders>
            <w:noWrap/>
            <w:vAlign w:val="center"/>
            <w:hideMark/>
          </w:tcPr>
          <w:p w14:paraId="095879F2" w14:textId="77777777" w:rsidR="00C13684" w:rsidRPr="00F666E1" w:rsidRDefault="00C13684" w:rsidP="005179A3">
            <w:pPr>
              <w:jc w:val="center"/>
              <w:rPr>
                <w:rFonts w:ascii="Arial" w:hAnsi="Arial" w:cs="Arial"/>
                <w:b/>
                <w:bCs/>
                <w:color w:val="000000" w:themeColor="text1"/>
                <w:sz w:val="16"/>
                <w:szCs w:val="16"/>
              </w:rPr>
            </w:pPr>
            <w:r w:rsidRPr="00F666E1">
              <w:rPr>
                <w:rFonts w:ascii="Arial" w:hAnsi="Arial" w:cs="Arial"/>
                <w:b/>
                <w:bCs/>
                <w:color w:val="000000" w:themeColor="text1"/>
                <w:sz w:val="16"/>
                <w:szCs w:val="16"/>
              </w:rPr>
              <w:t>EH</w:t>
            </w:r>
          </w:p>
        </w:tc>
        <w:tc>
          <w:tcPr>
            <w:tcW w:w="730" w:type="pct"/>
            <w:gridSpan w:val="2"/>
            <w:vMerge w:val="restart"/>
            <w:tcBorders>
              <w:top w:val="single" w:sz="8" w:space="0" w:color="auto"/>
              <w:left w:val="nil"/>
              <w:bottom w:val="single" w:sz="4" w:space="0" w:color="000000"/>
              <w:right w:val="nil"/>
            </w:tcBorders>
            <w:noWrap/>
            <w:vAlign w:val="center"/>
            <w:hideMark/>
          </w:tcPr>
          <w:p w14:paraId="224AF54F" w14:textId="77777777" w:rsidR="00C13684" w:rsidRPr="00F666E1" w:rsidRDefault="00C13684" w:rsidP="005179A3">
            <w:pPr>
              <w:jc w:val="center"/>
              <w:rPr>
                <w:rFonts w:ascii="Arial" w:hAnsi="Arial" w:cs="Arial"/>
                <w:b/>
                <w:bCs/>
                <w:color w:val="000000" w:themeColor="text1"/>
                <w:sz w:val="16"/>
                <w:szCs w:val="16"/>
              </w:rPr>
            </w:pPr>
            <w:r w:rsidRPr="00F666E1">
              <w:rPr>
                <w:rFonts w:ascii="Arial" w:hAnsi="Arial" w:cs="Arial"/>
                <w:b/>
                <w:bCs/>
                <w:color w:val="000000" w:themeColor="text1"/>
                <w:sz w:val="16"/>
                <w:szCs w:val="16"/>
              </w:rPr>
              <w:t>EL</w:t>
            </w:r>
          </w:p>
        </w:tc>
        <w:tc>
          <w:tcPr>
            <w:tcW w:w="730" w:type="pct"/>
            <w:gridSpan w:val="2"/>
            <w:vMerge w:val="restart"/>
            <w:tcBorders>
              <w:top w:val="single" w:sz="8" w:space="0" w:color="auto"/>
              <w:left w:val="nil"/>
              <w:bottom w:val="single" w:sz="4" w:space="0" w:color="000000"/>
              <w:right w:val="nil"/>
            </w:tcBorders>
            <w:noWrap/>
            <w:vAlign w:val="center"/>
            <w:hideMark/>
          </w:tcPr>
          <w:p w14:paraId="30B19A9D" w14:textId="77777777" w:rsidR="00C13684" w:rsidRPr="00F666E1" w:rsidRDefault="00C13684" w:rsidP="005179A3">
            <w:pPr>
              <w:jc w:val="center"/>
              <w:rPr>
                <w:rFonts w:ascii="Arial" w:hAnsi="Arial" w:cs="Arial"/>
                <w:b/>
                <w:bCs/>
                <w:color w:val="000000" w:themeColor="text1"/>
                <w:sz w:val="16"/>
                <w:szCs w:val="16"/>
              </w:rPr>
            </w:pPr>
            <w:r w:rsidRPr="00F666E1">
              <w:rPr>
                <w:rFonts w:ascii="Arial" w:hAnsi="Arial" w:cs="Arial"/>
                <w:b/>
                <w:bCs/>
                <w:color w:val="000000" w:themeColor="text1"/>
                <w:sz w:val="16"/>
                <w:szCs w:val="16"/>
              </w:rPr>
              <w:t>RL</w:t>
            </w:r>
          </w:p>
        </w:tc>
        <w:tc>
          <w:tcPr>
            <w:tcW w:w="699" w:type="pct"/>
            <w:gridSpan w:val="2"/>
            <w:vMerge w:val="restart"/>
            <w:tcBorders>
              <w:top w:val="single" w:sz="8" w:space="0" w:color="auto"/>
              <w:left w:val="nil"/>
              <w:bottom w:val="single" w:sz="4" w:space="0" w:color="000000"/>
              <w:right w:val="nil"/>
            </w:tcBorders>
            <w:noWrap/>
            <w:vAlign w:val="center"/>
            <w:hideMark/>
          </w:tcPr>
          <w:p w14:paraId="28853461" w14:textId="77777777" w:rsidR="00C13684" w:rsidRPr="00F666E1" w:rsidRDefault="00C13684" w:rsidP="005179A3">
            <w:pPr>
              <w:jc w:val="center"/>
              <w:rPr>
                <w:rFonts w:ascii="Arial" w:hAnsi="Arial" w:cs="Arial"/>
                <w:b/>
                <w:bCs/>
                <w:color w:val="000000" w:themeColor="text1"/>
                <w:sz w:val="16"/>
                <w:szCs w:val="16"/>
              </w:rPr>
            </w:pPr>
            <w:r w:rsidRPr="00F666E1">
              <w:rPr>
                <w:rFonts w:ascii="Arial" w:hAnsi="Arial" w:cs="Arial"/>
                <w:b/>
                <w:bCs/>
                <w:color w:val="000000" w:themeColor="text1"/>
                <w:sz w:val="16"/>
                <w:szCs w:val="16"/>
              </w:rPr>
              <w:t>ED</w:t>
            </w:r>
          </w:p>
        </w:tc>
      </w:tr>
      <w:tr w:rsidR="00C13684" w:rsidRPr="006355D2" w14:paraId="7E00F976" w14:textId="77777777" w:rsidTr="005179A3">
        <w:trPr>
          <w:trHeight w:val="230"/>
        </w:trPr>
        <w:tc>
          <w:tcPr>
            <w:tcW w:w="879" w:type="pct"/>
            <w:vMerge/>
            <w:tcBorders>
              <w:top w:val="single" w:sz="8" w:space="0" w:color="auto"/>
              <w:left w:val="nil"/>
              <w:bottom w:val="single" w:sz="4" w:space="0" w:color="auto"/>
              <w:right w:val="nil"/>
            </w:tcBorders>
            <w:vAlign w:val="center"/>
            <w:hideMark/>
          </w:tcPr>
          <w:p w14:paraId="77DFA53F" w14:textId="77777777" w:rsidR="00C13684" w:rsidRPr="00F666E1" w:rsidRDefault="00C13684" w:rsidP="005179A3">
            <w:pPr>
              <w:jc w:val="center"/>
              <w:rPr>
                <w:rFonts w:ascii="Arial" w:hAnsi="Arial" w:cs="Arial"/>
                <w:b/>
                <w:bCs/>
                <w:color w:val="000000" w:themeColor="text1"/>
                <w:sz w:val="16"/>
                <w:szCs w:val="16"/>
              </w:rPr>
            </w:pPr>
          </w:p>
        </w:tc>
        <w:tc>
          <w:tcPr>
            <w:tcW w:w="607" w:type="pct"/>
            <w:gridSpan w:val="2"/>
            <w:vMerge/>
            <w:tcBorders>
              <w:top w:val="single" w:sz="8" w:space="0" w:color="auto"/>
              <w:left w:val="nil"/>
              <w:bottom w:val="single" w:sz="4" w:space="0" w:color="000000"/>
              <w:right w:val="nil"/>
            </w:tcBorders>
            <w:vAlign w:val="center"/>
            <w:hideMark/>
          </w:tcPr>
          <w:p w14:paraId="59D35773" w14:textId="77777777" w:rsidR="00C13684" w:rsidRPr="00F666E1" w:rsidRDefault="00C13684" w:rsidP="005179A3">
            <w:pPr>
              <w:jc w:val="center"/>
              <w:rPr>
                <w:rFonts w:ascii="Arial" w:hAnsi="Arial" w:cs="Arial"/>
                <w:b/>
                <w:bCs/>
                <w:color w:val="000000" w:themeColor="text1"/>
                <w:sz w:val="16"/>
                <w:szCs w:val="16"/>
              </w:rPr>
            </w:pPr>
          </w:p>
        </w:tc>
        <w:tc>
          <w:tcPr>
            <w:tcW w:w="626" w:type="pct"/>
            <w:gridSpan w:val="2"/>
            <w:vMerge/>
            <w:tcBorders>
              <w:top w:val="single" w:sz="8" w:space="0" w:color="auto"/>
              <w:left w:val="nil"/>
              <w:bottom w:val="single" w:sz="4" w:space="0" w:color="000000"/>
              <w:right w:val="nil"/>
            </w:tcBorders>
            <w:vAlign w:val="center"/>
            <w:hideMark/>
          </w:tcPr>
          <w:p w14:paraId="1BCEB078" w14:textId="77777777" w:rsidR="00C13684" w:rsidRPr="00F666E1" w:rsidRDefault="00C13684" w:rsidP="005179A3">
            <w:pPr>
              <w:jc w:val="center"/>
              <w:rPr>
                <w:rFonts w:ascii="Arial" w:hAnsi="Arial" w:cs="Arial"/>
                <w:b/>
                <w:bCs/>
                <w:color w:val="000000" w:themeColor="text1"/>
                <w:sz w:val="16"/>
                <w:szCs w:val="16"/>
              </w:rPr>
            </w:pPr>
          </w:p>
        </w:tc>
        <w:tc>
          <w:tcPr>
            <w:tcW w:w="729" w:type="pct"/>
            <w:gridSpan w:val="2"/>
            <w:vMerge/>
            <w:tcBorders>
              <w:top w:val="single" w:sz="8" w:space="0" w:color="auto"/>
              <w:left w:val="nil"/>
              <w:bottom w:val="single" w:sz="4" w:space="0" w:color="000000"/>
              <w:right w:val="nil"/>
            </w:tcBorders>
            <w:vAlign w:val="center"/>
            <w:hideMark/>
          </w:tcPr>
          <w:p w14:paraId="6354AF54" w14:textId="77777777" w:rsidR="00C13684" w:rsidRPr="00F666E1" w:rsidRDefault="00C13684" w:rsidP="005179A3">
            <w:pPr>
              <w:jc w:val="center"/>
              <w:rPr>
                <w:rFonts w:ascii="Arial" w:hAnsi="Arial" w:cs="Arial"/>
                <w:b/>
                <w:bCs/>
                <w:color w:val="000000" w:themeColor="text1"/>
                <w:sz w:val="16"/>
                <w:szCs w:val="16"/>
              </w:rPr>
            </w:pPr>
          </w:p>
        </w:tc>
        <w:tc>
          <w:tcPr>
            <w:tcW w:w="730" w:type="pct"/>
            <w:gridSpan w:val="2"/>
            <w:vMerge/>
            <w:tcBorders>
              <w:top w:val="single" w:sz="8" w:space="0" w:color="auto"/>
              <w:left w:val="nil"/>
              <w:bottom w:val="single" w:sz="4" w:space="0" w:color="000000"/>
              <w:right w:val="nil"/>
            </w:tcBorders>
            <w:vAlign w:val="center"/>
            <w:hideMark/>
          </w:tcPr>
          <w:p w14:paraId="42D70B26" w14:textId="77777777" w:rsidR="00C13684" w:rsidRPr="00F666E1" w:rsidRDefault="00C13684" w:rsidP="005179A3">
            <w:pPr>
              <w:jc w:val="center"/>
              <w:rPr>
                <w:rFonts w:ascii="Arial" w:hAnsi="Arial" w:cs="Arial"/>
                <w:b/>
                <w:bCs/>
                <w:color w:val="000000" w:themeColor="text1"/>
                <w:sz w:val="16"/>
                <w:szCs w:val="16"/>
              </w:rPr>
            </w:pPr>
          </w:p>
        </w:tc>
        <w:tc>
          <w:tcPr>
            <w:tcW w:w="730" w:type="pct"/>
            <w:gridSpan w:val="2"/>
            <w:vMerge/>
            <w:tcBorders>
              <w:top w:val="single" w:sz="8" w:space="0" w:color="auto"/>
              <w:left w:val="nil"/>
              <w:bottom w:val="single" w:sz="4" w:space="0" w:color="000000"/>
              <w:right w:val="nil"/>
            </w:tcBorders>
            <w:vAlign w:val="center"/>
            <w:hideMark/>
          </w:tcPr>
          <w:p w14:paraId="4ED37E48" w14:textId="77777777" w:rsidR="00C13684" w:rsidRPr="00F666E1" w:rsidRDefault="00C13684" w:rsidP="005179A3">
            <w:pPr>
              <w:jc w:val="center"/>
              <w:rPr>
                <w:rFonts w:ascii="Arial" w:hAnsi="Arial" w:cs="Arial"/>
                <w:b/>
                <w:bCs/>
                <w:color w:val="000000" w:themeColor="text1"/>
                <w:sz w:val="16"/>
                <w:szCs w:val="16"/>
              </w:rPr>
            </w:pPr>
          </w:p>
        </w:tc>
        <w:tc>
          <w:tcPr>
            <w:tcW w:w="699" w:type="pct"/>
            <w:gridSpan w:val="2"/>
            <w:vMerge/>
            <w:tcBorders>
              <w:top w:val="single" w:sz="8" w:space="0" w:color="auto"/>
              <w:left w:val="nil"/>
              <w:bottom w:val="single" w:sz="4" w:space="0" w:color="000000"/>
              <w:right w:val="nil"/>
            </w:tcBorders>
            <w:vAlign w:val="center"/>
            <w:hideMark/>
          </w:tcPr>
          <w:p w14:paraId="22A062F4" w14:textId="77777777" w:rsidR="00C13684" w:rsidRPr="00F666E1" w:rsidRDefault="00C13684" w:rsidP="005179A3">
            <w:pPr>
              <w:jc w:val="center"/>
              <w:rPr>
                <w:rFonts w:ascii="Arial" w:hAnsi="Arial" w:cs="Arial"/>
                <w:b/>
                <w:bCs/>
                <w:color w:val="000000" w:themeColor="text1"/>
                <w:sz w:val="16"/>
                <w:szCs w:val="16"/>
              </w:rPr>
            </w:pPr>
          </w:p>
        </w:tc>
      </w:tr>
      <w:tr w:rsidR="007C49E7" w:rsidRPr="006355D2" w14:paraId="00CB13E2" w14:textId="77777777" w:rsidTr="005179A3">
        <w:trPr>
          <w:trHeight w:val="230"/>
        </w:trPr>
        <w:tc>
          <w:tcPr>
            <w:tcW w:w="879" w:type="pct"/>
            <w:tcBorders>
              <w:top w:val="nil"/>
              <w:left w:val="nil"/>
              <w:bottom w:val="nil"/>
              <w:right w:val="nil"/>
            </w:tcBorders>
            <w:noWrap/>
            <w:vAlign w:val="center"/>
            <w:hideMark/>
          </w:tcPr>
          <w:p w14:paraId="066F275F" w14:textId="3CD3147D" w:rsidR="007C49E7" w:rsidRPr="00F666E1" w:rsidRDefault="007C49E7" w:rsidP="005179A3">
            <w:pPr>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1</w:t>
            </w:r>
          </w:p>
        </w:tc>
        <w:tc>
          <w:tcPr>
            <w:tcW w:w="314" w:type="pct"/>
            <w:tcBorders>
              <w:top w:val="nil"/>
              <w:left w:val="nil"/>
              <w:bottom w:val="nil"/>
              <w:right w:val="nil"/>
            </w:tcBorders>
            <w:noWrap/>
            <w:vAlign w:val="center"/>
            <w:hideMark/>
          </w:tcPr>
          <w:p w14:paraId="71461298"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56</w:t>
            </w:r>
          </w:p>
        </w:tc>
        <w:tc>
          <w:tcPr>
            <w:tcW w:w="294" w:type="pct"/>
            <w:tcBorders>
              <w:top w:val="nil"/>
              <w:left w:val="nil"/>
              <w:bottom w:val="nil"/>
              <w:right w:val="nil"/>
            </w:tcBorders>
            <w:noWrap/>
            <w:vAlign w:val="center"/>
            <w:hideMark/>
          </w:tcPr>
          <w:p w14:paraId="28443C11"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a</w:t>
            </w:r>
          </w:p>
        </w:tc>
        <w:tc>
          <w:tcPr>
            <w:tcW w:w="412" w:type="pct"/>
            <w:tcBorders>
              <w:top w:val="nil"/>
              <w:left w:val="nil"/>
              <w:bottom w:val="nil"/>
              <w:right w:val="nil"/>
            </w:tcBorders>
            <w:noWrap/>
            <w:vAlign w:val="bottom"/>
            <w:hideMark/>
          </w:tcPr>
          <w:p w14:paraId="5CC132EA"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66</w:t>
            </w:r>
          </w:p>
        </w:tc>
        <w:tc>
          <w:tcPr>
            <w:tcW w:w="214" w:type="pct"/>
            <w:tcBorders>
              <w:top w:val="nil"/>
              <w:left w:val="nil"/>
              <w:bottom w:val="nil"/>
              <w:right w:val="nil"/>
            </w:tcBorders>
            <w:noWrap/>
            <w:vAlign w:val="center"/>
            <w:hideMark/>
          </w:tcPr>
          <w:p w14:paraId="7ACB1392"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a</w:t>
            </w:r>
          </w:p>
        </w:tc>
        <w:tc>
          <w:tcPr>
            <w:tcW w:w="519" w:type="pct"/>
            <w:tcBorders>
              <w:top w:val="nil"/>
              <w:left w:val="nil"/>
              <w:bottom w:val="nil"/>
              <w:right w:val="nil"/>
            </w:tcBorders>
            <w:noWrap/>
            <w:vAlign w:val="bottom"/>
            <w:hideMark/>
          </w:tcPr>
          <w:p w14:paraId="5BBABCB3"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36.25</w:t>
            </w:r>
          </w:p>
        </w:tc>
        <w:tc>
          <w:tcPr>
            <w:tcW w:w="210" w:type="pct"/>
            <w:tcBorders>
              <w:top w:val="nil"/>
              <w:left w:val="nil"/>
              <w:bottom w:val="nil"/>
              <w:right w:val="nil"/>
            </w:tcBorders>
            <w:noWrap/>
            <w:vAlign w:val="center"/>
            <w:hideMark/>
          </w:tcPr>
          <w:p w14:paraId="25E61830"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e</w:t>
            </w:r>
          </w:p>
        </w:tc>
        <w:tc>
          <w:tcPr>
            <w:tcW w:w="519" w:type="pct"/>
            <w:tcBorders>
              <w:top w:val="nil"/>
              <w:left w:val="nil"/>
              <w:bottom w:val="nil"/>
              <w:right w:val="nil"/>
            </w:tcBorders>
            <w:noWrap/>
            <w:vAlign w:val="bottom"/>
            <w:hideMark/>
          </w:tcPr>
          <w:p w14:paraId="073AB844"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12.83</w:t>
            </w:r>
          </w:p>
        </w:tc>
        <w:tc>
          <w:tcPr>
            <w:tcW w:w="211" w:type="pct"/>
            <w:tcBorders>
              <w:top w:val="nil"/>
              <w:left w:val="nil"/>
              <w:bottom w:val="nil"/>
              <w:right w:val="nil"/>
            </w:tcBorders>
            <w:noWrap/>
            <w:vAlign w:val="center"/>
            <w:hideMark/>
          </w:tcPr>
          <w:p w14:paraId="72BBBF79"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e</w:t>
            </w:r>
          </w:p>
        </w:tc>
        <w:tc>
          <w:tcPr>
            <w:tcW w:w="519" w:type="pct"/>
            <w:tcBorders>
              <w:top w:val="nil"/>
              <w:left w:val="nil"/>
              <w:bottom w:val="nil"/>
              <w:right w:val="nil"/>
            </w:tcBorders>
            <w:noWrap/>
            <w:vAlign w:val="bottom"/>
            <w:hideMark/>
          </w:tcPr>
          <w:p w14:paraId="27AD7CB2"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10.50</w:t>
            </w:r>
          </w:p>
        </w:tc>
        <w:tc>
          <w:tcPr>
            <w:tcW w:w="211" w:type="pct"/>
            <w:tcBorders>
              <w:top w:val="nil"/>
              <w:left w:val="nil"/>
              <w:bottom w:val="nil"/>
              <w:right w:val="nil"/>
            </w:tcBorders>
            <w:noWrap/>
            <w:vAlign w:val="center"/>
            <w:hideMark/>
          </w:tcPr>
          <w:p w14:paraId="45957654"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f</w:t>
            </w:r>
          </w:p>
        </w:tc>
        <w:tc>
          <w:tcPr>
            <w:tcW w:w="490" w:type="pct"/>
            <w:tcBorders>
              <w:top w:val="nil"/>
              <w:left w:val="nil"/>
              <w:bottom w:val="nil"/>
              <w:right w:val="nil"/>
            </w:tcBorders>
            <w:noWrap/>
            <w:vAlign w:val="bottom"/>
            <w:hideMark/>
          </w:tcPr>
          <w:p w14:paraId="11E9612A"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3.75</w:t>
            </w:r>
          </w:p>
        </w:tc>
        <w:tc>
          <w:tcPr>
            <w:tcW w:w="209" w:type="pct"/>
            <w:tcBorders>
              <w:top w:val="nil"/>
              <w:left w:val="nil"/>
              <w:bottom w:val="nil"/>
              <w:right w:val="nil"/>
            </w:tcBorders>
            <w:noWrap/>
            <w:vAlign w:val="center"/>
            <w:hideMark/>
          </w:tcPr>
          <w:p w14:paraId="41414A45"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e</w:t>
            </w:r>
          </w:p>
        </w:tc>
      </w:tr>
      <w:tr w:rsidR="007C49E7" w:rsidRPr="006355D2" w14:paraId="66584FA1" w14:textId="77777777" w:rsidTr="005179A3">
        <w:trPr>
          <w:trHeight w:val="230"/>
        </w:trPr>
        <w:tc>
          <w:tcPr>
            <w:tcW w:w="879" w:type="pct"/>
            <w:tcBorders>
              <w:top w:val="nil"/>
              <w:left w:val="nil"/>
              <w:bottom w:val="nil"/>
              <w:right w:val="nil"/>
            </w:tcBorders>
            <w:noWrap/>
            <w:vAlign w:val="center"/>
            <w:hideMark/>
          </w:tcPr>
          <w:p w14:paraId="09C67E47" w14:textId="25BCA57F" w:rsidR="007C49E7" w:rsidRPr="00F666E1" w:rsidRDefault="007C49E7" w:rsidP="005179A3">
            <w:pPr>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2</w:t>
            </w:r>
          </w:p>
        </w:tc>
        <w:tc>
          <w:tcPr>
            <w:tcW w:w="314" w:type="pct"/>
            <w:tcBorders>
              <w:top w:val="nil"/>
              <w:left w:val="nil"/>
              <w:bottom w:val="nil"/>
              <w:right w:val="nil"/>
            </w:tcBorders>
            <w:noWrap/>
            <w:vAlign w:val="center"/>
            <w:hideMark/>
          </w:tcPr>
          <w:p w14:paraId="1EE70D9D"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55</w:t>
            </w:r>
          </w:p>
        </w:tc>
        <w:tc>
          <w:tcPr>
            <w:tcW w:w="294" w:type="pct"/>
            <w:tcBorders>
              <w:top w:val="nil"/>
              <w:left w:val="nil"/>
              <w:bottom w:val="nil"/>
              <w:right w:val="nil"/>
            </w:tcBorders>
            <w:noWrap/>
            <w:vAlign w:val="center"/>
            <w:hideMark/>
          </w:tcPr>
          <w:p w14:paraId="2101F845"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ab</w:t>
            </w:r>
          </w:p>
        </w:tc>
        <w:tc>
          <w:tcPr>
            <w:tcW w:w="412" w:type="pct"/>
            <w:tcBorders>
              <w:top w:val="nil"/>
              <w:left w:val="nil"/>
              <w:bottom w:val="nil"/>
              <w:right w:val="nil"/>
            </w:tcBorders>
            <w:noWrap/>
            <w:vAlign w:val="bottom"/>
            <w:hideMark/>
          </w:tcPr>
          <w:p w14:paraId="639E420C"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61</w:t>
            </w:r>
          </w:p>
        </w:tc>
        <w:tc>
          <w:tcPr>
            <w:tcW w:w="214" w:type="pct"/>
            <w:tcBorders>
              <w:top w:val="nil"/>
              <w:left w:val="nil"/>
              <w:bottom w:val="nil"/>
              <w:right w:val="nil"/>
            </w:tcBorders>
            <w:noWrap/>
            <w:vAlign w:val="center"/>
            <w:hideMark/>
          </w:tcPr>
          <w:p w14:paraId="4958B9C9"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b</w:t>
            </w:r>
          </w:p>
        </w:tc>
        <w:tc>
          <w:tcPr>
            <w:tcW w:w="519" w:type="pct"/>
            <w:tcBorders>
              <w:top w:val="nil"/>
              <w:left w:val="nil"/>
              <w:bottom w:val="nil"/>
              <w:right w:val="nil"/>
            </w:tcBorders>
            <w:noWrap/>
            <w:vAlign w:val="bottom"/>
            <w:hideMark/>
          </w:tcPr>
          <w:p w14:paraId="6BDC3A12"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45.28</w:t>
            </w:r>
          </w:p>
        </w:tc>
        <w:tc>
          <w:tcPr>
            <w:tcW w:w="210" w:type="pct"/>
            <w:tcBorders>
              <w:top w:val="nil"/>
              <w:left w:val="nil"/>
              <w:bottom w:val="nil"/>
              <w:right w:val="nil"/>
            </w:tcBorders>
            <w:noWrap/>
            <w:vAlign w:val="center"/>
            <w:hideMark/>
          </w:tcPr>
          <w:p w14:paraId="7AACAD83"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d</w:t>
            </w:r>
          </w:p>
        </w:tc>
        <w:tc>
          <w:tcPr>
            <w:tcW w:w="519" w:type="pct"/>
            <w:tcBorders>
              <w:top w:val="nil"/>
              <w:left w:val="nil"/>
              <w:bottom w:val="nil"/>
              <w:right w:val="nil"/>
            </w:tcBorders>
            <w:noWrap/>
            <w:vAlign w:val="bottom"/>
            <w:hideMark/>
          </w:tcPr>
          <w:p w14:paraId="4D8966DC"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14.68</w:t>
            </w:r>
          </w:p>
        </w:tc>
        <w:tc>
          <w:tcPr>
            <w:tcW w:w="211" w:type="pct"/>
            <w:tcBorders>
              <w:top w:val="nil"/>
              <w:left w:val="nil"/>
              <w:bottom w:val="nil"/>
              <w:right w:val="nil"/>
            </w:tcBorders>
            <w:noWrap/>
            <w:vAlign w:val="center"/>
            <w:hideMark/>
          </w:tcPr>
          <w:p w14:paraId="2B3BF1E5"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d</w:t>
            </w:r>
          </w:p>
        </w:tc>
        <w:tc>
          <w:tcPr>
            <w:tcW w:w="519" w:type="pct"/>
            <w:tcBorders>
              <w:top w:val="nil"/>
              <w:left w:val="nil"/>
              <w:bottom w:val="nil"/>
              <w:right w:val="nil"/>
            </w:tcBorders>
            <w:noWrap/>
            <w:vAlign w:val="bottom"/>
            <w:hideMark/>
          </w:tcPr>
          <w:p w14:paraId="35BBAE37"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14.49</w:t>
            </w:r>
          </w:p>
        </w:tc>
        <w:tc>
          <w:tcPr>
            <w:tcW w:w="211" w:type="pct"/>
            <w:tcBorders>
              <w:top w:val="nil"/>
              <w:left w:val="nil"/>
              <w:bottom w:val="nil"/>
              <w:right w:val="nil"/>
            </w:tcBorders>
            <w:noWrap/>
            <w:vAlign w:val="center"/>
            <w:hideMark/>
          </w:tcPr>
          <w:p w14:paraId="7C174D84"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e</w:t>
            </w:r>
          </w:p>
        </w:tc>
        <w:tc>
          <w:tcPr>
            <w:tcW w:w="490" w:type="pct"/>
            <w:tcBorders>
              <w:top w:val="nil"/>
              <w:left w:val="nil"/>
              <w:bottom w:val="nil"/>
              <w:right w:val="nil"/>
            </w:tcBorders>
            <w:noWrap/>
            <w:vAlign w:val="bottom"/>
            <w:hideMark/>
          </w:tcPr>
          <w:p w14:paraId="2505C37B"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4.40</w:t>
            </w:r>
          </w:p>
        </w:tc>
        <w:tc>
          <w:tcPr>
            <w:tcW w:w="209" w:type="pct"/>
            <w:tcBorders>
              <w:top w:val="nil"/>
              <w:left w:val="nil"/>
              <w:bottom w:val="nil"/>
              <w:right w:val="nil"/>
            </w:tcBorders>
            <w:noWrap/>
            <w:vAlign w:val="center"/>
            <w:hideMark/>
          </w:tcPr>
          <w:p w14:paraId="69290957"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d</w:t>
            </w:r>
          </w:p>
        </w:tc>
      </w:tr>
      <w:tr w:rsidR="007C49E7" w:rsidRPr="006355D2" w14:paraId="1B1F936C" w14:textId="77777777" w:rsidTr="005179A3">
        <w:trPr>
          <w:trHeight w:val="230"/>
        </w:trPr>
        <w:tc>
          <w:tcPr>
            <w:tcW w:w="879" w:type="pct"/>
            <w:tcBorders>
              <w:top w:val="nil"/>
              <w:left w:val="nil"/>
              <w:bottom w:val="nil"/>
              <w:right w:val="nil"/>
            </w:tcBorders>
            <w:noWrap/>
            <w:vAlign w:val="center"/>
            <w:hideMark/>
          </w:tcPr>
          <w:p w14:paraId="64F3CB72" w14:textId="324C9BCE" w:rsidR="007C49E7" w:rsidRPr="00F666E1" w:rsidRDefault="007C49E7" w:rsidP="005179A3">
            <w:pPr>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3</w:t>
            </w:r>
          </w:p>
        </w:tc>
        <w:tc>
          <w:tcPr>
            <w:tcW w:w="314" w:type="pct"/>
            <w:tcBorders>
              <w:top w:val="nil"/>
              <w:left w:val="nil"/>
              <w:bottom w:val="nil"/>
              <w:right w:val="nil"/>
            </w:tcBorders>
            <w:noWrap/>
            <w:vAlign w:val="center"/>
            <w:hideMark/>
          </w:tcPr>
          <w:p w14:paraId="77D0CD32"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53</w:t>
            </w:r>
          </w:p>
        </w:tc>
        <w:tc>
          <w:tcPr>
            <w:tcW w:w="294" w:type="pct"/>
            <w:tcBorders>
              <w:top w:val="nil"/>
              <w:left w:val="nil"/>
              <w:bottom w:val="nil"/>
              <w:right w:val="nil"/>
            </w:tcBorders>
            <w:noWrap/>
            <w:vAlign w:val="center"/>
            <w:hideMark/>
          </w:tcPr>
          <w:p w14:paraId="205CEFE0"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c</w:t>
            </w:r>
          </w:p>
        </w:tc>
        <w:tc>
          <w:tcPr>
            <w:tcW w:w="412" w:type="pct"/>
            <w:tcBorders>
              <w:top w:val="nil"/>
              <w:left w:val="nil"/>
              <w:bottom w:val="nil"/>
              <w:right w:val="nil"/>
            </w:tcBorders>
            <w:noWrap/>
            <w:vAlign w:val="bottom"/>
            <w:hideMark/>
          </w:tcPr>
          <w:p w14:paraId="286B2FD4"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58</w:t>
            </w:r>
          </w:p>
        </w:tc>
        <w:tc>
          <w:tcPr>
            <w:tcW w:w="214" w:type="pct"/>
            <w:tcBorders>
              <w:top w:val="nil"/>
              <w:left w:val="nil"/>
              <w:bottom w:val="nil"/>
              <w:right w:val="nil"/>
            </w:tcBorders>
            <w:noWrap/>
            <w:vAlign w:val="center"/>
            <w:hideMark/>
          </w:tcPr>
          <w:p w14:paraId="3316AE7C"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c</w:t>
            </w:r>
          </w:p>
        </w:tc>
        <w:tc>
          <w:tcPr>
            <w:tcW w:w="519" w:type="pct"/>
            <w:tcBorders>
              <w:top w:val="nil"/>
              <w:left w:val="nil"/>
              <w:bottom w:val="nil"/>
              <w:right w:val="nil"/>
            </w:tcBorders>
            <w:noWrap/>
            <w:vAlign w:val="bottom"/>
            <w:hideMark/>
          </w:tcPr>
          <w:p w14:paraId="0830960E"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96.23</w:t>
            </w:r>
          </w:p>
        </w:tc>
        <w:tc>
          <w:tcPr>
            <w:tcW w:w="210" w:type="pct"/>
            <w:tcBorders>
              <w:top w:val="nil"/>
              <w:left w:val="nil"/>
              <w:bottom w:val="nil"/>
              <w:right w:val="nil"/>
            </w:tcBorders>
            <w:noWrap/>
            <w:vAlign w:val="center"/>
            <w:hideMark/>
          </w:tcPr>
          <w:p w14:paraId="4AF943BE"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a</w:t>
            </w:r>
          </w:p>
        </w:tc>
        <w:tc>
          <w:tcPr>
            <w:tcW w:w="519" w:type="pct"/>
            <w:tcBorders>
              <w:top w:val="nil"/>
              <w:left w:val="nil"/>
              <w:bottom w:val="nil"/>
              <w:right w:val="nil"/>
            </w:tcBorders>
            <w:noWrap/>
            <w:vAlign w:val="bottom"/>
            <w:hideMark/>
          </w:tcPr>
          <w:p w14:paraId="57A8B3C0"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20.79</w:t>
            </w:r>
          </w:p>
        </w:tc>
        <w:tc>
          <w:tcPr>
            <w:tcW w:w="211" w:type="pct"/>
            <w:tcBorders>
              <w:top w:val="nil"/>
              <w:left w:val="nil"/>
              <w:bottom w:val="nil"/>
              <w:right w:val="nil"/>
            </w:tcBorders>
            <w:noWrap/>
            <w:vAlign w:val="center"/>
            <w:hideMark/>
          </w:tcPr>
          <w:p w14:paraId="7E04C3E2"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a</w:t>
            </w:r>
          </w:p>
        </w:tc>
        <w:tc>
          <w:tcPr>
            <w:tcW w:w="519" w:type="pct"/>
            <w:tcBorders>
              <w:top w:val="nil"/>
              <w:left w:val="nil"/>
              <w:bottom w:val="nil"/>
              <w:right w:val="nil"/>
            </w:tcBorders>
            <w:noWrap/>
            <w:vAlign w:val="bottom"/>
            <w:hideMark/>
          </w:tcPr>
          <w:p w14:paraId="17DBADF7"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19.11</w:t>
            </w:r>
          </w:p>
        </w:tc>
        <w:tc>
          <w:tcPr>
            <w:tcW w:w="211" w:type="pct"/>
            <w:tcBorders>
              <w:top w:val="nil"/>
              <w:left w:val="nil"/>
              <w:bottom w:val="nil"/>
              <w:right w:val="nil"/>
            </w:tcBorders>
            <w:noWrap/>
            <w:vAlign w:val="center"/>
            <w:hideMark/>
          </w:tcPr>
          <w:p w14:paraId="61AD8FC1"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a</w:t>
            </w:r>
          </w:p>
        </w:tc>
        <w:tc>
          <w:tcPr>
            <w:tcW w:w="490" w:type="pct"/>
            <w:tcBorders>
              <w:top w:val="nil"/>
              <w:left w:val="nil"/>
              <w:bottom w:val="nil"/>
              <w:right w:val="nil"/>
            </w:tcBorders>
            <w:noWrap/>
            <w:vAlign w:val="bottom"/>
            <w:hideMark/>
          </w:tcPr>
          <w:p w14:paraId="5A70D3B3"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5.20</w:t>
            </w:r>
          </w:p>
        </w:tc>
        <w:tc>
          <w:tcPr>
            <w:tcW w:w="209" w:type="pct"/>
            <w:tcBorders>
              <w:top w:val="nil"/>
              <w:left w:val="nil"/>
              <w:bottom w:val="nil"/>
              <w:right w:val="nil"/>
            </w:tcBorders>
            <w:noWrap/>
            <w:vAlign w:val="center"/>
            <w:hideMark/>
          </w:tcPr>
          <w:p w14:paraId="35766C25"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a</w:t>
            </w:r>
          </w:p>
        </w:tc>
      </w:tr>
      <w:tr w:rsidR="007C49E7" w:rsidRPr="006355D2" w14:paraId="3ED288E1" w14:textId="77777777" w:rsidTr="005179A3">
        <w:trPr>
          <w:trHeight w:val="230"/>
        </w:trPr>
        <w:tc>
          <w:tcPr>
            <w:tcW w:w="879" w:type="pct"/>
            <w:tcBorders>
              <w:top w:val="nil"/>
              <w:left w:val="nil"/>
              <w:bottom w:val="nil"/>
              <w:right w:val="nil"/>
            </w:tcBorders>
            <w:noWrap/>
            <w:vAlign w:val="center"/>
            <w:hideMark/>
          </w:tcPr>
          <w:p w14:paraId="256750C1" w14:textId="27551BE3" w:rsidR="007C49E7" w:rsidRPr="00F666E1" w:rsidRDefault="007C49E7" w:rsidP="005179A3">
            <w:pPr>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4</w:t>
            </w:r>
          </w:p>
        </w:tc>
        <w:tc>
          <w:tcPr>
            <w:tcW w:w="314" w:type="pct"/>
            <w:tcBorders>
              <w:top w:val="nil"/>
              <w:left w:val="nil"/>
              <w:bottom w:val="nil"/>
              <w:right w:val="nil"/>
            </w:tcBorders>
            <w:noWrap/>
            <w:vAlign w:val="center"/>
            <w:hideMark/>
          </w:tcPr>
          <w:p w14:paraId="0791D0A3"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54</w:t>
            </w:r>
          </w:p>
        </w:tc>
        <w:tc>
          <w:tcPr>
            <w:tcW w:w="294" w:type="pct"/>
            <w:tcBorders>
              <w:top w:val="nil"/>
              <w:left w:val="nil"/>
              <w:bottom w:val="nil"/>
              <w:right w:val="nil"/>
            </w:tcBorders>
            <w:noWrap/>
            <w:vAlign w:val="center"/>
            <w:hideMark/>
          </w:tcPr>
          <w:p w14:paraId="7FFDAC7E" w14:textId="77777777" w:rsidR="007C49E7" w:rsidRPr="00F666E1" w:rsidRDefault="007C49E7" w:rsidP="005179A3">
            <w:pPr>
              <w:rPr>
                <w:rFonts w:ascii="Arial" w:hAnsi="Arial" w:cs="Arial"/>
                <w:color w:val="000000" w:themeColor="text1"/>
                <w:sz w:val="16"/>
                <w:szCs w:val="16"/>
              </w:rPr>
            </w:pPr>
            <w:proofErr w:type="spellStart"/>
            <w:r w:rsidRPr="00F666E1">
              <w:rPr>
                <w:rFonts w:ascii="Arial" w:hAnsi="Arial" w:cs="Arial"/>
                <w:color w:val="000000" w:themeColor="text1"/>
                <w:sz w:val="16"/>
                <w:szCs w:val="16"/>
              </w:rPr>
              <w:t>bc</w:t>
            </w:r>
            <w:proofErr w:type="spellEnd"/>
          </w:p>
        </w:tc>
        <w:tc>
          <w:tcPr>
            <w:tcW w:w="412" w:type="pct"/>
            <w:tcBorders>
              <w:top w:val="nil"/>
              <w:left w:val="nil"/>
              <w:bottom w:val="nil"/>
              <w:right w:val="nil"/>
            </w:tcBorders>
            <w:noWrap/>
            <w:vAlign w:val="bottom"/>
            <w:hideMark/>
          </w:tcPr>
          <w:p w14:paraId="41CF4F37"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60</w:t>
            </w:r>
          </w:p>
        </w:tc>
        <w:tc>
          <w:tcPr>
            <w:tcW w:w="214" w:type="pct"/>
            <w:tcBorders>
              <w:top w:val="nil"/>
              <w:left w:val="nil"/>
              <w:bottom w:val="nil"/>
              <w:right w:val="nil"/>
            </w:tcBorders>
            <w:noWrap/>
            <w:vAlign w:val="center"/>
            <w:hideMark/>
          </w:tcPr>
          <w:p w14:paraId="491ECB1E"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b</w:t>
            </w:r>
          </w:p>
        </w:tc>
        <w:tc>
          <w:tcPr>
            <w:tcW w:w="519" w:type="pct"/>
            <w:tcBorders>
              <w:top w:val="nil"/>
              <w:left w:val="nil"/>
              <w:bottom w:val="nil"/>
              <w:right w:val="nil"/>
            </w:tcBorders>
            <w:noWrap/>
            <w:vAlign w:val="bottom"/>
            <w:hideMark/>
          </w:tcPr>
          <w:p w14:paraId="3D632B72"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66.55</w:t>
            </w:r>
          </w:p>
        </w:tc>
        <w:tc>
          <w:tcPr>
            <w:tcW w:w="210" w:type="pct"/>
            <w:tcBorders>
              <w:top w:val="nil"/>
              <w:left w:val="nil"/>
              <w:bottom w:val="nil"/>
              <w:right w:val="nil"/>
            </w:tcBorders>
            <w:noWrap/>
            <w:vAlign w:val="center"/>
            <w:hideMark/>
          </w:tcPr>
          <w:p w14:paraId="20867D52"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c</w:t>
            </w:r>
          </w:p>
        </w:tc>
        <w:tc>
          <w:tcPr>
            <w:tcW w:w="519" w:type="pct"/>
            <w:tcBorders>
              <w:top w:val="nil"/>
              <w:left w:val="nil"/>
              <w:bottom w:val="nil"/>
              <w:right w:val="nil"/>
            </w:tcBorders>
            <w:noWrap/>
            <w:vAlign w:val="bottom"/>
            <w:hideMark/>
          </w:tcPr>
          <w:p w14:paraId="62828283"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16.88</w:t>
            </w:r>
          </w:p>
        </w:tc>
        <w:tc>
          <w:tcPr>
            <w:tcW w:w="211" w:type="pct"/>
            <w:tcBorders>
              <w:top w:val="nil"/>
              <w:left w:val="nil"/>
              <w:bottom w:val="nil"/>
              <w:right w:val="nil"/>
            </w:tcBorders>
            <w:noWrap/>
            <w:vAlign w:val="center"/>
            <w:hideMark/>
          </w:tcPr>
          <w:p w14:paraId="43D5BF9F"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c</w:t>
            </w:r>
          </w:p>
        </w:tc>
        <w:tc>
          <w:tcPr>
            <w:tcW w:w="519" w:type="pct"/>
            <w:tcBorders>
              <w:top w:val="nil"/>
              <w:left w:val="nil"/>
              <w:bottom w:val="nil"/>
              <w:right w:val="nil"/>
            </w:tcBorders>
            <w:noWrap/>
            <w:vAlign w:val="bottom"/>
            <w:hideMark/>
          </w:tcPr>
          <w:p w14:paraId="7A24FD0B"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15.51</w:t>
            </w:r>
          </w:p>
        </w:tc>
        <w:tc>
          <w:tcPr>
            <w:tcW w:w="211" w:type="pct"/>
            <w:tcBorders>
              <w:top w:val="nil"/>
              <w:left w:val="nil"/>
              <w:bottom w:val="nil"/>
              <w:right w:val="nil"/>
            </w:tcBorders>
            <w:noWrap/>
            <w:vAlign w:val="center"/>
            <w:hideMark/>
          </w:tcPr>
          <w:p w14:paraId="780C775E"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d</w:t>
            </w:r>
          </w:p>
        </w:tc>
        <w:tc>
          <w:tcPr>
            <w:tcW w:w="490" w:type="pct"/>
            <w:tcBorders>
              <w:top w:val="nil"/>
              <w:left w:val="nil"/>
              <w:bottom w:val="nil"/>
              <w:right w:val="nil"/>
            </w:tcBorders>
            <w:noWrap/>
            <w:vAlign w:val="bottom"/>
            <w:hideMark/>
          </w:tcPr>
          <w:p w14:paraId="114C5267"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4.58</w:t>
            </w:r>
          </w:p>
        </w:tc>
        <w:tc>
          <w:tcPr>
            <w:tcW w:w="209" w:type="pct"/>
            <w:tcBorders>
              <w:top w:val="nil"/>
              <w:left w:val="nil"/>
              <w:bottom w:val="nil"/>
              <w:right w:val="nil"/>
            </w:tcBorders>
            <w:noWrap/>
            <w:vAlign w:val="center"/>
            <w:hideMark/>
          </w:tcPr>
          <w:p w14:paraId="3801F9A2"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c</w:t>
            </w:r>
          </w:p>
        </w:tc>
      </w:tr>
      <w:tr w:rsidR="007C49E7" w:rsidRPr="006355D2" w14:paraId="25AB1D39" w14:textId="77777777" w:rsidTr="005179A3">
        <w:trPr>
          <w:trHeight w:val="230"/>
        </w:trPr>
        <w:tc>
          <w:tcPr>
            <w:tcW w:w="879" w:type="pct"/>
            <w:tcBorders>
              <w:top w:val="nil"/>
              <w:left w:val="nil"/>
              <w:bottom w:val="nil"/>
              <w:right w:val="nil"/>
            </w:tcBorders>
            <w:noWrap/>
            <w:vAlign w:val="center"/>
            <w:hideMark/>
          </w:tcPr>
          <w:p w14:paraId="2DD9EF17" w14:textId="47790D30" w:rsidR="007C49E7" w:rsidRPr="00F666E1" w:rsidRDefault="007C49E7" w:rsidP="005179A3">
            <w:pPr>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5</w:t>
            </w:r>
          </w:p>
        </w:tc>
        <w:tc>
          <w:tcPr>
            <w:tcW w:w="314" w:type="pct"/>
            <w:tcBorders>
              <w:top w:val="nil"/>
              <w:left w:val="nil"/>
              <w:bottom w:val="nil"/>
              <w:right w:val="nil"/>
            </w:tcBorders>
            <w:noWrap/>
            <w:vAlign w:val="center"/>
            <w:hideMark/>
          </w:tcPr>
          <w:p w14:paraId="1CB6068C"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54</w:t>
            </w:r>
          </w:p>
        </w:tc>
        <w:tc>
          <w:tcPr>
            <w:tcW w:w="294" w:type="pct"/>
            <w:tcBorders>
              <w:top w:val="nil"/>
              <w:left w:val="nil"/>
              <w:bottom w:val="nil"/>
              <w:right w:val="nil"/>
            </w:tcBorders>
            <w:noWrap/>
            <w:vAlign w:val="center"/>
            <w:hideMark/>
          </w:tcPr>
          <w:p w14:paraId="0E25DD63" w14:textId="77777777" w:rsidR="007C49E7" w:rsidRPr="00F666E1" w:rsidRDefault="007C49E7" w:rsidP="005179A3">
            <w:pPr>
              <w:rPr>
                <w:rFonts w:ascii="Arial" w:hAnsi="Arial" w:cs="Arial"/>
                <w:color w:val="000000" w:themeColor="text1"/>
                <w:sz w:val="16"/>
                <w:szCs w:val="16"/>
              </w:rPr>
            </w:pPr>
            <w:proofErr w:type="spellStart"/>
            <w:r w:rsidRPr="00F666E1">
              <w:rPr>
                <w:rFonts w:ascii="Arial" w:hAnsi="Arial" w:cs="Arial"/>
                <w:color w:val="000000" w:themeColor="text1"/>
                <w:sz w:val="16"/>
                <w:szCs w:val="16"/>
              </w:rPr>
              <w:t>bc</w:t>
            </w:r>
            <w:proofErr w:type="spellEnd"/>
          </w:p>
        </w:tc>
        <w:tc>
          <w:tcPr>
            <w:tcW w:w="412" w:type="pct"/>
            <w:tcBorders>
              <w:top w:val="nil"/>
              <w:left w:val="nil"/>
              <w:bottom w:val="nil"/>
              <w:right w:val="nil"/>
            </w:tcBorders>
            <w:noWrap/>
            <w:vAlign w:val="bottom"/>
            <w:hideMark/>
          </w:tcPr>
          <w:p w14:paraId="5DAADF1A"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60</w:t>
            </w:r>
          </w:p>
        </w:tc>
        <w:tc>
          <w:tcPr>
            <w:tcW w:w="214" w:type="pct"/>
            <w:tcBorders>
              <w:top w:val="nil"/>
              <w:left w:val="nil"/>
              <w:bottom w:val="nil"/>
              <w:right w:val="nil"/>
            </w:tcBorders>
            <w:noWrap/>
            <w:vAlign w:val="center"/>
            <w:hideMark/>
          </w:tcPr>
          <w:p w14:paraId="7F3DD4DD"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b</w:t>
            </w:r>
          </w:p>
        </w:tc>
        <w:tc>
          <w:tcPr>
            <w:tcW w:w="519" w:type="pct"/>
            <w:tcBorders>
              <w:top w:val="nil"/>
              <w:left w:val="nil"/>
              <w:bottom w:val="nil"/>
              <w:right w:val="nil"/>
            </w:tcBorders>
            <w:noWrap/>
            <w:vAlign w:val="bottom"/>
            <w:hideMark/>
          </w:tcPr>
          <w:p w14:paraId="021C1C1F"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76.40</w:t>
            </w:r>
          </w:p>
        </w:tc>
        <w:tc>
          <w:tcPr>
            <w:tcW w:w="210" w:type="pct"/>
            <w:tcBorders>
              <w:top w:val="nil"/>
              <w:left w:val="nil"/>
              <w:bottom w:val="nil"/>
              <w:right w:val="nil"/>
            </w:tcBorders>
            <w:noWrap/>
            <w:vAlign w:val="center"/>
            <w:hideMark/>
          </w:tcPr>
          <w:p w14:paraId="0B6F923A"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b</w:t>
            </w:r>
          </w:p>
        </w:tc>
        <w:tc>
          <w:tcPr>
            <w:tcW w:w="519" w:type="pct"/>
            <w:tcBorders>
              <w:top w:val="nil"/>
              <w:left w:val="nil"/>
              <w:bottom w:val="nil"/>
              <w:right w:val="nil"/>
            </w:tcBorders>
            <w:noWrap/>
            <w:vAlign w:val="bottom"/>
            <w:hideMark/>
          </w:tcPr>
          <w:p w14:paraId="5249810E"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18.73</w:t>
            </w:r>
          </w:p>
        </w:tc>
        <w:tc>
          <w:tcPr>
            <w:tcW w:w="211" w:type="pct"/>
            <w:tcBorders>
              <w:top w:val="nil"/>
              <w:left w:val="nil"/>
              <w:bottom w:val="nil"/>
              <w:right w:val="nil"/>
            </w:tcBorders>
            <w:noWrap/>
            <w:vAlign w:val="center"/>
            <w:hideMark/>
          </w:tcPr>
          <w:p w14:paraId="68E8D994"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b</w:t>
            </w:r>
          </w:p>
        </w:tc>
        <w:tc>
          <w:tcPr>
            <w:tcW w:w="519" w:type="pct"/>
            <w:tcBorders>
              <w:top w:val="nil"/>
              <w:left w:val="nil"/>
              <w:bottom w:val="nil"/>
              <w:right w:val="nil"/>
            </w:tcBorders>
            <w:noWrap/>
            <w:vAlign w:val="bottom"/>
            <w:hideMark/>
          </w:tcPr>
          <w:p w14:paraId="47EFFC13"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17.41</w:t>
            </w:r>
          </w:p>
        </w:tc>
        <w:tc>
          <w:tcPr>
            <w:tcW w:w="211" w:type="pct"/>
            <w:tcBorders>
              <w:top w:val="nil"/>
              <w:left w:val="nil"/>
              <w:bottom w:val="nil"/>
              <w:right w:val="nil"/>
            </w:tcBorders>
            <w:noWrap/>
            <w:vAlign w:val="center"/>
            <w:hideMark/>
          </w:tcPr>
          <w:p w14:paraId="5CA641AA"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c</w:t>
            </w:r>
          </w:p>
        </w:tc>
        <w:tc>
          <w:tcPr>
            <w:tcW w:w="490" w:type="pct"/>
            <w:tcBorders>
              <w:top w:val="nil"/>
              <w:left w:val="nil"/>
              <w:bottom w:val="nil"/>
              <w:right w:val="nil"/>
            </w:tcBorders>
            <w:noWrap/>
            <w:vAlign w:val="bottom"/>
            <w:hideMark/>
          </w:tcPr>
          <w:p w14:paraId="7131EBA6"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4.90</w:t>
            </w:r>
          </w:p>
        </w:tc>
        <w:tc>
          <w:tcPr>
            <w:tcW w:w="209" w:type="pct"/>
            <w:tcBorders>
              <w:top w:val="nil"/>
              <w:left w:val="nil"/>
              <w:bottom w:val="nil"/>
              <w:right w:val="nil"/>
            </w:tcBorders>
            <w:noWrap/>
            <w:vAlign w:val="center"/>
            <w:hideMark/>
          </w:tcPr>
          <w:p w14:paraId="232A37CB"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b</w:t>
            </w:r>
          </w:p>
        </w:tc>
      </w:tr>
      <w:tr w:rsidR="007C49E7" w:rsidRPr="006355D2" w14:paraId="6FEC5ABA" w14:textId="77777777" w:rsidTr="005179A3">
        <w:trPr>
          <w:trHeight w:val="230"/>
        </w:trPr>
        <w:tc>
          <w:tcPr>
            <w:tcW w:w="879" w:type="pct"/>
            <w:tcBorders>
              <w:top w:val="nil"/>
              <w:left w:val="nil"/>
              <w:bottom w:val="single" w:sz="4" w:space="0" w:color="auto"/>
              <w:right w:val="nil"/>
            </w:tcBorders>
            <w:noWrap/>
            <w:vAlign w:val="center"/>
            <w:hideMark/>
          </w:tcPr>
          <w:p w14:paraId="308CC935" w14:textId="18BCFF74" w:rsidR="007C49E7" w:rsidRPr="00F666E1" w:rsidRDefault="007C49E7" w:rsidP="005179A3">
            <w:pPr>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6</w:t>
            </w:r>
          </w:p>
        </w:tc>
        <w:tc>
          <w:tcPr>
            <w:tcW w:w="314" w:type="pct"/>
            <w:tcBorders>
              <w:top w:val="nil"/>
              <w:left w:val="nil"/>
              <w:bottom w:val="nil"/>
              <w:right w:val="nil"/>
            </w:tcBorders>
            <w:noWrap/>
            <w:vAlign w:val="center"/>
            <w:hideMark/>
          </w:tcPr>
          <w:p w14:paraId="240FC442"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53</w:t>
            </w:r>
          </w:p>
        </w:tc>
        <w:tc>
          <w:tcPr>
            <w:tcW w:w="294" w:type="pct"/>
            <w:tcBorders>
              <w:top w:val="nil"/>
              <w:left w:val="nil"/>
              <w:bottom w:val="nil"/>
              <w:right w:val="nil"/>
            </w:tcBorders>
            <w:noWrap/>
            <w:vAlign w:val="center"/>
            <w:hideMark/>
          </w:tcPr>
          <w:p w14:paraId="0BE8CED4"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c</w:t>
            </w:r>
          </w:p>
        </w:tc>
        <w:tc>
          <w:tcPr>
            <w:tcW w:w="412" w:type="pct"/>
            <w:tcBorders>
              <w:top w:val="nil"/>
              <w:left w:val="nil"/>
              <w:bottom w:val="nil"/>
              <w:right w:val="nil"/>
            </w:tcBorders>
            <w:noWrap/>
            <w:vAlign w:val="bottom"/>
            <w:hideMark/>
          </w:tcPr>
          <w:p w14:paraId="7D534CFD"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58</w:t>
            </w:r>
          </w:p>
        </w:tc>
        <w:tc>
          <w:tcPr>
            <w:tcW w:w="214" w:type="pct"/>
            <w:tcBorders>
              <w:top w:val="nil"/>
              <w:left w:val="nil"/>
              <w:bottom w:val="nil"/>
              <w:right w:val="nil"/>
            </w:tcBorders>
            <w:noWrap/>
            <w:vAlign w:val="center"/>
            <w:hideMark/>
          </w:tcPr>
          <w:p w14:paraId="7FBD8C07"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c</w:t>
            </w:r>
          </w:p>
        </w:tc>
        <w:tc>
          <w:tcPr>
            <w:tcW w:w="519" w:type="pct"/>
            <w:tcBorders>
              <w:top w:val="nil"/>
              <w:left w:val="nil"/>
              <w:bottom w:val="nil"/>
              <w:right w:val="nil"/>
            </w:tcBorders>
            <w:noWrap/>
            <w:vAlign w:val="bottom"/>
            <w:hideMark/>
          </w:tcPr>
          <w:p w14:paraId="25B1EE24"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94.55</w:t>
            </w:r>
          </w:p>
        </w:tc>
        <w:tc>
          <w:tcPr>
            <w:tcW w:w="210" w:type="pct"/>
            <w:tcBorders>
              <w:top w:val="nil"/>
              <w:left w:val="nil"/>
              <w:bottom w:val="nil"/>
              <w:right w:val="nil"/>
            </w:tcBorders>
            <w:noWrap/>
            <w:vAlign w:val="center"/>
            <w:hideMark/>
          </w:tcPr>
          <w:p w14:paraId="3609AFD3"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a</w:t>
            </w:r>
          </w:p>
        </w:tc>
        <w:tc>
          <w:tcPr>
            <w:tcW w:w="519" w:type="pct"/>
            <w:tcBorders>
              <w:top w:val="nil"/>
              <w:left w:val="nil"/>
              <w:bottom w:val="nil"/>
              <w:right w:val="nil"/>
            </w:tcBorders>
            <w:noWrap/>
            <w:vAlign w:val="bottom"/>
            <w:hideMark/>
          </w:tcPr>
          <w:p w14:paraId="2CAAF5D7"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20.47</w:t>
            </w:r>
          </w:p>
        </w:tc>
        <w:tc>
          <w:tcPr>
            <w:tcW w:w="211" w:type="pct"/>
            <w:tcBorders>
              <w:top w:val="nil"/>
              <w:left w:val="nil"/>
              <w:bottom w:val="nil"/>
              <w:right w:val="nil"/>
            </w:tcBorders>
            <w:noWrap/>
            <w:vAlign w:val="center"/>
            <w:hideMark/>
          </w:tcPr>
          <w:p w14:paraId="35A5F7D2"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a</w:t>
            </w:r>
          </w:p>
        </w:tc>
        <w:tc>
          <w:tcPr>
            <w:tcW w:w="519" w:type="pct"/>
            <w:tcBorders>
              <w:top w:val="nil"/>
              <w:left w:val="nil"/>
              <w:bottom w:val="nil"/>
              <w:right w:val="nil"/>
            </w:tcBorders>
            <w:noWrap/>
            <w:vAlign w:val="bottom"/>
            <w:hideMark/>
          </w:tcPr>
          <w:p w14:paraId="3B210E67"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18.73</w:t>
            </w:r>
          </w:p>
        </w:tc>
        <w:tc>
          <w:tcPr>
            <w:tcW w:w="211" w:type="pct"/>
            <w:tcBorders>
              <w:top w:val="nil"/>
              <w:left w:val="nil"/>
              <w:bottom w:val="nil"/>
              <w:right w:val="nil"/>
            </w:tcBorders>
            <w:noWrap/>
            <w:vAlign w:val="center"/>
            <w:hideMark/>
          </w:tcPr>
          <w:p w14:paraId="7E325A75"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b</w:t>
            </w:r>
          </w:p>
        </w:tc>
        <w:tc>
          <w:tcPr>
            <w:tcW w:w="490" w:type="pct"/>
            <w:tcBorders>
              <w:top w:val="nil"/>
              <w:left w:val="nil"/>
              <w:bottom w:val="nil"/>
              <w:right w:val="nil"/>
            </w:tcBorders>
            <w:noWrap/>
            <w:vAlign w:val="bottom"/>
            <w:hideMark/>
          </w:tcPr>
          <w:p w14:paraId="6CC540EC"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5.08</w:t>
            </w:r>
          </w:p>
        </w:tc>
        <w:tc>
          <w:tcPr>
            <w:tcW w:w="209" w:type="pct"/>
            <w:tcBorders>
              <w:top w:val="nil"/>
              <w:left w:val="nil"/>
              <w:bottom w:val="nil"/>
              <w:right w:val="nil"/>
            </w:tcBorders>
            <w:noWrap/>
            <w:vAlign w:val="center"/>
            <w:hideMark/>
          </w:tcPr>
          <w:p w14:paraId="665898D7"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a</w:t>
            </w:r>
          </w:p>
        </w:tc>
      </w:tr>
      <w:tr w:rsidR="00C13684" w:rsidRPr="006355D2" w14:paraId="7A9E08A4" w14:textId="77777777" w:rsidTr="005179A3">
        <w:trPr>
          <w:trHeight w:val="230"/>
        </w:trPr>
        <w:tc>
          <w:tcPr>
            <w:tcW w:w="879" w:type="pct"/>
            <w:tcBorders>
              <w:top w:val="nil"/>
              <w:left w:val="nil"/>
              <w:bottom w:val="nil"/>
              <w:right w:val="nil"/>
            </w:tcBorders>
            <w:noWrap/>
            <w:vAlign w:val="center"/>
            <w:hideMark/>
          </w:tcPr>
          <w:p w14:paraId="59617D9E" w14:textId="77777777" w:rsidR="00C13684" w:rsidRPr="00F666E1" w:rsidRDefault="00C13684" w:rsidP="005179A3">
            <w:pPr>
              <w:jc w:val="center"/>
              <w:rPr>
                <w:rFonts w:ascii="Arial" w:hAnsi="Arial" w:cs="Arial"/>
                <w:color w:val="000000" w:themeColor="text1"/>
                <w:sz w:val="16"/>
                <w:szCs w:val="16"/>
              </w:rPr>
            </w:pPr>
            <w:r w:rsidRPr="00F666E1">
              <w:rPr>
                <w:rFonts w:ascii="Arial" w:hAnsi="Arial" w:cs="Arial"/>
                <w:color w:val="000000" w:themeColor="text1"/>
                <w:sz w:val="16"/>
                <w:szCs w:val="16"/>
              </w:rPr>
              <w:t>LSD 0.05</w:t>
            </w:r>
          </w:p>
        </w:tc>
        <w:tc>
          <w:tcPr>
            <w:tcW w:w="607" w:type="pct"/>
            <w:gridSpan w:val="2"/>
            <w:tcBorders>
              <w:top w:val="single" w:sz="4" w:space="0" w:color="auto"/>
              <w:left w:val="nil"/>
              <w:bottom w:val="nil"/>
              <w:right w:val="nil"/>
            </w:tcBorders>
            <w:noWrap/>
            <w:vAlign w:val="center"/>
            <w:hideMark/>
          </w:tcPr>
          <w:p w14:paraId="0C1CED8B" w14:textId="77777777" w:rsidR="00C13684" w:rsidRPr="00F666E1" w:rsidRDefault="00C13684" w:rsidP="005179A3">
            <w:pPr>
              <w:jc w:val="center"/>
              <w:rPr>
                <w:rFonts w:ascii="Arial" w:hAnsi="Arial" w:cs="Arial"/>
                <w:color w:val="000000" w:themeColor="text1"/>
                <w:sz w:val="16"/>
                <w:szCs w:val="16"/>
              </w:rPr>
            </w:pPr>
            <w:r w:rsidRPr="00F666E1">
              <w:rPr>
                <w:rFonts w:ascii="Arial" w:hAnsi="Arial" w:cs="Arial"/>
                <w:color w:val="000000" w:themeColor="text1"/>
                <w:sz w:val="16"/>
                <w:szCs w:val="16"/>
              </w:rPr>
              <w:t>1.77</w:t>
            </w:r>
          </w:p>
        </w:tc>
        <w:tc>
          <w:tcPr>
            <w:tcW w:w="626" w:type="pct"/>
            <w:gridSpan w:val="2"/>
            <w:tcBorders>
              <w:top w:val="single" w:sz="4" w:space="0" w:color="auto"/>
              <w:left w:val="nil"/>
              <w:bottom w:val="nil"/>
              <w:right w:val="nil"/>
            </w:tcBorders>
            <w:noWrap/>
            <w:vAlign w:val="center"/>
            <w:hideMark/>
          </w:tcPr>
          <w:p w14:paraId="4CD1AA7D" w14:textId="77777777" w:rsidR="00C13684" w:rsidRPr="00F666E1" w:rsidRDefault="00C13684" w:rsidP="005179A3">
            <w:pPr>
              <w:jc w:val="center"/>
              <w:rPr>
                <w:rFonts w:ascii="Arial" w:hAnsi="Arial" w:cs="Arial"/>
                <w:color w:val="000000" w:themeColor="text1"/>
                <w:sz w:val="16"/>
                <w:szCs w:val="16"/>
              </w:rPr>
            </w:pPr>
            <w:r w:rsidRPr="00F666E1">
              <w:rPr>
                <w:rFonts w:ascii="Arial" w:hAnsi="Arial" w:cs="Arial"/>
                <w:color w:val="000000" w:themeColor="text1"/>
                <w:sz w:val="16"/>
                <w:szCs w:val="16"/>
              </w:rPr>
              <w:t>1.33</w:t>
            </w:r>
          </w:p>
        </w:tc>
        <w:tc>
          <w:tcPr>
            <w:tcW w:w="729" w:type="pct"/>
            <w:gridSpan w:val="2"/>
            <w:tcBorders>
              <w:top w:val="single" w:sz="4" w:space="0" w:color="auto"/>
              <w:left w:val="nil"/>
              <w:bottom w:val="nil"/>
              <w:right w:val="nil"/>
            </w:tcBorders>
            <w:noWrap/>
            <w:vAlign w:val="center"/>
            <w:hideMark/>
          </w:tcPr>
          <w:p w14:paraId="228651B5" w14:textId="77777777" w:rsidR="00C13684" w:rsidRPr="00F666E1" w:rsidRDefault="00C13684" w:rsidP="005179A3">
            <w:pPr>
              <w:jc w:val="center"/>
              <w:rPr>
                <w:rFonts w:ascii="Arial" w:hAnsi="Arial" w:cs="Arial"/>
                <w:color w:val="000000" w:themeColor="text1"/>
                <w:sz w:val="16"/>
                <w:szCs w:val="16"/>
              </w:rPr>
            </w:pPr>
            <w:r w:rsidRPr="00F666E1">
              <w:rPr>
                <w:rFonts w:ascii="Arial" w:hAnsi="Arial" w:cs="Arial"/>
                <w:color w:val="000000" w:themeColor="text1"/>
                <w:sz w:val="16"/>
                <w:szCs w:val="16"/>
              </w:rPr>
              <w:t>2.74</w:t>
            </w:r>
          </w:p>
        </w:tc>
        <w:tc>
          <w:tcPr>
            <w:tcW w:w="730" w:type="pct"/>
            <w:gridSpan w:val="2"/>
            <w:tcBorders>
              <w:top w:val="single" w:sz="4" w:space="0" w:color="auto"/>
              <w:left w:val="nil"/>
              <w:bottom w:val="nil"/>
              <w:right w:val="nil"/>
            </w:tcBorders>
            <w:noWrap/>
            <w:vAlign w:val="center"/>
            <w:hideMark/>
          </w:tcPr>
          <w:p w14:paraId="15F94D7F" w14:textId="77777777" w:rsidR="00C13684" w:rsidRPr="00F666E1" w:rsidRDefault="00C13684" w:rsidP="005179A3">
            <w:pPr>
              <w:jc w:val="center"/>
              <w:rPr>
                <w:rFonts w:ascii="Arial" w:hAnsi="Arial" w:cs="Arial"/>
                <w:color w:val="000000" w:themeColor="text1"/>
                <w:sz w:val="16"/>
                <w:szCs w:val="16"/>
              </w:rPr>
            </w:pPr>
            <w:r w:rsidRPr="00F666E1">
              <w:rPr>
                <w:rFonts w:ascii="Arial" w:hAnsi="Arial" w:cs="Arial"/>
                <w:color w:val="000000" w:themeColor="text1"/>
                <w:sz w:val="16"/>
                <w:szCs w:val="16"/>
              </w:rPr>
              <w:t>1.06</w:t>
            </w:r>
          </w:p>
        </w:tc>
        <w:tc>
          <w:tcPr>
            <w:tcW w:w="730" w:type="pct"/>
            <w:gridSpan w:val="2"/>
            <w:tcBorders>
              <w:top w:val="single" w:sz="4" w:space="0" w:color="auto"/>
              <w:left w:val="nil"/>
              <w:bottom w:val="nil"/>
              <w:right w:val="nil"/>
            </w:tcBorders>
            <w:noWrap/>
            <w:vAlign w:val="center"/>
            <w:hideMark/>
          </w:tcPr>
          <w:p w14:paraId="181EB238" w14:textId="77777777" w:rsidR="00C13684" w:rsidRPr="00F666E1" w:rsidRDefault="00C13684" w:rsidP="005179A3">
            <w:pPr>
              <w:jc w:val="center"/>
              <w:rPr>
                <w:rFonts w:ascii="Arial" w:hAnsi="Arial" w:cs="Arial"/>
                <w:color w:val="000000" w:themeColor="text1"/>
                <w:sz w:val="16"/>
                <w:szCs w:val="16"/>
              </w:rPr>
            </w:pPr>
            <w:r w:rsidRPr="00F666E1">
              <w:rPr>
                <w:rFonts w:ascii="Arial" w:hAnsi="Arial" w:cs="Arial"/>
                <w:color w:val="000000" w:themeColor="text1"/>
                <w:sz w:val="16"/>
                <w:szCs w:val="16"/>
              </w:rPr>
              <w:t>0.31</w:t>
            </w:r>
          </w:p>
        </w:tc>
        <w:tc>
          <w:tcPr>
            <w:tcW w:w="699" w:type="pct"/>
            <w:gridSpan w:val="2"/>
            <w:tcBorders>
              <w:top w:val="single" w:sz="4" w:space="0" w:color="auto"/>
              <w:left w:val="nil"/>
              <w:bottom w:val="nil"/>
              <w:right w:val="nil"/>
            </w:tcBorders>
            <w:noWrap/>
            <w:vAlign w:val="center"/>
            <w:hideMark/>
          </w:tcPr>
          <w:p w14:paraId="6CA7C0D8" w14:textId="77777777" w:rsidR="00C13684" w:rsidRPr="00F666E1" w:rsidRDefault="00C13684" w:rsidP="005179A3">
            <w:pPr>
              <w:jc w:val="center"/>
              <w:rPr>
                <w:rFonts w:ascii="Arial" w:hAnsi="Arial" w:cs="Arial"/>
                <w:color w:val="000000" w:themeColor="text1"/>
                <w:sz w:val="16"/>
                <w:szCs w:val="16"/>
              </w:rPr>
            </w:pPr>
            <w:r w:rsidRPr="00F666E1">
              <w:rPr>
                <w:rFonts w:ascii="Arial" w:hAnsi="Arial" w:cs="Arial"/>
                <w:color w:val="000000" w:themeColor="text1"/>
                <w:sz w:val="16"/>
                <w:szCs w:val="16"/>
              </w:rPr>
              <w:t>0.13</w:t>
            </w:r>
          </w:p>
        </w:tc>
      </w:tr>
      <w:tr w:rsidR="00C13684" w:rsidRPr="006355D2" w14:paraId="1B2A86E5" w14:textId="77777777" w:rsidTr="005179A3">
        <w:trPr>
          <w:trHeight w:val="230"/>
        </w:trPr>
        <w:tc>
          <w:tcPr>
            <w:tcW w:w="879" w:type="pct"/>
            <w:tcBorders>
              <w:top w:val="nil"/>
              <w:left w:val="nil"/>
              <w:bottom w:val="nil"/>
              <w:right w:val="nil"/>
            </w:tcBorders>
            <w:noWrap/>
            <w:vAlign w:val="center"/>
            <w:hideMark/>
          </w:tcPr>
          <w:p w14:paraId="1BBE6441" w14:textId="77777777" w:rsidR="00C13684" w:rsidRPr="00F666E1" w:rsidRDefault="00C13684" w:rsidP="005179A3">
            <w:pPr>
              <w:jc w:val="center"/>
              <w:rPr>
                <w:rFonts w:ascii="Arial" w:hAnsi="Arial" w:cs="Arial"/>
                <w:color w:val="000000" w:themeColor="text1"/>
                <w:sz w:val="16"/>
                <w:szCs w:val="16"/>
              </w:rPr>
            </w:pPr>
            <w:proofErr w:type="spellStart"/>
            <w:r w:rsidRPr="00F666E1">
              <w:rPr>
                <w:rFonts w:ascii="Arial" w:hAnsi="Arial" w:cs="Arial"/>
                <w:color w:val="000000" w:themeColor="text1"/>
                <w:sz w:val="16"/>
                <w:szCs w:val="16"/>
              </w:rPr>
              <w:t>Pr</w:t>
            </w:r>
            <w:proofErr w:type="spellEnd"/>
            <w:r w:rsidRPr="00F666E1">
              <w:rPr>
                <w:rFonts w:ascii="Arial" w:hAnsi="Arial" w:cs="Arial"/>
                <w:color w:val="000000" w:themeColor="text1"/>
                <w:sz w:val="16"/>
                <w:szCs w:val="16"/>
              </w:rPr>
              <w:t>&gt;F</w:t>
            </w:r>
          </w:p>
        </w:tc>
        <w:tc>
          <w:tcPr>
            <w:tcW w:w="607" w:type="pct"/>
            <w:gridSpan w:val="2"/>
            <w:tcBorders>
              <w:top w:val="single" w:sz="4" w:space="0" w:color="auto"/>
              <w:left w:val="nil"/>
              <w:bottom w:val="nil"/>
              <w:right w:val="nil"/>
            </w:tcBorders>
            <w:noWrap/>
            <w:vAlign w:val="center"/>
            <w:hideMark/>
          </w:tcPr>
          <w:p w14:paraId="7218E202" w14:textId="77777777" w:rsidR="00C13684" w:rsidRPr="00F666E1" w:rsidRDefault="00C13684" w:rsidP="005179A3">
            <w:pPr>
              <w:jc w:val="center"/>
              <w:rPr>
                <w:rFonts w:ascii="Arial" w:hAnsi="Arial" w:cs="Arial"/>
                <w:color w:val="000000" w:themeColor="text1"/>
                <w:sz w:val="16"/>
                <w:szCs w:val="16"/>
              </w:rPr>
            </w:pPr>
            <w:r w:rsidRPr="00F666E1">
              <w:rPr>
                <w:rFonts w:ascii="Arial" w:hAnsi="Arial" w:cs="Arial"/>
                <w:color w:val="000000" w:themeColor="text1"/>
                <w:sz w:val="16"/>
                <w:szCs w:val="16"/>
              </w:rPr>
              <w:t>**</w:t>
            </w:r>
          </w:p>
        </w:tc>
        <w:tc>
          <w:tcPr>
            <w:tcW w:w="626" w:type="pct"/>
            <w:gridSpan w:val="2"/>
            <w:tcBorders>
              <w:top w:val="single" w:sz="4" w:space="0" w:color="auto"/>
              <w:left w:val="nil"/>
              <w:bottom w:val="nil"/>
              <w:right w:val="nil"/>
            </w:tcBorders>
            <w:noWrap/>
            <w:vAlign w:val="center"/>
            <w:hideMark/>
          </w:tcPr>
          <w:p w14:paraId="3FA3631C" w14:textId="77777777" w:rsidR="00C13684" w:rsidRPr="00F666E1" w:rsidRDefault="00C13684" w:rsidP="005179A3">
            <w:pPr>
              <w:jc w:val="center"/>
              <w:rPr>
                <w:rFonts w:ascii="Arial" w:hAnsi="Arial" w:cs="Arial"/>
                <w:color w:val="000000" w:themeColor="text1"/>
                <w:sz w:val="16"/>
                <w:szCs w:val="16"/>
              </w:rPr>
            </w:pPr>
            <w:r w:rsidRPr="00F666E1">
              <w:rPr>
                <w:rFonts w:ascii="Arial" w:hAnsi="Arial" w:cs="Arial"/>
                <w:color w:val="000000" w:themeColor="text1"/>
                <w:sz w:val="16"/>
                <w:szCs w:val="16"/>
              </w:rPr>
              <w:t>**</w:t>
            </w:r>
          </w:p>
        </w:tc>
        <w:tc>
          <w:tcPr>
            <w:tcW w:w="729" w:type="pct"/>
            <w:gridSpan w:val="2"/>
            <w:tcBorders>
              <w:top w:val="single" w:sz="4" w:space="0" w:color="auto"/>
              <w:left w:val="nil"/>
              <w:bottom w:val="nil"/>
              <w:right w:val="nil"/>
            </w:tcBorders>
            <w:noWrap/>
            <w:vAlign w:val="center"/>
            <w:hideMark/>
          </w:tcPr>
          <w:p w14:paraId="7A1DF0BA" w14:textId="77777777" w:rsidR="00C13684" w:rsidRPr="00F666E1" w:rsidRDefault="00C13684" w:rsidP="005179A3">
            <w:pPr>
              <w:jc w:val="center"/>
              <w:rPr>
                <w:rFonts w:ascii="Arial" w:hAnsi="Arial" w:cs="Arial"/>
                <w:color w:val="000000" w:themeColor="text1"/>
                <w:sz w:val="16"/>
                <w:szCs w:val="16"/>
              </w:rPr>
            </w:pPr>
            <w:r w:rsidRPr="00F666E1">
              <w:rPr>
                <w:rFonts w:ascii="Arial" w:hAnsi="Arial" w:cs="Arial"/>
                <w:color w:val="000000" w:themeColor="text1"/>
                <w:sz w:val="16"/>
                <w:szCs w:val="16"/>
              </w:rPr>
              <w:t>**</w:t>
            </w:r>
          </w:p>
        </w:tc>
        <w:tc>
          <w:tcPr>
            <w:tcW w:w="730" w:type="pct"/>
            <w:gridSpan w:val="2"/>
            <w:tcBorders>
              <w:top w:val="single" w:sz="4" w:space="0" w:color="auto"/>
              <w:left w:val="nil"/>
              <w:bottom w:val="nil"/>
              <w:right w:val="nil"/>
            </w:tcBorders>
            <w:noWrap/>
            <w:vAlign w:val="center"/>
            <w:hideMark/>
          </w:tcPr>
          <w:p w14:paraId="69A8FB51" w14:textId="77777777" w:rsidR="00C13684" w:rsidRPr="00F666E1" w:rsidRDefault="00C13684" w:rsidP="005179A3">
            <w:pPr>
              <w:jc w:val="center"/>
              <w:rPr>
                <w:rFonts w:ascii="Arial" w:hAnsi="Arial" w:cs="Arial"/>
                <w:color w:val="000000" w:themeColor="text1"/>
                <w:sz w:val="16"/>
                <w:szCs w:val="16"/>
              </w:rPr>
            </w:pPr>
            <w:r w:rsidRPr="00F666E1">
              <w:rPr>
                <w:rFonts w:ascii="Arial" w:hAnsi="Arial" w:cs="Arial"/>
                <w:color w:val="000000" w:themeColor="text1"/>
                <w:sz w:val="16"/>
                <w:szCs w:val="16"/>
              </w:rPr>
              <w:t>**</w:t>
            </w:r>
          </w:p>
        </w:tc>
        <w:tc>
          <w:tcPr>
            <w:tcW w:w="730" w:type="pct"/>
            <w:gridSpan w:val="2"/>
            <w:tcBorders>
              <w:top w:val="single" w:sz="4" w:space="0" w:color="auto"/>
              <w:left w:val="nil"/>
              <w:bottom w:val="nil"/>
              <w:right w:val="nil"/>
            </w:tcBorders>
            <w:noWrap/>
            <w:vAlign w:val="center"/>
            <w:hideMark/>
          </w:tcPr>
          <w:p w14:paraId="12BE340F" w14:textId="77777777" w:rsidR="00C13684" w:rsidRPr="00F666E1" w:rsidRDefault="00C13684" w:rsidP="005179A3">
            <w:pPr>
              <w:jc w:val="center"/>
              <w:rPr>
                <w:rFonts w:ascii="Arial" w:hAnsi="Arial" w:cs="Arial"/>
                <w:color w:val="000000" w:themeColor="text1"/>
                <w:sz w:val="16"/>
                <w:szCs w:val="16"/>
              </w:rPr>
            </w:pPr>
            <w:r w:rsidRPr="00F666E1">
              <w:rPr>
                <w:rFonts w:ascii="Arial" w:hAnsi="Arial" w:cs="Arial"/>
                <w:color w:val="000000" w:themeColor="text1"/>
                <w:sz w:val="16"/>
                <w:szCs w:val="16"/>
              </w:rPr>
              <w:t>**</w:t>
            </w:r>
          </w:p>
        </w:tc>
        <w:tc>
          <w:tcPr>
            <w:tcW w:w="699" w:type="pct"/>
            <w:gridSpan w:val="2"/>
            <w:tcBorders>
              <w:top w:val="single" w:sz="4" w:space="0" w:color="auto"/>
              <w:left w:val="nil"/>
              <w:bottom w:val="nil"/>
              <w:right w:val="nil"/>
            </w:tcBorders>
            <w:noWrap/>
            <w:vAlign w:val="center"/>
            <w:hideMark/>
          </w:tcPr>
          <w:p w14:paraId="25DFF0ED" w14:textId="77777777" w:rsidR="00C13684" w:rsidRPr="00F666E1" w:rsidRDefault="00C13684" w:rsidP="005179A3">
            <w:pPr>
              <w:jc w:val="center"/>
              <w:rPr>
                <w:rFonts w:ascii="Arial" w:hAnsi="Arial" w:cs="Arial"/>
                <w:color w:val="000000" w:themeColor="text1"/>
                <w:sz w:val="16"/>
                <w:szCs w:val="16"/>
              </w:rPr>
            </w:pPr>
            <w:r w:rsidRPr="00F666E1">
              <w:rPr>
                <w:rFonts w:ascii="Arial" w:hAnsi="Arial" w:cs="Arial"/>
                <w:color w:val="000000" w:themeColor="text1"/>
                <w:sz w:val="16"/>
                <w:szCs w:val="16"/>
              </w:rPr>
              <w:t>**</w:t>
            </w:r>
          </w:p>
        </w:tc>
      </w:tr>
      <w:tr w:rsidR="00C13684" w:rsidRPr="006355D2" w14:paraId="61E4275D" w14:textId="77777777" w:rsidTr="005179A3">
        <w:trPr>
          <w:trHeight w:val="230"/>
        </w:trPr>
        <w:tc>
          <w:tcPr>
            <w:tcW w:w="879" w:type="pct"/>
            <w:tcBorders>
              <w:top w:val="nil"/>
              <w:left w:val="nil"/>
              <w:bottom w:val="single" w:sz="4" w:space="0" w:color="auto"/>
              <w:right w:val="nil"/>
            </w:tcBorders>
            <w:noWrap/>
            <w:vAlign w:val="center"/>
            <w:hideMark/>
          </w:tcPr>
          <w:p w14:paraId="4985CE04" w14:textId="77777777" w:rsidR="00C13684" w:rsidRPr="00F666E1" w:rsidRDefault="00C13684" w:rsidP="005179A3">
            <w:pPr>
              <w:jc w:val="center"/>
              <w:rPr>
                <w:rFonts w:ascii="Arial" w:hAnsi="Arial" w:cs="Arial"/>
                <w:color w:val="000000" w:themeColor="text1"/>
                <w:sz w:val="16"/>
                <w:szCs w:val="16"/>
              </w:rPr>
            </w:pPr>
            <w:r w:rsidRPr="00F666E1">
              <w:rPr>
                <w:rFonts w:ascii="Arial" w:hAnsi="Arial" w:cs="Arial"/>
                <w:color w:val="000000" w:themeColor="text1"/>
                <w:sz w:val="16"/>
                <w:szCs w:val="16"/>
              </w:rPr>
              <w:t>CV%</w:t>
            </w:r>
          </w:p>
        </w:tc>
        <w:tc>
          <w:tcPr>
            <w:tcW w:w="607" w:type="pct"/>
            <w:gridSpan w:val="2"/>
            <w:tcBorders>
              <w:top w:val="single" w:sz="4" w:space="0" w:color="auto"/>
              <w:left w:val="nil"/>
              <w:bottom w:val="single" w:sz="4" w:space="0" w:color="auto"/>
              <w:right w:val="nil"/>
            </w:tcBorders>
            <w:noWrap/>
            <w:vAlign w:val="center"/>
            <w:hideMark/>
          </w:tcPr>
          <w:p w14:paraId="2D3D4C97" w14:textId="77777777" w:rsidR="00C13684" w:rsidRPr="00F666E1" w:rsidRDefault="00C13684" w:rsidP="005179A3">
            <w:pPr>
              <w:jc w:val="center"/>
              <w:rPr>
                <w:rFonts w:ascii="Arial" w:hAnsi="Arial" w:cs="Arial"/>
                <w:color w:val="000000" w:themeColor="text1"/>
                <w:sz w:val="16"/>
                <w:szCs w:val="16"/>
              </w:rPr>
            </w:pPr>
            <w:r w:rsidRPr="00F666E1">
              <w:rPr>
                <w:rFonts w:ascii="Arial" w:hAnsi="Arial" w:cs="Arial"/>
                <w:color w:val="000000" w:themeColor="text1"/>
                <w:sz w:val="16"/>
                <w:szCs w:val="16"/>
              </w:rPr>
              <w:t>2.17</w:t>
            </w:r>
          </w:p>
        </w:tc>
        <w:tc>
          <w:tcPr>
            <w:tcW w:w="626" w:type="pct"/>
            <w:gridSpan w:val="2"/>
            <w:tcBorders>
              <w:top w:val="single" w:sz="4" w:space="0" w:color="auto"/>
              <w:left w:val="nil"/>
              <w:bottom w:val="single" w:sz="4" w:space="0" w:color="auto"/>
              <w:right w:val="nil"/>
            </w:tcBorders>
            <w:noWrap/>
            <w:vAlign w:val="center"/>
            <w:hideMark/>
          </w:tcPr>
          <w:p w14:paraId="23B00E3B" w14:textId="77777777" w:rsidR="00C13684" w:rsidRPr="00F666E1" w:rsidRDefault="00C13684" w:rsidP="005179A3">
            <w:pPr>
              <w:jc w:val="center"/>
              <w:rPr>
                <w:rFonts w:ascii="Arial" w:hAnsi="Arial" w:cs="Arial"/>
                <w:color w:val="000000" w:themeColor="text1"/>
                <w:sz w:val="16"/>
                <w:szCs w:val="16"/>
              </w:rPr>
            </w:pPr>
            <w:r w:rsidRPr="00F666E1">
              <w:rPr>
                <w:rFonts w:ascii="Arial" w:hAnsi="Arial" w:cs="Arial"/>
                <w:color w:val="000000" w:themeColor="text1"/>
                <w:sz w:val="16"/>
                <w:szCs w:val="16"/>
              </w:rPr>
              <w:t>1.46</w:t>
            </w:r>
          </w:p>
        </w:tc>
        <w:tc>
          <w:tcPr>
            <w:tcW w:w="729" w:type="pct"/>
            <w:gridSpan w:val="2"/>
            <w:tcBorders>
              <w:top w:val="single" w:sz="4" w:space="0" w:color="auto"/>
              <w:left w:val="nil"/>
              <w:bottom w:val="single" w:sz="4" w:space="0" w:color="auto"/>
              <w:right w:val="nil"/>
            </w:tcBorders>
            <w:noWrap/>
            <w:vAlign w:val="center"/>
            <w:hideMark/>
          </w:tcPr>
          <w:p w14:paraId="341EAAF3" w14:textId="77777777" w:rsidR="00C13684" w:rsidRPr="00F666E1" w:rsidRDefault="00C13684" w:rsidP="005179A3">
            <w:pPr>
              <w:jc w:val="center"/>
              <w:rPr>
                <w:rFonts w:ascii="Arial" w:hAnsi="Arial" w:cs="Arial"/>
                <w:color w:val="000000" w:themeColor="text1"/>
                <w:sz w:val="16"/>
                <w:szCs w:val="16"/>
              </w:rPr>
            </w:pPr>
            <w:r w:rsidRPr="00F666E1">
              <w:rPr>
                <w:rFonts w:ascii="Arial" w:hAnsi="Arial" w:cs="Arial"/>
                <w:color w:val="000000" w:themeColor="text1"/>
                <w:sz w:val="16"/>
                <w:szCs w:val="16"/>
              </w:rPr>
              <w:t>2.63</w:t>
            </w:r>
          </w:p>
        </w:tc>
        <w:tc>
          <w:tcPr>
            <w:tcW w:w="730" w:type="pct"/>
            <w:gridSpan w:val="2"/>
            <w:tcBorders>
              <w:top w:val="single" w:sz="4" w:space="0" w:color="auto"/>
              <w:left w:val="nil"/>
              <w:bottom w:val="single" w:sz="4" w:space="0" w:color="auto"/>
              <w:right w:val="nil"/>
            </w:tcBorders>
            <w:noWrap/>
            <w:vAlign w:val="center"/>
            <w:hideMark/>
          </w:tcPr>
          <w:p w14:paraId="17910AFD" w14:textId="77777777" w:rsidR="00C13684" w:rsidRPr="00F666E1" w:rsidRDefault="00C13684" w:rsidP="005179A3">
            <w:pPr>
              <w:jc w:val="center"/>
              <w:rPr>
                <w:rFonts w:ascii="Arial" w:hAnsi="Arial" w:cs="Arial"/>
                <w:color w:val="000000" w:themeColor="text1"/>
                <w:sz w:val="16"/>
                <w:szCs w:val="16"/>
              </w:rPr>
            </w:pPr>
            <w:r w:rsidRPr="00F666E1">
              <w:rPr>
                <w:rFonts w:ascii="Arial" w:hAnsi="Arial" w:cs="Arial"/>
                <w:color w:val="000000" w:themeColor="text1"/>
                <w:sz w:val="16"/>
                <w:szCs w:val="16"/>
              </w:rPr>
              <w:t>4.03</w:t>
            </w:r>
          </w:p>
        </w:tc>
        <w:tc>
          <w:tcPr>
            <w:tcW w:w="730" w:type="pct"/>
            <w:gridSpan w:val="2"/>
            <w:tcBorders>
              <w:top w:val="single" w:sz="4" w:space="0" w:color="auto"/>
              <w:left w:val="nil"/>
              <w:bottom w:val="single" w:sz="4" w:space="0" w:color="auto"/>
              <w:right w:val="nil"/>
            </w:tcBorders>
            <w:noWrap/>
            <w:vAlign w:val="center"/>
            <w:hideMark/>
          </w:tcPr>
          <w:p w14:paraId="325F562A" w14:textId="77777777" w:rsidR="00C13684" w:rsidRPr="00F666E1" w:rsidRDefault="00C13684" w:rsidP="005179A3">
            <w:pPr>
              <w:jc w:val="center"/>
              <w:rPr>
                <w:rFonts w:ascii="Arial" w:hAnsi="Arial" w:cs="Arial"/>
                <w:color w:val="000000" w:themeColor="text1"/>
                <w:sz w:val="16"/>
                <w:szCs w:val="16"/>
              </w:rPr>
            </w:pPr>
            <w:r w:rsidRPr="00F666E1">
              <w:rPr>
                <w:rFonts w:ascii="Arial" w:hAnsi="Arial" w:cs="Arial"/>
                <w:color w:val="000000" w:themeColor="text1"/>
                <w:sz w:val="16"/>
                <w:szCs w:val="16"/>
              </w:rPr>
              <w:t>1.28</w:t>
            </w:r>
          </w:p>
        </w:tc>
        <w:tc>
          <w:tcPr>
            <w:tcW w:w="699" w:type="pct"/>
            <w:gridSpan w:val="2"/>
            <w:tcBorders>
              <w:top w:val="single" w:sz="4" w:space="0" w:color="auto"/>
              <w:left w:val="nil"/>
              <w:bottom w:val="single" w:sz="4" w:space="0" w:color="auto"/>
              <w:right w:val="nil"/>
            </w:tcBorders>
            <w:noWrap/>
            <w:vAlign w:val="center"/>
            <w:hideMark/>
          </w:tcPr>
          <w:p w14:paraId="0E796353" w14:textId="77777777" w:rsidR="00C13684" w:rsidRPr="00F666E1" w:rsidRDefault="00C13684" w:rsidP="005179A3">
            <w:pPr>
              <w:jc w:val="center"/>
              <w:rPr>
                <w:rFonts w:ascii="Arial" w:hAnsi="Arial" w:cs="Arial"/>
                <w:color w:val="000000" w:themeColor="text1"/>
                <w:sz w:val="16"/>
                <w:szCs w:val="16"/>
              </w:rPr>
            </w:pPr>
            <w:r w:rsidRPr="00F666E1">
              <w:rPr>
                <w:rFonts w:ascii="Arial" w:hAnsi="Arial" w:cs="Arial"/>
                <w:color w:val="000000" w:themeColor="text1"/>
                <w:sz w:val="16"/>
                <w:szCs w:val="16"/>
              </w:rPr>
              <w:t>1.80</w:t>
            </w:r>
          </w:p>
        </w:tc>
      </w:tr>
    </w:tbl>
    <w:p w14:paraId="08C70E2E" w14:textId="77777777" w:rsidR="00C13684" w:rsidRPr="006355D2" w:rsidRDefault="00C13684" w:rsidP="00C13684">
      <w:pPr>
        <w:ind w:left="990" w:hanging="990"/>
        <w:jc w:val="both"/>
        <w:rPr>
          <w:rFonts w:ascii="Arial" w:hAnsi="Arial" w:cs="Arial"/>
          <w:noProof/>
          <w:color w:val="000000" w:themeColor="text1"/>
        </w:rPr>
      </w:pPr>
    </w:p>
    <w:p w14:paraId="6EA7A731" w14:textId="77777777" w:rsidR="0092235A" w:rsidRPr="0092235A" w:rsidRDefault="0092235A" w:rsidP="0092235A">
      <w:pPr>
        <w:jc w:val="both"/>
        <w:rPr>
          <w:rFonts w:ascii="Arial" w:hAnsi="Arial" w:cs="Arial"/>
          <w:noProof/>
          <w:color w:val="000000" w:themeColor="text1"/>
          <w:sz w:val="16"/>
          <w:szCs w:val="16"/>
        </w:rPr>
      </w:pPr>
      <w:r w:rsidRPr="0092235A">
        <w:rPr>
          <w:rFonts w:ascii="Arial" w:hAnsi="Arial" w:cs="Arial"/>
          <w:noProof/>
          <w:color w:val="000000" w:themeColor="text1"/>
          <w:sz w:val="16"/>
          <w:szCs w:val="16"/>
        </w:rPr>
        <w:t>Means followed by the same letter in each column are not significantly different</w:t>
      </w:r>
    </w:p>
    <w:p w14:paraId="30C5F9B7" w14:textId="77777777" w:rsidR="0092235A" w:rsidRPr="0092235A" w:rsidRDefault="0092235A" w:rsidP="0092235A">
      <w:pPr>
        <w:jc w:val="both"/>
        <w:rPr>
          <w:rFonts w:ascii="Arial" w:hAnsi="Arial" w:cs="Arial"/>
          <w:noProof/>
          <w:color w:val="000000" w:themeColor="text1"/>
          <w:sz w:val="16"/>
          <w:szCs w:val="16"/>
        </w:rPr>
      </w:pPr>
      <w:r w:rsidRPr="0092235A">
        <w:rPr>
          <w:rFonts w:ascii="Arial" w:hAnsi="Arial" w:cs="Arial"/>
          <w:bCs/>
          <w:noProof/>
          <w:color w:val="000000" w:themeColor="text1"/>
          <w:sz w:val="16"/>
          <w:szCs w:val="16"/>
        </w:rPr>
        <w:t>** Significant difference at 1% level</w:t>
      </w:r>
    </w:p>
    <w:p w14:paraId="56951836" w14:textId="77777777" w:rsidR="00F666E1" w:rsidRPr="0092235A" w:rsidRDefault="00C13684" w:rsidP="00F666E1">
      <w:pPr>
        <w:jc w:val="both"/>
        <w:rPr>
          <w:rFonts w:ascii="Arial" w:hAnsi="Arial" w:cs="Arial"/>
          <w:noProof/>
          <w:color w:val="000000" w:themeColor="text1"/>
          <w:sz w:val="16"/>
          <w:szCs w:val="16"/>
        </w:rPr>
      </w:pPr>
      <w:r w:rsidRPr="0092235A">
        <w:rPr>
          <w:rFonts w:ascii="Arial" w:hAnsi="Arial" w:cs="Arial"/>
          <w:noProof/>
          <w:color w:val="000000" w:themeColor="text1"/>
          <w:sz w:val="16"/>
          <w:szCs w:val="16"/>
        </w:rPr>
        <w:t>DA = days to 50% tasseling, DS = days to 50% silking, EH = ear height, EL = ear length, RL = row length, ED = ear diameter</w:t>
      </w:r>
      <w:bookmarkStart w:id="2" w:name="_Hlk206875459"/>
    </w:p>
    <w:p w14:paraId="0F6D4627" w14:textId="6DDD1C57" w:rsidR="00C13684" w:rsidRDefault="00F42131" w:rsidP="00F666E1">
      <w:pPr>
        <w:spacing w:before="120" w:after="120"/>
        <w:ind w:left="990" w:hanging="990"/>
        <w:jc w:val="both"/>
        <w:rPr>
          <w:rFonts w:ascii="Arial" w:hAnsi="Arial" w:cs="Arial"/>
          <w:b/>
          <w:bCs/>
          <w:color w:val="000000" w:themeColor="text1"/>
        </w:rPr>
      </w:pPr>
      <w:r w:rsidRPr="00F42131">
        <w:rPr>
          <w:rFonts w:ascii="Arial" w:hAnsi="Arial" w:cs="Arial"/>
          <w:b/>
          <w:bCs/>
          <w:color w:val="000000" w:themeColor="text1"/>
        </w:rPr>
        <w:t>3.</w:t>
      </w:r>
      <w:r w:rsidR="00C13684" w:rsidRPr="00F42131">
        <w:rPr>
          <w:rFonts w:ascii="Arial" w:hAnsi="Arial" w:cs="Arial"/>
          <w:b/>
          <w:bCs/>
          <w:color w:val="000000" w:themeColor="text1"/>
        </w:rPr>
        <w:t>1.6 Number of Rows per Ear and Kernels per Row</w:t>
      </w:r>
    </w:p>
    <w:p w14:paraId="7D6A9D73" w14:textId="5EA5070B" w:rsidR="0092235A" w:rsidRPr="0092235A" w:rsidRDefault="0092235A" w:rsidP="0092235A">
      <w:pPr>
        <w:spacing w:before="120" w:after="120"/>
        <w:ind w:firstLine="720"/>
        <w:jc w:val="both"/>
        <w:rPr>
          <w:rFonts w:ascii="Arial" w:hAnsi="Arial" w:cs="Arial"/>
          <w:color w:val="000000" w:themeColor="text1"/>
        </w:rPr>
      </w:pPr>
      <w:r w:rsidRPr="0092235A">
        <w:rPr>
          <w:rFonts w:ascii="Arial" w:hAnsi="Arial" w:cs="Arial"/>
          <w:color w:val="000000" w:themeColor="text1"/>
        </w:rPr>
        <w:t>The number of rows per ear was highest in treatment T</w:t>
      </w:r>
      <w:r w:rsidRPr="0092235A">
        <w:rPr>
          <w:rFonts w:ascii="Cambria Math" w:hAnsi="Cambria Math" w:cs="Cambria Math"/>
          <w:color w:val="000000" w:themeColor="text1"/>
        </w:rPr>
        <w:t>₆</w:t>
      </w:r>
      <w:r w:rsidRPr="0092235A">
        <w:rPr>
          <w:rFonts w:ascii="Arial" w:hAnsi="Arial" w:cs="Arial"/>
          <w:color w:val="000000" w:themeColor="text1"/>
        </w:rPr>
        <w:t xml:space="preserve"> (14.30) and T</w:t>
      </w:r>
      <w:r w:rsidRPr="0092235A">
        <w:rPr>
          <w:rFonts w:ascii="Cambria Math" w:hAnsi="Cambria Math" w:cs="Cambria Math"/>
          <w:color w:val="000000" w:themeColor="text1"/>
        </w:rPr>
        <w:t>₃</w:t>
      </w:r>
      <w:r w:rsidRPr="0092235A">
        <w:rPr>
          <w:rFonts w:ascii="Arial" w:hAnsi="Arial" w:cs="Arial"/>
          <w:color w:val="000000" w:themeColor="text1"/>
        </w:rPr>
        <w:t xml:space="preserve"> (13.90), while the number of kernels per row was greatest in T</w:t>
      </w:r>
      <w:r w:rsidRPr="0092235A">
        <w:rPr>
          <w:rFonts w:ascii="Cambria Math" w:hAnsi="Cambria Math" w:cs="Cambria Math"/>
          <w:color w:val="000000" w:themeColor="text1"/>
        </w:rPr>
        <w:t>₃</w:t>
      </w:r>
      <w:r w:rsidRPr="0092235A">
        <w:rPr>
          <w:rFonts w:ascii="Arial" w:hAnsi="Arial" w:cs="Arial"/>
          <w:color w:val="000000" w:themeColor="text1"/>
        </w:rPr>
        <w:t xml:space="preserve"> (36.86) and T</w:t>
      </w:r>
      <w:r w:rsidRPr="0092235A">
        <w:rPr>
          <w:rFonts w:ascii="Cambria Math" w:hAnsi="Cambria Math" w:cs="Cambria Math"/>
          <w:color w:val="000000" w:themeColor="text1"/>
        </w:rPr>
        <w:t>₆</w:t>
      </w:r>
      <w:r w:rsidRPr="0092235A">
        <w:rPr>
          <w:rFonts w:ascii="Arial" w:hAnsi="Arial" w:cs="Arial"/>
          <w:color w:val="000000" w:themeColor="text1"/>
        </w:rPr>
        <w:t xml:space="preserve"> (35.80). Ear row number is typically determined during the V5 to V8 vegetative growth stages and is influenced by early availability of nitrogen (N) and phosphorus (P). The superior performance of T</w:t>
      </w:r>
      <w:r w:rsidRPr="0092235A">
        <w:rPr>
          <w:rFonts w:ascii="Cambria Math" w:hAnsi="Cambria Math" w:cs="Cambria Math"/>
          <w:color w:val="000000" w:themeColor="text1"/>
        </w:rPr>
        <w:t>₆</w:t>
      </w:r>
      <w:r w:rsidRPr="0092235A">
        <w:rPr>
          <w:rFonts w:ascii="Arial" w:hAnsi="Arial" w:cs="Arial"/>
          <w:color w:val="000000" w:themeColor="text1"/>
        </w:rPr>
        <w:t xml:space="preserve"> indicates that organic amendments (OA) may enhance early root development and nutrient uptake, likely due to improved root-soil contact and increased microbial activity (Nleya, Chungu &amp; Kleinjan, 2016). The high kernel count observed in T</w:t>
      </w:r>
      <w:r w:rsidRPr="0092235A">
        <w:rPr>
          <w:rFonts w:ascii="Cambria Math" w:hAnsi="Cambria Math" w:cs="Cambria Math"/>
          <w:color w:val="000000" w:themeColor="text1"/>
        </w:rPr>
        <w:t>₃</w:t>
      </w:r>
      <w:r w:rsidRPr="0092235A">
        <w:rPr>
          <w:rFonts w:ascii="Arial" w:hAnsi="Arial" w:cs="Arial"/>
          <w:color w:val="000000" w:themeColor="text1"/>
        </w:rPr>
        <w:t xml:space="preserve"> can be attributed to adequate supply of N and potassium (K), which play key roles in pollen viability and silk emergence (Bender et al., 2013). The fact that T</w:t>
      </w:r>
      <w:r w:rsidRPr="0092235A">
        <w:rPr>
          <w:rFonts w:ascii="Cambria Math" w:hAnsi="Cambria Math" w:cs="Cambria Math"/>
          <w:color w:val="000000" w:themeColor="text1"/>
        </w:rPr>
        <w:t>₆</w:t>
      </w:r>
      <w:r w:rsidRPr="0092235A">
        <w:rPr>
          <w:rFonts w:ascii="Arial" w:hAnsi="Arial" w:cs="Arial"/>
          <w:color w:val="000000" w:themeColor="text1"/>
        </w:rPr>
        <w:t xml:space="preserve"> performed nearly as well as T</w:t>
      </w:r>
      <w:r w:rsidRPr="0092235A">
        <w:rPr>
          <w:rFonts w:ascii="Cambria Math" w:hAnsi="Cambria Math" w:cs="Cambria Math"/>
          <w:color w:val="000000" w:themeColor="text1"/>
        </w:rPr>
        <w:t>₃</w:t>
      </w:r>
      <w:r w:rsidRPr="0092235A">
        <w:rPr>
          <w:rFonts w:ascii="Arial" w:hAnsi="Arial" w:cs="Arial"/>
          <w:color w:val="000000" w:themeColor="text1"/>
        </w:rPr>
        <w:t xml:space="preserve"> suggests that OA can support comparable reproductive development, highlighting its potential role in integrated nutrient management (INM) systems.</w:t>
      </w:r>
    </w:p>
    <w:p w14:paraId="15BE11D0" w14:textId="77777777" w:rsidR="009E4FEF" w:rsidRDefault="009E4FEF" w:rsidP="00F666E1">
      <w:pPr>
        <w:spacing w:before="120" w:after="120"/>
        <w:ind w:left="990" w:hanging="990"/>
        <w:jc w:val="both"/>
        <w:rPr>
          <w:rFonts w:ascii="Arial" w:hAnsi="Arial" w:cs="Arial"/>
          <w:b/>
          <w:bCs/>
          <w:color w:val="000000" w:themeColor="text1"/>
        </w:rPr>
      </w:pPr>
    </w:p>
    <w:p w14:paraId="30F575DA" w14:textId="074FA6C9" w:rsidR="00C13684" w:rsidRPr="00F42131" w:rsidRDefault="00F42131" w:rsidP="00F666E1">
      <w:pPr>
        <w:spacing w:before="120" w:after="120"/>
        <w:ind w:left="990" w:hanging="990"/>
        <w:jc w:val="both"/>
        <w:rPr>
          <w:rFonts w:ascii="Arial" w:hAnsi="Arial" w:cs="Arial"/>
          <w:b/>
          <w:bCs/>
          <w:color w:val="000000" w:themeColor="text1"/>
        </w:rPr>
      </w:pPr>
      <w:r w:rsidRPr="00F42131">
        <w:rPr>
          <w:rFonts w:ascii="Arial" w:hAnsi="Arial" w:cs="Arial"/>
          <w:b/>
          <w:bCs/>
          <w:color w:val="000000" w:themeColor="text1"/>
        </w:rPr>
        <w:lastRenderedPageBreak/>
        <w:t>3.</w:t>
      </w:r>
      <w:r w:rsidR="00C13684" w:rsidRPr="00F42131">
        <w:rPr>
          <w:rFonts w:ascii="Arial" w:hAnsi="Arial" w:cs="Arial"/>
          <w:b/>
          <w:bCs/>
          <w:color w:val="000000" w:themeColor="text1"/>
        </w:rPr>
        <w:t>1.7 Shelling Percentage and 1000-Seed Weight</w:t>
      </w:r>
    </w:p>
    <w:p w14:paraId="6595E63B" w14:textId="77777777" w:rsidR="0092235A" w:rsidRPr="0092235A" w:rsidRDefault="0092235A" w:rsidP="0092235A">
      <w:pPr>
        <w:spacing w:before="120" w:after="120"/>
        <w:ind w:firstLine="720"/>
        <w:jc w:val="both"/>
        <w:rPr>
          <w:rFonts w:ascii="Arial" w:hAnsi="Arial" w:cs="Arial"/>
          <w:color w:val="000000" w:themeColor="text1"/>
        </w:rPr>
      </w:pPr>
      <w:r w:rsidRPr="0092235A">
        <w:rPr>
          <w:rFonts w:ascii="Arial" w:hAnsi="Arial" w:cs="Arial"/>
          <w:color w:val="000000" w:themeColor="text1"/>
        </w:rPr>
        <w:t>The highest shelling percentage was recorded in treatment T</w:t>
      </w:r>
      <w:r w:rsidRPr="0092235A">
        <w:rPr>
          <w:rFonts w:ascii="Cambria Math" w:hAnsi="Cambria Math" w:cs="Cambria Math"/>
          <w:color w:val="000000" w:themeColor="text1"/>
        </w:rPr>
        <w:t>₆</w:t>
      </w:r>
      <w:r w:rsidRPr="0092235A">
        <w:rPr>
          <w:rFonts w:ascii="Arial" w:hAnsi="Arial" w:cs="Arial"/>
          <w:color w:val="000000" w:themeColor="text1"/>
        </w:rPr>
        <w:t xml:space="preserve"> (86.48%) and T</w:t>
      </w:r>
      <w:r w:rsidRPr="0092235A">
        <w:rPr>
          <w:rFonts w:ascii="Cambria Math" w:hAnsi="Cambria Math" w:cs="Cambria Math"/>
          <w:color w:val="000000" w:themeColor="text1"/>
        </w:rPr>
        <w:t>₃</w:t>
      </w:r>
      <w:r w:rsidRPr="0092235A">
        <w:rPr>
          <w:rFonts w:ascii="Arial" w:hAnsi="Arial" w:cs="Arial"/>
          <w:color w:val="000000" w:themeColor="text1"/>
        </w:rPr>
        <w:t xml:space="preserve"> (86.29%), while the 1000-seed weight was greatest in T</w:t>
      </w:r>
      <w:r w:rsidRPr="0092235A">
        <w:rPr>
          <w:rFonts w:ascii="Cambria Math" w:hAnsi="Cambria Math" w:cs="Cambria Math"/>
          <w:color w:val="000000" w:themeColor="text1"/>
        </w:rPr>
        <w:t>₃</w:t>
      </w:r>
      <w:r w:rsidRPr="0092235A">
        <w:rPr>
          <w:rFonts w:ascii="Arial" w:hAnsi="Arial" w:cs="Arial"/>
          <w:color w:val="000000" w:themeColor="text1"/>
        </w:rPr>
        <w:t xml:space="preserve"> (281.19 g) and T</w:t>
      </w:r>
      <w:r w:rsidRPr="0092235A">
        <w:rPr>
          <w:rFonts w:ascii="Cambria Math" w:hAnsi="Cambria Math" w:cs="Cambria Math"/>
          <w:color w:val="000000" w:themeColor="text1"/>
        </w:rPr>
        <w:t>₆</w:t>
      </w:r>
      <w:r w:rsidRPr="0092235A">
        <w:rPr>
          <w:rFonts w:ascii="Arial" w:hAnsi="Arial" w:cs="Arial"/>
          <w:color w:val="000000" w:themeColor="text1"/>
        </w:rPr>
        <w:t xml:space="preserve"> (279.96 g). Shelling percentage, defined as the ratio of grain weight to total ear weight, reflects harvest index and the efficiency of grain filling (Bender et al., 2013). The high values observed in T</w:t>
      </w:r>
      <w:r w:rsidRPr="0092235A">
        <w:rPr>
          <w:rFonts w:ascii="Cambria Math" w:hAnsi="Cambria Math" w:cs="Cambria Math"/>
          <w:color w:val="000000" w:themeColor="text1"/>
        </w:rPr>
        <w:t>₃</w:t>
      </w:r>
      <w:r w:rsidRPr="0092235A">
        <w:rPr>
          <w:rFonts w:ascii="Arial" w:hAnsi="Arial" w:cs="Arial"/>
          <w:color w:val="000000" w:themeColor="text1"/>
        </w:rPr>
        <w:t xml:space="preserve"> and T</w:t>
      </w:r>
      <w:r w:rsidRPr="0092235A">
        <w:rPr>
          <w:rFonts w:ascii="Cambria Math" w:hAnsi="Cambria Math" w:cs="Cambria Math"/>
          <w:color w:val="000000" w:themeColor="text1"/>
        </w:rPr>
        <w:t>₆</w:t>
      </w:r>
      <w:r w:rsidRPr="0092235A">
        <w:rPr>
          <w:rFonts w:ascii="Arial" w:hAnsi="Arial" w:cs="Arial"/>
          <w:color w:val="000000" w:themeColor="text1"/>
        </w:rPr>
        <w:t xml:space="preserve"> indicate effective partitioning of assimilates into kernels, resulting in a greater proportion of grain relative to cob material. This improvement is likely due to optimal nutrient availability, which supports sustained grain development and reduces the number of unfilled or sterile kernels (Bender et al., 2013). The slightly higher performance of T</w:t>
      </w:r>
      <w:r w:rsidRPr="0092235A">
        <w:rPr>
          <w:rFonts w:ascii="Cambria Math" w:hAnsi="Cambria Math" w:cs="Cambria Math"/>
          <w:color w:val="000000" w:themeColor="text1"/>
        </w:rPr>
        <w:t>₆</w:t>
      </w:r>
      <w:r w:rsidRPr="0092235A">
        <w:rPr>
          <w:rFonts w:ascii="Arial" w:hAnsi="Arial" w:cs="Arial"/>
          <w:color w:val="000000" w:themeColor="text1"/>
        </w:rPr>
        <w:t xml:space="preserve"> may be attributed to the gradual release of nutrients from organic amendments during the grain-filling period, ensuring continued supply when demand is high (Pimentel et al., 2005).</w:t>
      </w:r>
    </w:p>
    <w:p w14:paraId="42AE4F02" w14:textId="77777777" w:rsidR="0092235A" w:rsidRPr="0092235A" w:rsidRDefault="0092235A" w:rsidP="0092235A">
      <w:pPr>
        <w:spacing w:before="120" w:after="120"/>
        <w:ind w:firstLine="720"/>
        <w:jc w:val="both"/>
        <w:rPr>
          <w:rFonts w:ascii="Arial" w:hAnsi="Arial" w:cs="Arial"/>
          <w:color w:val="000000" w:themeColor="text1"/>
        </w:rPr>
      </w:pPr>
      <w:r w:rsidRPr="0092235A">
        <w:rPr>
          <w:rFonts w:ascii="Arial" w:hAnsi="Arial" w:cs="Arial"/>
          <w:color w:val="000000" w:themeColor="text1"/>
        </w:rPr>
        <w:t xml:space="preserve">Seed weight is largely determined during the grain-filling stage and depends on the availability of carbohydrates and potassium (K). Potassium plays a critical role in activating enzymes involved in starch synthesis and in maintaining cell turgor, both of which facilitate the transport and accumulation of photosynthates into developing seeds (Rawat, </w:t>
      </w:r>
      <w:proofErr w:type="spellStart"/>
      <w:r w:rsidRPr="0092235A">
        <w:rPr>
          <w:rFonts w:ascii="Arial" w:hAnsi="Arial" w:cs="Arial"/>
          <w:color w:val="000000" w:themeColor="text1"/>
        </w:rPr>
        <w:t>Sanwal</w:t>
      </w:r>
      <w:proofErr w:type="spellEnd"/>
      <w:r w:rsidRPr="0092235A">
        <w:rPr>
          <w:rFonts w:ascii="Arial" w:hAnsi="Arial" w:cs="Arial"/>
          <w:color w:val="000000" w:themeColor="text1"/>
        </w:rPr>
        <w:t xml:space="preserve"> &amp; Saxena, 2016). The high seed weight in T</w:t>
      </w:r>
      <w:r w:rsidRPr="0092235A">
        <w:rPr>
          <w:rFonts w:ascii="Cambria Math" w:hAnsi="Cambria Math" w:cs="Cambria Math"/>
          <w:color w:val="000000" w:themeColor="text1"/>
        </w:rPr>
        <w:t>₃</w:t>
      </w:r>
      <w:r w:rsidRPr="0092235A">
        <w:rPr>
          <w:rFonts w:ascii="Arial" w:hAnsi="Arial" w:cs="Arial"/>
          <w:color w:val="000000" w:themeColor="text1"/>
        </w:rPr>
        <w:t xml:space="preserve"> can be linked to readily available K from inorganic sources, providing immediate nutritional support. In contrast, the marginally lower value in T</w:t>
      </w:r>
      <w:r w:rsidRPr="0092235A">
        <w:rPr>
          <w:rFonts w:ascii="Cambria Math" w:hAnsi="Cambria Math" w:cs="Cambria Math"/>
          <w:color w:val="000000" w:themeColor="text1"/>
        </w:rPr>
        <w:t>₆</w:t>
      </w:r>
      <w:r w:rsidRPr="0092235A">
        <w:rPr>
          <w:rFonts w:ascii="Arial" w:hAnsi="Arial" w:cs="Arial"/>
          <w:color w:val="000000" w:themeColor="text1"/>
        </w:rPr>
        <w:t xml:space="preserve"> may reflect a short delay in nutrient release due to the time required for mineralization of organic materials. Nevertheless, the small difference between T</w:t>
      </w:r>
      <w:r w:rsidRPr="0092235A">
        <w:rPr>
          <w:rFonts w:ascii="Cambria Math" w:hAnsi="Cambria Math" w:cs="Cambria Math"/>
          <w:color w:val="000000" w:themeColor="text1"/>
        </w:rPr>
        <w:t>₃</w:t>
      </w:r>
      <w:r w:rsidRPr="0092235A">
        <w:rPr>
          <w:rFonts w:ascii="Arial" w:hAnsi="Arial" w:cs="Arial"/>
          <w:color w:val="000000" w:themeColor="text1"/>
        </w:rPr>
        <w:t xml:space="preserve"> and T</w:t>
      </w:r>
      <w:r w:rsidRPr="0092235A">
        <w:rPr>
          <w:rFonts w:ascii="Cambria Math" w:hAnsi="Cambria Math" w:cs="Cambria Math"/>
          <w:color w:val="000000" w:themeColor="text1"/>
        </w:rPr>
        <w:t>₆</w:t>
      </w:r>
      <w:r w:rsidRPr="0092235A">
        <w:rPr>
          <w:rFonts w:ascii="Arial" w:hAnsi="Arial" w:cs="Arial"/>
          <w:color w:val="000000" w:themeColor="text1"/>
        </w:rPr>
        <w:t xml:space="preserve"> suggests that nutrient supply from organic amendments was well-synchronized with crop demand, supporting efficient grain development and reinforcing the effectiveness of integrated nutrient management (</w:t>
      </w:r>
      <w:proofErr w:type="spellStart"/>
      <w:r w:rsidRPr="0092235A">
        <w:rPr>
          <w:rFonts w:ascii="Arial" w:hAnsi="Arial" w:cs="Arial"/>
          <w:color w:val="000000" w:themeColor="text1"/>
        </w:rPr>
        <w:t>Cherr</w:t>
      </w:r>
      <w:proofErr w:type="spellEnd"/>
      <w:r w:rsidRPr="0092235A">
        <w:rPr>
          <w:rFonts w:ascii="Arial" w:hAnsi="Arial" w:cs="Arial"/>
          <w:color w:val="000000" w:themeColor="text1"/>
        </w:rPr>
        <w:t xml:space="preserve"> et al., 2006).</w:t>
      </w:r>
    </w:p>
    <w:p w14:paraId="1DF81B5E" w14:textId="66004E9B" w:rsidR="00C13684" w:rsidRPr="00F666E1" w:rsidRDefault="00C13684" w:rsidP="00F666E1">
      <w:pPr>
        <w:spacing w:before="120" w:after="120"/>
        <w:ind w:left="990" w:hanging="990"/>
        <w:jc w:val="both"/>
        <w:rPr>
          <w:rFonts w:ascii="Arial" w:hAnsi="Arial" w:cs="Arial"/>
          <w:b/>
          <w:bCs/>
          <w:color w:val="000000" w:themeColor="text1"/>
        </w:rPr>
      </w:pPr>
      <w:r w:rsidRPr="00F666E1">
        <w:rPr>
          <w:rFonts w:ascii="Arial" w:hAnsi="Arial" w:cs="Arial"/>
          <w:b/>
          <w:bCs/>
          <w:color w:val="000000" w:themeColor="text1"/>
        </w:rPr>
        <w:t xml:space="preserve">Table </w:t>
      </w:r>
      <w:r w:rsidR="009E4FEF">
        <w:rPr>
          <w:rFonts w:ascii="Arial" w:hAnsi="Arial" w:cs="Arial"/>
          <w:b/>
          <w:bCs/>
          <w:color w:val="000000" w:themeColor="text1"/>
        </w:rPr>
        <w:t>4</w:t>
      </w:r>
      <w:r w:rsidRPr="00F666E1">
        <w:rPr>
          <w:rFonts w:ascii="Arial" w:hAnsi="Arial" w:cs="Arial"/>
          <w:b/>
          <w:bCs/>
          <w:color w:val="000000" w:themeColor="text1"/>
        </w:rPr>
        <w:t xml:space="preserve">.  Mean effect of organic amendment and inorganic fertilizers on yield and yield components of maize </w:t>
      </w:r>
      <w:r w:rsidR="009701C0">
        <w:rPr>
          <w:rFonts w:ascii="Arial" w:hAnsi="Arial" w:cs="Arial"/>
          <w:b/>
          <w:bCs/>
          <w:color w:val="000000" w:themeColor="text1"/>
        </w:rPr>
        <w:t xml:space="preserve">during the </w:t>
      </w:r>
      <w:proofErr w:type="spellStart"/>
      <w:r w:rsidR="009701C0">
        <w:rPr>
          <w:rFonts w:ascii="Arial" w:hAnsi="Arial" w:cs="Arial"/>
          <w:b/>
          <w:bCs/>
          <w:color w:val="000000" w:themeColor="text1"/>
        </w:rPr>
        <w:t>postmonsoon</w:t>
      </w:r>
      <w:proofErr w:type="spellEnd"/>
      <w:r w:rsidR="009701C0">
        <w:rPr>
          <w:rFonts w:ascii="Arial" w:hAnsi="Arial" w:cs="Arial"/>
          <w:b/>
          <w:bCs/>
          <w:color w:val="000000" w:themeColor="text1"/>
        </w:rPr>
        <w:t xml:space="preserve"> experiment.</w:t>
      </w:r>
    </w:p>
    <w:tbl>
      <w:tblPr>
        <w:tblW w:w="5000" w:type="pct"/>
        <w:jc w:val="center"/>
        <w:tblLayout w:type="fixed"/>
        <w:tblLook w:val="04A0" w:firstRow="1" w:lastRow="0" w:firstColumn="1" w:lastColumn="0" w:noHBand="0" w:noVBand="1"/>
      </w:tblPr>
      <w:tblGrid>
        <w:gridCol w:w="1619"/>
        <w:gridCol w:w="1253"/>
        <w:gridCol w:w="305"/>
        <w:gridCol w:w="1494"/>
        <w:gridCol w:w="394"/>
        <w:gridCol w:w="1250"/>
        <w:gridCol w:w="237"/>
        <w:gridCol w:w="37"/>
        <w:gridCol w:w="1472"/>
        <w:gridCol w:w="360"/>
      </w:tblGrid>
      <w:tr w:rsidR="00F666E1" w:rsidRPr="00F666E1" w14:paraId="30164C4F" w14:textId="77777777" w:rsidTr="00707275">
        <w:trPr>
          <w:trHeight w:val="230"/>
          <w:jc w:val="center"/>
        </w:trPr>
        <w:tc>
          <w:tcPr>
            <w:tcW w:w="961" w:type="pct"/>
            <w:vMerge w:val="restart"/>
            <w:tcBorders>
              <w:top w:val="single" w:sz="8" w:space="0" w:color="auto"/>
              <w:left w:val="nil"/>
              <w:bottom w:val="single" w:sz="4" w:space="0" w:color="auto"/>
              <w:right w:val="nil"/>
            </w:tcBorders>
            <w:noWrap/>
            <w:vAlign w:val="center"/>
            <w:hideMark/>
          </w:tcPr>
          <w:bookmarkEnd w:id="2"/>
          <w:p w14:paraId="523EA1FD" w14:textId="77777777" w:rsidR="00C13684" w:rsidRPr="00F666E1" w:rsidRDefault="00C13684" w:rsidP="00707275">
            <w:pPr>
              <w:jc w:val="center"/>
              <w:rPr>
                <w:rFonts w:ascii="Arial" w:hAnsi="Arial" w:cs="Arial"/>
                <w:b/>
                <w:bCs/>
                <w:color w:val="000000" w:themeColor="text1"/>
                <w:sz w:val="16"/>
                <w:szCs w:val="16"/>
              </w:rPr>
            </w:pPr>
            <w:r w:rsidRPr="00F666E1">
              <w:rPr>
                <w:rFonts w:ascii="Arial" w:hAnsi="Arial" w:cs="Arial"/>
                <w:b/>
                <w:bCs/>
                <w:color w:val="000000" w:themeColor="text1"/>
                <w:sz w:val="16"/>
                <w:szCs w:val="16"/>
              </w:rPr>
              <w:t>Treatments</w:t>
            </w:r>
          </w:p>
        </w:tc>
        <w:tc>
          <w:tcPr>
            <w:tcW w:w="925" w:type="pct"/>
            <w:gridSpan w:val="2"/>
            <w:vMerge w:val="restart"/>
            <w:tcBorders>
              <w:top w:val="single" w:sz="8" w:space="0" w:color="auto"/>
              <w:left w:val="nil"/>
              <w:bottom w:val="single" w:sz="4" w:space="0" w:color="000000"/>
              <w:right w:val="nil"/>
            </w:tcBorders>
            <w:vAlign w:val="center"/>
            <w:hideMark/>
          </w:tcPr>
          <w:p w14:paraId="47D953A2" w14:textId="77777777" w:rsidR="00C13684" w:rsidRPr="00F666E1" w:rsidRDefault="00C13684" w:rsidP="00707275">
            <w:pPr>
              <w:jc w:val="center"/>
              <w:rPr>
                <w:rFonts w:ascii="Arial" w:hAnsi="Arial" w:cs="Arial"/>
                <w:b/>
                <w:bCs/>
                <w:color w:val="000000" w:themeColor="text1"/>
                <w:sz w:val="16"/>
                <w:szCs w:val="16"/>
              </w:rPr>
            </w:pPr>
            <w:r w:rsidRPr="00F666E1">
              <w:rPr>
                <w:rFonts w:ascii="Arial" w:hAnsi="Arial" w:cs="Arial"/>
                <w:b/>
                <w:bCs/>
                <w:color w:val="000000" w:themeColor="text1"/>
                <w:sz w:val="16"/>
                <w:szCs w:val="16"/>
              </w:rPr>
              <w:t>No. of rows ear</w:t>
            </w:r>
            <w:r w:rsidRPr="00F666E1">
              <w:rPr>
                <w:rFonts w:ascii="Arial" w:hAnsi="Arial" w:cs="Arial"/>
                <w:b/>
                <w:bCs/>
                <w:color w:val="000000" w:themeColor="text1"/>
                <w:sz w:val="16"/>
                <w:szCs w:val="16"/>
                <w:vertAlign w:val="superscript"/>
              </w:rPr>
              <w:t>-1</w:t>
            </w:r>
          </w:p>
        </w:tc>
        <w:tc>
          <w:tcPr>
            <w:tcW w:w="1121" w:type="pct"/>
            <w:gridSpan w:val="2"/>
            <w:vMerge w:val="restart"/>
            <w:tcBorders>
              <w:top w:val="single" w:sz="8" w:space="0" w:color="auto"/>
              <w:left w:val="nil"/>
              <w:bottom w:val="single" w:sz="4" w:space="0" w:color="000000"/>
              <w:right w:val="nil"/>
            </w:tcBorders>
            <w:vAlign w:val="center"/>
            <w:hideMark/>
          </w:tcPr>
          <w:p w14:paraId="776A36D4" w14:textId="77777777" w:rsidR="00C13684" w:rsidRPr="00F666E1" w:rsidRDefault="00C13684" w:rsidP="00707275">
            <w:pPr>
              <w:jc w:val="center"/>
              <w:rPr>
                <w:rFonts w:ascii="Arial" w:hAnsi="Arial" w:cs="Arial"/>
                <w:b/>
                <w:bCs/>
                <w:color w:val="000000" w:themeColor="text1"/>
                <w:sz w:val="16"/>
                <w:szCs w:val="16"/>
              </w:rPr>
            </w:pPr>
            <w:r w:rsidRPr="00F666E1">
              <w:rPr>
                <w:rFonts w:ascii="Arial" w:hAnsi="Arial" w:cs="Arial"/>
                <w:b/>
                <w:bCs/>
                <w:color w:val="000000" w:themeColor="text1"/>
                <w:sz w:val="16"/>
                <w:szCs w:val="16"/>
              </w:rPr>
              <w:t>No. of kernels row</w:t>
            </w:r>
            <w:r w:rsidRPr="00F666E1">
              <w:rPr>
                <w:rFonts w:ascii="Arial" w:hAnsi="Arial" w:cs="Arial"/>
                <w:b/>
                <w:bCs/>
                <w:color w:val="000000" w:themeColor="text1"/>
                <w:sz w:val="16"/>
                <w:szCs w:val="16"/>
                <w:vertAlign w:val="superscript"/>
              </w:rPr>
              <w:t>-1</w:t>
            </w:r>
          </w:p>
        </w:tc>
        <w:tc>
          <w:tcPr>
            <w:tcW w:w="905" w:type="pct"/>
            <w:gridSpan w:val="3"/>
            <w:vMerge w:val="restart"/>
            <w:tcBorders>
              <w:top w:val="single" w:sz="8" w:space="0" w:color="auto"/>
              <w:left w:val="nil"/>
              <w:bottom w:val="single" w:sz="4" w:space="0" w:color="000000"/>
              <w:right w:val="nil"/>
            </w:tcBorders>
            <w:vAlign w:val="center"/>
            <w:hideMark/>
          </w:tcPr>
          <w:p w14:paraId="40C66012" w14:textId="77777777" w:rsidR="00C13684" w:rsidRPr="00F666E1" w:rsidRDefault="00C13684" w:rsidP="00707275">
            <w:pPr>
              <w:jc w:val="center"/>
              <w:rPr>
                <w:rFonts w:ascii="Arial" w:hAnsi="Arial" w:cs="Arial"/>
                <w:b/>
                <w:bCs/>
                <w:color w:val="000000" w:themeColor="text1"/>
                <w:sz w:val="16"/>
                <w:szCs w:val="16"/>
              </w:rPr>
            </w:pPr>
            <w:r w:rsidRPr="00F666E1">
              <w:rPr>
                <w:rFonts w:ascii="Arial" w:hAnsi="Arial" w:cs="Arial"/>
                <w:b/>
                <w:bCs/>
                <w:color w:val="000000" w:themeColor="text1"/>
                <w:sz w:val="16"/>
                <w:szCs w:val="16"/>
              </w:rPr>
              <w:t>Shelling %</w:t>
            </w:r>
          </w:p>
        </w:tc>
        <w:tc>
          <w:tcPr>
            <w:tcW w:w="1088" w:type="pct"/>
            <w:gridSpan w:val="2"/>
            <w:vMerge w:val="restart"/>
            <w:tcBorders>
              <w:top w:val="single" w:sz="8" w:space="0" w:color="auto"/>
              <w:left w:val="nil"/>
              <w:bottom w:val="single" w:sz="4" w:space="0" w:color="000000"/>
              <w:right w:val="nil"/>
            </w:tcBorders>
            <w:vAlign w:val="center"/>
            <w:hideMark/>
          </w:tcPr>
          <w:p w14:paraId="15607286" w14:textId="430F27FD" w:rsidR="00C13684" w:rsidRPr="00F666E1" w:rsidRDefault="00F666E1" w:rsidP="00707275">
            <w:pPr>
              <w:jc w:val="center"/>
              <w:rPr>
                <w:rFonts w:ascii="Arial" w:hAnsi="Arial" w:cs="Arial"/>
                <w:b/>
                <w:bCs/>
                <w:color w:val="000000" w:themeColor="text1"/>
                <w:sz w:val="16"/>
                <w:szCs w:val="16"/>
              </w:rPr>
            </w:pPr>
            <w:r>
              <w:rPr>
                <w:rFonts w:ascii="Arial" w:hAnsi="Arial" w:cs="Arial"/>
                <w:b/>
                <w:bCs/>
                <w:color w:val="000000" w:themeColor="text1"/>
                <w:sz w:val="16"/>
                <w:szCs w:val="16"/>
              </w:rPr>
              <w:t>1</w:t>
            </w:r>
            <w:r w:rsidR="00C13684" w:rsidRPr="00F666E1">
              <w:rPr>
                <w:rFonts w:ascii="Arial" w:hAnsi="Arial" w:cs="Arial"/>
                <w:b/>
                <w:bCs/>
                <w:color w:val="000000" w:themeColor="text1"/>
                <w:sz w:val="16"/>
                <w:szCs w:val="16"/>
              </w:rPr>
              <w:t>000 seeds weight(g)</w:t>
            </w:r>
          </w:p>
        </w:tc>
      </w:tr>
      <w:tr w:rsidR="00F666E1" w:rsidRPr="00F666E1" w14:paraId="20D06422" w14:textId="77777777" w:rsidTr="00707275">
        <w:trPr>
          <w:trHeight w:val="230"/>
          <w:jc w:val="center"/>
        </w:trPr>
        <w:tc>
          <w:tcPr>
            <w:tcW w:w="961" w:type="pct"/>
            <w:vMerge/>
            <w:tcBorders>
              <w:top w:val="single" w:sz="8" w:space="0" w:color="auto"/>
              <w:left w:val="nil"/>
              <w:bottom w:val="single" w:sz="4" w:space="0" w:color="auto"/>
              <w:right w:val="nil"/>
            </w:tcBorders>
            <w:vAlign w:val="center"/>
            <w:hideMark/>
          </w:tcPr>
          <w:p w14:paraId="627A2D11" w14:textId="77777777" w:rsidR="00C13684" w:rsidRPr="00F666E1" w:rsidRDefault="00C13684" w:rsidP="00F666E1">
            <w:pPr>
              <w:jc w:val="center"/>
              <w:rPr>
                <w:rFonts w:ascii="Arial" w:hAnsi="Arial" w:cs="Arial"/>
                <w:b/>
                <w:bCs/>
                <w:color w:val="000000" w:themeColor="text1"/>
                <w:sz w:val="16"/>
                <w:szCs w:val="16"/>
              </w:rPr>
            </w:pPr>
          </w:p>
        </w:tc>
        <w:tc>
          <w:tcPr>
            <w:tcW w:w="925" w:type="pct"/>
            <w:gridSpan w:val="2"/>
            <w:vMerge/>
            <w:tcBorders>
              <w:top w:val="single" w:sz="8" w:space="0" w:color="auto"/>
              <w:left w:val="nil"/>
              <w:bottom w:val="single" w:sz="4" w:space="0" w:color="000000"/>
              <w:right w:val="nil"/>
            </w:tcBorders>
            <w:vAlign w:val="center"/>
            <w:hideMark/>
          </w:tcPr>
          <w:p w14:paraId="041FD220" w14:textId="77777777" w:rsidR="00C13684" w:rsidRPr="00F666E1" w:rsidRDefault="00C13684" w:rsidP="00F666E1">
            <w:pPr>
              <w:jc w:val="center"/>
              <w:rPr>
                <w:rFonts w:ascii="Arial" w:hAnsi="Arial" w:cs="Arial"/>
                <w:b/>
                <w:bCs/>
                <w:color w:val="000000" w:themeColor="text1"/>
                <w:sz w:val="16"/>
                <w:szCs w:val="16"/>
              </w:rPr>
            </w:pPr>
          </w:p>
        </w:tc>
        <w:tc>
          <w:tcPr>
            <w:tcW w:w="1121" w:type="pct"/>
            <w:gridSpan w:val="2"/>
            <w:vMerge/>
            <w:tcBorders>
              <w:top w:val="single" w:sz="8" w:space="0" w:color="auto"/>
              <w:left w:val="nil"/>
              <w:bottom w:val="single" w:sz="4" w:space="0" w:color="000000"/>
              <w:right w:val="nil"/>
            </w:tcBorders>
            <w:vAlign w:val="center"/>
            <w:hideMark/>
          </w:tcPr>
          <w:p w14:paraId="53CCCD25" w14:textId="77777777" w:rsidR="00C13684" w:rsidRPr="00F666E1" w:rsidRDefault="00C13684" w:rsidP="00F666E1">
            <w:pPr>
              <w:jc w:val="center"/>
              <w:rPr>
                <w:rFonts w:ascii="Arial" w:hAnsi="Arial" w:cs="Arial"/>
                <w:b/>
                <w:bCs/>
                <w:color w:val="000000" w:themeColor="text1"/>
                <w:sz w:val="16"/>
                <w:szCs w:val="16"/>
              </w:rPr>
            </w:pPr>
          </w:p>
        </w:tc>
        <w:tc>
          <w:tcPr>
            <w:tcW w:w="905" w:type="pct"/>
            <w:gridSpan w:val="3"/>
            <w:vMerge/>
            <w:tcBorders>
              <w:top w:val="single" w:sz="8" w:space="0" w:color="auto"/>
              <w:left w:val="nil"/>
              <w:bottom w:val="single" w:sz="4" w:space="0" w:color="000000"/>
              <w:right w:val="nil"/>
            </w:tcBorders>
            <w:vAlign w:val="center"/>
            <w:hideMark/>
          </w:tcPr>
          <w:p w14:paraId="72E6F521" w14:textId="77777777" w:rsidR="00C13684" w:rsidRPr="00F666E1" w:rsidRDefault="00C13684" w:rsidP="00F666E1">
            <w:pPr>
              <w:jc w:val="center"/>
              <w:rPr>
                <w:rFonts w:ascii="Arial" w:hAnsi="Arial" w:cs="Arial"/>
                <w:b/>
                <w:bCs/>
                <w:color w:val="000000" w:themeColor="text1"/>
                <w:sz w:val="16"/>
                <w:szCs w:val="16"/>
              </w:rPr>
            </w:pPr>
          </w:p>
        </w:tc>
        <w:tc>
          <w:tcPr>
            <w:tcW w:w="1088" w:type="pct"/>
            <w:gridSpan w:val="2"/>
            <w:vMerge/>
            <w:tcBorders>
              <w:top w:val="single" w:sz="8" w:space="0" w:color="auto"/>
              <w:left w:val="nil"/>
              <w:bottom w:val="single" w:sz="4" w:space="0" w:color="000000"/>
              <w:right w:val="nil"/>
            </w:tcBorders>
            <w:vAlign w:val="center"/>
            <w:hideMark/>
          </w:tcPr>
          <w:p w14:paraId="2156FA63" w14:textId="77777777" w:rsidR="00C13684" w:rsidRPr="00F666E1" w:rsidRDefault="00C13684" w:rsidP="00F666E1">
            <w:pPr>
              <w:jc w:val="center"/>
              <w:rPr>
                <w:rFonts w:ascii="Arial" w:hAnsi="Arial" w:cs="Arial"/>
                <w:b/>
                <w:bCs/>
                <w:color w:val="000000" w:themeColor="text1"/>
                <w:sz w:val="16"/>
                <w:szCs w:val="16"/>
              </w:rPr>
            </w:pPr>
          </w:p>
        </w:tc>
      </w:tr>
      <w:tr w:rsidR="00F666E1" w:rsidRPr="00F666E1" w14:paraId="41AB2456" w14:textId="77777777" w:rsidTr="00707275">
        <w:trPr>
          <w:trHeight w:val="216"/>
          <w:jc w:val="center"/>
        </w:trPr>
        <w:tc>
          <w:tcPr>
            <w:tcW w:w="961" w:type="pct"/>
            <w:tcBorders>
              <w:top w:val="nil"/>
              <w:left w:val="nil"/>
              <w:bottom w:val="nil"/>
              <w:right w:val="nil"/>
            </w:tcBorders>
            <w:noWrap/>
            <w:vAlign w:val="center"/>
            <w:hideMark/>
          </w:tcPr>
          <w:p w14:paraId="759E40B8" w14:textId="77777777" w:rsidR="00C13684" w:rsidRPr="00F666E1" w:rsidRDefault="00C13684" w:rsidP="00F666E1">
            <w:pPr>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1</w:t>
            </w:r>
          </w:p>
        </w:tc>
        <w:tc>
          <w:tcPr>
            <w:tcW w:w="744" w:type="pct"/>
            <w:tcBorders>
              <w:top w:val="nil"/>
              <w:left w:val="nil"/>
              <w:bottom w:val="nil"/>
              <w:right w:val="nil"/>
            </w:tcBorders>
            <w:noWrap/>
            <w:vAlign w:val="center"/>
            <w:hideMark/>
          </w:tcPr>
          <w:p w14:paraId="5325C0EA" w14:textId="77777777" w:rsidR="00C13684" w:rsidRPr="00F666E1" w:rsidRDefault="00C13684" w:rsidP="00F666E1">
            <w:pPr>
              <w:jc w:val="right"/>
              <w:rPr>
                <w:rFonts w:ascii="Arial" w:hAnsi="Arial" w:cs="Arial"/>
                <w:color w:val="000000" w:themeColor="text1"/>
                <w:sz w:val="16"/>
                <w:szCs w:val="16"/>
              </w:rPr>
            </w:pPr>
            <w:r w:rsidRPr="00F666E1">
              <w:rPr>
                <w:rFonts w:ascii="Arial" w:hAnsi="Arial" w:cs="Arial"/>
                <w:color w:val="000000" w:themeColor="text1"/>
                <w:sz w:val="16"/>
                <w:szCs w:val="16"/>
              </w:rPr>
              <w:t>10.80</w:t>
            </w:r>
          </w:p>
        </w:tc>
        <w:tc>
          <w:tcPr>
            <w:tcW w:w="181" w:type="pct"/>
            <w:tcBorders>
              <w:top w:val="nil"/>
              <w:left w:val="nil"/>
              <w:bottom w:val="nil"/>
              <w:right w:val="nil"/>
            </w:tcBorders>
            <w:noWrap/>
            <w:vAlign w:val="center"/>
            <w:hideMark/>
          </w:tcPr>
          <w:p w14:paraId="6A66A467" w14:textId="77777777" w:rsidR="00C13684" w:rsidRPr="00F666E1" w:rsidRDefault="00C13684" w:rsidP="00F666E1">
            <w:pPr>
              <w:rPr>
                <w:rFonts w:ascii="Arial" w:hAnsi="Arial" w:cs="Arial"/>
                <w:color w:val="000000" w:themeColor="text1"/>
                <w:sz w:val="16"/>
                <w:szCs w:val="16"/>
              </w:rPr>
            </w:pPr>
            <w:r w:rsidRPr="00F666E1">
              <w:rPr>
                <w:rFonts w:ascii="Arial" w:hAnsi="Arial" w:cs="Arial"/>
                <w:color w:val="000000" w:themeColor="text1"/>
                <w:sz w:val="16"/>
                <w:szCs w:val="16"/>
              </w:rPr>
              <w:t>d</w:t>
            </w:r>
          </w:p>
        </w:tc>
        <w:tc>
          <w:tcPr>
            <w:tcW w:w="887" w:type="pct"/>
            <w:tcBorders>
              <w:top w:val="nil"/>
              <w:left w:val="nil"/>
              <w:bottom w:val="nil"/>
              <w:right w:val="nil"/>
            </w:tcBorders>
            <w:noWrap/>
            <w:vAlign w:val="center"/>
            <w:hideMark/>
          </w:tcPr>
          <w:p w14:paraId="7EBDE39F" w14:textId="77777777" w:rsidR="00C13684" w:rsidRPr="00F666E1" w:rsidRDefault="00C13684" w:rsidP="00F666E1">
            <w:pPr>
              <w:jc w:val="right"/>
              <w:rPr>
                <w:rFonts w:ascii="Arial" w:hAnsi="Arial" w:cs="Arial"/>
                <w:color w:val="000000" w:themeColor="text1"/>
                <w:sz w:val="16"/>
                <w:szCs w:val="16"/>
              </w:rPr>
            </w:pPr>
            <w:r w:rsidRPr="00F666E1">
              <w:rPr>
                <w:rFonts w:ascii="Arial" w:hAnsi="Arial" w:cs="Arial"/>
                <w:color w:val="000000" w:themeColor="text1"/>
                <w:sz w:val="16"/>
                <w:szCs w:val="16"/>
              </w:rPr>
              <w:t>22.83</w:t>
            </w:r>
          </w:p>
        </w:tc>
        <w:tc>
          <w:tcPr>
            <w:tcW w:w="234" w:type="pct"/>
            <w:tcBorders>
              <w:top w:val="nil"/>
              <w:left w:val="nil"/>
              <w:bottom w:val="nil"/>
              <w:right w:val="nil"/>
            </w:tcBorders>
            <w:noWrap/>
            <w:vAlign w:val="center"/>
            <w:hideMark/>
          </w:tcPr>
          <w:p w14:paraId="55D253A8" w14:textId="77777777" w:rsidR="00C13684" w:rsidRPr="00F666E1" w:rsidRDefault="00C13684" w:rsidP="00F666E1">
            <w:pPr>
              <w:rPr>
                <w:rFonts w:ascii="Arial" w:hAnsi="Arial" w:cs="Arial"/>
                <w:color w:val="000000" w:themeColor="text1"/>
                <w:sz w:val="16"/>
                <w:szCs w:val="16"/>
              </w:rPr>
            </w:pPr>
            <w:r w:rsidRPr="00F666E1">
              <w:rPr>
                <w:rFonts w:ascii="Arial" w:hAnsi="Arial" w:cs="Arial"/>
                <w:color w:val="000000" w:themeColor="text1"/>
                <w:sz w:val="16"/>
                <w:szCs w:val="16"/>
              </w:rPr>
              <w:t>d</w:t>
            </w:r>
          </w:p>
        </w:tc>
        <w:tc>
          <w:tcPr>
            <w:tcW w:w="742" w:type="pct"/>
            <w:tcBorders>
              <w:top w:val="nil"/>
              <w:left w:val="nil"/>
              <w:bottom w:val="nil"/>
              <w:right w:val="nil"/>
            </w:tcBorders>
            <w:noWrap/>
            <w:vAlign w:val="center"/>
            <w:hideMark/>
          </w:tcPr>
          <w:p w14:paraId="00E0287B" w14:textId="77777777" w:rsidR="00C13684" w:rsidRPr="00F666E1" w:rsidRDefault="00C13684" w:rsidP="00F666E1">
            <w:pPr>
              <w:jc w:val="right"/>
              <w:rPr>
                <w:rFonts w:ascii="Arial" w:hAnsi="Arial" w:cs="Arial"/>
                <w:color w:val="000000" w:themeColor="text1"/>
                <w:sz w:val="16"/>
                <w:szCs w:val="16"/>
              </w:rPr>
            </w:pPr>
            <w:r w:rsidRPr="00F666E1">
              <w:rPr>
                <w:rFonts w:ascii="Arial" w:hAnsi="Arial" w:cs="Arial"/>
                <w:color w:val="000000" w:themeColor="text1"/>
                <w:sz w:val="16"/>
                <w:szCs w:val="16"/>
              </w:rPr>
              <w:t>78.14</w:t>
            </w:r>
          </w:p>
        </w:tc>
        <w:tc>
          <w:tcPr>
            <w:tcW w:w="141" w:type="pct"/>
            <w:tcBorders>
              <w:top w:val="nil"/>
              <w:left w:val="nil"/>
              <w:bottom w:val="nil"/>
              <w:right w:val="nil"/>
            </w:tcBorders>
            <w:noWrap/>
            <w:vAlign w:val="center"/>
            <w:hideMark/>
          </w:tcPr>
          <w:p w14:paraId="327D9EFF" w14:textId="77777777" w:rsidR="00C13684" w:rsidRPr="00F666E1" w:rsidRDefault="00C13684" w:rsidP="00F666E1">
            <w:pPr>
              <w:rPr>
                <w:rFonts w:ascii="Arial" w:hAnsi="Arial" w:cs="Arial"/>
                <w:color w:val="000000" w:themeColor="text1"/>
                <w:sz w:val="16"/>
                <w:szCs w:val="16"/>
              </w:rPr>
            </w:pPr>
            <w:r w:rsidRPr="00F666E1">
              <w:rPr>
                <w:rFonts w:ascii="Arial" w:hAnsi="Arial" w:cs="Arial"/>
                <w:color w:val="000000" w:themeColor="text1"/>
                <w:sz w:val="16"/>
                <w:szCs w:val="16"/>
              </w:rPr>
              <w:t>e</w:t>
            </w:r>
          </w:p>
        </w:tc>
        <w:tc>
          <w:tcPr>
            <w:tcW w:w="896" w:type="pct"/>
            <w:gridSpan w:val="2"/>
            <w:tcBorders>
              <w:top w:val="nil"/>
              <w:left w:val="nil"/>
              <w:bottom w:val="nil"/>
              <w:right w:val="nil"/>
            </w:tcBorders>
            <w:noWrap/>
            <w:vAlign w:val="center"/>
            <w:hideMark/>
          </w:tcPr>
          <w:p w14:paraId="18496BD7" w14:textId="77777777" w:rsidR="00C13684" w:rsidRPr="00F666E1" w:rsidRDefault="00C13684" w:rsidP="00F666E1">
            <w:pPr>
              <w:jc w:val="right"/>
              <w:rPr>
                <w:rFonts w:ascii="Arial" w:hAnsi="Arial" w:cs="Arial"/>
                <w:color w:val="000000" w:themeColor="text1"/>
                <w:sz w:val="16"/>
                <w:szCs w:val="16"/>
              </w:rPr>
            </w:pPr>
            <w:r w:rsidRPr="00F666E1">
              <w:rPr>
                <w:rFonts w:ascii="Arial" w:hAnsi="Arial" w:cs="Arial"/>
                <w:color w:val="000000" w:themeColor="text1"/>
                <w:sz w:val="16"/>
                <w:szCs w:val="16"/>
              </w:rPr>
              <w:t>265.37</w:t>
            </w:r>
          </w:p>
        </w:tc>
        <w:tc>
          <w:tcPr>
            <w:tcW w:w="214" w:type="pct"/>
            <w:tcBorders>
              <w:top w:val="nil"/>
              <w:left w:val="nil"/>
              <w:bottom w:val="nil"/>
              <w:right w:val="nil"/>
            </w:tcBorders>
            <w:noWrap/>
            <w:vAlign w:val="center"/>
            <w:hideMark/>
          </w:tcPr>
          <w:p w14:paraId="53BAD5DB" w14:textId="77777777" w:rsidR="00C13684" w:rsidRPr="00F666E1" w:rsidRDefault="00C13684" w:rsidP="00F666E1">
            <w:pPr>
              <w:rPr>
                <w:rFonts w:ascii="Arial" w:hAnsi="Arial" w:cs="Arial"/>
                <w:color w:val="000000" w:themeColor="text1"/>
                <w:sz w:val="16"/>
                <w:szCs w:val="16"/>
              </w:rPr>
            </w:pPr>
            <w:r w:rsidRPr="00F666E1">
              <w:rPr>
                <w:rFonts w:ascii="Arial" w:hAnsi="Arial" w:cs="Arial"/>
                <w:color w:val="000000" w:themeColor="text1"/>
                <w:sz w:val="16"/>
                <w:szCs w:val="16"/>
              </w:rPr>
              <w:t>f</w:t>
            </w:r>
          </w:p>
        </w:tc>
      </w:tr>
      <w:tr w:rsidR="00F666E1" w:rsidRPr="00F666E1" w14:paraId="30EFFE94" w14:textId="77777777" w:rsidTr="00707275">
        <w:trPr>
          <w:trHeight w:val="216"/>
          <w:jc w:val="center"/>
        </w:trPr>
        <w:tc>
          <w:tcPr>
            <w:tcW w:w="961" w:type="pct"/>
            <w:tcBorders>
              <w:top w:val="nil"/>
              <w:left w:val="nil"/>
              <w:bottom w:val="nil"/>
              <w:right w:val="nil"/>
            </w:tcBorders>
            <w:noWrap/>
            <w:vAlign w:val="center"/>
            <w:hideMark/>
          </w:tcPr>
          <w:p w14:paraId="5D9DDD71" w14:textId="77777777" w:rsidR="00C13684" w:rsidRPr="00F666E1" w:rsidRDefault="00C13684" w:rsidP="00F666E1">
            <w:pPr>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2</w:t>
            </w:r>
          </w:p>
        </w:tc>
        <w:tc>
          <w:tcPr>
            <w:tcW w:w="744" w:type="pct"/>
            <w:tcBorders>
              <w:top w:val="nil"/>
              <w:left w:val="nil"/>
              <w:bottom w:val="nil"/>
              <w:right w:val="nil"/>
            </w:tcBorders>
            <w:noWrap/>
            <w:vAlign w:val="center"/>
            <w:hideMark/>
          </w:tcPr>
          <w:p w14:paraId="0C452EF7" w14:textId="77777777" w:rsidR="00C13684" w:rsidRPr="00F666E1" w:rsidRDefault="00C13684" w:rsidP="00F666E1">
            <w:pPr>
              <w:jc w:val="right"/>
              <w:rPr>
                <w:rFonts w:ascii="Arial" w:hAnsi="Arial" w:cs="Arial"/>
                <w:color w:val="000000" w:themeColor="text1"/>
                <w:sz w:val="16"/>
                <w:szCs w:val="16"/>
              </w:rPr>
            </w:pPr>
            <w:r w:rsidRPr="00F666E1">
              <w:rPr>
                <w:rFonts w:ascii="Arial" w:hAnsi="Arial" w:cs="Arial"/>
                <w:color w:val="000000" w:themeColor="text1"/>
                <w:sz w:val="16"/>
                <w:szCs w:val="16"/>
              </w:rPr>
              <w:t>12.10</w:t>
            </w:r>
          </w:p>
        </w:tc>
        <w:tc>
          <w:tcPr>
            <w:tcW w:w="181" w:type="pct"/>
            <w:tcBorders>
              <w:top w:val="nil"/>
              <w:left w:val="nil"/>
              <w:bottom w:val="nil"/>
              <w:right w:val="nil"/>
            </w:tcBorders>
            <w:noWrap/>
            <w:vAlign w:val="center"/>
            <w:hideMark/>
          </w:tcPr>
          <w:p w14:paraId="55277752" w14:textId="77777777" w:rsidR="00C13684" w:rsidRPr="00F666E1" w:rsidRDefault="00C13684" w:rsidP="00F666E1">
            <w:pPr>
              <w:rPr>
                <w:rFonts w:ascii="Arial" w:hAnsi="Arial" w:cs="Arial"/>
                <w:color w:val="000000" w:themeColor="text1"/>
                <w:sz w:val="16"/>
                <w:szCs w:val="16"/>
              </w:rPr>
            </w:pPr>
            <w:r w:rsidRPr="00F666E1">
              <w:rPr>
                <w:rFonts w:ascii="Arial" w:hAnsi="Arial" w:cs="Arial"/>
                <w:color w:val="000000" w:themeColor="text1"/>
                <w:sz w:val="16"/>
                <w:szCs w:val="16"/>
              </w:rPr>
              <w:t>c</w:t>
            </w:r>
          </w:p>
        </w:tc>
        <w:tc>
          <w:tcPr>
            <w:tcW w:w="887" w:type="pct"/>
            <w:tcBorders>
              <w:top w:val="nil"/>
              <w:left w:val="nil"/>
              <w:bottom w:val="nil"/>
              <w:right w:val="nil"/>
            </w:tcBorders>
            <w:noWrap/>
            <w:vAlign w:val="center"/>
            <w:hideMark/>
          </w:tcPr>
          <w:p w14:paraId="66196A77" w14:textId="77777777" w:rsidR="00C13684" w:rsidRPr="00F666E1" w:rsidRDefault="00C13684" w:rsidP="00F666E1">
            <w:pPr>
              <w:jc w:val="right"/>
              <w:rPr>
                <w:rFonts w:ascii="Arial" w:hAnsi="Arial" w:cs="Arial"/>
                <w:color w:val="000000" w:themeColor="text1"/>
                <w:sz w:val="16"/>
                <w:szCs w:val="16"/>
              </w:rPr>
            </w:pPr>
            <w:r w:rsidRPr="00F666E1">
              <w:rPr>
                <w:rFonts w:ascii="Arial" w:hAnsi="Arial" w:cs="Arial"/>
                <w:color w:val="000000" w:themeColor="text1"/>
                <w:sz w:val="16"/>
                <w:szCs w:val="16"/>
              </w:rPr>
              <w:t>32.95</w:t>
            </w:r>
          </w:p>
        </w:tc>
        <w:tc>
          <w:tcPr>
            <w:tcW w:w="234" w:type="pct"/>
            <w:tcBorders>
              <w:top w:val="nil"/>
              <w:left w:val="nil"/>
              <w:bottom w:val="nil"/>
              <w:right w:val="nil"/>
            </w:tcBorders>
            <w:noWrap/>
            <w:vAlign w:val="center"/>
            <w:hideMark/>
          </w:tcPr>
          <w:p w14:paraId="781643B9" w14:textId="77777777" w:rsidR="00C13684" w:rsidRPr="00F666E1" w:rsidRDefault="00C13684" w:rsidP="00F666E1">
            <w:pPr>
              <w:rPr>
                <w:rFonts w:ascii="Arial" w:hAnsi="Arial" w:cs="Arial"/>
                <w:color w:val="000000" w:themeColor="text1"/>
                <w:sz w:val="16"/>
                <w:szCs w:val="16"/>
              </w:rPr>
            </w:pPr>
            <w:r w:rsidRPr="00F666E1">
              <w:rPr>
                <w:rFonts w:ascii="Arial" w:hAnsi="Arial" w:cs="Arial"/>
                <w:color w:val="000000" w:themeColor="text1"/>
                <w:sz w:val="16"/>
                <w:szCs w:val="16"/>
              </w:rPr>
              <w:t>c</w:t>
            </w:r>
          </w:p>
        </w:tc>
        <w:tc>
          <w:tcPr>
            <w:tcW w:w="742" w:type="pct"/>
            <w:tcBorders>
              <w:top w:val="nil"/>
              <w:left w:val="nil"/>
              <w:bottom w:val="nil"/>
              <w:right w:val="nil"/>
            </w:tcBorders>
            <w:noWrap/>
            <w:vAlign w:val="center"/>
            <w:hideMark/>
          </w:tcPr>
          <w:p w14:paraId="09311103" w14:textId="77777777" w:rsidR="00C13684" w:rsidRPr="00F666E1" w:rsidRDefault="00C13684" w:rsidP="00F666E1">
            <w:pPr>
              <w:jc w:val="right"/>
              <w:rPr>
                <w:rFonts w:ascii="Arial" w:hAnsi="Arial" w:cs="Arial"/>
                <w:color w:val="000000" w:themeColor="text1"/>
                <w:sz w:val="16"/>
                <w:szCs w:val="16"/>
              </w:rPr>
            </w:pPr>
            <w:r w:rsidRPr="00F666E1">
              <w:rPr>
                <w:rFonts w:ascii="Arial" w:hAnsi="Arial" w:cs="Arial"/>
                <w:color w:val="000000" w:themeColor="text1"/>
                <w:sz w:val="16"/>
                <w:szCs w:val="16"/>
              </w:rPr>
              <w:t>84.88</w:t>
            </w:r>
          </w:p>
        </w:tc>
        <w:tc>
          <w:tcPr>
            <w:tcW w:w="141" w:type="pct"/>
            <w:tcBorders>
              <w:top w:val="nil"/>
              <w:left w:val="nil"/>
              <w:bottom w:val="nil"/>
              <w:right w:val="nil"/>
            </w:tcBorders>
            <w:noWrap/>
            <w:vAlign w:val="center"/>
            <w:hideMark/>
          </w:tcPr>
          <w:p w14:paraId="3A665CDB" w14:textId="77777777" w:rsidR="00C13684" w:rsidRPr="00F666E1" w:rsidRDefault="00C13684" w:rsidP="00F666E1">
            <w:pPr>
              <w:rPr>
                <w:rFonts w:ascii="Arial" w:hAnsi="Arial" w:cs="Arial"/>
                <w:color w:val="000000" w:themeColor="text1"/>
                <w:sz w:val="16"/>
                <w:szCs w:val="16"/>
              </w:rPr>
            </w:pPr>
            <w:r w:rsidRPr="00F666E1">
              <w:rPr>
                <w:rFonts w:ascii="Arial" w:hAnsi="Arial" w:cs="Arial"/>
                <w:color w:val="000000" w:themeColor="text1"/>
                <w:sz w:val="16"/>
                <w:szCs w:val="16"/>
              </w:rPr>
              <w:t>d</w:t>
            </w:r>
          </w:p>
        </w:tc>
        <w:tc>
          <w:tcPr>
            <w:tcW w:w="896" w:type="pct"/>
            <w:gridSpan w:val="2"/>
            <w:tcBorders>
              <w:top w:val="nil"/>
              <w:left w:val="nil"/>
              <w:bottom w:val="nil"/>
              <w:right w:val="nil"/>
            </w:tcBorders>
            <w:noWrap/>
            <w:vAlign w:val="center"/>
            <w:hideMark/>
          </w:tcPr>
          <w:p w14:paraId="04052351" w14:textId="77777777" w:rsidR="00C13684" w:rsidRPr="00F666E1" w:rsidRDefault="00C13684" w:rsidP="00F666E1">
            <w:pPr>
              <w:jc w:val="right"/>
              <w:rPr>
                <w:rFonts w:ascii="Arial" w:hAnsi="Arial" w:cs="Arial"/>
                <w:color w:val="000000" w:themeColor="text1"/>
                <w:sz w:val="16"/>
                <w:szCs w:val="16"/>
              </w:rPr>
            </w:pPr>
            <w:r w:rsidRPr="00F666E1">
              <w:rPr>
                <w:rFonts w:ascii="Arial" w:hAnsi="Arial" w:cs="Arial"/>
                <w:color w:val="000000" w:themeColor="text1"/>
                <w:sz w:val="16"/>
                <w:szCs w:val="16"/>
              </w:rPr>
              <w:t>271.44</w:t>
            </w:r>
          </w:p>
        </w:tc>
        <w:tc>
          <w:tcPr>
            <w:tcW w:w="214" w:type="pct"/>
            <w:tcBorders>
              <w:top w:val="nil"/>
              <w:left w:val="nil"/>
              <w:bottom w:val="nil"/>
              <w:right w:val="nil"/>
            </w:tcBorders>
            <w:noWrap/>
            <w:vAlign w:val="center"/>
            <w:hideMark/>
          </w:tcPr>
          <w:p w14:paraId="5428812A" w14:textId="77777777" w:rsidR="00C13684" w:rsidRPr="00F666E1" w:rsidRDefault="00C13684" w:rsidP="00F666E1">
            <w:pPr>
              <w:rPr>
                <w:rFonts w:ascii="Arial" w:hAnsi="Arial" w:cs="Arial"/>
                <w:color w:val="000000" w:themeColor="text1"/>
                <w:sz w:val="16"/>
                <w:szCs w:val="16"/>
              </w:rPr>
            </w:pPr>
            <w:r w:rsidRPr="00F666E1">
              <w:rPr>
                <w:rFonts w:ascii="Arial" w:hAnsi="Arial" w:cs="Arial"/>
                <w:color w:val="000000" w:themeColor="text1"/>
                <w:sz w:val="16"/>
                <w:szCs w:val="16"/>
              </w:rPr>
              <w:t>e</w:t>
            </w:r>
          </w:p>
        </w:tc>
      </w:tr>
      <w:tr w:rsidR="00F666E1" w:rsidRPr="00F666E1" w14:paraId="49AB4A7F" w14:textId="77777777" w:rsidTr="00707275">
        <w:trPr>
          <w:trHeight w:val="216"/>
          <w:jc w:val="center"/>
        </w:trPr>
        <w:tc>
          <w:tcPr>
            <w:tcW w:w="961" w:type="pct"/>
            <w:tcBorders>
              <w:top w:val="nil"/>
              <w:left w:val="nil"/>
              <w:bottom w:val="nil"/>
              <w:right w:val="nil"/>
            </w:tcBorders>
            <w:noWrap/>
            <w:vAlign w:val="center"/>
            <w:hideMark/>
          </w:tcPr>
          <w:p w14:paraId="020630D6" w14:textId="77777777" w:rsidR="00C13684" w:rsidRPr="00F666E1" w:rsidRDefault="00C13684" w:rsidP="00F666E1">
            <w:pPr>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3</w:t>
            </w:r>
          </w:p>
        </w:tc>
        <w:tc>
          <w:tcPr>
            <w:tcW w:w="744" w:type="pct"/>
            <w:tcBorders>
              <w:top w:val="nil"/>
              <w:left w:val="nil"/>
              <w:bottom w:val="nil"/>
              <w:right w:val="nil"/>
            </w:tcBorders>
            <w:noWrap/>
            <w:vAlign w:val="center"/>
            <w:hideMark/>
          </w:tcPr>
          <w:p w14:paraId="428C36A4" w14:textId="77777777" w:rsidR="00C13684" w:rsidRPr="00F666E1" w:rsidRDefault="00C13684" w:rsidP="00F666E1">
            <w:pPr>
              <w:jc w:val="right"/>
              <w:rPr>
                <w:rFonts w:ascii="Arial" w:hAnsi="Arial" w:cs="Arial"/>
                <w:color w:val="000000" w:themeColor="text1"/>
                <w:sz w:val="16"/>
                <w:szCs w:val="16"/>
              </w:rPr>
            </w:pPr>
            <w:r w:rsidRPr="00F666E1">
              <w:rPr>
                <w:rFonts w:ascii="Arial" w:hAnsi="Arial" w:cs="Arial"/>
                <w:color w:val="000000" w:themeColor="text1"/>
                <w:sz w:val="16"/>
                <w:szCs w:val="16"/>
              </w:rPr>
              <w:t>13.90</w:t>
            </w:r>
          </w:p>
        </w:tc>
        <w:tc>
          <w:tcPr>
            <w:tcW w:w="181" w:type="pct"/>
            <w:tcBorders>
              <w:top w:val="nil"/>
              <w:left w:val="nil"/>
              <w:bottom w:val="nil"/>
              <w:right w:val="nil"/>
            </w:tcBorders>
            <w:noWrap/>
            <w:vAlign w:val="center"/>
            <w:hideMark/>
          </w:tcPr>
          <w:p w14:paraId="18191490" w14:textId="77777777" w:rsidR="00C13684" w:rsidRPr="00F666E1" w:rsidRDefault="00C13684" w:rsidP="00F666E1">
            <w:pPr>
              <w:rPr>
                <w:rFonts w:ascii="Arial" w:hAnsi="Arial" w:cs="Arial"/>
                <w:color w:val="000000" w:themeColor="text1"/>
                <w:sz w:val="16"/>
                <w:szCs w:val="16"/>
              </w:rPr>
            </w:pPr>
            <w:r w:rsidRPr="00F666E1">
              <w:rPr>
                <w:rFonts w:ascii="Arial" w:hAnsi="Arial" w:cs="Arial"/>
                <w:color w:val="000000" w:themeColor="text1"/>
                <w:sz w:val="16"/>
                <w:szCs w:val="16"/>
              </w:rPr>
              <w:t>a</w:t>
            </w:r>
          </w:p>
        </w:tc>
        <w:tc>
          <w:tcPr>
            <w:tcW w:w="887" w:type="pct"/>
            <w:tcBorders>
              <w:top w:val="nil"/>
              <w:left w:val="nil"/>
              <w:bottom w:val="nil"/>
              <w:right w:val="nil"/>
            </w:tcBorders>
            <w:noWrap/>
            <w:vAlign w:val="center"/>
            <w:hideMark/>
          </w:tcPr>
          <w:p w14:paraId="1536A0C5" w14:textId="77777777" w:rsidR="00C13684" w:rsidRPr="00F666E1" w:rsidRDefault="00C13684" w:rsidP="00F666E1">
            <w:pPr>
              <w:jc w:val="right"/>
              <w:rPr>
                <w:rFonts w:ascii="Arial" w:hAnsi="Arial" w:cs="Arial"/>
                <w:color w:val="000000" w:themeColor="text1"/>
                <w:sz w:val="16"/>
                <w:szCs w:val="16"/>
              </w:rPr>
            </w:pPr>
            <w:r w:rsidRPr="00F666E1">
              <w:rPr>
                <w:rFonts w:ascii="Arial" w:hAnsi="Arial" w:cs="Arial"/>
                <w:color w:val="000000" w:themeColor="text1"/>
                <w:sz w:val="16"/>
                <w:szCs w:val="16"/>
              </w:rPr>
              <w:t>36.86</w:t>
            </w:r>
          </w:p>
        </w:tc>
        <w:tc>
          <w:tcPr>
            <w:tcW w:w="234" w:type="pct"/>
            <w:tcBorders>
              <w:top w:val="nil"/>
              <w:left w:val="nil"/>
              <w:bottom w:val="nil"/>
              <w:right w:val="nil"/>
            </w:tcBorders>
            <w:noWrap/>
            <w:vAlign w:val="center"/>
            <w:hideMark/>
          </w:tcPr>
          <w:p w14:paraId="6BC271D7" w14:textId="77777777" w:rsidR="00C13684" w:rsidRPr="00F666E1" w:rsidRDefault="00C13684" w:rsidP="00F666E1">
            <w:pPr>
              <w:rPr>
                <w:rFonts w:ascii="Arial" w:hAnsi="Arial" w:cs="Arial"/>
                <w:color w:val="000000" w:themeColor="text1"/>
                <w:sz w:val="16"/>
                <w:szCs w:val="16"/>
              </w:rPr>
            </w:pPr>
            <w:r w:rsidRPr="00F666E1">
              <w:rPr>
                <w:rFonts w:ascii="Arial" w:hAnsi="Arial" w:cs="Arial"/>
                <w:color w:val="000000" w:themeColor="text1"/>
                <w:sz w:val="16"/>
                <w:szCs w:val="16"/>
              </w:rPr>
              <w:t>a</w:t>
            </w:r>
          </w:p>
        </w:tc>
        <w:tc>
          <w:tcPr>
            <w:tcW w:w="742" w:type="pct"/>
            <w:tcBorders>
              <w:top w:val="nil"/>
              <w:left w:val="nil"/>
              <w:bottom w:val="nil"/>
              <w:right w:val="nil"/>
            </w:tcBorders>
            <w:noWrap/>
            <w:vAlign w:val="center"/>
            <w:hideMark/>
          </w:tcPr>
          <w:p w14:paraId="1D9641DD" w14:textId="77777777" w:rsidR="00C13684" w:rsidRPr="00F666E1" w:rsidRDefault="00C13684" w:rsidP="00F666E1">
            <w:pPr>
              <w:jc w:val="right"/>
              <w:rPr>
                <w:rFonts w:ascii="Arial" w:hAnsi="Arial" w:cs="Arial"/>
                <w:color w:val="000000" w:themeColor="text1"/>
                <w:sz w:val="16"/>
                <w:szCs w:val="16"/>
              </w:rPr>
            </w:pPr>
            <w:r w:rsidRPr="00F666E1">
              <w:rPr>
                <w:rFonts w:ascii="Arial" w:hAnsi="Arial" w:cs="Arial"/>
                <w:color w:val="000000" w:themeColor="text1"/>
                <w:sz w:val="16"/>
                <w:szCs w:val="16"/>
              </w:rPr>
              <w:t>86.29</w:t>
            </w:r>
          </w:p>
        </w:tc>
        <w:tc>
          <w:tcPr>
            <w:tcW w:w="141" w:type="pct"/>
            <w:tcBorders>
              <w:top w:val="nil"/>
              <w:left w:val="nil"/>
              <w:bottom w:val="nil"/>
              <w:right w:val="nil"/>
            </w:tcBorders>
            <w:noWrap/>
            <w:vAlign w:val="center"/>
            <w:hideMark/>
          </w:tcPr>
          <w:p w14:paraId="28697F66" w14:textId="77777777" w:rsidR="00C13684" w:rsidRPr="00F666E1" w:rsidRDefault="00C13684" w:rsidP="00F666E1">
            <w:pPr>
              <w:rPr>
                <w:rFonts w:ascii="Arial" w:hAnsi="Arial" w:cs="Arial"/>
                <w:color w:val="000000" w:themeColor="text1"/>
                <w:sz w:val="16"/>
                <w:szCs w:val="16"/>
              </w:rPr>
            </w:pPr>
            <w:r w:rsidRPr="00F666E1">
              <w:rPr>
                <w:rFonts w:ascii="Arial" w:hAnsi="Arial" w:cs="Arial"/>
                <w:color w:val="000000" w:themeColor="text1"/>
                <w:sz w:val="16"/>
                <w:szCs w:val="16"/>
              </w:rPr>
              <w:t>a</w:t>
            </w:r>
          </w:p>
        </w:tc>
        <w:tc>
          <w:tcPr>
            <w:tcW w:w="896" w:type="pct"/>
            <w:gridSpan w:val="2"/>
            <w:tcBorders>
              <w:top w:val="nil"/>
              <w:left w:val="nil"/>
              <w:bottom w:val="nil"/>
              <w:right w:val="nil"/>
            </w:tcBorders>
            <w:noWrap/>
            <w:vAlign w:val="center"/>
            <w:hideMark/>
          </w:tcPr>
          <w:p w14:paraId="724923CC" w14:textId="77777777" w:rsidR="00C13684" w:rsidRPr="00F666E1" w:rsidRDefault="00C13684" w:rsidP="00F666E1">
            <w:pPr>
              <w:jc w:val="right"/>
              <w:rPr>
                <w:rFonts w:ascii="Arial" w:hAnsi="Arial" w:cs="Arial"/>
                <w:color w:val="000000" w:themeColor="text1"/>
                <w:sz w:val="16"/>
                <w:szCs w:val="16"/>
              </w:rPr>
            </w:pPr>
            <w:r w:rsidRPr="00F666E1">
              <w:rPr>
                <w:rFonts w:ascii="Arial" w:hAnsi="Arial" w:cs="Arial"/>
                <w:color w:val="000000" w:themeColor="text1"/>
                <w:sz w:val="16"/>
                <w:szCs w:val="16"/>
              </w:rPr>
              <w:t>281.19</w:t>
            </w:r>
          </w:p>
        </w:tc>
        <w:tc>
          <w:tcPr>
            <w:tcW w:w="214" w:type="pct"/>
            <w:tcBorders>
              <w:top w:val="nil"/>
              <w:left w:val="nil"/>
              <w:bottom w:val="nil"/>
              <w:right w:val="nil"/>
            </w:tcBorders>
            <w:noWrap/>
            <w:vAlign w:val="center"/>
            <w:hideMark/>
          </w:tcPr>
          <w:p w14:paraId="7AEF4EB4" w14:textId="77777777" w:rsidR="00C13684" w:rsidRPr="00F666E1" w:rsidRDefault="00C13684" w:rsidP="00F666E1">
            <w:pPr>
              <w:rPr>
                <w:rFonts w:ascii="Arial" w:hAnsi="Arial" w:cs="Arial"/>
                <w:color w:val="000000" w:themeColor="text1"/>
                <w:sz w:val="16"/>
                <w:szCs w:val="16"/>
              </w:rPr>
            </w:pPr>
            <w:r w:rsidRPr="00F666E1">
              <w:rPr>
                <w:rFonts w:ascii="Arial" w:hAnsi="Arial" w:cs="Arial"/>
                <w:color w:val="000000" w:themeColor="text1"/>
                <w:sz w:val="16"/>
                <w:szCs w:val="16"/>
              </w:rPr>
              <w:t>a</w:t>
            </w:r>
          </w:p>
        </w:tc>
      </w:tr>
      <w:tr w:rsidR="00F666E1" w:rsidRPr="00F666E1" w14:paraId="5B90177A" w14:textId="77777777" w:rsidTr="00707275">
        <w:trPr>
          <w:trHeight w:val="216"/>
          <w:jc w:val="center"/>
        </w:trPr>
        <w:tc>
          <w:tcPr>
            <w:tcW w:w="961" w:type="pct"/>
            <w:tcBorders>
              <w:top w:val="nil"/>
              <w:left w:val="nil"/>
              <w:bottom w:val="nil"/>
              <w:right w:val="nil"/>
            </w:tcBorders>
            <w:noWrap/>
            <w:vAlign w:val="center"/>
            <w:hideMark/>
          </w:tcPr>
          <w:p w14:paraId="4B55D4C2" w14:textId="77777777" w:rsidR="00C13684" w:rsidRPr="00F666E1" w:rsidRDefault="00C13684" w:rsidP="00F666E1">
            <w:pPr>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4</w:t>
            </w:r>
          </w:p>
        </w:tc>
        <w:tc>
          <w:tcPr>
            <w:tcW w:w="744" w:type="pct"/>
            <w:tcBorders>
              <w:top w:val="nil"/>
              <w:left w:val="nil"/>
              <w:bottom w:val="nil"/>
              <w:right w:val="nil"/>
            </w:tcBorders>
            <w:noWrap/>
            <w:vAlign w:val="center"/>
            <w:hideMark/>
          </w:tcPr>
          <w:p w14:paraId="36D00286" w14:textId="77777777" w:rsidR="00C13684" w:rsidRPr="00F666E1" w:rsidRDefault="00C13684" w:rsidP="00F666E1">
            <w:pPr>
              <w:jc w:val="right"/>
              <w:rPr>
                <w:rFonts w:ascii="Arial" w:hAnsi="Arial" w:cs="Arial"/>
                <w:color w:val="000000" w:themeColor="text1"/>
                <w:sz w:val="16"/>
                <w:szCs w:val="16"/>
              </w:rPr>
            </w:pPr>
            <w:r w:rsidRPr="00F666E1">
              <w:rPr>
                <w:rFonts w:ascii="Arial" w:hAnsi="Arial" w:cs="Arial"/>
                <w:color w:val="000000" w:themeColor="text1"/>
                <w:sz w:val="16"/>
                <w:szCs w:val="16"/>
              </w:rPr>
              <w:t>12.50</w:t>
            </w:r>
          </w:p>
        </w:tc>
        <w:tc>
          <w:tcPr>
            <w:tcW w:w="181" w:type="pct"/>
            <w:tcBorders>
              <w:top w:val="nil"/>
              <w:left w:val="nil"/>
              <w:bottom w:val="nil"/>
              <w:right w:val="nil"/>
            </w:tcBorders>
            <w:noWrap/>
            <w:vAlign w:val="center"/>
            <w:hideMark/>
          </w:tcPr>
          <w:p w14:paraId="64FDA5AB" w14:textId="77777777" w:rsidR="00C13684" w:rsidRPr="00F666E1" w:rsidRDefault="00C13684" w:rsidP="00F666E1">
            <w:pPr>
              <w:rPr>
                <w:rFonts w:ascii="Arial" w:hAnsi="Arial" w:cs="Arial"/>
                <w:color w:val="000000" w:themeColor="text1"/>
                <w:sz w:val="16"/>
                <w:szCs w:val="16"/>
              </w:rPr>
            </w:pPr>
            <w:r w:rsidRPr="00F666E1">
              <w:rPr>
                <w:rFonts w:ascii="Arial" w:hAnsi="Arial" w:cs="Arial"/>
                <w:color w:val="000000" w:themeColor="text1"/>
                <w:sz w:val="16"/>
                <w:szCs w:val="16"/>
              </w:rPr>
              <w:t>c</w:t>
            </w:r>
          </w:p>
        </w:tc>
        <w:tc>
          <w:tcPr>
            <w:tcW w:w="887" w:type="pct"/>
            <w:tcBorders>
              <w:top w:val="nil"/>
              <w:left w:val="nil"/>
              <w:bottom w:val="nil"/>
              <w:right w:val="nil"/>
            </w:tcBorders>
            <w:noWrap/>
            <w:vAlign w:val="center"/>
            <w:hideMark/>
          </w:tcPr>
          <w:p w14:paraId="71C98CE6" w14:textId="77777777" w:rsidR="00C13684" w:rsidRPr="00F666E1" w:rsidRDefault="00C13684" w:rsidP="00F666E1">
            <w:pPr>
              <w:jc w:val="right"/>
              <w:rPr>
                <w:rFonts w:ascii="Arial" w:hAnsi="Arial" w:cs="Arial"/>
                <w:color w:val="000000" w:themeColor="text1"/>
                <w:sz w:val="16"/>
                <w:szCs w:val="16"/>
              </w:rPr>
            </w:pPr>
            <w:r w:rsidRPr="00F666E1">
              <w:rPr>
                <w:rFonts w:ascii="Arial" w:hAnsi="Arial" w:cs="Arial"/>
                <w:color w:val="000000" w:themeColor="text1"/>
                <w:sz w:val="16"/>
                <w:szCs w:val="16"/>
              </w:rPr>
              <w:t>34.64</w:t>
            </w:r>
          </w:p>
        </w:tc>
        <w:tc>
          <w:tcPr>
            <w:tcW w:w="234" w:type="pct"/>
            <w:tcBorders>
              <w:top w:val="nil"/>
              <w:left w:val="nil"/>
              <w:bottom w:val="nil"/>
              <w:right w:val="nil"/>
            </w:tcBorders>
            <w:noWrap/>
            <w:vAlign w:val="center"/>
            <w:hideMark/>
          </w:tcPr>
          <w:p w14:paraId="5C2F5674" w14:textId="77777777" w:rsidR="00C13684" w:rsidRPr="00F666E1" w:rsidRDefault="00C13684" w:rsidP="00F666E1">
            <w:pPr>
              <w:rPr>
                <w:rFonts w:ascii="Arial" w:hAnsi="Arial" w:cs="Arial"/>
                <w:color w:val="000000" w:themeColor="text1"/>
                <w:sz w:val="16"/>
                <w:szCs w:val="16"/>
              </w:rPr>
            </w:pPr>
            <w:proofErr w:type="spellStart"/>
            <w:r w:rsidRPr="00F666E1">
              <w:rPr>
                <w:rFonts w:ascii="Arial" w:hAnsi="Arial" w:cs="Arial"/>
                <w:color w:val="000000" w:themeColor="text1"/>
                <w:sz w:val="16"/>
                <w:szCs w:val="16"/>
              </w:rPr>
              <w:t>bc</w:t>
            </w:r>
            <w:proofErr w:type="spellEnd"/>
          </w:p>
        </w:tc>
        <w:tc>
          <w:tcPr>
            <w:tcW w:w="742" w:type="pct"/>
            <w:tcBorders>
              <w:top w:val="nil"/>
              <w:left w:val="nil"/>
              <w:bottom w:val="nil"/>
              <w:right w:val="nil"/>
            </w:tcBorders>
            <w:noWrap/>
            <w:vAlign w:val="center"/>
            <w:hideMark/>
          </w:tcPr>
          <w:p w14:paraId="1F148692" w14:textId="77777777" w:rsidR="00C13684" w:rsidRPr="00F666E1" w:rsidRDefault="00C13684" w:rsidP="00F666E1">
            <w:pPr>
              <w:jc w:val="right"/>
              <w:rPr>
                <w:rFonts w:ascii="Arial" w:hAnsi="Arial" w:cs="Arial"/>
                <w:color w:val="000000" w:themeColor="text1"/>
                <w:sz w:val="16"/>
                <w:szCs w:val="16"/>
              </w:rPr>
            </w:pPr>
            <w:r w:rsidRPr="00F666E1">
              <w:rPr>
                <w:rFonts w:ascii="Arial" w:hAnsi="Arial" w:cs="Arial"/>
                <w:color w:val="000000" w:themeColor="text1"/>
                <w:sz w:val="16"/>
                <w:szCs w:val="16"/>
              </w:rPr>
              <w:t>85.25</w:t>
            </w:r>
          </w:p>
        </w:tc>
        <w:tc>
          <w:tcPr>
            <w:tcW w:w="141" w:type="pct"/>
            <w:tcBorders>
              <w:top w:val="nil"/>
              <w:left w:val="nil"/>
              <w:bottom w:val="nil"/>
              <w:right w:val="nil"/>
            </w:tcBorders>
            <w:noWrap/>
            <w:vAlign w:val="center"/>
            <w:hideMark/>
          </w:tcPr>
          <w:p w14:paraId="717B4E20" w14:textId="77777777" w:rsidR="00C13684" w:rsidRPr="00F666E1" w:rsidRDefault="00C13684" w:rsidP="00F666E1">
            <w:pPr>
              <w:rPr>
                <w:rFonts w:ascii="Arial" w:hAnsi="Arial" w:cs="Arial"/>
                <w:color w:val="000000" w:themeColor="text1"/>
                <w:sz w:val="16"/>
                <w:szCs w:val="16"/>
              </w:rPr>
            </w:pPr>
            <w:r w:rsidRPr="00F666E1">
              <w:rPr>
                <w:rFonts w:ascii="Arial" w:hAnsi="Arial" w:cs="Arial"/>
                <w:color w:val="000000" w:themeColor="text1"/>
                <w:sz w:val="16"/>
                <w:szCs w:val="16"/>
              </w:rPr>
              <w:t>c</w:t>
            </w:r>
          </w:p>
        </w:tc>
        <w:tc>
          <w:tcPr>
            <w:tcW w:w="896" w:type="pct"/>
            <w:gridSpan w:val="2"/>
            <w:tcBorders>
              <w:top w:val="nil"/>
              <w:left w:val="nil"/>
              <w:bottom w:val="nil"/>
              <w:right w:val="nil"/>
            </w:tcBorders>
            <w:noWrap/>
            <w:vAlign w:val="center"/>
            <w:hideMark/>
          </w:tcPr>
          <w:p w14:paraId="22711F95" w14:textId="77777777" w:rsidR="00C13684" w:rsidRPr="00F666E1" w:rsidRDefault="00C13684" w:rsidP="00F666E1">
            <w:pPr>
              <w:jc w:val="right"/>
              <w:rPr>
                <w:rFonts w:ascii="Arial" w:hAnsi="Arial" w:cs="Arial"/>
                <w:color w:val="000000" w:themeColor="text1"/>
                <w:sz w:val="16"/>
                <w:szCs w:val="16"/>
              </w:rPr>
            </w:pPr>
            <w:r w:rsidRPr="00F666E1">
              <w:rPr>
                <w:rFonts w:ascii="Arial" w:hAnsi="Arial" w:cs="Arial"/>
                <w:color w:val="000000" w:themeColor="text1"/>
                <w:sz w:val="16"/>
                <w:szCs w:val="16"/>
              </w:rPr>
              <w:t>276.93</w:t>
            </w:r>
          </w:p>
        </w:tc>
        <w:tc>
          <w:tcPr>
            <w:tcW w:w="214" w:type="pct"/>
            <w:tcBorders>
              <w:top w:val="nil"/>
              <w:left w:val="nil"/>
              <w:bottom w:val="nil"/>
              <w:right w:val="nil"/>
            </w:tcBorders>
            <w:noWrap/>
            <w:vAlign w:val="center"/>
            <w:hideMark/>
          </w:tcPr>
          <w:p w14:paraId="68D557A4" w14:textId="77777777" w:rsidR="00C13684" w:rsidRPr="00F666E1" w:rsidRDefault="00C13684" w:rsidP="00F666E1">
            <w:pPr>
              <w:rPr>
                <w:rFonts w:ascii="Arial" w:hAnsi="Arial" w:cs="Arial"/>
                <w:color w:val="000000" w:themeColor="text1"/>
                <w:sz w:val="16"/>
                <w:szCs w:val="16"/>
              </w:rPr>
            </w:pPr>
            <w:r w:rsidRPr="00F666E1">
              <w:rPr>
                <w:rFonts w:ascii="Arial" w:hAnsi="Arial" w:cs="Arial"/>
                <w:color w:val="000000" w:themeColor="text1"/>
                <w:sz w:val="16"/>
                <w:szCs w:val="16"/>
              </w:rPr>
              <w:t>d</w:t>
            </w:r>
          </w:p>
        </w:tc>
      </w:tr>
      <w:tr w:rsidR="00F666E1" w:rsidRPr="00F666E1" w14:paraId="668D31F5" w14:textId="77777777" w:rsidTr="00707275">
        <w:trPr>
          <w:trHeight w:val="216"/>
          <w:jc w:val="center"/>
        </w:trPr>
        <w:tc>
          <w:tcPr>
            <w:tcW w:w="961" w:type="pct"/>
            <w:tcBorders>
              <w:top w:val="nil"/>
              <w:left w:val="nil"/>
              <w:bottom w:val="nil"/>
              <w:right w:val="nil"/>
            </w:tcBorders>
            <w:noWrap/>
            <w:vAlign w:val="center"/>
            <w:hideMark/>
          </w:tcPr>
          <w:p w14:paraId="41E1888C" w14:textId="77777777" w:rsidR="00C13684" w:rsidRPr="00F666E1" w:rsidRDefault="00C13684" w:rsidP="00F666E1">
            <w:pPr>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5</w:t>
            </w:r>
          </w:p>
        </w:tc>
        <w:tc>
          <w:tcPr>
            <w:tcW w:w="744" w:type="pct"/>
            <w:tcBorders>
              <w:top w:val="nil"/>
              <w:left w:val="nil"/>
              <w:bottom w:val="nil"/>
              <w:right w:val="nil"/>
            </w:tcBorders>
            <w:noWrap/>
            <w:vAlign w:val="center"/>
            <w:hideMark/>
          </w:tcPr>
          <w:p w14:paraId="04404BEA" w14:textId="77777777" w:rsidR="00C13684" w:rsidRPr="00F666E1" w:rsidRDefault="00C13684" w:rsidP="00F666E1">
            <w:pPr>
              <w:jc w:val="right"/>
              <w:rPr>
                <w:rFonts w:ascii="Arial" w:hAnsi="Arial" w:cs="Arial"/>
                <w:color w:val="000000" w:themeColor="text1"/>
                <w:sz w:val="16"/>
                <w:szCs w:val="16"/>
              </w:rPr>
            </w:pPr>
            <w:r w:rsidRPr="00F666E1">
              <w:rPr>
                <w:rFonts w:ascii="Arial" w:hAnsi="Arial" w:cs="Arial"/>
                <w:color w:val="000000" w:themeColor="text1"/>
                <w:sz w:val="16"/>
                <w:szCs w:val="16"/>
              </w:rPr>
              <w:t>13.20</w:t>
            </w:r>
          </w:p>
        </w:tc>
        <w:tc>
          <w:tcPr>
            <w:tcW w:w="181" w:type="pct"/>
            <w:tcBorders>
              <w:top w:val="nil"/>
              <w:left w:val="nil"/>
              <w:bottom w:val="nil"/>
              <w:right w:val="nil"/>
            </w:tcBorders>
            <w:noWrap/>
            <w:vAlign w:val="center"/>
            <w:hideMark/>
          </w:tcPr>
          <w:p w14:paraId="31ACF672" w14:textId="77777777" w:rsidR="00C13684" w:rsidRPr="00F666E1" w:rsidRDefault="00C13684" w:rsidP="00F666E1">
            <w:pPr>
              <w:rPr>
                <w:rFonts w:ascii="Arial" w:hAnsi="Arial" w:cs="Arial"/>
                <w:color w:val="000000" w:themeColor="text1"/>
                <w:sz w:val="16"/>
                <w:szCs w:val="16"/>
              </w:rPr>
            </w:pPr>
            <w:r w:rsidRPr="00F666E1">
              <w:rPr>
                <w:rFonts w:ascii="Arial" w:hAnsi="Arial" w:cs="Arial"/>
                <w:color w:val="000000" w:themeColor="text1"/>
                <w:sz w:val="16"/>
                <w:szCs w:val="16"/>
              </w:rPr>
              <w:t>b</w:t>
            </w:r>
          </w:p>
        </w:tc>
        <w:tc>
          <w:tcPr>
            <w:tcW w:w="887" w:type="pct"/>
            <w:tcBorders>
              <w:top w:val="nil"/>
              <w:left w:val="nil"/>
              <w:bottom w:val="nil"/>
              <w:right w:val="nil"/>
            </w:tcBorders>
            <w:noWrap/>
            <w:vAlign w:val="center"/>
            <w:hideMark/>
          </w:tcPr>
          <w:p w14:paraId="53775438" w14:textId="77777777" w:rsidR="00C13684" w:rsidRPr="00F666E1" w:rsidRDefault="00C13684" w:rsidP="00F666E1">
            <w:pPr>
              <w:jc w:val="right"/>
              <w:rPr>
                <w:rFonts w:ascii="Arial" w:hAnsi="Arial" w:cs="Arial"/>
                <w:color w:val="000000" w:themeColor="text1"/>
                <w:sz w:val="16"/>
                <w:szCs w:val="16"/>
              </w:rPr>
            </w:pPr>
            <w:r w:rsidRPr="00F666E1">
              <w:rPr>
                <w:rFonts w:ascii="Arial" w:hAnsi="Arial" w:cs="Arial"/>
                <w:color w:val="000000" w:themeColor="text1"/>
                <w:sz w:val="16"/>
                <w:szCs w:val="16"/>
              </w:rPr>
              <w:t>34.87</w:t>
            </w:r>
          </w:p>
        </w:tc>
        <w:tc>
          <w:tcPr>
            <w:tcW w:w="234" w:type="pct"/>
            <w:tcBorders>
              <w:top w:val="nil"/>
              <w:left w:val="nil"/>
              <w:bottom w:val="nil"/>
              <w:right w:val="nil"/>
            </w:tcBorders>
            <w:noWrap/>
            <w:vAlign w:val="center"/>
            <w:hideMark/>
          </w:tcPr>
          <w:p w14:paraId="23E6DC43" w14:textId="77777777" w:rsidR="00C13684" w:rsidRPr="00F666E1" w:rsidRDefault="00C13684" w:rsidP="00F666E1">
            <w:pPr>
              <w:rPr>
                <w:rFonts w:ascii="Arial" w:hAnsi="Arial" w:cs="Arial"/>
                <w:color w:val="000000" w:themeColor="text1"/>
                <w:sz w:val="16"/>
                <w:szCs w:val="16"/>
              </w:rPr>
            </w:pPr>
            <w:r w:rsidRPr="00F666E1">
              <w:rPr>
                <w:rFonts w:ascii="Arial" w:hAnsi="Arial" w:cs="Arial"/>
                <w:color w:val="000000" w:themeColor="text1"/>
                <w:sz w:val="16"/>
                <w:szCs w:val="16"/>
              </w:rPr>
              <w:t>b</w:t>
            </w:r>
          </w:p>
        </w:tc>
        <w:tc>
          <w:tcPr>
            <w:tcW w:w="742" w:type="pct"/>
            <w:tcBorders>
              <w:top w:val="nil"/>
              <w:left w:val="nil"/>
              <w:bottom w:val="nil"/>
              <w:right w:val="nil"/>
            </w:tcBorders>
            <w:noWrap/>
            <w:vAlign w:val="center"/>
            <w:hideMark/>
          </w:tcPr>
          <w:p w14:paraId="6A9CA9BD" w14:textId="77777777" w:rsidR="00C13684" w:rsidRPr="00F666E1" w:rsidRDefault="00C13684" w:rsidP="00F666E1">
            <w:pPr>
              <w:jc w:val="right"/>
              <w:rPr>
                <w:rFonts w:ascii="Arial" w:hAnsi="Arial" w:cs="Arial"/>
                <w:color w:val="000000" w:themeColor="text1"/>
                <w:sz w:val="16"/>
                <w:szCs w:val="16"/>
              </w:rPr>
            </w:pPr>
            <w:r w:rsidRPr="00F666E1">
              <w:rPr>
                <w:rFonts w:ascii="Arial" w:hAnsi="Arial" w:cs="Arial"/>
                <w:color w:val="000000" w:themeColor="text1"/>
                <w:sz w:val="16"/>
                <w:szCs w:val="16"/>
              </w:rPr>
              <w:t>85.56</w:t>
            </w:r>
          </w:p>
        </w:tc>
        <w:tc>
          <w:tcPr>
            <w:tcW w:w="141" w:type="pct"/>
            <w:tcBorders>
              <w:top w:val="nil"/>
              <w:left w:val="nil"/>
              <w:bottom w:val="nil"/>
              <w:right w:val="nil"/>
            </w:tcBorders>
            <w:noWrap/>
            <w:vAlign w:val="center"/>
            <w:hideMark/>
          </w:tcPr>
          <w:p w14:paraId="1728A8BB" w14:textId="77777777" w:rsidR="00C13684" w:rsidRPr="00F666E1" w:rsidRDefault="00C13684" w:rsidP="00F666E1">
            <w:pPr>
              <w:rPr>
                <w:rFonts w:ascii="Arial" w:hAnsi="Arial" w:cs="Arial"/>
                <w:color w:val="000000" w:themeColor="text1"/>
                <w:sz w:val="16"/>
                <w:szCs w:val="16"/>
              </w:rPr>
            </w:pPr>
            <w:r w:rsidRPr="00F666E1">
              <w:rPr>
                <w:rFonts w:ascii="Arial" w:hAnsi="Arial" w:cs="Arial"/>
                <w:color w:val="000000" w:themeColor="text1"/>
                <w:sz w:val="16"/>
                <w:szCs w:val="16"/>
              </w:rPr>
              <w:t>b</w:t>
            </w:r>
          </w:p>
        </w:tc>
        <w:tc>
          <w:tcPr>
            <w:tcW w:w="896" w:type="pct"/>
            <w:gridSpan w:val="2"/>
            <w:tcBorders>
              <w:top w:val="nil"/>
              <w:left w:val="nil"/>
              <w:bottom w:val="nil"/>
              <w:right w:val="nil"/>
            </w:tcBorders>
            <w:noWrap/>
            <w:vAlign w:val="center"/>
            <w:hideMark/>
          </w:tcPr>
          <w:p w14:paraId="0DDDC516" w14:textId="77777777" w:rsidR="00C13684" w:rsidRPr="00F666E1" w:rsidRDefault="00C13684" w:rsidP="00F666E1">
            <w:pPr>
              <w:jc w:val="right"/>
              <w:rPr>
                <w:rFonts w:ascii="Arial" w:hAnsi="Arial" w:cs="Arial"/>
                <w:color w:val="000000" w:themeColor="text1"/>
                <w:sz w:val="16"/>
                <w:szCs w:val="16"/>
              </w:rPr>
            </w:pPr>
            <w:r w:rsidRPr="00F666E1">
              <w:rPr>
                <w:rFonts w:ascii="Arial" w:hAnsi="Arial" w:cs="Arial"/>
                <w:color w:val="000000" w:themeColor="text1"/>
                <w:sz w:val="16"/>
                <w:szCs w:val="16"/>
              </w:rPr>
              <w:t>278.57</w:t>
            </w:r>
          </w:p>
        </w:tc>
        <w:tc>
          <w:tcPr>
            <w:tcW w:w="214" w:type="pct"/>
            <w:tcBorders>
              <w:top w:val="nil"/>
              <w:left w:val="nil"/>
              <w:bottom w:val="nil"/>
              <w:right w:val="nil"/>
            </w:tcBorders>
            <w:noWrap/>
            <w:vAlign w:val="center"/>
            <w:hideMark/>
          </w:tcPr>
          <w:p w14:paraId="0FDE847C" w14:textId="77777777" w:rsidR="00C13684" w:rsidRPr="00F666E1" w:rsidRDefault="00C13684" w:rsidP="00F666E1">
            <w:pPr>
              <w:rPr>
                <w:rFonts w:ascii="Arial" w:hAnsi="Arial" w:cs="Arial"/>
                <w:color w:val="000000" w:themeColor="text1"/>
                <w:sz w:val="16"/>
                <w:szCs w:val="16"/>
              </w:rPr>
            </w:pPr>
            <w:r w:rsidRPr="00F666E1">
              <w:rPr>
                <w:rFonts w:ascii="Arial" w:hAnsi="Arial" w:cs="Arial"/>
                <w:color w:val="000000" w:themeColor="text1"/>
                <w:sz w:val="16"/>
                <w:szCs w:val="16"/>
              </w:rPr>
              <w:t>c</w:t>
            </w:r>
          </w:p>
        </w:tc>
      </w:tr>
      <w:tr w:rsidR="00F666E1" w:rsidRPr="00F666E1" w14:paraId="1F4C4A02" w14:textId="77777777" w:rsidTr="00707275">
        <w:trPr>
          <w:trHeight w:val="216"/>
          <w:jc w:val="center"/>
        </w:trPr>
        <w:tc>
          <w:tcPr>
            <w:tcW w:w="961" w:type="pct"/>
            <w:tcBorders>
              <w:top w:val="nil"/>
              <w:left w:val="nil"/>
              <w:bottom w:val="single" w:sz="4" w:space="0" w:color="auto"/>
              <w:right w:val="nil"/>
            </w:tcBorders>
            <w:noWrap/>
            <w:vAlign w:val="center"/>
            <w:hideMark/>
          </w:tcPr>
          <w:p w14:paraId="51C26496" w14:textId="77777777" w:rsidR="00C13684" w:rsidRPr="00F666E1" w:rsidRDefault="00C13684" w:rsidP="00F666E1">
            <w:pPr>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6</w:t>
            </w:r>
          </w:p>
        </w:tc>
        <w:tc>
          <w:tcPr>
            <w:tcW w:w="744" w:type="pct"/>
            <w:tcBorders>
              <w:top w:val="nil"/>
              <w:left w:val="nil"/>
              <w:bottom w:val="nil"/>
              <w:right w:val="nil"/>
            </w:tcBorders>
            <w:noWrap/>
            <w:vAlign w:val="center"/>
            <w:hideMark/>
          </w:tcPr>
          <w:p w14:paraId="2999AD81" w14:textId="77777777" w:rsidR="00C13684" w:rsidRPr="00F666E1" w:rsidRDefault="00C13684" w:rsidP="00F666E1">
            <w:pPr>
              <w:jc w:val="right"/>
              <w:rPr>
                <w:rFonts w:ascii="Arial" w:hAnsi="Arial" w:cs="Arial"/>
                <w:color w:val="000000" w:themeColor="text1"/>
                <w:sz w:val="16"/>
                <w:szCs w:val="16"/>
              </w:rPr>
            </w:pPr>
            <w:r w:rsidRPr="00F666E1">
              <w:rPr>
                <w:rFonts w:ascii="Arial" w:hAnsi="Arial" w:cs="Arial"/>
                <w:color w:val="000000" w:themeColor="text1"/>
                <w:sz w:val="16"/>
                <w:szCs w:val="16"/>
              </w:rPr>
              <w:t>14.30</w:t>
            </w:r>
          </w:p>
        </w:tc>
        <w:tc>
          <w:tcPr>
            <w:tcW w:w="181" w:type="pct"/>
            <w:tcBorders>
              <w:top w:val="nil"/>
              <w:left w:val="nil"/>
              <w:bottom w:val="nil"/>
              <w:right w:val="nil"/>
            </w:tcBorders>
            <w:noWrap/>
            <w:vAlign w:val="center"/>
            <w:hideMark/>
          </w:tcPr>
          <w:p w14:paraId="07A1EDA2" w14:textId="77777777" w:rsidR="00C13684" w:rsidRPr="00F666E1" w:rsidRDefault="00C13684" w:rsidP="00F666E1">
            <w:pPr>
              <w:rPr>
                <w:rFonts w:ascii="Arial" w:hAnsi="Arial" w:cs="Arial"/>
                <w:color w:val="000000" w:themeColor="text1"/>
                <w:sz w:val="16"/>
                <w:szCs w:val="16"/>
              </w:rPr>
            </w:pPr>
            <w:r w:rsidRPr="00F666E1">
              <w:rPr>
                <w:rFonts w:ascii="Arial" w:hAnsi="Arial" w:cs="Arial"/>
                <w:color w:val="000000" w:themeColor="text1"/>
                <w:sz w:val="16"/>
                <w:szCs w:val="16"/>
              </w:rPr>
              <w:t>a</w:t>
            </w:r>
          </w:p>
        </w:tc>
        <w:tc>
          <w:tcPr>
            <w:tcW w:w="887" w:type="pct"/>
            <w:tcBorders>
              <w:top w:val="nil"/>
              <w:left w:val="nil"/>
              <w:bottom w:val="nil"/>
              <w:right w:val="nil"/>
            </w:tcBorders>
            <w:noWrap/>
            <w:vAlign w:val="center"/>
            <w:hideMark/>
          </w:tcPr>
          <w:p w14:paraId="6A260311" w14:textId="77777777" w:rsidR="00C13684" w:rsidRPr="00F666E1" w:rsidRDefault="00C13684" w:rsidP="00F666E1">
            <w:pPr>
              <w:jc w:val="right"/>
              <w:rPr>
                <w:rFonts w:ascii="Arial" w:hAnsi="Arial" w:cs="Arial"/>
                <w:color w:val="000000" w:themeColor="text1"/>
                <w:sz w:val="16"/>
                <w:szCs w:val="16"/>
              </w:rPr>
            </w:pPr>
            <w:r w:rsidRPr="00F666E1">
              <w:rPr>
                <w:rFonts w:ascii="Arial" w:hAnsi="Arial" w:cs="Arial"/>
                <w:color w:val="000000" w:themeColor="text1"/>
                <w:sz w:val="16"/>
                <w:szCs w:val="16"/>
              </w:rPr>
              <w:t>35.80</w:t>
            </w:r>
          </w:p>
        </w:tc>
        <w:tc>
          <w:tcPr>
            <w:tcW w:w="234" w:type="pct"/>
            <w:tcBorders>
              <w:top w:val="nil"/>
              <w:left w:val="nil"/>
              <w:bottom w:val="nil"/>
              <w:right w:val="nil"/>
            </w:tcBorders>
            <w:noWrap/>
            <w:vAlign w:val="center"/>
            <w:hideMark/>
          </w:tcPr>
          <w:p w14:paraId="4F508B40" w14:textId="77777777" w:rsidR="00C13684" w:rsidRPr="00F666E1" w:rsidRDefault="00C13684" w:rsidP="00F666E1">
            <w:pPr>
              <w:rPr>
                <w:rFonts w:ascii="Arial" w:hAnsi="Arial" w:cs="Arial"/>
                <w:color w:val="000000" w:themeColor="text1"/>
                <w:sz w:val="16"/>
                <w:szCs w:val="16"/>
              </w:rPr>
            </w:pPr>
            <w:r w:rsidRPr="00F666E1">
              <w:rPr>
                <w:rFonts w:ascii="Arial" w:hAnsi="Arial" w:cs="Arial"/>
                <w:color w:val="000000" w:themeColor="text1"/>
                <w:sz w:val="16"/>
                <w:szCs w:val="16"/>
              </w:rPr>
              <w:t>ab</w:t>
            </w:r>
          </w:p>
        </w:tc>
        <w:tc>
          <w:tcPr>
            <w:tcW w:w="742" w:type="pct"/>
            <w:tcBorders>
              <w:top w:val="nil"/>
              <w:left w:val="nil"/>
              <w:bottom w:val="nil"/>
              <w:right w:val="nil"/>
            </w:tcBorders>
            <w:noWrap/>
            <w:vAlign w:val="center"/>
            <w:hideMark/>
          </w:tcPr>
          <w:p w14:paraId="5FFAFB8D" w14:textId="77777777" w:rsidR="00C13684" w:rsidRPr="00F666E1" w:rsidRDefault="00C13684" w:rsidP="00F666E1">
            <w:pPr>
              <w:jc w:val="right"/>
              <w:rPr>
                <w:rFonts w:ascii="Arial" w:hAnsi="Arial" w:cs="Arial"/>
                <w:color w:val="000000" w:themeColor="text1"/>
                <w:sz w:val="16"/>
                <w:szCs w:val="16"/>
              </w:rPr>
            </w:pPr>
            <w:r w:rsidRPr="00F666E1">
              <w:rPr>
                <w:rFonts w:ascii="Arial" w:hAnsi="Arial" w:cs="Arial"/>
                <w:color w:val="000000" w:themeColor="text1"/>
                <w:sz w:val="16"/>
                <w:szCs w:val="16"/>
              </w:rPr>
              <w:t>86.48</w:t>
            </w:r>
          </w:p>
        </w:tc>
        <w:tc>
          <w:tcPr>
            <w:tcW w:w="141" w:type="pct"/>
            <w:tcBorders>
              <w:top w:val="nil"/>
              <w:left w:val="nil"/>
              <w:bottom w:val="nil"/>
              <w:right w:val="nil"/>
            </w:tcBorders>
            <w:noWrap/>
            <w:vAlign w:val="center"/>
            <w:hideMark/>
          </w:tcPr>
          <w:p w14:paraId="3A91403E" w14:textId="77777777" w:rsidR="00C13684" w:rsidRPr="00F666E1" w:rsidRDefault="00C13684" w:rsidP="00F666E1">
            <w:pPr>
              <w:rPr>
                <w:rFonts w:ascii="Arial" w:hAnsi="Arial" w:cs="Arial"/>
                <w:color w:val="000000" w:themeColor="text1"/>
                <w:sz w:val="16"/>
                <w:szCs w:val="16"/>
              </w:rPr>
            </w:pPr>
            <w:r w:rsidRPr="00F666E1">
              <w:rPr>
                <w:rFonts w:ascii="Arial" w:hAnsi="Arial" w:cs="Arial"/>
                <w:color w:val="000000" w:themeColor="text1"/>
                <w:sz w:val="16"/>
                <w:szCs w:val="16"/>
              </w:rPr>
              <w:t>a</w:t>
            </w:r>
          </w:p>
        </w:tc>
        <w:tc>
          <w:tcPr>
            <w:tcW w:w="896" w:type="pct"/>
            <w:gridSpan w:val="2"/>
            <w:tcBorders>
              <w:top w:val="nil"/>
              <w:left w:val="nil"/>
              <w:bottom w:val="nil"/>
              <w:right w:val="nil"/>
            </w:tcBorders>
            <w:noWrap/>
            <w:vAlign w:val="center"/>
            <w:hideMark/>
          </w:tcPr>
          <w:p w14:paraId="715A5334" w14:textId="77777777" w:rsidR="00C13684" w:rsidRPr="00F666E1" w:rsidRDefault="00C13684" w:rsidP="00F666E1">
            <w:pPr>
              <w:jc w:val="right"/>
              <w:rPr>
                <w:rFonts w:ascii="Arial" w:hAnsi="Arial" w:cs="Arial"/>
                <w:color w:val="000000" w:themeColor="text1"/>
                <w:sz w:val="16"/>
                <w:szCs w:val="16"/>
              </w:rPr>
            </w:pPr>
            <w:r w:rsidRPr="00F666E1">
              <w:rPr>
                <w:rFonts w:ascii="Arial" w:hAnsi="Arial" w:cs="Arial"/>
                <w:color w:val="000000" w:themeColor="text1"/>
                <w:sz w:val="16"/>
                <w:szCs w:val="16"/>
              </w:rPr>
              <w:t>279.96</w:t>
            </w:r>
          </w:p>
        </w:tc>
        <w:tc>
          <w:tcPr>
            <w:tcW w:w="214" w:type="pct"/>
            <w:tcBorders>
              <w:top w:val="nil"/>
              <w:left w:val="nil"/>
              <w:bottom w:val="nil"/>
              <w:right w:val="nil"/>
            </w:tcBorders>
            <w:noWrap/>
            <w:vAlign w:val="center"/>
            <w:hideMark/>
          </w:tcPr>
          <w:p w14:paraId="3136D313" w14:textId="77777777" w:rsidR="00C13684" w:rsidRPr="00F666E1" w:rsidRDefault="00C13684" w:rsidP="00F666E1">
            <w:pPr>
              <w:rPr>
                <w:rFonts w:ascii="Arial" w:hAnsi="Arial" w:cs="Arial"/>
                <w:color w:val="000000" w:themeColor="text1"/>
                <w:sz w:val="16"/>
                <w:szCs w:val="16"/>
              </w:rPr>
            </w:pPr>
            <w:r w:rsidRPr="00F666E1">
              <w:rPr>
                <w:rFonts w:ascii="Arial" w:hAnsi="Arial" w:cs="Arial"/>
                <w:color w:val="000000" w:themeColor="text1"/>
                <w:sz w:val="16"/>
                <w:szCs w:val="16"/>
              </w:rPr>
              <w:t>b</w:t>
            </w:r>
          </w:p>
        </w:tc>
      </w:tr>
      <w:tr w:rsidR="00F666E1" w:rsidRPr="00F666E1" w14:paraId="306F5F26" w14:textId="77777777" w:rsidTr="00707275">
        <w:trPr>
          <w:trHeight w:val="216"/>
          <w:jc w:val="center"/>
        </w:trPr>
        <w:tc>
          <w:tcPr>
            <w:tcW w:w="961" w:type="pct"/>
            <w:tcBorders>
              <w:top w:val="nil"/>
              <w:left w:val="nil"/>
              <w:bottom w:val="nil"/>
              <w:right w:val="nil"/>
            </w:tcBorders>
            <w:noWrap/>
            <w:vAlign w:val="center"/>
            <w:hideMark/>
          </w:tcPr>
          <w:p w14:paraId="4CBFFADA" w14:textId="77777777" w:rsidR="00C13684" w:rsidRPr="00F666E1" w:rsidRDefault="00C13684" w:rsidP="00F666E1">
            <w:pPr>
              <w:jc w:val="center"/>
              <w:rPr>
                <w:rFonts w:ascii="Arial" w:hAnsi="Arial" w:cs="Arial"/>
                <w:color w:val="000000" w:themeColor="text1"/>
                <w:sz w:val="16"/>
                <w:szCs w:val="16"/>
              </w:rPr>
            </w:pPr>
            <w:r w:rsidRPr="00F666E1">
              <w:rPr>
                <w:rFonts w:ascii="Arial" w:hAnsi="Arial" w:cs="Arial"/>
                <w:color w:val="000000" w:themeColor="text1"/>
                <w:sz w:val="16"/>
                <w:szCs w:val="16"/>
              </w:rPr>
              <w:t>LSD 0.05</w:t>
            </w:r>
          </w:p>
        </w:tc>
        <w:tc>
          <w:tcPr>
            <w:tcW w:w="925" w:type="pct"/>
            <w:gridSpan w:val="2"/>
            <w:tcBorders>
              <w:top w:val="single" w:sz="4" w:space="0" w:color="auto"/>
              <w:left w:val="nil"/>
              <w:bottom w:val="nil"/>
              <w:right w:val="nil"/>
            </w:tcBorders>
            <w:noWrap/>
            <w:vAlign w:val="center"/>
            <w:hideMark/>
          </w:tcPr>
          <w:p w14:paraId="7C076C03" w14:textId="77777777" w:rsidR="00C13684" w:rsidRPr="00F666E1" w:rsidRDefault="00C13684" w:rsidP="00F666E1">
            <w:pPr>
              <w:jc w:val="center"/>
              <w:rPr>
                <w:rFonts w:ascii="Arial" w:hAnsi="Arial" w:cs="Arial"/>
                <w:color w:val="000000" w:themeColor="text1"/>
                <w:sz w:val="16"/>
                <w:szCs w:val="16"/>
              </w:rPr>
            </w:pPr>
            <w:r w:rsidRPr="00F666E1">
              <w:rPr>
                <w:rFonts w:ascii="Arial" w:hAnsi="Arial" w:cs="Arial"/>
                <w:color w:val="000000" w:themeColor="text1"/>
                <w:sz w:val="16"/>
                <w:szCs w:val="16"/>
              </w:rPr>
              <w:t>0.64</w:t>
            </w:r>
          </w:p>
        </w:tc>
        <w:tc>
          <w:tcPr>
            <w:tcW w:w="1121" w:type="pct"/>
            <w:gridSpan w:val="2"/>
            <w:tcBorders>
              <w:top w:val="single" w:sz="4" w:space="0" w:color="auto"/>
              <w:left w:val="nil"/>
              <w:bottom w:val="nil"/>
              <w:right w:val="nil"/>
            </w:tcBorders>
            <w:noWrap/>
            <w:vAlign w:val="center"/>
            <w:hideMark/>
          </w:tcPr>
          <w:p w14:paraId="43C7A1BB" w14:textId="77777777" w:rsidR="00C13684" w:rsidRPr="00F666E1" w:rsidRDefault="00C13684" w:rsidP="00F666E1">
            <w:pPr>
              <w:jc w:val="center"/>
              <w:rPr>
                <w:rFonts w:ascii="Arial" w:hAnsi="Arial" w:cs="Arial"/>
                <w:color w:val="000000" w:themeColor="text1"/>
                <w:sz w:val="16"/>
                <w:szCs w:val="16"/>
              </w:rPr>
            </w:pPr>
            <w:r w:rsidRPr="00F666E1">
              <w:rPr>
                <w:rFonts w:ascii="Arial" w:hAnsi="Arial" w:cs="Arial"/>
                <w:color w:val="000000" w:themeColor="text1"/>
                <w:sz w:val="16"/>
                <w:szCs w:val="16"/>
              </w:rPr>
              <w:t>1.76</w:t>
            </w:r>
          </w:p>
        </w:tc>
        <w:tc>
          <w:tcPr>
            <w:tcW w:w="904" w:type="pct"/>
            <w:gridSpan w:val="3"/>
            <w:tcBorders>
              <w:top w:val="single" w:sz="4" w:space="0" w:color="auto"/>
              <w:left w:val="nil"/>
              <w:bottom w:val="nil"/>
              <w:right w:val="nil"/>
            </w:tcBorders>
            <w:noWrap/>
            <w:vAlign w:val="center"/>
            <w:hideMark/>
          </w:tcPr>
          <w:p w14:paraId="5C945979" w14:textId="77777777" w:rsidR="00C13684" w:rsidRPr="00F666E1" w:rsidRDefault="00C13684" w:rsidP="00F666E1">
            <w:pPr>
              <w:jc w:val="center"/>
              <w:rPr>
                <w:rFonts w:ascii="Arial" w:hAnsi="Arial" w:cs="Arial"/>
                <w:color w:val="000000" w:themeColor="text1"/>
                <w:sz w:val="16"/>
                <w:szCs w:val="16"/>
              </w:rPr>
            </w:pPr>
            <w:r w:rsidRPr="00F666E1">
              <w:rPr>
                <w:rFonts w:ascii="Arial" w:hAnsi="Arial" w:cs="Arial"/>
                <w:color w:val="000000" w:themeColor="text1"/>
                <w:sz w:val="16"/>
                <w:szCs w:val="16"/>
              </w:rPr>
              <w:t>0.25</w:t>
            </w:r>
          </w:p>
        </w:tc>
        <w:tc>
          <w:tcPr>
            <w:tcW w:w="1089" w:type="pct"/>
            <w:gridSpan w:val="2"/>
            <w:tcBorders>
              <w:top w:val="single" w:sz="4" w:space="0" w:color="auto"/>
              <w:left w:val="nil"/>
              <w:bottom w:val="nil"/>
              <w:right w:val="nil"/>
            </w:tcBorders>
            <w:noWrap/>
            <w:vAlign w:val="center"/>
            <w:hideMark/>
          </w:tcPr>
          <w:p w14:paraId="42396F4B" w14:textId="77777777" w:rsidR="00C13684" w:rsidRPr="00F666E1" w:rsidRDefault="00C13684" w:rsidP="00F666E1">
            <w:pPr>
              <w:jc w:val="center"/>
              <w:rPr>
                <w:rFonts w:ascii="Arial" w:hAnsi="Arial" w:cs="Arial"/>
                <w:color w:val="000000" w:themeColor="text1"/>
                <w:sz w:val="16"/>
                <w:szCs w:val="16"/>
              </w:rPr>
            </w:pPr>
            <w:r w:rsidRPr="00F666E1">
              <w:rPr>
                <w:rFonts w:ascii="Arial" w:hAnsi="Arial" w:cs="Arial"/>
                <w:color w:val="000000" w:themeColor="text1"/>
                <w:sz w:val="16"/>
                <w:szCs w:val="16"/>
              </w:rPr>
              <w:t>0.21</w:t>
            </w:r>
          </w:p>
        </w:tc>
      </w:tr>
      <w:tr w:rsidR="00F666E1" w:rsidRPr="00F666E1" w14:paraId="607EADD7" w14:textId="77777777" w:rsidTr="00707275">
        <w:trPr>
          <w:trHeight w:val="216"/>
          <w:jc w:val="center"/>
        </w:trPr>
        <w:tc>
          <w:tcPr>
            <w:tcW w:w="961" w:type="pct"/>
            <w:tcBorders>
              <w:top w:val="nil"/>
              <w:left w:val="nil"/>
              <w:bottom w:val="nil"/>
              <w:right w:val="nil"/>
            </w:tcBorders>
            <w:noWrap/>
            <w:vAlign w:val="center"/>
            <w:hideMark/>
          </w:tcPr>
          <w:p w14:paraId="3BA1F28C" w14:textId="77777777" w:rsidR="00C13684" w:rsidRPr="00F666E1" w:rsidRDefault="00C13684" w:rsidP="00F666E1">
            <w:pPr>
              <w:jc w:val="center"/>
              <w:rPr>
                <w:rFonts w:ascii="Arial" w:hAnsi="Arial" w:cs="Arial"/>
                <w:color w:val="000000" w:themeColor="text1"/>
                <w:sz w:val="16"/>
                <w:szCs w:val="16"/>
              </w:rPr>
            </w:pPr>
            <w:proofErr w:type="spellStart"/>
            <w:r w:rsidRPr="00F666E1">
              <w:rPr>
                <w:rFonts w:ascii="Arial" w:hAnsi="Arial" w:cs="Arial"/>
                <w:color w:val="000000" w:themeColor="text1"/>
                <w:sz w:val="16"/>
                <w:szCs w:val="16"/>
              </w:rPr>
              <w:t>Pr</w:t>
            </w:r>
            <w:proofErr w:type="spellEnd"/>
            <w:r w:rsidRPr="00F666E1">
              <w:rPr>
                <w:rFonts w:ascii="Arial" w:hAnsi="Arial" w:cs="Arial"/>
                <w:color w:val="000000" w:themeColor="text1"/>
                <w:sz w:val="16"/>
                <w:szCs w:val="16"/>
              </w:rPr>
              <w:t>&gt;F</w:t>
            </w:r>
          </w:p>
        </w:tc>
        <w:tc>
          <w:tcPr>
            <w:tcW w:w="925" w:type="pct"/>
            <w:gridSpan w:val="2"/>
            <w:tcBorders>
              <w:top w:val="single" w:sz="4" w:space="0" w:color="auto"/>
              <w:left w:val="nil"/>
              <w:bottom w:val="nil"/>
              <w:right w:val="nil"/>
            </w:tcBorders>
            <w:noWrap/>
            <w:vAlign w:val="center"/>
            <w:hideMark/>
          </w:tcPr>
          <w:p w14:paraId="4EE2B21C" w14:textId="77777777" w:rsidR="00C13684" w:rsidRPr="00F666E1" w:rsidRDefault="00C13684" w:rsidP="00F666E1">
            <w:pPr>
              <w:jc w:val="center"/>
              <w:rPr>
                <w:rFonts w:ascii="Arial" w:hAnsi="Arial" w:cs="Arial"/>
                <w:color w:val="000000" w:themeColor="text1"/>
                <w:sz w:val="16"/>
                <w:szCs w:val="16"/>
              </w:rPr>
            </w:pPr>
            <w:r w:rsidRPr="00F666E1">
              <w:rPr>
                <w:rFonts w:ascii="Arial" w:hAnsi="Arial" w:cs="Arial"/>
                <w:color w:val="000000" w:themeColor="text1"/>
                <w:sz w:val="16"/>
                <w:szCs w:val="16"/>
              </w:rPr>
              <w:t>**</w:t>
            </w:r>
          </w:p>
        </w:tc>
        <w:tc>
          <w:tcPr>
            <w:tcW w:w="1121" w:type="pct"/>
            <w:gridSpan w:val="2"/>
            <w:tcBorders>
              <w:top w:val="single" w:sz="4" w:space="0" w:color="auto"/>
              <w:left w:val="nil"/>
              <w:bottom w:val="nil"/>
              <w:right w:val="nil"/>
            </w:tcBorders>
            <w:noWrap/>
            <w:vAlign w:val="center"/>
            <w:hideMark/>
          </w:tcPr>
          <w:p w14:paraId="69D7C06C" w14:textId="77777777" w:rsidR="00C13684" w:rsidRPr="00F666E1" w:rsidRDefault="00C13684" w:rsidP="00F666E1">
            <w:pPr>
              <w:jc w:val="center"/>
              <w:rPr>
                <w:rFonts w:ascii="Arial" w:hAnsi="Arial" w:cs="Arial"/>
                <w:color w:val="000000" w:themeColor="text1"/>
                <w:sz w:val="16"/>
                <w:szCs w:val="16"/>
              </w:rPr>
            </w:pPr>
            <w:r w:rsidRPr="00F666E1">
              <w:rPr>
                <w:rFonts w:ascii="Arial" w:hAnsi="Arial" w:cs="Arial"/>
                <w:color w:val="000000" w:themeColor="text1"/>
                <w:sz w:val="16"/>
                <w:szCs w:val="16"/>
              </w:rPr>
              <w:t>**</w:t>
            </w:r>
          </w:p>
        </w:tc>
        <w:tc>
          <w:tcPr>
            <w:tcW w:w="904" w:type="pct"/>
            <w:gridSpan w:val="3"/>
            <w:tcBorders>
              <w:top w:val="single" w:sz="4" w:space="0" w:color="auto"/>
              <w:left w:val="nil"/>
              <w:bottom w:val="nil"/>
              <w:right w:val="nil"/>
            </w:tcBorders>
            <w:noWrap/>
            <w:vAlign w:val="center"/>
            <w:hideMark/>
          </w:tcPr>
          <w:p w14:paraId="14FDF0CA" w14:textId="77777777" w:rsidR="00C13684" w:rsidRPr="00F666E1" w:rsidRDefault="00C13684" w:rsidP="00F666E1">
            <w:pPr>
              <w:jc w:val="center"/>
              <w:rPr>
                <w:rFonts w:ascii="Arial" w:hAnsi="Arial" w:cs="Arial"/>
                <w:color w:val="000000" w:themeColor="text1"/>
                <w:sz w:val="16"/>
                <w:szCs w:val="16"/>
              </w:rPr>
            </w:pPr>
            <w:r w:rsidRPr="00F666E1">
              <w:rPr>
                <w:rFonts w:ascii="Arial" w:hAnsi="Arial" w:cs="Arial"/>
                <w:color w:val="000000" w:themeColor="text1"/>
                <w:sz w:val="16"/>
                <w:szCs w:val="16"/>
              </w:rPr>
              <w:t>**</w:t>
            </w:r>
          </w:p>
        </w:tc>
        <w:tc>
          <w:tcPr>
            <w:tcW w:w="1089" w:type="pct"/>
            <w:gridSpan w:val="2"/>
            <w:tcBorders>
              <w:top w:val="single" w:sz="4" w:space="0" w:color="auto"/>
              <w:left w:val="nil"/>
              <w:bottom w:val="nil"/>
              <w:right w:val="nil"/>
            </w:tcBorders>
            <w:noWrap/>
            <w:vAlign w:val="center"/>
            <w:hideMark/>
          </w:tcPr>
          <w:p w14:paraId="6D0B2B07" w14:textId="77777777" w:rsidR="00C13684" w:rsidRPr="00F666E1" w:rsidRDefault="00C13684" w:rsidP="00F666E1">
            <w:pPr>
              <w:jc w:val="center"/>
              <w:rPr>
                <w:rFonts w:ascii="Arial" w:hAnsi="Arial" w:cs="Arial"/>
                <w:color w:val="000000" w:themeColor="text1"/>
                <w:sz w:val="16"/>
                <w:szCs w:val="16"/>
              </w:rPr>
            </w:pPr>
            <w:r w:rsidRPr="00F666E1">
              <w:rPr>
                <w:rFonts w:ascii="Arial" w:hAnsi="Arial" w:cs="Arial"/>
                <w:color w:val="000000" w:themeColor="text1"/>
                <w:sz w:val="16"/>
                <w:szCs w:val="16"/>
              </w:rPr>
              <w:t>**</w:t>
            </w:r>
          </w:p>
        </w:tc>
      </w:tr>
      <w:tr w:rsidR="00F666E1" w:rsidRPr="00F666E1" w14:paraId="3741A547" w14:textId="77777777" w:rsidTr="00707275">
        <w:trPr>
          <w:trHeight w:val="216"/>
          <w:jc w:val="center"/>
        </w:trPr>
        <w:tc>
          <w:tcPr>
            <w:tcW w:w="961" w:type="pct"/>
            <w:tcBorders>
              <w:top w:val="nil"/>
              <w:left w:val="nil"/>
              <w:bottom w:val="single" w:sz="4" w:space="0" w:color="auto"/>
              <w:right w:val="nil"/>
            </w:tcBorders>
            <w:noWrap/>
            <w:vAlign w:val="center"/>
            <w:hideMark/>
          </w:tcPr>
          <w:p w14:paraId="76E00C82" w14:textId="77777777" w:rsidR="00C13684" w:rsidRPr="00F666E1" w:rsidRDefault="00C13684" w:rsidP="00F666E1">
            <w:pPr>
              <w:jc w:val="center"/>
              <w:rPr>
                <w:rFonts w:ascii="Arial" w:hAnsi="Arial" w:cs="Arial"/>
                <w:color w:val="000000" w:themeColor="text1"/>
                <w:sz w:val="16"/>
                <w:szCs w:val="16"/>
              </w:rPr>
            </w:pPr>
            <w:r w:rsidRPr="00F666E1">
              <w:rPr>
                <w:rFonts w:ascii="Arial" w:hAnsi="Arial" w:cs="Arial"/>
                <w:color w:val="000000" w:themeColor="text1"/>
                <w:sz w:val="16"/>
                <w:szCs w:val="16"/>
              </w:rPr>
              <w:t>CV%</w:t>
            </w:r>
          </w:p>
        </w:tc>
        <w:tc>
          <w:tcPr>
            <w:tcW w:w="925" w:type="pct"/>
            <w:gridSpan w:val="2"/>
            <w:tcBorders>
              <w:top w:val="single" w:sz="4" w:space="0" w:color="auto"/>
              <w:left w:val="nil"/>
              <w:bottom w:val="single" w:sz="4" w:space="0" w:color="auto"/>
              <w:right w:val="nil"/>
            </w:tcBorders>
            <w:noWrap/>
            <w:vAlign w:val="center"/>
            <w:hideMark/>
          </w:tcPr>
          <w:p w14:paraId="0C4CDDA7" w14:textId="77777777" w:rsidR="00C13684" w:rsidRPr="00F666E1" w:rsidRDefault="00C13684" w:rsidP="00F666E1">
            <w:pPr>
              <w:jc w:val="center"/>
              <w:rPr>
                <w:rFonts w:ascii="Arial" w:hAnsi="Arial" w:cs="Arial"/>
                <w:color w:val="000000" w:themeColor="text1"/>
                <w:sz w:val="16"/>
                <w:szCs w:val="16"/>
              </w:rPr>
            </w:pPr>
            <w:r w:rsidRPr="00F666E1">
              <w:rPr>
                <w:rFonts w:ascii="Arial" w:hAnsi="Arial" w:cs="Arial"/>
                <w:color w:val="000000" w:themeColor="text1"/>
                <w:sz w:val="16"/>
                <w:szCs w:val="16"/>
              </w:rPr>
              <w:t>3.29</w:t>
            </w:r>
          </w:p>
        </w:tc>
        <w:tc>
          <w:tcPr>
            <w:tcW w:w="1121" w:type="pct"/>
            <w:gridSpan w:val="2"/>
            <w:tcBorders>
              <w:top w:val="single" w:sz="4" w:space="0" w:color="auto"/>
              <w:left w:val="nil"/>
              <w:bottom w:val="single" w:sz="4" w:space="0" w:color="auto"/>
              <w:right w:val="nil"/>
            </w:tcBorders>
            <w:noWrap/>
            <w:vAlign w:val="center"/>
            <w:hideMark/>
          </w:tcPr>
          <w:p w14:paraId="7BDFFE0C" w14:textId="77777777" w:rsidR="00C13684" w:rsidRPr="00F666E1" w:rsidRDefault="00C13684" w:rsidP="00F666E1">
            <w:pPr>
              <w:jc w:val="center"/>
              <w:rPr>
                <w:rFonts w:ascii="Arial" w:hAnsi="Arial" w:cs="Arial"/>
                <w:color w:val="000000" w:themeColor="text1"/>
                <w:sz w:val="16"/>
                <w:szCs w:val="16"/>
              </w:rPr>
            </w:pPr>
            <w:r w:rsidRPr="00F666E1">
              <w:rPr>
                <w:rFonts w:ascii="Arial" w:hAnsi="Arial" w:cs="Arial"/>
                <w:color w:val="000000" w:themeColor="text1"/>
                <w:sz w:val="16"/>
                <w:szCs w:val="16"/>
              </w:rPr>
              <w:t>3.57</w:t>
            </w:r>
          </w:p>
        </w:tc>
        <w:tc>
          <w:tcPr>
            <w:tcW w:w="904" w:type="pct"/>
            <w:gridSpan w:val="3"/>
            <w:tcBorders>
              <w:top w:val="single" w:sz="4" w:space="0" w:color="auto"/>
              <w:left w:val="nil"/>
              <w:bottom w:val="single" w:sz="4" w:space="0" w:color="auto"/>
              <w:right w:val="nil"/>
            </w:tcBorders>
            <w:noWrap/>
            <w:vAlign w:val="center"/>
            <w:hideMark/>
          </w:tcPr>
          <w:p w14:paraId="5B21FCE8" w14:textId="77777777" w:rsidR="00C13684" w:rsidRPr="00F666E1" w:rsidRDefault="00C13684" w:rsidP="00F666E1">
            <w:pPr>
              <w:jc w:val="center"/>
              <w:rPr>
                <w:rFonts w:ascii="Arial" w:hAnsi="Arial" w:cs="Arial"/>
                <w:color w:val="000000" w:themeColor="text1"/>
                <w:sz w:val="16"/>
                <w:szCs w:val="16"/>
              </w:rPr>
            </w:pPr>
            <w:r w:rsidRPr="00F666E1">
              <w:rPr>
                <w:rFonts w:ascii="Arial" w:hAnsi="Arial" w:cs="Arial"/>
                <w:color w:val="000000" w:themeColor="text1"/>
                <w:sz w:val="16"/>
                <w:szCs w:val="16"/>
              </w:rPr>
              <w:t>0.19</w:t>
            </w:r>
          </w:p>
        </w:tc>
        <w:tc>
          <w:tcPr>
            <w:tcW w:w="1089" w:type="pct"/>
            <w:gridSpan w:val="2"/>
            <w:tcBorders>
              <w:top w:val="single" w:sz="4" w:space="0" w:color="auto"/>
              <w:left w:val="nil"/>
              <w:bottom w:val="single" w:sz="4" w:space="0" w:color="auto"/>
              <w:right w:val="nil"/>
            </w:tcBorders>
            <w:noWrap/>
            <w:vAlign w:val="center"/>
            <w:hideMark/>
          </w:tcPr>
          <w:p w14:paraId="41F03582" w14:textId="77777777" w:rsidR="00C13684" w:rsidRPr="00F666E1" w:rsidRDefault="00C13684" w:rsidP="00F666E1">
            <w:pPr>
              <w:jc w:val="center"/>
              <w:rPr>
                <w:rFonts w:ascii="Arial" w:hAnsi="Arial" w:cs="Arial"/>
                <w:color w:val="000000" w:themeColor="text1"/>
                <w:sz w:val="16"/>
                <w:szCs w:val="16"/>
              </w:rPr>
            </w:pPr>
            <w:r w:rsidRPr="00F666E1">
              <w:rPr>
                <w:rFonts w:ascii="Arial" w:hAnsi="Arial" w:cs="Arial"/>
                <w:color w:val="000000" w:themeColor="text1"/>
                <w:sz w:val="16"/>
                <w:szCs w:val="16"/>
              </w:rPr>
              <w:t>0.05</w:t>
            </w:r>
          </w:p>
        </w:tc>
      </w:tr>
    </w:tbl>
    <w:p w14:paraId="6C6E6198" w14:textId="77777777" w:rsidR="00C13684" w:rsidRPr="006355D2" w:rsidRDefault="00C13684" w:rsidP="00C13684">
      <w:pPr>
        <w:ind w:left="810" w:hanging="810"/>
        <w:jc w:val="both"/>
        <w:rPr>
          <w:rFonts w:ascii="Arial" w:hAnsi="Arial" w:cs="Arial"/>
          <w:noProof/>
          <w:color w:val="000000" w:themeColor="text1"/>
        </w:rPr>
      </w:pPr>
    </w:p>
    <w:p w14:paraId="635B6E8A" w14:textId="13BB3A9E" w:rsidR="0092235A" w:rsidRPr="0092235A" w:rsidRDefault="0092235A" w:rsidP="0092235A">
      <w:pPr>
        <w:spacing w:before="120" w:after="120"/>
        <w:ind w:left="990" w:hanging="990"/>
        <w:jc w:val="both"/>
        <w:rPr>
          <w:rFonts w:ascii="Arial" w:hAnsi="Arial" w:cs="Arial"/>
          <w:noProof/>
          <w:color w:val="000000" w:themeColor="text1"/>
          <w:sz w:val="16"/>
          <w:szCs w:val="16"/>
        </w:rPr>
      </w:pPr>
      <w:r w:rsidRPr="0092235A">
        <w:rPr>
          <w:rFonts w:ascii="Arial" w:hAnsi="Arial" w:cs="Arial"/>
          <w:noProof/>
          <w:color w:val="000000" w:themeColor="text1"/>
          <w:sz w:val="16"/>
          <w:szCs w:val="16"/>
        </w:rPr>
        <w:t>Means followed by the same letter in each column are not significantly different</w:t>
      </w:r>
      <w:r w:rsidR="00ED617B">
        <w:rPr>
          <w:rFonts w:ascii="Arial" w:hAnsi="Arial" w:cs="Arial"/>
          <w:noProof/>
          <w:color w:val="000000" w:themeColor="text1"/>
          <w:sz w:val="16"/>
          <w:szCs w:val="16"/>
        </w:rPr>
        <w:t xml:space="preserve">, </w:t>
      </w:r>
      <w:r w:rsidRPr="0092235A">
        <w:rPr>
          <w:rFonts w:ascii="Arial" w:hAnsi="Arial" w:cs="Arial"/>
          <w:bCs/>
          <w:noProof/>
          <w:color w:val="000000" w:themeColor="text1"/>
          <w:sz w:val="16"/>
          <w:szCs w:val="16"/>
        </w:rPr>
        <w:t>** Significant difference at 1% level</w:t>
      </w:r>
    </w:p>
    <w:p w14:paraId="45AC8457" w14:textId="2C79F249" w:rsidR="0092235A" w:rsidRPr="0092235A" w:rsidRDefault="0092235A" w:rsidP="0092235A">
      <w:pPr>
        <w:spacing w:before="120" w:after="120"/>
        <w:jc w:val="both"/>
        <w:rPr>
          <w:rFonts w:ascii="Arial" w:hAnsi="Arial" w:cs="Arial"/>
          <w:noProof/>
          <w:color w:val="000000" w:themeColor="text1"/>
          <w:sz w:val="16"/>
          <w:szCs w:val="16"/>
        </w:rPr>
      </w:pPr>
      <w:r w:rsidRPr="0092235A">
        <w:rPr>
          <w:rFonts w:ascii="Arial" w:hAnsi="Arial" w:cs="Arial"/>
          <w:noProof/>
          <w:color w:val="000000" w:themeColor="text1"/>
          <w:sz w:val="16"/>
          <w:szCs w:val="16"/>
        </w:rPr>
        <w:t>T</w:t>
      </w:r>
      <w:r w:rsidRPr="0092235A">
        <w:rPr>
          <w:rFonts w:ascii="Arial" w:hAnsi="Arial" w:cs="Arial"/>
          <w:noProof/>
          <w:color w:val="000000" w:themeColor="text1"/>
          <w:sz w:val="16"/>
          <w:szCs w:val="16"/>
          <w:vertAlign w:val="subscript"/>
        </w:rPr>
        <w:t>1</w:t>
      </w:r>
      <w:r w:rsidRPr="0092235A">
        <w:rPr>
          <w:rFonts w:ascii="Arial" w:hAnsi="Arial" w:cs="Arial"/>
          <w:noProof/>
          <w:color w:val="000000" w:themeColor="text1"/>
          <w:sz w:val="16"/>
          <w:szCs w:val="16"/>
        </w:rPr>
        <w:t xml:space="preserve"> – (control), T</w:t>
      </w:r>
      <w:r w:rsidRPr="0092235A">
        <w:rPr>
          <w:rFonts w:ascii="Arial" w:hAnsi="Arial" w:cs="Arial"/>
          <w:noProof/>
          <w:color w:val="000000" w:themeColor="text1"/>
          <w:sz w:val="16"/>
          <w:szCs w:val="16"/>
          <w:vertAlign w:val="subscript"/>
        </w:rPr>
        <w:t>2</w:t>
      </w:r>
      <w:r w:rsidRPr="0092235A">
        <w:rPr>
          <w:rFonts w:ascii="Arial" w:hAnsi="Arial" w:cs="Arial"/>
          <w:noProof/>
          <w:color w:val="000000" w:themeColor="text1"/>
          <w:sz w:val="16"/>
          <w:szCs w:val="16"/>
        </w:rPr>
        <w:t xml:space="preserve"> – (Organic amendment (OA)), T</w:t>
      </w:r>
      <w:r w:rsidRPr="0092235A">
        <w:rPr>
          <w:rFonts w:ascii="Arial" w:hAnsi="Arial" w:cs="Arial"/>
          <w:noProof/>
          <w:color w:val="000000" w:themeColor="text1"/>
          <w:sz w:val="16"/>
          <w:szCs w:val="16"/>
          <w:vertAlign w:val="subscript"/>
        </w:rPr>
        <w:t>3</w:t>
      </w:r>
      <w:r w:rsidRPr="0092235A">
        <w:rPr>
          <w:rFonts w:ascii="Arial" w:hAnsi="Arial" w:cs="Arial"/>
          <w:noProof/>
          <w:color w:val="000000" w:themeColor="text1"/>
          <w:sz w:val="16"/>
          <w:szCs w:val="16"/>
        </w:rPr>
        <w:t xml:space="preserve"> – (100%NPK), T</w:t>
      </w:r>
      <w:r w:rsidRPr="0092235A">
        <w:rPr>
          <w:rFonts w:ascii="Arial" w:hAnsi="Arial" w:cs="Arial"/>
          <w:noProof/>
          <w:color w:val="000000" w:themeColor="text1"/>
          <w:sz w:val="16"/>
          <w:szCs w:val="16"/>
          <w:vertAlign w:val="subscript"/>
        </w:rPr>
        <w:t>4</w:t>
      </w:r>
      <w:r w:rsidRPr="0092235A">
        <w:rPr>
          <w:rFonts w:ascii="Arial" w:hAnsi="Arial" w:cs="Arial"/>
          <w:noProof/>
          <w:color w:val="000000" w:themeColor="text1"/>
          <w:sz w:val="16"/>
          <w:szCs w:val="16"/>
        </w:rPr>
        <w:t xml:space="preserve"> – (OA + 50% NPK), T</w:t>
      </w:r>
      <w:r w:rsidRPr="0092235A">
        <w:rPr>
          <w:rFonts w:ascii="Arial" w:hAnsi="Arial" w:cs="Arial"/>
          <w:noProof/>
          <w:color w:val="000000" w:themeColor="text1"/>
          <w:sz w:val="16"/>
          <w:szCs w:val="16"/>
          <w:vertAlign w:val="subscript"/>
        </w:rPr>
        <w:t>5</w:t>
      </w:r>
      <w:r w:rsidRPr="0092235A">
        <w:rPr>
          <w:rFonts w:ascii="Arial" w:hAnsi="Arial" w:cs="Arial"/>
          <w:noProof/>
          <w:color w:val="000000" w:themeColor="text1"/>
          <w:sz w:val="16"/>
          <w:szCs w:val="16"/>
        </w:rPr>
        <w:t xml:space="preserve"> – (OA + 75% NPK), T</w:t>
      </w:r>
      <w:r w:rsidRPr="0092235A">
        <w:rPr>
          <w:rFonts w:ascii="Arial" w:hAnsi="Arial" w:cs="Arial"/>
          <w:noProof/>
          <w:color w:val="000000" w:themeColor="text1"/>
          <w:sz w:val="16"/>
          <w:szCs w:val="16"/>
          <w:vertAlign w:val="subscript"/>
        </w:rPr>
        <w:t>6</w:t>
      </w:r>
      <w:r w:rsidRPr="0092235A">
        <w:rPr>
          <w:rFonts w:ascii="Arial" w:hAnsi="Arial" w:cs="Arial"/>
          <w:noProof/>
          <w:color w:val="000000" w:themeColor="text1"/>
          <w:sz w:val="16"/>
          <w:szCs w:val="16"/>
        </w:rPr>
        <w:t xml:space="preserve"> – (OA + 100% NPK)</w:t>
      </w:r>
    </w:p>
    <w:p w14:paraId="446B717C" w14:textId="089AF005" w:rsidR="00C13684" w:rsidRPr="00F42131" w:rsidRDefault="00F42131" w:rsidP="00F666E1">
      <w:pPr>
        <w:spacing w:before="120" w:after="120"/>
        <w:ind w:left="990" w:hanging="990"/>
        <w:jc w:val="both"/>
        <w:rPr>
          <w:rFonts w:ascii="Arial" w:hAnsi="Arial" w:cs="Arial"/>
          <w:b/>
          <w:bCs/>
          <w:color w:val="000000" w:themeColor="text1"/>
        </w:rPr>
      </w:pPr>
      <w:r w:rsidRPr="00F42131">
        <w:rPr>
          <w:rFonts w:ascii="Arial" w:hAnsi="Arial" w:cs="Arial"/>
          <w:b/>
          <w:bCs/>
          <w:color w:val="000000" w:themeColor="text1"/>
        </w:rPr>
        <w:t>3.</w:t>
      </w:r>
      <w:r w:rsidR="00C13684" w:rsidRPr="00F42131">
        <w:rPr>
          <w:rFonts w:ascii="Arial" w:hAnsi="Arial" w:cs="Arial"/>
          <w:b/>
          <w:bCs/>
          <w:color w:val="000000" w:themeColor="text1"/>
        </w:rPr>
        <w:t>1.8 Grain Yield (</w:t>
      </w:r>
      <w:r w:rsidR="00BE1B1E">
        <w:rPr>
          <w:rFonts w:ascii="Arial" w:hAnsi="Arial" w:cs="Arial"/>
          <w:b/>
          <w:bCs/>
          <w:color w:val="000000" w:themeColor="text1"/>
        </w:rPr>
        <w:t>kg</w:t>
      </w:r>
      <w:r w:rsidR="00C13684" w:rsidRPr="00F42131">
        <w:rPr>
          <w:rFonts w:ascii="Arial" w:hAnsi="Arial" w:cs="Arial"/>
          <w:b/>
          <w:bCs/>
          <w:color w:val="000000" w:themeColor="text1"/>
        </w:rPr>
        <w:t xml:space="preserve"> h</w:t>
      </w:r>
      <w:r w:rsidR="00F666E1">
        <w:rPr>
          <w:rFonts w:ascii="Arial" w:hAnsi="Arial" w:cs="Arial"/>
          <w:b/>
          <w:bCs/>
          <w:color w:val="000000" w:themeColor="text1"/>
        </w:rPr>
        <w:t>a</w:t>
      </w:r>
      <w:r w:rsidR="00F666E1" w:rsidRPr="00F666E1">
        <w:rPr>
          <w:rFonts w:ascii="Arial" w:hAnsi="Arial" w:cs="Arial"/>
          <w:b/>
          <w:bCs/>
          <w:color w:val="000000" w:themeColor="text1"/>
          <w:vertAlign w:val="superscript"/>
        </w:rPr>
        <w:t>-1</w:t>
      </w:r>
      <w:r w:rsidR="00C13684" w:rsidRPr="00F42131">
        <w:rPr>
          <w:rFonts w:ascii="Arial" w:hAnsi="Arial" w:cs="Arial"/>
          <w:b/>
          <w:bCs/>
          <w:color w:val="000000" w:themeColor="text1"/>
        </w:rPr>
        <w:t>)</w:t>
      </w:r>
    </w:p>
    <w:p w14:paraId="668EDB30" w14:textId="7116C73E" w:rsidR="00C13684" w:rsidRPr="006355D2" w:rsidRDefault="00C13684" w:rsidP="00380CE0">
      <w:pPr>
        <w:ind w:firstLine="450"/>
        <w:jc w:val="both"/>
        <w:rPr>
          <w:rFonts w:ascii="Arial" w:hAnsi="Arial" w:cs="Arial"/>
          <w:noProof/>
          <w:color w:val="000000" w:themeColor="text1"/>
        </w:rPr>
      </w:pPr>
      <w:r w:rsidRPr="006355D2">
        <w:rPr>
          <w:rFonts w:ascii="Arial" w:hAnsi="Arial" w:cs="Arial"/>
          <w:noProof/>
          <w:color w:val="000000" w:themeColor="text1"/>
        </w:rPr>
        <w:t>Grain yield was highest in T</w:t>
      </w:r>
      <w:r w:rsidRPr="006355D2">
        <w:rPr>
          <w:rFonts w:ascii="Cambria Math" w:hAnsi="Cambria Math" w:cs="Cambria Math"/>
          <w:noProof/>
          <w:color w:val="000000" w:themeColor="text1"/>
        </w:rPr>
        <w:t>₃</w:t>
      </w:r>
      <w:r w:rsidRPr="006355D2">
        <w:rPr>
          <w:rFonts w:ascii="Arial" w:hAnsi="Arial" w:cs="Arial"/>
          <w:noProof/>
          <w:color w:val="000000" w:themeColor="text1"/>
        </w:rPr>
        <w:t xml:space="preserve"> (</w:t>
      </w:r>
      <w:r w:rsidR="00380CE0" w:rsidRPr="00380CE0">
        <w:rPr>
          <w:rFonts w:ascii="Arial" w:hAnsi="Arial" w:cs="Arial"/>
          <w:noProof/>
          <w:color w:val="000000" w:themeColor="text1"/>
        </w:rPr>
        <w:t>6752.99</w:t>
      </w:r>
      <w:r w:rsidR="00380CE0">
        <w:rPr>
          <w:rFonts w:ascii="Arial" w:hAnsi="Arial" w:cs="Arial"/>
          <w:noProof/>
          <w:color w:val="000000" w:themeColor="text1"/>
        </w:rPr>
        <w:t xml:space="preserve"> kg </w:t>
      </w:r>
      <w:r w:rsidRPr="006355D2">
        <w:rPr>
          <w:rFonts w:ascii="Arial" w:hAnsi="Arial" w:cs="Arial"/>
          <w:noProof/>
          <w:color w:val="000000" w:themeColor="text1"/>
        </w:rPr>
        <w:t>ha</w:t>
      </w:r>
      <w:r w:rsidRPr="006355D2">
        <w:rPr>
          <w:rFonts w:ascii="Cambria Math" w:hAnsi="Cambria Math" w:cs="Cambria Math"/>
          <w:noProof/>
          <w:color w:val="000000" w:themeColor="text1"/>
        </w:rPr>
        <w:t>⁻</w:t>
      </w:r>
      <w:r w:rsidRPr="006355D2">
        <w:rPr>
          <w:rFonts w:ascii="Arial" w:hAnsi="Arial" w:cs="Arial"/>
          <w:noProof/>
          <w:color w:val="000000" w:themeColor="text1"/>
        </w:rPr>
        <w:t>¹) and T</w:t>
      </w:r>
      <w:r w:rsidRPr="006355D2">
        <w:rPr>
          <w:rFonts w:ascii="Cambria Math" w:hAnsi="Cambria Math" w:cs="Cambria Math"/>
          <w:noProof/>
          <w:color w:val="000000" w:themeColor="text1"/>
        </w:rPr>
        <w:t>₆</w:t>
      </w:r>
      <w:r w:rsidRPr="006355D2">
        <w:rPr>
          <w:rFonts w:ascii="Arial" w:hAnsi="Arial" w:cs="Arial"/>
          <w:noProof/>
          <w:color w:val="000000" w:themeColor="text1"/>
        </w:rPr>
        <w:t xml:space="preserve"> (</w:t>
      </w:r>
      <w:r w:rsidR="00380CE0" w:rsidRPr="00380CE0">
        <w:rPr>
          <w:rFonts w:ascii="Arial" w:hAnsi="Arial" w:cs="Arial"/>
          <w:noProof/>
          <w:color w:val="000000" w:themeColor="text1"/>
        </w:rPr>
        <w:t>6730.93</w:t>
      </w:r>
      <w:r w:rsidR="00380CE0">
        <w:rPr>
          <w:rFonts w:ascii="Arial" w:hAnsi="Arial" w:cs="Arial"/>
          <w:noProof/>
          <w:color w:val="000000" w:themeColor="text1"/>
        </w:rPr>
        <w:t xml:space="preserve"> kg </w:t>
      </w:r>
      <w:r w:rsidRPr="006355D2">
        <w:rPr>
          <w:rFonts w:ascii="Arial" w:hAnsi="Arial" w:cs="Arial"/>
          <w:noProof/>
          <w:color w:val="000000" w:themeColor="text1"/>
        </w:rPr>
        <w:t>ha</w:t>
      </w:r>
      <w:r w:rsidRPr="006355D2">
        <w:rPr>
          <w:rFonts w:ascii="Cambria Math" w:hAnsi="Cambria Math" w:cs="Cambria Math"/>
          <w:noProof/>
          <w:color w:val="000000" w:themeColor="text1"/>
        </w:rPr>
        <w:t>⁻</w:t>
      </w:r>
      <w:r w:rsidRPr="006355D2">
        <w:rPr>
          <w:rFonts w:ascii="Arial" w:hAnsi="Arial" w:cs="Arial"/>
          <w:noProof/>
          <w:color w:val="000000" w:themeColor="text1"/>
        </w:rPr>
        <w:t>¹), with no significant difference (Figure 2). The control (T</w:t>
      </w:r>
      <w:r w:rsidRPr="006355D2">
        <w:rPr>
          <w:rFonts w:ascii="Cambria Math" w:hAnsi="Cambria Math" w:cs="Cambria Math"/>
          <w:noProof/>
          <w:color w:val="000000" w:themeColor="text1"/>
        </w:rPr>
        <w:t>₁</w:t>
      </w:r>
      <w:r w:rsidRPr="006355D2">
        <w:rPr>
          <w:rFonts w:ascii="Arial" w:hAnsi="Arial" w:cs="Arial"/>
          <w:noProof/>
          <w:color w:val="000000" w:themeColor="text1"/>
        </w:rPr>
        <w:t xml:space="preserve">: </w:t>
      </w:r>
      <w:r w:rsidR="00380CE0" w:rsidRPr="00380CE0">
        <w:rPr>
          <w:rFonts w:ascii="Arial" w:hAnsi="Arial" w:cs="Arial"/>
          <w:noProof/>
          <w:color w:val="000000" w:themeColor="text1"/>
        </w:rPr>
        <w:t>2753.64</w:t>
      </w:r>
      <w:r w:rsidR="00380CE0">
        <w:rPr>
          <w:rFonts w:ascii="Arial" w:hAnsi="Arial" w:cs="Arial"/>
          <w:noProof/>
          <w:color w:val="000000" w:themeColor="text1"/>
        </w:rPr>
        <w:t xml:space="preserve"> kg </w:t>
      </w:r>
      <w:r w:rsidRPr="006355D2">
        <w:rPr>
          <w:rFonts w:ascii="Arial" w:hAnsi="Arial" w:cs="Arial"/>
          <w:noProof/>
          <w:color w:val="000000" w:themeColor="text1"/>
        </w:rPr>
        <w:t>ha</w:t>
      </w:r>
      <w:r w:rsidRPr="006355D2">
        <w:rPr>
          <w:rFonts w:ascii="Cambria Math" w:hAnsi="Cambria Math" w:cs="Cambria Math"/>
          <w:noProof/>
          <w:color w:val="000000" w:themeColor="text1"/>
        </w:rPr>
        <w:t>⁻</w:t>
      </w:r>
      <w:r w:rsidRPr="006355D2">
        <w:rPr>
          <w:rFonts w:ascii="Arial" w:hAnsi="Arial" w:cs="Arial"/>
          <w:noProof/>
          <w:color w:val="000000" w:themeColor="text1"/>
        </w:rPr>
        <w:t>¹) and OA-only (T</w:t>
      </w:r>
      <w:r w:rsidRPr="006355D2">
        <w:rPr>
          <w:rFonts w:ascii="Cambria Math" w:hAnsi="Cambria Math" w:cs="Cambria Math"/>
          <w:noProof/>
          <w:color w:val="000000" w:themeColor="text1"/>
        </w:rPr>
        <w:t>₂</w:t>
      </w:r>
      <w:r w:rsidRPr="006355D2">
        <w:rPr>
          <w:rFonts w:ascii="Arial" w:hAnsi="Arial" w:cs="Arial"/>
          <w:noProof/>
          <w:color w:val="000000" w:themeColor="text1"/>
        </w:rPr>
        <w:t xml:space="preserve">: </w:t>
      </w:r>
      <w:r w:rsidR="00380CE0" w:rsidRPr="00380CE0">
        <w:rPr>
          <w:rFonts w:ascii="Arial" w:hAnsi="Arial" w:cs="Arial"/>
          <w:noProof/>
          <w:color w:val="000000" w:themeColor="text1"/>
        </w:rPr>
        <w:t>4464.48</w:t>
      </w:r>
      <w:r w:rsidR="00380CE0">
        <w:rPr>
          <w:rFonts w:ascii="Arial" w:hAnsi="Arial" w:cs="Arial"/>
          <w:noProof/>
          <w:color w:val="000000" w:themeColor="text1"/>
        </w:rPr>
        <w:t xml:space="preserve"> kg </w:t>
      </w:r>
      <w:r w:rsidRPr="006355D2">
        <w:rPr>
          <w:rFonts w:ascii="Arial" w:hAnsi="Arial" w:cs="Arial"/>
          <w:noProof/>
          <w:color w:val="000000" w:themeColor="text1"/>
        </w:rPr>
        <w:t>ha</w:t>
      </w:r>
      <w:r w:rsidRPr="006355D2">
        <w:rPr>
          <w:rFonts w:ascii="Cambria Math" w:hAnsi="Cambria Math" w:cs="Cambria Math"/>
          <w:noProof/>
          <w:color w:val="000000" w:themeColor="text1"/>
        </w:rPr>
        <w:t>⁻</w:t>
      </w:r>
      <w:r w:rsidRPr="006355D2">
        <w:rPr>
          <w:rFonts w:ascii="Arial" w:hAnsi="Arial" w:cs="Arial"/>
          <w:noProof/>
          <w:color w:val="000000" w:themeColor="text1"/>
        </w:rPr>
        <w:t>¹) yielded significantly less.</w:t>
      </w:r>
      <w:r w:rsidR="00F42131">
        <w:rPr>
          <w:rFonts w:ascii="Arial" w:hAnsi="Arial" w:cs="Arial"/>
          <w:noProof/>
          <w:color w:val="000000" w:themeColor="text1"/>
        </w:rPr>
        <w:t xml:space="preserve"> </w:t>
      </w:r>
      <w:r w:rsidRPr="006355D2">
        <w:rPr>
          <w:rFonts w:ascii="Arial" w:hAnsi="Arial" w:cs="Arial"/>
          <w:noProof/>
          <w:color w:val="000000" w:themeColor="text1"/>
        </w:rPr>
        <w:t>The high yield in T</w:t>
      </w:r>
      <w:r w:rsidRPr="006355D2">
        <w:rPr>
          <w:rFonts w:ascii="Cambria Math" w:hAnsi="Cambria Math" w:cs="Cambria Math"/>
          <w:noProof/>
          <w:color w:val="000000" w:themeColor="text1"/>
        </w:rPr>
        <w:t>₃</w:t>
      </w:r>
      <w:r w:rsidRPr="006355D2">
        <w:rPr>
          <w:rFonts w:ascii="Arial" w:hAnsi="Arial" w:cs="Arial"/>
          <w:noProof/>
          <w:color w:val="000000" w:themeColor="text1"/>
        </w:rPr>
        <w:t xml:space="preserve"> and T</w:t>
      </w:r>
      <w:r w:rsidRPr="006355D2">
        <w:rPr>
          <w:rFonts w:ascii="Cambria Math" w:hAnsi="Cambria Math" w:cs="Cambria Math"/>
          <w:noProof/>
          <w:color w:val="000000" w:themeColor="text1"/>
        </w:rPr>
        <w:t>₆</w:t>
      </w:r>
      <w:r w:rsidRPr="006355D2">
        <w:rPr>
          <w:rFonts w:ascii="Arial" w:hAnsi="Arial" w:cs="Arial"/>
          <w:noProof/>
          <w:color w:val="000000" w:themeColor="text1"/>
        </w:rPr>
        <w:t xml:space="preserve"> results from superior performance across all growth and yield components. The near-equivalence of T</w:t>
      </w:r>
      <w:r w:rsidRPr="006355D2">
        <w:rPr>
          <w:rFonts w:ascii="Cambria Math" w:hAnsi="Cambria Math" w:cs="Cambria Math"/>
          <w:noProof/>
          <w:color w:val="000000" w:themeColor="text1"/>
        </w:rPr>
        <w:t>₃</w:t>
      </w:r>
      <w:r w:rsidRPr="006355D2">
        <w:rPr>
          <w:rFonts w:ascii="Arial" w:hAnsi="Arial" w:cs="Arial"/>
          <w:noProof/>
          <w:color w:val="000000" w:themeColor="text1"/>
        </w:rPr>
        <w:t xml:space="preserve"> and T</w:t>
      </w:r>
      <w:r w:rsidRPr="006355D2">
        <w:rPr>
          <w:rFonts w:ascii="Cambria Math" w:hAnsi="Cambria Math" w:cs="Cambria Math"/>
          <w:noProof/>
          <w:color w:val="000000" w:themeColor="text1"/>
        </w:rPr>
        <w:t>₆</w:t>
      </w:r>
      <w:r w:rsidRPr="006355D2">
        <w:rPr>
          <w:rFonts w:ascii="Arial" w:hAnsi="Arial" w:cs="Arial"/>
          <w:noProof/>
          <w:color w:val="000000" w:themeColor="text1"/>
        </w:rPr>
        <w:t xml:space="preserve"> indicates that OA can complement full NPK without yield penalty</w:t>
      </w:r>
      <w:r w:rsidR="009701C0">
        <w:rPr>
          <w:rFonts w:ascii="Arial" w:hAnsi="Arial" w:cs="Arial"/>
          <w:noProof/>
          <w:color w:val="000000" w:themeColor="text1"/>
        </w:rPr>
        <w:t xml:space="preserve"> </w:t>
      </w:r>
      <w:r w:rsidRPr="006355D2">
        <w:rPr>
          <w:rFonts w:ascii="Arial" w:hAnsi="Arial" w:cs="Arial"/>
          <w:noProof/>
          <w:color w:val="000000" w:themeColor="text1"/>
        </w:rPr>
        <w:t>(Vanlauwe et al., 2010). The lower yields in T</w:t>
      </w:r>
      <w:r w:rsidRPr="006355D2">
        <w:rPr>
          <w:rFonts w:ascii="Cambria Math" w:hAnsi="Cambria Math" w:cs="Cambria Math"/>
          <w:noProof/>
          <w:color w:val="000000" w:themeColor="text1"/>
        </w:rPr>
        <w:t>₄</w:t>
      </w:r>
      <w:r w:rsidRPr="006355D2">
        <w:rPr>
          <w:rFonts w:ascii="Arial" w:hAnsi="Arial" w:cs="Arial"/>
          <w:noProof/>
          <w:color w:val="000000" w:themeColor="text1"/>
        </w:rPr>
        <w:t xml:space="preserve"> and T</w:t>
      </w:r>
      <w:r w:rsidRPr="006355D2">
        <w:rPr>
          <w:rFonts w:ascii="Cambria Math" w:hAnsi="Cambria Math" w:cs="Cambria Math"/>
          <w:noProof/>
          <w:color w:val="000000" w:themeColor="text1"/>
        </w:rPr>
        <w:t>₅</w:t>
      </w:r>
      <w:r w:rsidRPr="006355D2">
        <w:rPr>
          <w:rFonts w:ascii="Arial" w:hAnsi="Arial" w:cs="Arial"/>
          <w:noProof/>
          <w:color w:val="000000" w:themeColor="text1"/>
        </w:rPr>
        <w:t xml:space="preserve"> confirm that reducing inorganic NPK by 25–50%, even with OA, cannot fully compensate for high nutrient demand under optimal conditions.</w:t>
      </w:r>
    </w:p>
    <w:p w14:paraId="117BB627" w14:textId="4E576656" w:rsidR="00C13684" w:rsidRPr="006355D2" w:rsidRDefault="00C13684" w:rsidP="00C13684">
      <w:pPr>
        <w:jc w:val="both"/>
        <w:rPr>
          <w:rFonts w:ascii="Arial" w:hAnsi="Arial" w:cs="Arial"/>
          <w:noProof/>
          <w:color w:val="000000" w:themeColor="text1"/>
        </w:rPr>
      </w:pPr>
    </w:p>
    <w:p w14:paraId="5207B75B" w14:textId="09FDD773" w:rsidR="00C13684" w:rsidRPr="006355D2" w:rsidRDefault="004F072A" w:rsidP="007D77A3">
      <w:pPr>
        <w:ind w:left="1080"/>
        <w:jc w:val="both"/>
        <w:rPr>
          <w:rFonts w:ascii="Arial" w:hAnsi="Arial" w:cs="Arial"/>
          <w:noProof/>
          <w:color w:val="000000" w:themeColor="text1"/>
        </w:rPr>
      </w:pPr>
      <w:r w:rsidRPr="00DF4B27">
        <w:rPr>
          <w:rFonts w:ascii="Arial" w:hAnsi="Arial" w:cs="Arial"/>
          <w:noProof/>
          <w:color w:val="000000" w:themeColor="text1"/>
        </w:rPr>
        <w:lastRenderedPageBreak/>
        <mc:AlternateContent>
          <mc:Choice Requires="wps">
            <w:drawing>
              <wp:anchor distT="0" distB="0" distL="114300" distR="114300" simplePos="0" relativeHeight="251660288" behindDoc="0" locked="0" layoutInCell="1" allowOverlap="1" wp14:anchorId="5C25B415" wp14:editId="1C48B73B">
                <wp:simplePos x="0" y="0"/>
                <wp:positionH relativeFrom="column">
                  <wp:posOffset>4293475</wp:posOffset>
                </wp:positionH>
                <wp:positionV relativeFrom="paragraph">
                  <wp:posOffset>184391</wp:posOffset>
                </wp:positionV>
                <wp:extent cx="1267992" cy="646331"/>
                <wp:effectExtent l="0" t="0" r="0" b="0"/>
                <wp:wrapNone/>
                <wp:docPr id="1074843892" name="TextBox 12"/>
                <wp:cNvGraphicFramePr/>
                <a:graphic xmlns:a="http://schemas.openxmlformats.org/drawingml/2006/main">
                  <a:graphicData uri="http://schemas.microsoft.com/office/word/2010/wordprocessingShape">
                    <wps:wsp>
                      <wps:cNvSpPr txBox="1"/>
                      <wps:spPr>
                        <a:xfrm>
                          <a:off x="0" y="0"/>
                          <a:ext cx="1267992" cy="646331"/>
                        </a:xfrm>
                        <a:prstGeom prst="rect">
                          <a:avLst/>
                        </a:prstGeom>
                        <a:noFill/>
                      </wps:spPr>
                      <wps:txbx>
                        <w:txbxContent>
                          <w:p w14:paraId="368C57B9" w14:textId="77777777" w:rsidR="00DF4B27" w:rsidRPr="00DF4B27" w:rsidRDefault="00DF4B27" w:rsidP="00DF4B27">
                            <w:pPr>
                              <w:rPr>
                                <w:rFonts w:ascii="Arial" w:hAnsi="Arial" w:cs="Arial"/>
                                <w:color w:val="000000"/>
                                <w:kern w:val="24"/>
                              </w:rPr>
                            </w:pPr>
                            <w:proofErr w:type="spellStart"/>
                            <w:r w:rsidRPr="00DF4B27">
                              <w:rPr>
                                <w:rFonts w:ascii="Arial" w:hAnsi="Arial" w:cs="Arial"/>
                                <w:color w:val="000000"/>
                                <w:kern w:val="24"/>
                                <w:sz w:val="16"/>
                                <w:szCs w:val="16"/>
                              </w:rPr>
                              <w:t>Pr</w:t>
                            </w:r>
                            <w:proofErr w:type="spellEnd"/>
                            <w:r w:rsidRPr="00DF4B27">
                              <w:rPr>
                                <w:rFonts w:ascii="Arial" w:hAnsi="Arial" w:cs="Arial"/>
                                <w:color w:val="000000"/>
                                <w:kern w:val="24"/>
                                <w:sz w:val="16"/>
                                <w:szCs w:val="16"/>
                              </w:rPr>
                              <w:t xml:space="preserve">&gt;F </w:t>
                            </w:r>
                            <w:r>
                              <w:rPr>
                                <w:rFonts w:ascii="Arial" w:hAnsi="Arial" w:cs="Arial"/>
                                <w:color w:val="000000"/>
                                <w:kern w:val="24"/>
                                <w:sz w:val="16"/>
                                <w:szCs w:val="16"/>
                              </w:rPr>
                              <w:t xml:space="preserve">     </w:t>
                            </w:r>
                            <w:r w:rsidRPr="00DF4B27">
                              <w:rPr>
                                <w:rFonts w:ascii="Arial" w:hAnsi="Arial" w:cs="Arial"/>
                                <w:color w:val="000000"/>
                                <w:kern w:val="24"/>
                                <w:sz w:val="16"/>
                                <w:szCs w:val="16"/>
                              </w:rPr>
                              <w:t>**</w:t>
                            </w:r>
                          </w:p>
                          <w:p w14:paraId="410E34CA" w14:textId="72BD7E5A" w:rsidR="00DF4B27" w:rsidRPr="00DF4B27" w:rsidRDefault="00DF4B27" w:rsidP="00DF4B27">
                            <w:pPr>
                              <w:rPr>
                                <w:rFonts w:ascii="Arial" w:hAnsi="Arial" w:cs="Arial"/>
                                <w:color w:val="000000"/>
                                <w:kern w:val="24"/>
                                <w:sz w:val="16"/>
                                <w:szCs w:val="16"/>
                              </w:rPr>
                            </w:pPr>
                            <w:r w:rsidRPr="00DF4B27">
                              <w:rPr>
                                <w:rFonts w:ascii="Arial" w:hAnsi="Arial" w:cs="Arial"/>
                                <w:color w:val="000000"/>
                                <w:kern w:val="24"/>
                                <w:sz w:val="16"/>
                                <w:szCs w:val="16"/>
                              </w:rPr>
                              <w:t>LSD</w:t>
                            </w:r>
                            <w:r w:rsidRPr="00DF4B27">
                              <w:rPr>
                                <w:rFonts w:ascii="Arial" w:hAnsi="Arial" w:cs="Arial"/>
                                <w:color w:val="000000"/>
                                <w:kern w:val="24"/>
                                <w:position w:val="-6"/>
                                <w:sz w:val="16"/>
                                <w:szCs w:val="16"/>
                                <w:vertAlign w:val="subscript"/>
                              </w:rPr>
                              <w:t>0.05</w:t>
                            </w:r>
                            <w:r>
                              <w:rPr>
                                <w:rFonts w:ascii="Arial" w:hAnsi="Arial" w:cs="Arial"/>
                                <w:color w:val="000000"/>
                                <w:kern w:val="24"/>
                                <w:sz w:val="16"/>
                                <w:szCs w:val="16"/>
                              </w:rPr>
                              <w:t xml:space="preserve">   762.07</w:t>
                            </w:r>
                          </w:p>
                          <w:p w14:paraId="590C0864" w14:textId="08F3F754" w:rsidR="00DF4B27" w:rsidRPr="00DF4B27" w:rsidRDefault="00DF4B27" w:rsidP="00DF4B27">
                            <w:pPr>
                              <w:rPr>
                                <w:rFonts w:ascii="Arial" w:hAnsi="Arial" w:cs="Arial"/>
                                <w:color w:val="000000"/>
                                <w:kern w:val="24"/>
                                <w:sz w:val="16"/>
                                <w:szCs w:val="16"/>
                              </w:rPr>
                            </w:pPr>
                            <w:r w:rsidRPr="00DF4B27">
                              <w:rPr>
                                <w:rFonts w:ascii="Arial" w:hAnsi="Arial" w:cs="Arial"/>
                                <w:color w:val="000000"/>
                                <w:kern w:val="24"/>
                                <w:sz w:val="16"/>
                                <w:szCs w:val="16"/>
                              </w:rPr>
                              <w:t>CV%</w:t>
                            </w:r>
                            <w:r>
                              <w:rPr>
                                <w:rFonts w:ascii="Arial" w:hAnsi="Arial" w:cs="Arial"/>
                                <w:color w:val="000000"/>
                                <w:kern w:val="24"/>
                                <w:sz w:val="16"/>
                                <w:szCs w:val="16"/>
                              </w:rPr>
                              <w:t xml:space="preserve">      9.31</w:t>
                            </w:r>
                          </w:p>
                        </w:txbxContent>
                      </wps:txbx>
                      <wps:bodyPr wrap="square" rtlCol="0">
                        <a:spAutoFit/>
                      </wps:bodyPr>
                    </wps:wsp>
                  </a:graphicData>
                </a:graphic>
              </wp:anchor>
            </w:drawing>
          </mc:Choice>
          <mc:Fallback>
            <w:pict>
              <v:shapetype w14:anchorId="5C25B415" id="_x0000_t202" coordsize="21600,21600" o:spt="202" path="m,l,21600r21600,l21600,xe">
                <v:stroke joinstyle="miter"/>
                <v:path gradientshapeok="t" o:connecttype="rect"/>
              </v:shapetype>
              <v:shape id="TextBox 12" o:spid="_x0000_s1026" type="#_x0000_t202" style="position:absolute;left:0;text-align:left;margin-left:338.05pt;margin-top:14.5pt;width:99.85pt;height:50.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" filled="f" stroked="f">
                <v:textbox style="mso-fit-shape-to-text:t">
                  <w:txbxContent>
                    <w:p w14:paraId="368C57B9" w14:textId="77777777" w:rsidR="00DF4B27" w:rsidRPr="00DF4B27" w:rsidRDefault="00DF4B27" w:rsidP="00DF4B27">
                      <w:pPr>
                        <w:rPr>
                          <w:rFonts w:ascii="Arial" w:hAnsi="Arial" w:cs="Arial"/>
                          <w:color w:val="000000"/>
                          <w:kern w:val="24"/>
                        </w:rPr>
                      </w:pPr>
                      <w:proofErr w:type="spellStart"/>
                      <w:r w:rsidRPr="00DF4B27">
                        <w:rPr>
                          <w:rFonts w:ascii="Arial" w:hAnsi="Arial" w:cs="Arial"/>
                          <w:color w:val="000000"/>
                          <w:kern w:val="24"/>
                          <w:sz w:val="16"/>
                          <w:szCs w:val="16"/>
                        </w:rPr>
                        <w:t>Pr</w:t>
                      </w:r>
                      <w:proofErr w:type="spellEnd"/>
                      <w:r w:rsidRPr="00DF4B27">
                        <w:rPr>
                          <w:rFonts w:ascii="Arial" w:hAnsi="Arial" w:cs="Arial"/>
                          <w:color w:val="000000"/>
                          <w:kern w:val="24"/>
                          <w:sz w:val="16"/>
                          <w:szCs w:val="16"/>
                        </w:rPr>
                        <w:t xml:space="preserve">&gt;F </w:t>
                      </w:r>
                      <w:r>
                        <w:rPr>
                          <w:rFonts w:ascii="Arial" w:hAnsi="Arial" w:cs="Arial"/>
                          <w:color w:val="000000"/>
                          <w:kern w:val="24"/>
                          <w:sz w:val="16"/>
                          <w:szCs w:val="16"/>
                        </w:rPr>
                        <w:t xml:space="preserve">     </w:t>
                      </w:r>
                      <w:r w:rsidRPr="00DF4B27">
                        <w:rPr>
                          <w:rFonts w:ascii="Arial" w:hAnsi="Arial" w:cs="Arial"/>
                          <w:color w:val="000000"/>
                          <w:kern w:val="24"/>
                          <w:sz w:val="16"/>
                          <w:szCs w:val="16"/>
                        </w:rPr>
                        <w:t>**</w:t>
                      </w:r>
                    </w:p>
                    <w:p w14:paraId="410E34CA" w14:textId="72BD7E5A" w:rsidR="00DF4B27" w:rsidRPr="00DF4B27" w:rsidRDefault="00DF4B27" w:rsidP="00DF4B27">
                      <w:pPr>
                        <w:rPr>
                          <w:rFonts w:ascii="Arial" w:hAnsi="Arial" w:cs="Arial"/>
                          <w:color w:val="000000"/>
                          <w:kern w:val="24"/>
                          <w:sz w:val="16"/>
                          <w:szCs w:val="16"/>
                        </w:rPr>
                      </w:pPr>
                      <w:r w:rsidRPr="00DF4B27">
                        <w:rPr>
                          <w:rFonts w:ascii="Arial" w:hAnsi="Arial" w:cs="Arial"/>
                          <w:color w:val="000000"/>
                          <w:kern w:val="24"/>
                          <w:sz w:val="16"/>
                          <w:szCs w:val="16"/>
                        </w:rPr>
                        <w:t>LSD</w:t>
                      </w:r>
                      <w:r w:rsidRPr="00DF4B27">
                        <w:rPr>
                          <w:rFonts w:ascii="Arial" w:hAnsi="Arial" w:cs="Arial"/>
                          <w:color w:val="000000"/>
                          <w:kern w:val="24"/>
                          <w:position w:val="-6"/>
                          <w:sz w:val="16"/>
                          <w:szCs w:val="16"/>
                          <w:vertAlign w:val="subscript"/>
                        </w:rPr>
                        <w:t>0.05</w:t>
                      </w:r>
                      <w:r>
                        <w:rPr>
                          <w:rFonts w:ascii="Arial" w:hAnsi="Arial" w:cs="Arial"/>
                          <w:color w:val="000000"/>
                          <w:kern w:val="24"/>
                          <w:sz w:val="16"/>
                          <w:szCs w:val="16"/>
                        </w:rPr>
                        <w:t xml:space="preserve">   762.07</w:t>
                      </w:r>
                    </w:p>
                    <w:p w14:paraId="590C0864" w14:textId="08F3F754" w:rsidR="00DF4B27" w:rsidRPr="00DF4B27" w:rsidRDefault="00DF4B27" w:rsidP="00DF4B27">
                      <w:pPr>
                        <w:rPr>
                          <w:rFonts w:ascii="Arial" w:hAnsi="Arial" w:cs="Arial"/>
                          <w:color w:val="000000"/>
                          <w:kern w:val="24"/>
                          <w:sz w:val="16"/>
                          <w:szCs w:val="16"/>
                        </w:rPr>
                      </w:pPr>
                      <w:r w:rsidRPr="00DF4B27">
                        <w:rPr>
                          <w:rFonts w:ascii="Arial" w:hAnsi="Arial" w:cs="Arial"/>
                          <w:color w:val="000000"/>
                          <w:kern w:val="24"/>
                          <w:sz w:val="16"/>
                          <w:szCs w:val="16"/>
                        </w:rPr>
                        <w:t>CV%</w:t>
                      </w:r>
                      <w:r>
                        <w:rPr>
                          <w:rFonts w:ascii="Arial" w:hAnsi="Arial" w:cs="Arial"/>
                          <w:color w:val="000000"/>
                          <w:kern w:val="24"/>
                          <w:sz w:val="16"/>
                          <w:szCs w:val="16"/>
                        </w:rPr>
                        <w:t xml:space="preserve">      9.31</w:t>
                      </w:r>
                    </w:p>
                  </w:txbxContent>
                </v:textbox>
              </v:shape>
            </w:pict>
          </mc:Fallback>
        </mc:AlternateContent>
      </w:r>
      <w:r w:rsidR="00C13684" w:rsidRPr="006355D2">
        <w:rPr>
          <w:rFonts w:ascii="Arial" w:hAnsi="Arial" w:cs="Arial"/>
          <w:noProof/>
          <w:color w:val="000000" w:themeColor="text1"/>
        </w:rPr>
        <w:drawing>
          <wp:inline distT="0" distB="0" distL="0" distR="0" wp14:anchorId="6BC9874A" wp14:editId="0922F3A5">
            <wp:extent cx="3771900" cy="2274570"/>
            <wp:effectExtent l="0" t="0" r="0" b="0"/>
            <wp:docPr id="1940678343" name="Chart 1">
              <a:extLst xmlns:a="http://schemas.openxmlformats.org/drawingml/2006/main">
                <a:ext uri="{FF2B5EF4-FFF2-40B4-BE49-F238E27FC236}">
                  <a16:creationId xmlns:a16="http://schemas.microsoft.com/office/drawing/2014/main" id="{5C11D004-74BD-79B2-9CE4-628B0A3E2F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D11F8F3" w14:textId="77777777" w:rsidR="00C13684" w:rsidRPr="00F42131" w:rsidRDefault="00C13684" w:rsidP="00F42131">
      <w:pPr>
        <w:spacing w:before="120" w:after="120"/>
        <w:ind w:left="900" w:hanging="900"/>
        <w:jc w:val="both"/>
        <w:rPr>
          <w:rFonts w:ascii="Arial" w:hAnsi="Arial" w:cs="Arial"/>
          <w:b/>
          <w:bCs/>
          <w:noProof/>
          <w:color w:val="000000" w:themeColor="text1"/>
        </w:rPr>
      </w:pPr>
      <w:r w:rsidRPr="00F42131">
        <w:rPr>
          <w:rFonts w:ascii="Arial" w:hAnsi="Arial" w:cs="Arial"/>
          <w:b/>
          <w:bCs/>
          <w:noProof/>
          <w:color w:val="000000" w:themeColor="text1"/>
        </w:rPr>
        <w:t>Figure 2. Mean values of yield (kg ha</w:t>
      </w:r>
      <w:r w:rsidRPr="00F42131">
        <w:rPr>
          <w:rFonts w:ascii="Arial" w:hAnsi="Arial" w:cs="Arial"/>
          <w:b/>
          <w:bCs/>
          <w:noProof/>
          <w:color w:val="000000" w:themeColor="text1"/>
          <w:vertAlign w:val="superscript"/>
        </w:rPr>
        <w:t>-1</w:t>
      </w:r>
      <w:r w:rsidRPr="00F42131">
        <w:rPr>
          <w:rFonts w:ascii="Arial" w:hAnsi="Arial" w:cs="Arial"/>
          <w:b/>
          <w:bCs/>
          <w:noProof/>
          <w:color w:val="000000" w:themeColor="text1"/>
        </w:rPr>
        <w:t>) as influenced by organic amendment and inorganic fertilizers from December 2024 to April 2025.</w:t>
      </w:r>
    </w:p>
    <w:p w14:paraId="68BB4E58" w14:textId="0A4C6D7B" w:rsidR="009F2FE9" w:rsidRPr="009701C0" w:rsidRDefault="009701C0" w:rsidP="009701C0">
      <w:pPr>
        <w:spacing w:before="120" w:after="120"/>
        <w:jc w:val="both"/>
        <w:rPr>
          <w:rFonts w:ascii="Arial" w:hAnsi="Arial" w:cs="Arial"/>
          <w:color w:val="000000" w:themeColor="text1"/>
          <w:sz w:val="18"/>
          <w:szCs w:val="18"/>
        </w:rPr>
      </w:pPr>
      <w:r w:rsidRPr="00ED617B">
        <w:rPr>
          <w:rFonts w:ascii="Arial" w:hAnsi="Arial" w:cs="Arial"/>
          <w:color w:val="000000" w:themeColor="text1"/>
          <w:sz w:val="16"/>
          <w:szCs w:val="16"/>
        </w:rPr>
        <w:t>T</w:t>
      </w:r>
      <w:r w:rsidRPr="00ED617B">
        <w:rPr>
          <w:rFonts w:ascii="Arial" w:hAnsi="Arial" w:cs="Arial"/>
          <w:color w:val="000000" w:themeColor="text1"/>
          <w:sz w:val="16"/>
          <w:szCs w:val="16"/>
          <w:vertAlign w:val="subscript"/>
        </w:rPr>
        <w:t>1</w:t>
      </w:r>
      <w:r w:rsidRPr="00ED617B">
        <w:rPr>
          <w:rFonts w:ascii="Arial" w:hAnsi="Arial" w:cs="Arial"/>
          <w:color w:val="000000" w:themeColor="text1"/>
          <w:sz w:val="16"/>
          <w:szCs w:val="16"/>
        </w:rPr>
        <w:t xml:space="preserve"> – (control), T</w:t>
      </w:r>
      <w:r w:rsidRPr="00ED617B">
        <w:rPr>
          <w:rFonts w:ascii="Arial" w:hAnsi="Arial" w:cs="Arial"/>
          <w:color w:val="000000" w:themeColor="text1"/>
          <w:sz w:val="16"/>
          <w:szCs w:val="16"/>
          <w:vertAlign w:val="subscript"/>
        </w:rPr>
        <w:t>2</w:t>
      </w:r>
      <w:r w:rsidRPr="00ED617B">
        <w:rPr>
          <w:rFonts w:ascii="Arial" w:hAnsi="Arial" w:cs="Arial"/>
          <w:color w:val="000000" w:themeColor="text1"/>
          <w:sz w:val="16"/>
          <w:szCs w:val="16"/>
        </w:rPr>
        <w:t xml:space="preserve"> – (Organic amendment (OA)), T</w:t>
      </w:r>
      <w:r w:rsidRPr="00ED617B">
        <w:rPr>
          <w:rFonts w:ascii="Arial" w:hAnsi="Arial" w:cs="Arial"/>
          <w:color w:val="000000" w:themeColor="text1"/>
          <w:sz w:val="16"/>
          <w:szCs w:val="16"/>
          <w:vertAlign w:val="subscript"/>
        </w:rPr>
        <w:t>3</w:t>
      </w:r>
      <w:r w:rsidRPr="00ED617B">
        <w:rPr>
          <w:rFonts w:ascii="Arial" w:hAnsi="Arial" w:cs="Arial"/>
          <w:color w:val="000000" w:themeColor="text1"/>
          <w:sz w:val="16"/>
          <w:szCs w:val="16"/>
        </w:rPr>
        <w:t xml:space="preserve"> – (100%NPK), T</w:t>
      </w:r>
      <w:r w:rsidRPr="00ED617B">
        <w:rPr>
          <w:rFonts w:ascii="Arial" w:hAnsi="Arial" w:cs="Arial"/>
          <w:color w:val="000000" w:themeColor="text1"/>
          <w:sz w:val="16"/>
          <w:szCs w:val="16"/>
          <w:vertAlign w:val="subscript"/>
        </w:rPr>
        <w:t>4</w:t>
      </w:r>
      <w:r w:rsidRPr="00ED617B">
        <w:rPr>
          <w:rFonts w:ascii="Arial" w:hAnsi="Arial" w:cs="Arial"/>
          <w:color w:val="000000" w:themeColor="text1"/>
          <w:sz w:val="16"/>
          <w:szCs w:val="16"/>
        </w:rPr>
        <w:t xml:space="preserve"> – (OA + 50% NPK), T</w:t>
      </w:r>
      <w:r w:rsidRPr="00ED617B">
        <w:rPr>
          <w:rFonts w:ascii="Arial" w:hAnsi="Arial" w:cs="Arial"/>
          <w:color w:val="000000" w:themeColor="text1"/>
          <w:sz w:val="16"/>
          <w:szCs w:val="16"/>
          <w:vertAlign w:val="subscript"/>
        </w:rPr>
        <w:t>5</w:t>
      </w:r>
      <w:r w:rsidRPr="00ED617B">
        <w:rPr>
          <w:rFonts w:ascii="Arial" w:hAnsi="Arial" w:cs="Arial"/>
          <w:color w:val="000000" w:themeColor="text1"/>
          <w:sz w:val="16"/>
          <w:szCs w:val="16"/>
        </w:rPr>
        <w:t xml:space="preserve"> – (OA + 75% NPK), T</w:t>
      </w:r>
      <w:r w:rsidRPr="00ED617B">
        <w:rPr>
          <w:rFonts w:ascii="Arial" w:hAnsi="Arial" w:cs="Arial"/>
          <w:color w:val="000000" w:themeColor="text1"/>
          <w:sz w:val="16"/>
          <w:szCs w:val="16"/>
          <w:vertAlign w:val="subscript"/>
        </w:rPr>
        <w:t>6</w:t>
      </w:r>
      <w:r w:rsidRPr="00ED617B">
        <w:rPr>
          <w:rFonts w:ascii="Arial" w:hAnsi="Arial" w:cs="Arial"/>
          <w:color w:val="000000" w:themeColor="text1"/>
          <w:sz w:val="16"/>
          <w:szCs w:val="16"/>
        </w:rPr>
        <w:t xml:space="preserve"> – (OA + 100% NPK)</w:t>
      </w:r>
      <w:r w:rsidR="00ED617B" w:rsidRPr="00ED617B">
        <w:rPr>
          <w:rFonts w:ascii="Arial" w:hAnsi="Arial" w:cs="Arial"/>
          <w:color w:val="000000" w:themeColor="text1"/>
          <w:sz w:val="16"/>
          <w:szCs w:val="16"/>
        </w:rPr>
        <w:t xml:space="preserve">, </w:t>
      </w:r>
      <w:r w:rsidR="00ED617B" w:rsidRPr="0092235A">
        <w:rPr>
          <w:rFonts w:ascii="Arial" w:hAnsi="Arial" w:cs="Arial"/>
          <w:bCs/>
          <w:color w:val="000000" w:themeColor="text1"/>
          <w:sz w:val="16"/>
          <w:szCs w:val="16"/>
        </w:rPr>
        <w:t>** Significant difference at 1% level</w:t>
      </w:r>
    </w:p>
    <w:p w14:paraId="0588426B" w14:textId="4C2CAB7A" w:rsidR="00C13684" w:rsidRPr="006355D2" w:rsidRDefault="00F42131" w:rsidP="00F666E1">
      <w:pPr>
        <w:spacing w:before="120" w:after="120"/>
        <w:ind w:left="990" w:hanging="990"/>
        <w:jc w:val="both"/>
        <w:rPr>
          <w:rFonts w:ascii="Arial" w:hAnsi="Arial" w:cs="Arial"/>
          <w:b/>
          <w:bCs/>
          <w:color w:val="000000" w:themeColor="text1"/>
        </w:rPr>
      </w:pPr>
      <w:r>
        <w:rPr>
          <w:rFonts w:ascii="Arial" w:hAnsi="Arial" w:cs="Arial"/>
          <w:b/>
          <w:bCs/>
          <w:color w:val="000000" w:themeColor="text1"/>
        </w:rPr>
        <w:t>3.</w:t>
      </w:r>
      <w:r w:rsidR="00C13684" w:rsidRPr="006355D2">
        <w:rPr>
          <w:rFonts w:ascii="Arial" w:hAnsi="Arial" w:cs="Arial"/>
          <w:b/>
          <w:bCs/>
          <w:color w:val="000000" w:themeColor="text1"/>
        </w:rPr>
        <w:t>2 Monsoon Season (May – August 2025)</w:t>
      </w:r>
    </w:p>
    <w:p w14:paraId="5768C8EE" w14:textId="77777777" w:rsidR="00C13684" w:rsidRPr="006355D2" w:rsidRDefault="00C13684" w:rsidP="00380CE0">
      <w:pPr>
        <w:ind w:firstLine="720"/>
        <w:jc w:val="both"/>
        <w:rPr>
          <w:rFonts w:ascii="Arial" w:hAnsi="Arial" w:cs="Arial"/>
          <w:noProof/>
          <w:color w:val="000000" w:themeColor="text1"/>
        </w:rPr>
      </w:pPr>
      <w:r w:rsidRPr="006355D2">
        <w:rPr>
          <w:rFonts w:ascii="Arial" w:hAnsi="Arial" w:cs="Arial"/>
          <w:noProof/>
          <w:color w:val="000000" w:themeColor="text1"/>
        </w:rPr>
        <w:t>The monsoon season (May - August 2025) was characterized by high rainfall, elevated humidity, and frequent waterlogging, creating suboptimal conditions for maize production. Despite these challenges, nutrient management strategies significantly influenced phenological, morphological, and yield-related traits, with notable differences in treatment performance compared to the post-monsoon season. The integration of OA with inorganic fertilizers demonstrated a clear advantage under these stressful conditions.</w:t>
      </w:r>
    </w:p>
    <w:p w14:paraId="69F125EE" w14:textId="11D4B132" w:rsidR="00C13684" w:rsidRPr="00F42131" w:rsidRDefault="00F42131" w:rsidP="00F666E1">
      <w:pPr>
        <w:spacing w:before="120" w:after="120"/>
        <w:ind w:left="990" w:hanging="990"/>
        <w:jc w:val="both"/>
        <w:rPr>
          <w:rFonts w:ascii="Arial" w:hAnsi="Arial" w:cs="Arial"/>
          <w:b/>
          <w:bCs/>
          <w:color w:val="000000" w:themeColor="text1"/>
        </w:rPr>
      </w:pPr>
      <w:r w:rsidRPr="00F42131">
        <w:rPr>
          <w:rFonts w:ascii="Arial" w:hAnsi="Arial" w:cs="Arial"/>
          <w:b/>
          <w:bCs/>
          <w:color w:val="000000" w:themeColor="text1"/>
        </w:rPr>
        <w:t>3.</w:t>
      </w:r>
      <w:r w:rsidR="00C13684" w:rsidRPr="00F42131">
        <w:rPr>
          <w:rFonts w:ascii="Arial" w:hAnsi="Arial" w:cs="Arial"/>
          <w:b/>
          <w:bCs/>
          <w:color w:val="000000" w:themeColor="text1"/>
        </w:rPr>
        <w:t>2.1 Plant Height (cm)</w:t>
      </w:r>
    </w:p>
    <w:p w14:paraId="5BC4F233" w14:textId="398A97D4" w:rsidR="00C13684" w:rsidRPr="006355D2" w:rsidRDefault="00C13684" w:rsidP="00380CE0">
      <w:pPr>
        <w:ind w:firstLine="720"/>
        <w:jc w:val="both"/>
        <w:rPr>
          <w:rFonts w:ascii="Arial" w:hAnsi="Arial" w:cs="Arial"/>
          <w:b/>
          <w:bCs/>
          <w:noProof/>
          <w:color w:val="000000" w:themeColor="text1"/>
        </w:rPr>
      </w:pPr>
      <w:r w:rsidRPr="006355D2">
        <w:rPr>
          <w:rFonts w:ascii="Arial" w:hAnsi="Arial" w:cs="Arial"/>
          <w:color w:val="000000" w:themeColor="text1"/>
        </w:rPr>
        <w:t>At 63 DAS, T</w:t>
      </w:r>
      <w:r w:rsidRPr="006355D2">
        <w:rPr>
          <w:rFonts w:ascii="Cambria Math" w:hAnsi="Cambria Math" w:cs="Cambria Math"/>
          <w:color w:val="000000" w:themeColor="text1"/>
        </w:rPr>
        <w:t>₆</w:t>
      </w:r>
      <w:r w:rsidRPr="006355D2">
        <w:rPr>
          <w:rFonts w:ascii="Arial" w:hAnsi="Arial" w:cs="Arial"/>
          <w:color w:val="000000" w:themeColor="text1"/>
        </w:rPr>
        <w:t xml:space="preserve"> (152.70 cm) was significantly taller than T</w:t>
      </w:r>
      <w:r w:rsidRPr="006355D2">
        <w:rPr>
          <w:rFonts w:ascii="Cambria Math" w:hAnsi="Cambria Math" w:cs="Cambria Math"/>
          <w:color w:val="000000" w:themeColor="text1"/>
        </w:rPr>
        <w:t>₃</w:t>
      </w:r>
      <w:r w:rsidRPr="006355D2">
        <w:rPr>
          <w:rFonts w:ascii="Arial" w:hAnsi="Arial" w:cs="Arial"/>
          <w:color w:val="000000" w:themeColor="text1"/>
        </w:rPr>
        <w:t xml:space="preserve"> (145.40 cm), both far exceeding the control (T</w:t>
      </w:r>
      <w:r w:rsidRPr="006355D2">
        <w:rPr>
          <w:rFonts w:ascii="Cambria Math" w:hAnsi="Cambria Math" w:cs="Cambria Math"/>
          <w:color w:val="000000" w:themeColor="text1"/>
        </w:rPr>
        <w:t>₁</w:t>
      </w:r>
      <w:r w:rsidRPr="006355D2">
        <w:rPr>
          <w:rFonts w:ascii="Arial" w:hAnsi="Arial" w:cs="Arial"/>
          <w:color w:val="000000" w:themeColor="text1"/>
        </w:rPr>
        <w:t xml:space="preserve">: 68.60 cm) (Table </w:t>
      </w:r>
      <w:r w:rsidR="009E4FEF">
        <w:rPr>
          <w:rFonts w:ascii="Arial" w:hAnsi="Arial" w:cs="Arial"/>
          <w:color w:val="000000" w:themeColor="text1"/>
        </w:rPr>
        <w:t>5</w:t>
      </w:r>
      <w:r w:rsidRPr="006355D2">
        <w:rPr>
          <w:rFonts w:ascii="Arial" w:hAnsi="Arial" w:cs="Arial"/>
          <w:color w:val="000000" w:themeColor="text1"/>
        </w:rPr>
        <w:t>). The reversal (T</w:t>
      </w:r>
      <w:r w:rsidRPr="006355D2">
        <w:rPr>
          <w:rFonts w:ascii="Cambria Math" w:hAnsi="Cambria Math" w:cs="Cambria Math"/>
          <w:color w:val="000000" w:themeColor="text1"/>
        </w:rPr>
        <w:t>₆</w:t>
      </w:r>
      <w:r w:rsidRPr="006355D2">
        <w:rPr>
          <w:rFonts w:ascii="Arial" w:hAnsi="Arial" w:cs="Arial"/>
          <w:color w:val="000000" w:themeColor="text1"/>
        </w:rPr>
        <w:t xml:space="preserve"> &gt; T</w:t>
      </w:r>
      <w:r w:rsidRPr="006355D2">
        <w:rPr>
          <w:rFonts w:ascii="Cambria Math" w:hAnsi="Cambria Math" w:cs="Cambria Math"/>
          <w:color w:val="000000" w:themeColor="text1"/>
        </w:rPr>
        <w:t>₃</w:t>
      </w:r>
      <w:r w:rsidRPr="006355D2">
        <w:rPr>
          <w:rFonts w:ascii="Arial" w:hAnsi="Arial" w:cs="Arial"/>
          <w:color w:val="000000" w:themeColor="text1"/>
        </w:rPr>
        <w:t>) suggests that OA improves nutrient retention and root function under high rainfall, reducing leaching. In waterlogged soils, N and K are prone to leaching and denitrification, limiting their availability (Lobell et al., 2013). OA enhances soil aggregation and cation exchange capacity (CEC), retaining nutrients like K</w:t>
      </w:r>
      <w:r w:rsidRPr="006355D2">
        <w:rPr>
          <w:rFonts w:ascii="Cambria Math" w:hAnsi="Cambria Math" w:cs="Cambria Math"/>
          <w:color w:val="000000" w:themeColor="text1"/>
        </w:rPr>
        <w:t>⁺</w:t>
      </w:r>
      <w:r w:rsidRPr="006355D2">
        <w:rPr>
          <w:rFonts w:ascii="Arial" w:hAnsi="Arial" w:cs="Arial"/>
          <w:color w:val="000000" w:themeColor="text1"/>
        </w:rPr>
        <w:t xml:space="preserve"> and NH</w:t>
      </w:r>
      <w:r w:rsidRPr="006355D2">
        <w:rPr>
          <w:rFonts w:ascii="Cambria Math" w:hAnsi="Cambria Math" w:cs="Cambria Math"/>
          <w:color w:val="000000" w:themeColor="text1"/>
        </w:rPr>
        <w:t>₄⁺</w:t>
      </w:r>
      <w:r w:rsidRPr="006355D2">
        <w:rPr>
          <w:rFonts w:ascii="Arial" w:hAnsi="Arial" w:cs="Arial"/>
          <w:color w:val="000000" w:themeColor="text1"/>
        </w:rPr>
        <w:t xml:space="preserve"> in the root zone (Ávila et al., 2008).</w:t>
      </w:r>
      <w:r w:rsidR="00AD3342">
        <w:rPr>
          <w:rFonts w:ascii="Arial" w:hAnsi="Arial" w:cs="Arial"/>
          <w:color w:val="000000" w:themeColor="text1"/>
        </w:rPr>
        <w:t xml:space="preserve"> </w:t>
      </w:r>
      <w:r w:rsidR="00AD3342" w:rsidRPr="00D823AD">
        <w:rPr>
          <w:rFonts w:ascii="Arial" w:hAnsi="Arial" w:cs="Arial"/>
          <w:color w:val="000000" w:themeColor="text1"/>
        </w:rPr>
        <w:t xml:space="preserve">Furthermore, organic amendments have been shown to improve root architecture and nutrient uptake efficiency under adverse soil conditions such as salinity, suggesting broader benefits in stress mitigation (Afshana </w:t>
      </w:r>
      <w:proofErr w:type="spellStart"/>
      <w:r w:rsidR="00AD3342" w:rsidRPr="00D823AD">
        <w:rPr>
          <w:rFonts w:ascii="Arial" w:hAnsi="Arial" w:cs="Arial"/>
          <w:color w:val="000000" w:themeColor="text1"/>
        </w:rPr>
        <w:t>Doulat</w:t>
      </w:r>
      <w:proofErr w:type="spellEnd"/>
      <w:r w:rsidR="00AD3342" w:rsidRPr="00D823AD">
        <w:rPr>
          <w:rFonts w:ascii="Arial" w:hAnsi="Arial" w:cs="Arial"/>
          <w:color w:val="000000" w:themeColor="text1"/>
        </w:rPr>
        <w:t xml:space="preserve"> et al., 2025).</w:t>
      </w:r>
    </w:p>
    <w:p w14:paraId="2D8C643F" w14:textId="7DBAB31D" w:rsidR="00C13684" w:rsidRPr="006355D2" w:rsidRDefault="00C13684" w:rsidP="00380CE0">
      <w:pPr>
        <w:spacing w:before="120" w:after="120"/>
        <w:ind w:left="990" w:hanging="990"/>
        <w:jc w:val="both"/>
        <w:rPr>
          <w:rFonts w:ascii="Arial" w:hAnsi="Arial" w:cs="Arial"/>
          <w:b/>
          <w:bCs/>
          <w:color w:val="000000" w:themeColor="text1"/>
        </w:rPr>
      </w:pPr>
      <w:r w:rsidRPr="006355D2">
        <w:rPr>
          <w:rFonts w:ascii="Arial" w:hAnsi="Arial" w:cs="Arial"/>
          <w:b/>
          <w:bCs/>
          <w:color w:val="000000" w:themeColor="text1"/>
        </w:rPr>
        <w:t xml:space="preserve">Table </w:t>
      </w:r>
      <w:r w:rsidR="009E4FEF">
        <w:rPr>
          <w:rFonts w:ascii="Arial" w:hAnsi="Arial" w:cs="Arial"/>
          <w:b/>
          <w:bCs/>
          <w:color w:val="000000" w:themeColor="text1"/>
        </w:rPr>
        <w:t>5</w:t>
      </w:r>
      <w:r w:rsidRPr="006355D2">
        <w:rPr>
          <w:rFonts w:ascii="Arial" w:hAnsi="Arial" w:cs="Arial"/>
          <w:b/>
          <w:bCs/>
          <w:color w:val="000000" w:themeColor="text1"/>
        </w:rPr>
        <w:t xml:space="preserve">.  Mean plant height as influenced by organic amendment and inorganic fertilizers </w:t>
      </w:r>
      <w:r w:rsidR="009701C0">
        <w:rPr>
          <w:rFonts w:ascii="Arial" w:hAnsi="Arial" w:cs="Arial"/>
          <w:b/>
          <w:bCs/>
          <w:color w:val="000000" w:themeColor="text1"/>
        </w:rPr>
        <w:t>during the monsoon experiment</w:t>
      </w:r>
    </w:p>
    <w:tbl>
      <w:tblPr>
        <w:tblW w:w="5000" w:type="pct"/>
        <w:jc w:val="center"/>
        <w:tblLook w:val="04A0" w:firstRow="1" w:lastRow="0" w:firstColumn="1" w:lastColumn="0" w:noHBand="0" w:noVBand="1"/>
      </w:tblPr>
      <w:tblGrid>
        <w:gridCol w:w="1022"/>
        <w:gridCol w:w="589"/>
        <w:gridCol w:w="296"/>
        <w:gridCol w:w="589"/>
        <w:gridCol w:w="296"/>
        <w:gridCol w:w="589"/>
        <w:gridCol w:w="296"/>
        <w:gridCol w:w="589"/>
        <w:gridCol w:w="296"/>
        <w:gridCol w:w="590"/>
        <w:gridCol w:w="297"/>
        <w:gridCol w:w="672"/>
        <w:gridCol w:w="297"/>
        <w:gridCol w:w="672"/>
        <w:gridCol w:w="297"/>
        <w:gridCol w:w="740"/>
        <w:gridCol w:w="294"/>
      </w:tblGrid>
      <w:tr w:rsidR="007C6DB0" w:rsidRPr="00380CE0" w14:paraId="23897A70" w14:textId="394078AE" w:rsidTr="00782496">
        <w:trPr>
          <w:trHeight w:val="288"/>
          <w:jc w:val="center"/>
        </w:trPr>
        <w:tc>
          <w:tcPr>
            <w:tcW w:w="609" w:type="pct"/>
            <w:vMerge w:val="restart"/>
            <w:tcBorders>
              <w:top w:val="single" w:sz="8" w:space="0" w:color="auto"/>
              <w:left w:val="nil"/>
              <w:bottom w:val="single" w:sz="4" w:space="0" w:color="auto"/>
              <w:right w:val="nil"/>
            </w:tcBorders>
            <w:noWrap/>
            <w:vAlign w:val="center"/>
            <w:hideMark/>
          </w:tcPr>
          <w:p w14:paraId="7DEE96EE" w14:textId="77777777" w:rsidR="007C6DB0" w:rsidRPr="00782496" w:rsidRDefault="007C6DB0" w:rsidP="00380CE0">
            <w:pPr>
              <w:jc w:val="center"/>
              <w:rPr>
                <w:rFonts w:ascii="Arial" w:hAnsi="Arial" w:cs="Arial"/>
                <w:b/>
                <w:bCs/>
                <w:color w:val="000000" w:themeColor="text1"/>
                <w:sz w:val="14"/>
                <w:szCs w:val="14"/>
              </w:rPr>
            </w:pPr>
            <w:r w:rsidRPr="00782496">
              <w:rPr>
                <w:rFonts w:ascii="Arial" w:hAnsi="Arial" w:cs="Arial"/>
                <w:b/>
                <w:bCs/>
                <w:color w:val="000000" w:themeColor="text1"/>
                <w:sz w:val="14"/>
                <w:szCs w:val="14"/>
              </w:rPr>
              <w:t>Treatments</w:t>
            </w:r>
          </w:p>
        </w:tc>
        <w:tc>
          <w:tcPr>
            <w:tcW w:w="4249" w:type="pct"/>
            <w:gridSpan w:val="15"/>
            <w:tcBorders>
              <w:top w:val="single" w:sz="8" w:space="0" w:color="auto"/>
              <w:left w:val="nil"/>
              <w:bottom w:val="single" w:sz="4" w:space="0" w:color="auto"/>
              <w:right w:val="nil"/>
            </w:tcBorders>
            <w:noWrap/>
            <w:vAlign w:val="center"/>
            <w:hideMark/>
          </w:tcPr>
          <w:p w14:paraId="452124B1" w14:textId="77777777" w:rsidR="007C6DB0" w:rsidRPr="00782496" w:rsidRDefault="007C6DB0" w:rsidP="00380CE0">
            <w:pPr>
              <w:jc w:val="center"/>
              <w:rPr>
                <w:rFonts w:ascii="Arial" w:hAnsi="Arial" w:cs="Arial"/>
                <w:b/>
                <w:bCs/>
                <w:color w:val="000000" w:themeColor="text1"/>
                <w:sz w:val="14"/>
                <w:szCs w:val="14"/>
              </w:rPr>
            </w:pPr>
            <w:r w:rsidRPr="00782496">
              <w:rPr>
                <w:rFonts w:ascii="Arial" w:hAnsi="Arial" w:cs="Arial"/>
                <w:b/>
                <w:bCs/>
                <w:color w:val="000000" w:themeColor="text1"/>
                <w:sz w:val="14"/>
                <w:szCs w:val="14"/>
              </w:rPr>
              <w:t>Plant height (cm)</w:t>
            </w:r>
          </w:p>
        </w:tc>
        <w:tc>
          <w:tcPr>
            <w:tcW w:w="142" w:type="pct"/>
            <w:tcBorders>
              <w:top w:val="single" w:sz="8" w:space="0" w:color="auto"/>
              <w:left w:val="nil"/>
              <w:bottom w:val="single" w:sz="4" w:space="0" w:color="auto"/>
              <w:right w:val="nil"/>
            </w:tcBorders>
          </w:tcPr>
          <w:p w14:paraId="796289FE" w14:textId="77777777" w:rsidR="007C6DB0" w:rsidRPr="00782496" w:rsidRDefault="007C6DB0" w:rsidP="00380CE0">
            <w:pPr>
              <w:jc w:val="center"/>
              <w:rPr>
                <w:rFonts w:ascii="Arial" w:hAnsi="Arial" w:cs="Arial"/>
                <w:b/>
                <w:bCs/>
                <w:color w:val="000000" w:themeColor="text1"/>
                <w:sz w:val="14"/>
                <w:szCs w:val="14"/>
              </w:rPr>
            </w:pPr>
          </w:p>
        </w:tc>
      </w:tr>
      <w:tr w:rsidR="00782496" w:rsidRPr="00380CE0" w14:paraId="49239B72" w14:textId="5454CCDC" w:rsidTr="00782496">
        <w:trPr>
          <w:trHeight w:val="288"/>
          <w:jc w:val="center"/>
        </w:trPr>
        <w:tc>
          <w:tcPr>
            <w:tcW w:w="609" w:type="pct"/>
            <w:vMerge/>
            <w:tcBorders>
              <w:top w:val="single" w:sz="8" w:space="0" w:color="auto"/>
              <w:left w:val="nil"/>
              <w:bottom w:val="single" w:sz="4" w:space="0" w:color="auto"/>
              <w:right w:val="nil"/>
            </w:tcBorders>
            <w:vAlign w:val="center"/>
            <w:hideMark/>
          </w:tcPr>
          <w:p w14:paraId="6C2ACFE2" w14:textId="77777777" w:rsidR="007C6DB0" w:rsidRPr="00782496" w:rsidRDefault="007C6DB0" w:rsidP="00380CE0">
            <w:pPr>
              <w:jc w:val="center"/>
              <w:rPr>
                <w:rFonts w:ascii="Arial" w:hAnsi="Arial" w:cs="Arial"/>
                <w:b/>
                <w:bCs/>
                <w:color w:val="000000" w:themeColor="text1"/>
                <w:sz w:val="14"/>
                <w:szCs w:val="14"/>
              </w:rPr>
            </w:pPr>
          </w:p>
        </w:tc>
        <w:tc>
          <w:tcPr>
            <w:tcW w:w="530" w:type="pct"/>
            <w:gridSpan w:val="2"/>
            <w:tcBorders>
              <w:top w:val="single" w:sz="4" w:space="0" w:color="auto"/>
              <w:left w:val="nil"/>
              <w:bottom w:val="single" w:sz="4" w:space="0" w:color="auto"/>
              <w:right w:val="nil"/>
            </w:tcBorders>
            <w:noWrap/>
            <w:vAlign w:val="center"/>
            <w:hideMark/>
          </w:tcPr>
          <w:p w14:paraId="41760FF5" w14:textId="77777777" w:rsidR="007C6DB0" w:rsidRPr="00782496" w:rsidRDefault="007C6DB0" w:rsidP="00380CE0">
            <w:pPr>
              <w:jc w:val="center"/>
              <w:rPr>
                <w:rFonts w:ascii="Arial" w:hAnsi="Arial" w:cs="Arial"/>
                <w:b/>
                <w:bCs/>
                <w:color w:val="000000" w:themeColor="text1"/>
                <w:sz w:val="14"/>
                <w:szCs w:val="14"/>
              </w:rPr>
            </w:pPr>
            <w:r w:rsidRPr="00782496">
              <w:rPr>
                <w:rFonts w:ascii="Arial" w:hAnsi="Arial" w:cs="Arial"/>
                <w:b/>
                <w:bCs/>
                <w:color w:val="000000" w:themeColor="text1"/>
                <w:sz w:val="14"/>
                <w:szCs w:val="14"/>
              </w:rPr>
              <w:t>14 DAS</w:t>
            </w:r>
          </w:p>
        </w:tc>
        <w:tc>
          <w:tcPr>
            <w:tcW w:w="530" w:type="pct"/>
            <w:gridSpan w:val="2"/>
            <w:tcBorders>
              <w:top w:val="single" w:sz="4" w:space="0" w:color="auto"/>
              <w:left w:val="nil"/>
              <w:bottom w:val="single" w:sz="4" w:space="0" w:color="auto"/>
              <w:right w:val="nil"/>
            </w:tcBorders>
            <w:noWrap/>
            <w:vAlign w:val="center"/>
            <w:hideMark/>
          </w:tcPr>
          <w:p w14:paraId="694EF169" w14:textId="77777777" w:rsidR="007C6DB0" w:rsidRPr="00782496" w:rsidRDefault="007C6DB0" w:rsidP="00380CE0">
            <w:pPr>
              <w:jc w:val="center"/>
              <w:rPr>
                <w:rFonts w:ascii="Arial" w:hAnsi="Arial" w:cs="Arial"/>
                <w:b/>
                <w:bCs/>
                <w:color w:val="000000" w:themeColor="text1"/>
                <w:sz w:val="14"/>
                <w:szCs w:val="14"/>
              </w:rPr>
            </w:pPr>
            <w:r w:rsidRPr="00782496">
              <w:rPr>
                <w:rFonts w:ascii="Arial" w:hAnsi="Arial" w:cs="Arial"/>
                <w:b/>
                <w:bCs/>
                <w:color w:val="000000" w:themeColor="text1"/>
                <w:sz w:val="14"/>
                <w:szCs w:val="14"/>
              </w:rPr>
              <w:t>21 DAS</w:t>
            </w:r>
          </w:p>
        </w:tc>
        <w:tc>
          <w:tcPr>
            <w:tcW w:w="530" w:type="pct"/>
            <w:gridSpan w:val="2"/>
            <w:tcBorders>
              <w:top w:val="single" w:sz="4" w:space="0" w:color="auto"/>
              <w:left w:val="nil"/>
              <w:bottom w:val="single" w:sz="4" w:space="0" w:color="auto"/>
              <w:right w:val="nil"/>
            </w:tcBorders>
            <w:noWrap/>
            <w:vAlign w:val="center"/>
            <w:hideMark/>
          </w:tcPr>
          <w:p w14:paraId="149026F5" w14:textId="77777777" w:rsidR="007C6DB0" w:rsidRPr="00782496" w:rsidRDefault="007C6DB0" w:rsidP="00380CE0">
            <w:pPr>
              <w:jc w:val="center"/>
              <w:rPr>
                <w:rFonts w:ascii="Arial" w:hAnsi="Arial" w:cs="Arial"/>
                <w:b/>
                <w:bCs/>
                <w:color w:val="000000" w:themeColor="text1"/>
                <w:sz w:val="14"/>
                <w:szCs w:val="14"/>
              </w:rPr>
            </w:pPr>
            <w:r w:rsidRPr="00782496">
              <w:rPr>
                <w:rFonts w:ascii="Arial" w:hAnsi="Arial" w:cs="Arial"/>
                <w:b/>
                <w:bCs/>
                <w:color w:val="000000" w:themeColor="text1"/>
                <w:sz w:val="14"/>
                <w:szCs w:val="14"/>
              </w:rPr>
              <w:t>28 DAS</w:t>
            </w:r>
          </w:p>
        </w:tc>
        <w:tc>
          <w:tcPr>
            <w:tcW w:w="530" w:type="pct"/>
            <w:gridSpan w:val="2"/>
            <w:tcBorders>
              <w:top w:val="single" w:sz="4" w:space="0" w:color="auto"/>
              <w:left w:val="nil"/>
              <w:bottom w:val="single" w:sz="4" w:space="0" w:color="auto"/>
              <w:right w:val="nil"/>
            </w:tcBorders>
            <w:noWrap/>
            <w:vAlign w:val="center"/>
            <w:hideMark/>
          </w:tcPr>
          <w:p w14:paraId="7933485C" w14:textId="77777777" w:rsidR="007C6DB0" w:rsidRPr="00782496" w:rsidRDefault="007C6DB0" w:rsidP="00380CE0">
            <w:pPr>
              <w:jc w:val="center"/>
              <w:rPr>
                <w:rFonts w:ascii="Arial" w:hAnsi="Arial" w:cs="Arial"/>
                <w:b/>
                <w:bCs/>
                <w:color w:val="000000" w:themeColor="text1"/>
                <w:sz w:val="14"/>
                <w:szCs w:val="14"/>
              </w:rPr>
            </w:pPr>
            <w:r w:rsidRPr="00782496">
              <w:rPr>
                <w:rFonts w:ascii="Arial" w:hAnsi="Arial" w:cs="Arial"/>
                <w:b/>
                <w:bCs/>
                <w:color w:val="000000" w:themeColor="text1"/>
                <w:sz w:val="14"/>
                <w:szCs w:val="14"/>
              </w:rPr>
              <w:t>35 DAS</w:t>
            </w:r>
          </w:p>
        </w:tc>
        <w:tc>
          <w:tcPr>
            <w:tcW w:w="530" w:type="pct"/>
            <w:gridSpan w:val="2"/>
            <w:tcBorders>
              <w:top w:val="single" w:sz="4" w:space="0" w:color="auto"/>
              <w:left w:val="nil"/>
              <w:bottom w:val="single" w:sz="4" w:space="0" w:color="auto"/>
              <w:right w:val="nil"/>
            </w:tcBorders>
            <w:noWrap/>
            <w:vAlign w:val="center"/>
            <w:hideMark/>
          </w:tcPr>
          <w:p w14:paraId="3F6BFCF0" w14:textId="77777777" w:rsidR="007C6DB0" w:rsidRPr="00782496" w:rsidRDefault="007C6DB0" w:rsidP="00380CE0">
            <w:pPr>
              <w:jc w:val="center"/>
              <w:rPr>
                <w:rFonts w:ascii="Arial" w:hAnsi="Arial" w:cs="Arial"/>
                <w:b/>
                <w:bCs/>
                <w:color w:val="000000" w:themeColor="text1"/>
                <w:sz w:val="14"/>
                <w:szCs w:val="14"/>
              </w:rPr>
            </w:pPr>
            <w:r w:rsidRPr="00782496">
              <w:rPr>
                <w:rFonts w:ascii="Arial" w:hAnsi="Arial" w:cs="Arial"/>
                <w:b/>
                <w:bCs/>
                <w:color w:val="000000" w:themeColor="text1"/>
                <w:sz w:val="14"/>
                <w:szCs w:val="14"/>
              </w:rPr>
              <w:t>42 DAS</w:t>
            </w:r>
          </w:p>
        </w:tc>
        <w:tc>
          <w:tcPr>
            <w:tcW w:w="579" w:type="pct"/>
            <w:gridSpan w:val="2"/>
            <w:tcBorders>
              <w:top w:val="single" w:sz="4" w:space="0" w:color="auto"/>
              <w:left w:val="nil"/>
              <w:bottom w:val="single" w:sz="4" w:space="0" w:color="auto"/>
              <w:right w:val="nil"/>
            </w:tcBorders>
            <w:noWrap/>
            <w:vAlign w:val="center"/>
            <w:hideMark/>
          </w:tcPr>
          <w:p w14:paraId="2CD3656C" w14:textId="77777777" w:rsidR="007C6DB0" w:rsidRPr="00782496" w:rsidRDefault="007C6DB0" w:rsidP="00380CE0">
            <w:pPr>
              <w:jc w:val="center"/>
              <w:rPr>
                <w:rFonts w:ascii="Arial" w:hAnsi="Arial" w:cs="Arial"/>
                <w:b/>
                <w:bCs/>
                <w:color w:val="000000" w:themeColor="text1"/>
                <w:sz w:val="14"/>
                <w:szCs w:val="14"/>
              </w:rPr>
            </w:pPr>
            <w:r w:rsidRPr="00782496">
              <w:rPr>
                <w:rFonts w:ascii="Arial" w:hAnsi="Arial" w:cs="Arial"/>
                <w:b/>
                <w:bCs/>
                <w:color w:val="000000" w:themeColor="text1"/>
                <w:sz w:val="14"/>
                <w:szCs w:val="14"/>
              </w:rPr>
              <w:t>49 DAS</w:t>
            </w:r>
          </w:p>
        </w:tc>
        <w:tc>
          <w:tcPr>
            <w:tcW w:w="579" w:type="pct"/>
            <w:gridSpan w:val="2"/>
            <w:tcBorders>
              <w:top w:val="single" w:sz="4" w:space="0" w:color="auto"/>
              <w:left w:val="nil"/>
              <w:bottom w:val="single" w:sz="4" w:space="0" w:color="auto"/>
              <w:right w:val="nil"/>
            </w:tcBorders>
            <w:noWrap/>
            <w:vAlign w:val="center"/>
            <w:hideMark/>
          </w:tcPr>
          <w:p w14:paraId="44E698BB" w14:textId="77777777" w:rsidR="007C6DB0" w:rsidRPr="00782496" w:rsidRDefault="007C6DB0" w:rsidP="00380CE0">
            <w:pPr>
              <w:jc w:val="center"/>
              <w:rPr>
                <w:rFonts w:ascii="Arial" w:hAnsi="Arial" w:cs="Arial"/>
                <w:b/>
                <w:bCs/>
                <w:color w:val="000000" w:themeColor="text1"/>
                <w:sz w:val="14"/>
                <w:szCs w:val="14"/>
              </w:rPr>
            </w:pPr>
            <w:r w:rsidRPr="00782496">
              <w:rPr>
                <w:rFonts w:ascii="Arial" w:hAnsi="Arial" w:cs="Arial"/>
                <w:b/>
                <w:bCs/>
                <w:color w:val="000000" w:themeColor="text1"/>
                <w:sz w:val="14"/>
                <w:szCs w:val="14"/>
              </w:rPr>
              <w:t>56 DAS</w:t>
            </w:r>
          </w:p>
        </w:tc>
        <w:tc>
          <w:tcPr>
            <w:tcW w:w="441" w:type="pct"/>
            <w:tcBorders>
              <w:top w:val="nil"/>
              <w:left w:val="nil"/>
              <w:bottom w:val="single" w:sz="4" w:space="0" w:color="auto"/>
              <w:right w:val="nil"/>
            </w:tcBorders>
            <w:noWrap/>
            <w:vAlign w:val="center"/>
            <w:hideMark/>
          </w:tcPr>
          <w:p w14:paraId="5D7E161F" w14:textId="16D4159D" w:rsidR="007C6DB0" w:rsidRPr="00782496" w:rsidRDefault="007C6DB0" w:rsidP="00380CE0">
            <w:pPr>
              <w:jc w:val="center"/>
              <w:rPr>
                <w:rFonts w:ascii="Arial" w:hAnsi="Arial" w:cs="Arial"/>
                <w:b/>
                <w:bCs/>
                <w:color w:val="000000" w:themeColor="text1"/>
                <w:sz w:val="14"/>
                <w:szCs w:val="14"/>
              </w:rPr>
            </w:pPr>
            <w:r w:rsidRPr="00782496">
              <w:rPr>
                <w:rFonts w:ascii="Arial" w:hAnsi="Arial" w:cs="Arial"/>
                <w:b/>
                <w:bCs/>
                <w:color w:val="000000" w:themeColor="text1"/>
                <w:sz w:val="14"/>
                <w:szCs w:val="14"/>
              </w:rPr>
              <w:t>63 DAS</w:t>
            </w:r>
          </w:p>
        </w:tc>
        <w:tc>
          <w:tcPr>
            <w:tcW w:w="142" w:type="pct"/>
            <w:tcBorders>
              <w:top w:val="nil"/>
              <w:left w:val="nil"/>
              <w:bottom w:val="single" w:sz="4" w:space="0" w:color="auto"/>
              <w:right w:val="nil"/>
            </w:tcBorders>
          </w:tcPr>
          <w:p w14:paraId="5443E9DD" w14:textId="77777777" w:rsidR="007C6DB0" w:rsidRPr="00782496" w:rsidRDefault="007C6DB0" w:rsidP="00380CE0">
            <w:pPr>
              <w:jc w:val="center"/>
              <w:rPr>
                <w:rFonts w:ascii="Arial" w:hAnsi="Arial" w:cs="Arial"/>
                <w:b/>
                <w:bCs/>
                <w:color w:val="000000" w:themeColor="text1"/>
                <w:sz w:val="14"/>
                <w:szCs w:val="14"/>
              </w:rPr>
            </w:pPr>
          </w:p>
        </w:tc>
      </w:tr>
      <w:tr w:rsidR="00782496" w:rsidRPr="00380CE0" w14:paraId="0CAB2F03" w14:textId="4C6FAA3C" w:rsidTr="00782496">
        <w:trPr>
          <w:trHeight w:val="288"/>
          <w:jc w:val="center"/>
        </w:trPr>
        <w:tc>
          <w:tcPr>
            <w:tcW w:w="609" w:type="pct"/>
            <w:tcBorders>
              <w:top w:val="nil"/>
              <w:left w:val="nil"/>
              <w:bottom w:val="nil"/>
              <w:right w:val="nil"/>
            </w:tcBorders>
            <w:noWrap/>
            <w:vAlign w:val="center"/>
            <w:hideMark/>
          </w:tcPr>
          <w:p w14:paraId="760F4BBD" w14:textId="7F854FF4"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T</w:t>
            </w:r>
            <w:r w:rsidRPr="00782496">
              <w:rPr>
                <w:rFonts w:ascii="Arial" w:hAnsi="Arial" w:cs="Arial"/>
                <w:color w:val="000000" w:themeColor="text1"/>
                <w:sz w:val="14"/>
                <w:szCs w:val="14"/>
                <w:vertAlign w:val="subscript"/>
              </w:rPr>
              <w:t>1</w:t>
            </w:r>
          </w:p>
        </w:tc>
        <w:tc>
          <w:tcPr>
            <w:tcW w:w="352" w:type="pct"/>
            <w:tcBorders>
              <w:top w:val="nil"/>
              <w:left w:val="nil"/>
              <w:bottom w:val="nil"/>
              <w:right w:val="nil"/>
            </w:tcBorders>
            <w:noWrap/>
            <w:vAlign w:val="center"/>
            <w:hideMark/>
          </w:tcPr>
          <w:p w14:paraId="43D97E02"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9.73</w:t>
            </w:r>
          </w:p>
        </w:tc>
        <w:tc>
          <w:tcPr>
            <w:tcW w:w="178" w:type="pct"/>
            <w:tcBorders>
              <w:top w:val="nil"/>
              <w:left w:val="nil"/>
              <w:bottom w:val="nil"/>
              <w:right w:val="nil"/>
            </w:tcBorders>
            <w:noWrap/>
            <w:vAlign w:val="center"/>
            <w:hideMark/>
          </w:tcPr>
          <w:p w14:paraId="09C3DF62"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e</w:t>
            </w:r>
          </w:p>
        </w:tc>
        <w:tc>
          <w:tcPr>
            <w:tcW w:w="352" w:type="pct"/>
            <w:tcBorders>
              <w:top w:val="nil"/>
              <w:left w:val="nil"/>
              <w:bottom w:val="nil"/>
              <w:right w:val="nil"/>
            </w:tcBorders>
            <w:noWrap/>
            <w:vAlign w:val="center"/>
            <w:hideMark/>
          </w:tcPr>
          <w:p w14:paraId="3A5D5F1C"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15.30</w:t>
            </w:r>
          </w:p>
        </w:tc>
        <w:tc>
          <w:tcPr>
            <w:tcW w:w="178" w:type="pct"/>
            <w:tcBorders>
              <w:top w:val="nil"/>
              <w:left w:val="nil"/>
              <w:bottom w:val="nil"/>
              <w:right w:val="nil"/>
            </w:tcBorders>
            <w:noWrap/>
            <w:vAlign w:val="center"/>
            <w:hideMark/>
          </w:tcPr>
          <w:p w14:paraId="2B168AF7"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d</w:t>
            </w:r>
          </w:p>
        </w:tc>
        <w:tc>
          <w:tcPr>
            <w:tcW w:w="352" w:type="pct"/>
            <w:tcBorders>
              <w:top w:val="nil"/>
              <w:left w:val="nil"/>
              <w:bottom w:val="nil"/>
              <w:right w:val="nil"/>
            </w:tcBorders>
            <w:noWrap/>
            <w:vAlign w:val="center"/>
            <w:hideMark/>
          </w:tcPr>
          <w:p w14:paraId="1ADDFEBF"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20.30</w:t>
            </w:r>
          </w:p>
        </w:tc>
        <w:tc>
          <w:tcPr>
            <w:tcW w:w="178" w:type="pct"/>
            <w:tcBorders>
              <w:top w:val="nil"/>
              <w:left w:val="nil"/>
              <w:bottom w:val="nil"/>
              <w:right w:val="nil"/>
            </w:tcBorders>
            <w:noWrap/>
            <w:vAlign w:val="center"/>
            <w:hideMark/>
          </w:tcPr>
          <w:p w14:paraId="5182B722"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f</w:t>
            </w:r>
          </w:p>
        </w:tc>
        <w:tc>
          <w:tcPr>
            <w:tcW w:w="352" w:type="pct"/>
            <w:tcBorders>
              <w:top w:val="nil"/>
              <w:left w:val="nil"/>
              <w:bottom w:val="nil"/>
              <w:right w:val="nil"/>
            </w:tcBorders>
            <w:noWrap/>
            <w:vAlign w:val="center"/>
            <w:hideMark/>
          </w:tcPr>
          <w:p w14:paraId="1EB873B6"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25.40</w:t>
            </w:r>
          </w:p>
        </w:tc>
        <w:tc>
          <w:tcPr>
            <w:tcW w:w="178" w:type="pct"/>
            <w:tcBorders>
              <w:top w:val="nil"/>
              <w:left w:val="nil"/>
              <w:bottom w:val="nil"/>
              <w:right w:val="nil"/>
            </w:tcBorders>
            <w:noWrap/>
            <w:vAlign w:val="center"/>
            <w:hideMark/>
          </w:tcPr>
          <w:p w14:paraId="253BD739"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f</w:t>
            </w:r>
          </w:p>
        </w:tc>
        <w:tc>
          <w:tcPr>
            <w:tcW w:w="352" w:type="pct"/>
            <w:tcBorders>
              <w:top w:val="nil"/>
              <w:left w:val="nil"/>
              <w:bottom w:val="nil"/>
              <w:right w:val="nil"/>
            </w:tcBorders>
            <w:noWrap/>
            <w:vAlign w:val="center"/>
            <w:hideMark/>
          </w:tcPr>
          <w:p w14:paraId="03BC71D7"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38.60</w:t>
            </w:r>
          </w:p>
        </w:tc>
        <w:tc>
          <w:tcPr>
            <w:tcW w:w="178" w:type="pct"/>
            <w:tcBorders>
              <w:top w:val="nil"/>
              <w:left w:val="nil"/>
              <w:bottom w:val="nil"/>
              <w:right w:val="nil"/>
            </w:tcBorders>
            <w:noWrap/>
            <w:vAlign w:val="center"/>
            <w:hideMark/>
          </w:tcPr>
          <w:p w14:paraId="6F67E732"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f</w:t>
            </w:r>
          </w:p>
        </w:tc>
        <w:tc>
          <w:tcPr>
            <w:tcW w:w="401" w:type="pct"/>
            <w:tcBorders>
              <w:top w:val="nil"/>
              <w:left w:val="nil"/>
              <w:bottom w:val="nil"/>
              <w:right w:val="nil"/>
            </w:tcBorders>
            <w:noWrap/>
            <w:vAlign w:val="center"/>
            <w:hideMark/>
          </w:tcPr>
          <w:p w14:paraId="001D5BCF"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53.60</w:t>
            </w:r>
          </w:p>
        </w:tc>
        <w:tc>
          <w:tcPr>
            <w:tcW w:w="178" w:type="pct"/>
            <w:tcBorders>
              <w:top w:val="nil"/>
              <w:left w:val="nil"/>
              <w:bottom w:val="nil"/>
              <w:right w:val="nil"/>
            </w:tcBorders>
            <w:noWrap/>
            <w:vAlign w:val="center"/>
            <w:hideMark/>
          </w:tcPr>
          <w:p w14:paraId="0157C462"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f</w:t>
            </w:r>
          </w:p>
        </w:tc>
        <w:tc>
          <w:tcPr>
            <w:tcW w:w="401" w:type="pct"/>
            <w:tcBorders>
              <w:top w:val="nil"/>
              <w:left w:val="nil"/>
              <w:bottom w:val="nil"/>
              <w:right w:val="nil"/>
            </w:tcBorders>
            <w:noWrap/>
            <w:vAlign w:val="center"/>
            <w:hideMark/>
          </w:tcPr>
          <w:p w14:paraId="1F158F37"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60.60</w:t>
            </w:r>
          </w:p>
        </w:tc>
        <w:tc>
          <w:tcPr>
            <w:tcW w:w="178" w:type="pct"/>
            <w:tcBorders>
              <w:top w:val="nil"/>
              <w:left w:val="nil"/>
              <w:bottom w:val="nil"/>
              <w:right w:val="nil"/>
            </w:tcBorders>
            <w:noWrap/>
            <w:vAlign w:val="center"/>
            <w:hideMark/>
          </w:tcPr>
          <w:p w14:paraId="1923E7E5"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e</w:t>
            </w:r>
          </w:p>
        </w:tc>
        <w:tc>
          <w:tcPr>
            <w:tcW w:w="441" w:type="pct"/>
            <w:tcBorders>
              <w:top w:val="nil"/>
              <w:left w:val="nil"/>
              <w:bottom w:val="nil"/>
              <w:right w:val="nil"/>
            </w:tcBorders>
            <w:noWrap/>
            <w:vAlign w:val="center"/>
            <w:hideMark/>
          </w:tcPr>
          <w:p w14:paraId="1183E9C0"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68.60</w:t>
            </w:r>
          </w:p>
        </w:tc>
        <w:tc>
          <w:tcPr>
            <w:tcW w:w="142" w:type="pct"/>
            <w:tcBorders>
              <w:top w:val="nil"/>
              <w:left w:val="nil"/>
              <w:bottom w:val="nil"/>
              <w:right w:val="nil"/>
            </w:tcBorders>
            <w:vAlign w:val="center"/>
          </w:tcPr>
          <w:p w14:paraId="72E2AFA9" w14:textId="2DF9F905"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f</w:t>
            </w:r>
          </w:p>
        </w:tc>
      </w:tr>
      <w:tr w:rsidR="00782496" w:rsidRPr="00380CE0" w14:paraId="606EDB56" w14:textId="7D79EDDD" w:rsidTr="00782496">
        <w:trPr>
          <w:trHeight w:val="288"/>
          <w:jc w:val="center"/>
        </w:trPr>
        <w:tc>
          <w:tcPr>
            <w:tcW w:w="609" w:type="pct"/>
            <w:tcBorders>
              <w:top w:val="nil"/>
              <w:left w:val="nil"/>
              <w:bottom w:val="nil"/>
              <w:right w:val="nil"/>
            </w:tcBorders>
            <w:noWrap/>
            <w:vAlign w:val="center"/>
            <w:hideMark/>
          </w:tcPr>
          <w:p w14:paraId="1E374BC7" w14:textId="5067AB6D"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T</w:t>
            </w:r>
            <w:r w:rsidRPr="00782496">
              <w:rPr>
                <w:rFonts w:ascii="Arial" w:hAnsi="Arial" w:cs="Arial"/>
                <w:color w:val="000000" w:themeColor="text1"/>
                <w:sz w:val="14"/>
                <w:szCs w:val="14"/>
                <w:vertAlign w:val="subscript"/>
              </w:rPr>
              <w:t>2</w:t>
            </w:r>
          </w:p>
        </w:tc>
        <w:tc>
          <w:tcPr>
            <w:tcW w:w="352" w:type="pct"/>
            <w:tcBorders>
              <w:top w:val="nil"/>
              <w:left w:val="nil"/>
              <w:bottom w:val="nil"/>
              <w:right w:val="nil"/>
            </w:tcBorders>
            <w:noWrap/>
            <w:vAlign w:val="center"/>
            <w:hideMark/>
          </w:tcPr>
          <w:p w14:paraId="4A62C1EC"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10.90</w:t>
            </w:r>
          </w:p>
        </w:tc>
        <w:tc>
          <w:tcPr>
            <w:tcW w:w="178" w:type="pct"/>
            <w:tcBorders>
              <w:top w:val="nil"/>
              <w:left w:val="nil"/>
              <w:bottom w:val="nil"/>
              <w:right w:val="nil"/>
            </w:tcBorders>
            <w:noWrap/>
            <w:vAlign w:val="center"/>
            <w:hideMark/>
          </w:tcPr>
          <w:p w14:paraId="49B65027"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d</w:t>
            </w:r>
          </w:p>
        </w:tc>
        <w:tc>
          <w:tcPr>
            <w:tcW w:w="352" w:type="pct"/>
            <w:tcBorders>
              <w:top w:val="nil"/>
              <w:left w:val="nil"/>
              <w:bottom w:val="nil"/>
              <w:right w:val="nil"/>
            </w:tcBorders>
            <w:noWrap/>
            <w:vAlign w:val="center"/>
            <w:hideMark/>
          </w:tcPr>
          <w:p w14:paraId="722DC4B4"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16.50</w:t>
            </w:r>
          </w:p>
        </w:tc>
        <w:tc>
          <w:tcPr>
            <w:tcW w:w="178" w:type="pct"/>
            <w:tcBorders>
              <w:top w:val="nil"/>
              <w:left w:val="nil"/>
              <w:bottom w:val="nil"/>
              <w:right w:val="nil"/>
            </w:tcBorders>
            <w:noWrap/>
            <w:vAlign w:val="center"/>
            <w:hideMark/>
          </w:tcPr>
          <w:p w14:paraId="60E013BE"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d</w:t>
            </w:r>
          </w:p>
        </w:tc>
        <w:tc>
          <w:tcPr>
            <w:tcW w:w="352" w:type="pct"/>
            <w:tcBorders>
              <w:top w:val="nil"/>
              <w:left w:val="nil"/>
              <w:bottom w:val="nil"/>
              <w:right w:val="nil"/>
            </w:tcBorders>
            <w:noWrap/>
            <w:vAlign w:val="center"/>
            <w:hideMark/>
          </w:tcPr>
          <w:p w14:paraId="0F623EA9"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28.20</w:t>
            </w:r>
          </w:p>
        </w:tc>
        <w:tc>
          <w:tcPr>
            <w:tcW w:w="178" w:type="pct"/>
            <w:tcBorders>
              <w:top w:val="nil"/>
              <w:left w:val="nil"/>
              <w:bottom w:val="nil"/>
              <w:right w:val="nil"/>
            </w:tcBorders>
            <w:noWrap/>
            <w:vAlign w:val="center"/>
            <w:hideMark/>
          </w:tcPr>
          <w:p w14:paraId="470A9CAE"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e</w:t>
            </w:r>
          </w:p>
        </w:tc>
        <w:tc>
          <w:tcPr>
            <w:tcW w:w="352" w:type="pct"/>
            <w:tcBorders>
              <w:top w:val="nil"/>
              <w:left w:val="nil"/>
              <w:bottom w:val="nil"/>
              <w:right w:val="nil"/>
            </w:tcBorders>
            <w:noWrap/>
            <w:vAlign w:val="center"/>
            <w:hideMark/>
          </w:tcPr>
          <w:p w14:paraId="7D299D64"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45.28</w:t>
            </w:r>
          </w:p>
        </w:tc>
        <w:tc>
          <w:tcPr>
            <w:tcW w:w="178" w:type="pct"/>
            <w:tcBorders>
              <w:top w:val="nil"/>
              <w:left w:val="nil"/>
              <w:bottom w:val="nil"/>
              <w:right w:val="nil"/>
            </w:tcBorders>
            <w:noWrap/>
            <w:vAlign w:val="center"/>
            <w:hideMark/>
          </w:tcPr>
          <w:p w14:paraId="408811E5"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e</w:t>
            </w:r>
          </w:p>
        </w:tc>
        <w:tc>
          <w:tcPr>
            <w:tcW w:w="352" w:type="pct"/>
            <w:tcBorders>
              <w:top w:val="nil"/>
              <w:left w:val="nil"/>
              <w:bottom w:val="nil"/>
              <w:right w:val="nil"/>
            </w:tcBorders>
            <w:noWrap/>
            <w:vAlign w:val="center"/>
            <w:hideMark/>
          </w:tcPr>
          <w:p w14:paraId="3F234EBD"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52.90</w:t>
            </w:r>
          </w:p>
        </w:tc>
        <w:tc>
          <w:tcPr>
            <w:tcW w:w="178" w:type="pct"/>
            <w:tcBorders>
              <w:top w:val="nil"/>
              <w:left w:val="nil"/>
              <w:bottom w:val="nil"/>
              <w:right w:val="nil"/>
            </w:tcBorders>
            <w:noWrap/>
            <w:vAlign w:val="center"/>
            <w:hideMark/>
          </w:tcPr>
          <w:p w14:paraId="48908C9D"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e</w:t>
            </w:r>
          </w:p>
        </w:tc>
        <w:tc>
          <w:tcPr>
            <w:tcW w:w="401" w:type="pct"/>
            <w:tcBorders>
              <w:top w:val="nil"/>
              <w:left w:val="nil"/>
              <w:bottom w:val="nil"/>
              <w:right w:val="nil"/>
            </w:tcBorders>
            <w:noWrap/>
            <w:vAlign w:val="center"/>
            <w:hideMark/>
          </w:tcPr>
          <w:p w14:paraId="6C6F48B6"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67.90</w:t>
            </w:r>
          </w:p>
        </w:tc>
        <w:tc>
          <w:tcPr>
            <w:tcW w:w="178" w:type="pct"/>
            <w:tcBorders>
              <w:top w:val="nil"/>
              <w:left w:val="nil"/>
              <w:bottom w:val="nil"/>
              <w:right w:val="nil"/>
            </w:tcBorders>
            <w:noWrap/>
            <w:vAlign w:val="center"/>
            <w:hideMark/>
          </w:tcPr>
          <w:p w14:paraId="04455A9E"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e</w:t>
            </w:r>
          </w:p>
        </w:tc>
        <w:tc>
          <w:tcPr>
            <w:tcW w:w="401" w:type="pct"/>
            <w:tcBorders>
              <w:top w:val="nil"/>
              <w:left w:val="nil"/>
              <w:bottom w:val="nil"/>
              <w:right w:val="nil"/>
            </w:tcBorders>
            <w:noWrap/>
            <w:vAlign w:val="center"/>
            <w:hideMark/>
          </w:tcPr>
          <w:p w14:paraId="73B21379"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79.90</w:t>
            </w:r>
          </w:p>
        </w:tc>
        <w:tc>
          <w:tcPr>
            <w:tcW w:w="178" w:type="pct"/>
            <w:tcBorders>
              <w:top w:val="nil"/>
              <w:left w:val="nil"/>
              <w:bottom w:val="nil"/>
              <w:right w:val="nil"/>
            </w:tcBorders>
            <w:noWrap/>
            <w:vAlign w:val="center"/>
            <w:hideMark/>
          </w:tcPr>
          <w:p w14:paraId="11A1EC04"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d</w:t>
            </w:r>
          </w:p>
        </w:tc>
        <w:tc>
          <w:tcPr>
            <w:tcW w:w="441" w:type="pct"/>
            <w:tcBorders>
              <w:top w:val="nil"/>
              <w:left w:val="nil"/>
              <w:bottom w:val="nil"/>
              <w:right w:val="nil"/>
            </w:tcBorders>
            <w:noWrap/>
            <w:vAlign w:val="center"/>
            <w:hideMark/>
          </w:tcPr>
          <w:p w14:paraId="0BE80E07"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91.40</w:t>
            </w:r>
          </w:p>
        </w:tc>
        <w:tc>
          <w:tcPr>
            <w:tcW w:w="142" w:type="pct"/>
            <w:tcBorders>
              <w:top w:val="nil"/>
              <w:left w:val="nil"/>
              <w:bottom w:val="nil"/>
              <w:right w:val="nil"/>
            </w:tcBorders>
            <w:vAlign w:val="center"/>
          </w:tcPr>
          <w:p w14:paraId="49A720B6" w14:textId="26588BDA"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e</w:t>
            </w:r>
          </w:p>
        </w:tc>
      </w:tr>
      <w:tr w:rsidR="00782496" w:rsidRPr="00380CE0" w14:paraId="4199F23A" w14:textId="2B9EAF79" w:rsidTr="00782496">
        <w:trPr>
          <w:trHeight w:val="288"/>
          <w:jc w:val="center"/>
        </w:trPr>
        <w:tc>
          <w:tcPr>
            <w:tcW w:w="609" w:type="pct"/>
            <w:tcBorders>
              <w:top w:val="nil"/>
              <w:left w:val="nil"/>
              <w:bottom w:val="nil"/>
              <w:right w:val="nil"/>
            </w:tcBorders>
            <w:noWrap/>
            <w:vAlign w:val="center"/>
            <w:hideMark/>
          </w:tcPr>
          <w:p w14:paraId="17E1664F" w14:textId="0AC2FFF0"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T</w:t>
            </w:r>
            <w:r w:rsidRPr="00782496">
              <w:rPr>
                <w:rFonts w:ascii="Arial" w:hAnsi="Arial" w:cs="Arial"/>
                <w:color w:val="000000" w:themeColor="text1"/>
                <w:sz w:val="14"/>
                <w:szCs w:val="14"/>
                <w:vertAlign w:val="subscript"/>
              </w:rPr>
              <w:t>3</w:t>
            </w:r>
          </w:p>
        </w:tc>
        <w:tc>
          <w:tcPr>
            <w:tcW w:w="352" w:type="pct"/>
            <w:tcBorders>
              <w:top w:val="nil"/>
              <w:left w:val="nil"/>
              <w:bottom w:val="nil"/>
              <w:right w:val="nil"/>
            </w:tcBorders>
            <w:noWrap/>
            <w:vAlign w:val="center"/>
            <w:hideMark/>
          </w:tcPr>
          <w:p w14:paraId="3D1EA60A"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17.90</w:t>
            </w:r>
          </w:p>
        </w:tc>
        <w:tc>
          <w:tcPr>
            <w:tcW w:w="178" w:type="pct"/>
            <w:tcBorders>
              <w:top w:val="nil"/>
              <w:left w:val="nil"/>
              <w:bottom w:val="nil"/>
              <w:right w:val="nil"/>
            </w:tcBorders>
            <w:noWrap/>
            <w:vAlign w:val="center"/>
            <w:hideMark/>
          </w:tcPr>
          <w:p w14:paraId="5BD49018"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a</w:t>
            </w:r>
          </w:p>
        </w:tc>
        <w:tc>
          <w:tcPr>
            <w:tcW w:w="352" w:type="pct"/>
            <w:tcBorders>
              <w:top w:val="nil"/>
              <w:left w:val="nil"/>
              <w:bottom w:val="nil"/>
              <w:right w:val="nil"/>
            </w:tcBorders>
            <w:noWrap/>
            <w:vAlign w:val="center"/>
            <w:hideMark/>
          </w:tcPr>
          <w:p w14:paraId="04A8C6FC"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26.30</w:t>
            </w:r>
          </w:p>
        </w:tc>
        <w:tc>
          <w:tcPr>
            <w:tcW w:w="178" w:type="pct"/>
            <w:tcBorders>
              <w:top w:val="nil"/>
              <w:left w:val="nil"/>
              <w:bottom w:val="nil"/>
              <w:right w:val="nil"/>
            </w:tcBorders>
            <w:noWrap/>
            <w:vAlign w:val="center"/>
            <w:hideMark/>
          </w:tcPr>
          <w:p w14:paraId="59E651FD"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b</w:t>
            </w:r>
          </w:p>
        </w:tc>
        <w:tc>
          <w:tcPr>
            <w:tcW w:w="352" w:type="pct"/>
            <w:tcBorders>
              <w:top w:val="nil"/>
              <w:left w:val="nil"/>
              <w:bottom w:val="nil"/>
              <w:right w:val="nil"/>
            </w:tcBorders>
            <w:noWrap/>
            <w:vAlign w:val="center"/>
            <w:hideMark/>
          </w:tcPr>
          <w:p w14:paraId="73E449B3"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39.40</w:t>
            </w:r>
          </w:p>
        </w:tc>
        <w:tc>
          <w:tcPr>
            <w:tcW w:w="178" w:type="pct"/>
            <w:tcBorders>
              <w:top w:val="nil"/>
              <w:left w:val="nil"/>
              <w:bottom w:val="nil"/>
              <w:right w:val="nil"/>
            </w:tcBorders>
            <w:noWrap/>
            <w:vAlign w:val="center"/>
            <w:hideMark/>
          </w:tcPr>
          <w:p w14:paraId="17EC3C5C"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b</w:t>
            </w:r>
          </w:p>
        </w:tc>
        <w:tc>
          <w:tcPr>
            <w:tcW w:w="352" w:type="pct"/>
            <w:tcBorders>
              <w:top w:val="nil"/>
              <w:left w:val="nil"/>
              <w:bottom w:val="nil"/>
              <w:right w:val="nil"/>
            </w:tcBorders>
            <w:noWrap/>
            <w:vAlign w:val="center"/>
            <w:hideMark/>
          </w:tcPr>
          <w:p w14:paraId="5CD4514A"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55.70</w:t>
            </w:r>
          </w:p>
        </w:tc>
        <w:tc>
          <w:tcPr>
            <w:tcW w:w="178" w:type="pct"/>
            <w:tcBorders>
              <w:top w:val="nil"/>
              <w:left w:val="nil"/>
              <w:bottom w:val="nil"/>
              <w:right w:val="nil"/>
            </w:tcBorders>
            <w:noWrap/>
            <w:vAlign w:val="center"/>
            <w:hideMark/>
          </w:tcPr>
          <w:p w14:paraId="583F62BE"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b</w:t>
            </w:r>
          </w:p>
        </w:tc>
        <w:tc>
          <w:tcPr>
            <w:tcW w:w="352" w:type="pct"/>
            <w:tcBorders>
              <w:top w:val="nil"/>
              <w:left w:val="nil"/>
              <w:bottom w:val="nil"/>
              <w:right w:val="nil"/>
            </w:tcBorders>
            <w:noWrap/>
            <w:vAlign w:val="center"/>
            <w:hideMark/>
          </w:tcPr>
          <w:p w14:paraId="12BBEB38"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73.20</w:t>
            </w:r>
          </w:p>
        </w:tc>
        <w:tc>
          <w:tcPr>
            <w:tcW w:w="178" w:type="pct"/>
            <w:tcBorders>
              <w:top w:val="nil"/>
              <w:left w:val="nil"/>
              <w:bottom w:val="nil"/>
              <w:right w:val="nil"/>
            </w:tcBorders>
            <w:noWrap/>
            <w:vAlign w:val="center"/>
            <w:hideMark/>
          </w:tcPr>
          <w:p w14:paraId="4E3B6ECD"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b</w:t>
            </w:r>
          </w:p>
        </w:tc>
        <w:tc>
          <w:tcPr>
            <w:tcW w:w="401" w:type="pct"/>
            <w:tcBorders>
              <w:top w:val="nil"/>
              <w:left w:val="nil"/>
              <w:bottom w:val="nil"/>
              <w:right w:val="nil"/>
            </w:tcBorders>
            <w:noWrap/>
            <w:vAlign w:val="center"/>
            <w:hideMark/>
          </w:tcPr>
          <w:p w14:paraId="591695CC"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98.30</w:t>
            </w:r>
          </w:p>
        </w:tc>
        <w:tc>
          <w:tcPr>
            <w:tcW w:w="178" w:type="pct"/>
            <w:tcBorders>
              <w:top w:val="nil"/>
              <w:left w:val="nil"/>
              <w:bottom w:val="nil"/>
              <w:right w:val="nil"/>
            </w:tcBorders>
            <w:noWrap/>
            <w:vAlign w:val="center"/>
            <w:hideMark/>
          </w:tcPr>
          <w:p w14:paraId="527D9F74"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b</w:t>
            </w:r>
          </w:p>
        </w:tc>
        <w:tc>
          <w:tcPr>
            <w:tcW w:w="401" w:type="pct"/>
            <w:tcBorders>
              <w:top w:val="nil"/>
              <w:left w:val="nil"/>
              <w:bottom w:val="nil"/>
              <w:right w:val="nil"/>
            </w:tcBorders>
            <w:noWrap/>
            <w:vAlign w:val="center"/>
            <w:hideMark/>
          </w:tcPr>
          <w:p w14:paraId="385B1802"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120.60</w:t>
            </w:r>
          </w:p>
        </w:tc>
        <w:tc>
          <w:tcPr>
            <w:tcW w:w="178" w:type="pct"/>
            <w:tcBorders>
              <w:top w:val="nil"/>
              <w:left w:val="nil"/>
              <w:bottom w:val="nil"/>
              <w:right w:val="nil"/>
            </w:tcBorders>
            <w:noWrap/>
            <w:vAlign w:val="center"/>
            <w:hideMark/>
          </w:tcPr>
          <w:p w14:paraId="19B4C9AA"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b</w:t>
            </w:r>
          </w:p>
        </w:tc>
        <w:tc>
          <w:tcPr>
            <w:tcW w:w="441" w:type="pct"/>
            <w:tcBorders>
              <w:top w:val="nil"/>
              <w:left w:val="nil"/>
              <w:bottom w:val="nil"/>
              <w:right w:val="nil"/>
            </w:tcBorders>
            <w:noWrap/>
            <w:vAlign w:val="center"/>
            <w:hideMark/>
          </w:tcPr>
          <w:p w14:paraId="47A9366E"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145.40</w:t>
            </w:r>
          </w:p>
        </w:tc>
        <w:tc>
          <w:tcPr>
            <w:tcW w:w="142" w:type="pct"/>
            <w:tcBorders>
              <w:top w:val="nil"/>
              <w:left w:val="nil"/>
              <w:bottom w:val="nil"/>
              <w:right w:val="nil"/>
            </w:tcBorders>
            <w:vAlign w:val="center"/>
          </w:tcPr>
          <w:p w14:paraId="01BE8822" w14:textId="51489F40"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b</w:t>
            </w:r>
          </w:p>
        </w:tc>
      </w:tr>
      <w:tr w:rsidR="00782496" w:rsidRPr="00380CE0" w14:paraId="3E2FD83A" w14:textId="0579254C" w:rsidTr="00782496">
        <w:trPr>
          <w:trHeight w:val="288"/>
          <w:jc w:val="center"/>
        </w:trPr>
        <w:tc>
          <w:tcPr>
            <w:tcW w:w="609" w:type="pct"/>
            <w:tcBorders>
              <w:top w:val="nil"/>
              <w:left w:val="nil"/>
              <w:bottom w:val="nil"/>
              <w:right w:val="nil"/>
            </w:tcBorders>
            <w:noWrap/>
            <w:vAlign w:val="center"/>
            <w:hideMark/>
          </w:tcPr>
          <w:p w14:paraId="49EE73DC" w14:textId="616A0D8A"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T</w:t>
            </w:r>
            <w:r w:rsidRPr="00782496">
              <w:rPr>
                <w:rFonts w:ascii="Arial" w:hAnsi="Arial" w:cs="Arial"/>
                <w:color w:val="000000" w:themeColor="text1"/>
                <w:sz w:val="14"/>
                <w:szCs w:val="14"/>
                <w:vertAlign w:val="subscript"/>
              </w:rPr>
              <w:t>4</w:t>
            </w:r>
          </w:p>
        </w:tc>
        <w:tc>
          <w:tcPr>
            <w:tcW w:w="352" w:type="pct"/>
            <w:tcBorders>
              <w:top w:val="nil"/>
              <w:left w:val="nil"/>
              <w:bottom w:val="nil"/>
              <w:right w:val="nil"/>
            </w:tcBorders>
            <w:noWrap/>
            <w:vAlign w:val="center"/>
            <w:hideMark/>
          </w:tcPr>
          <w:p w14:paraId="5BDFA220"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16.10</w:t>
            </w:r>
          </w:p>
        </w:tc>
        <w:tc>
          <w:tcPr>
            <w:tcW w:w="178" w:type="pct"/>
            <w:tcBorders>
              <w:top w:val="nil"/>
              <w:left w:val="nil"/>
              <w:bottom w:val="nil"/>
              <w:right w:val="nil"/>
            </w:tcBorders>
            <w:noWrap/>
            <w:vAlign w:val="center"/>
            <w:hideMark/>
          </w:tcPr>
          <w:p w14:paraId="2D5B9259"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c</w:t>
            </w:r>
          </w:p>
        </w:tc>
        <w:tc>
          <w:tcPr>
            <w:tcW w:w="352" w:type="pct"/>
            <w:tcBorders>
              <w:top w:val="nil"/>
              <w:left w:val="nil"/>
              <w:bottom w:val="nil"/>
              <w:right w:val="nil"/>
            </w:tcBorders>
            <w:noWrap/>
            <w:vAlign w:val="center"/>
            <w:hideMark/>
          </w:tcPr>
          <w:p w14:paraId="2D0A2950"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21.20</w:t>
            </w:r>
          </w:p>
        </w:tc>
        <w:tc>
          <w:tcPr>
            <w:tcW w:w="178" w:type="pct"/>
            <w:tcBorders>
              <w:top w:val="nil"/>
              <w:left w:val="nil"/>
              <w:bottom w:val="nil"/>
              <w:right w:val="nil"/>
            </w:tcBorders>
            <w:noWrap/>
            <w:vAlign w:val="center"/>
            <w:hideMark/>
          </w:tcPr>
          <w:p w14:paraId="79DFB8C0"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c</w:t>
            </w:r>
          </w:p>
        </w:tc>
        <w:tc>
          <w:tcPr>
            <w:tcW w:w="352" w:type="pct"/>
            <w:tcBorders>
              <w:top w:val="nil"/>
              <w:left w:val="nil"/>
              <w:bottom w:val="nil"/>
              <w:right w:val="nil"/>
            </w:tcBorders>
            <w:noWrap/>
            <w:vAlign w:val="center"/>
            <w:hideMark/>
          </w:tcPr>
          <w:p w14:paraId="16BFA406"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34.23</w:t>
            </w:r>
          </w:p>
        </w:tc>
        <w:tc>
          <w:tcPr>
            <w:tcW w:w="178" w:type="pct"/>
            <w:tcBorders>
              <w:top w:val="nil"/>
              <w:left w:val="nil"/>
              <w:bottom w:val="nil"/>
              <w:right w:val="nil"/>
            </w:tcBorders>
            <w:noWrap/>
            <w:vAlign w:val="center"/>
            <w:hideMark/>
          </w:tcPr>
          <w:p w14:paraId="510440D6"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d</w:t>
            </w:r>
          </w:p>
        </w:tc>
        <w:tc>
          <w:tcPr>
            <w:tcW w:w="352" w:type="pct"/>
            <w:tcBorders>
              <w:top w:val="nil"/>
              <w:left w:val="nil"/>
              <w:bottom w:val="nil"/>
              <w:right w:val="nil"/>
            </w:tcBorders>
            <w:noWrap/>
            <w:vAlign w:val="center"/>
            <w:hideMark/>
          </w:tcPr>
          <w:p w14:paraId="2B383699"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49.30</w:t>
            </w:r>
          </w:p>
        </w:tc>
        <w:tc>
          <w:tcPr>
            <w:tcW w:w="178" w:type="pct"/>
            <w:tcBorders>
              <w:top w:val="nil"/>
              <w:left w:val="nil"/>
              <w:bottom w:val="nil"/>
              <w:right w:val="nil"/>
            </w:tcBorders>
            <w:noWrap/>
            <w:vAlign w:val="center"/>
            <w:hideMark/>
          </w:tcPr>
          <w:p w14:paraId="269351CB"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d</w:t>
            </w:r>
          </w:p>
        </w:tc>
        <w:tc>
          <w:tcPr>
            <w:tcW w:w="352" w:type="pct"/>
            <w:tcBorders>
              <w:top w:val="nil"/>
              <w:left w:val="nil"/>
              <w:bottom w:val="nil"/>
              <w:right w:val="nil"/>
            </w:tcBorders>
            <w:noWrap/>
            <w:vAlign w:val="center"/>
            <w:hideMark/>
          </w:tcPr>
          <w:p w14:paraId="7CB593C9"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63.40</w:t>
            </w:r>
          </w:p>
        </w:tc>
        <w:tc>
          <w:tcPr>
            <w:tcW w:w="178" w:type="pct"/>
            <w:tcBorders>
              <w:top w:val="nil"/>
              <w:left w:val="nil"/>
              <w:bottom w:val="nil"/>
              <w:right w:val="nil"/>
            </w:tcBorders>
            <w:noWrap/>
            <w:vAlign w:val="center"/>
            <w:hideMark/>
          </w:tcPr>
          <w:p w14:paraId="5CF38B51"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d</w:t>
            </w:r>
          </w:p>
        </w:tc>
        <w:tc>
          <w:tcPr>
            <w:tcW w:w="401" w:type="pct"/>
            <w:tcBorders>
              <w:top w:val="nil"/>
              <w:left w:val="nil"/>
              <w:bottom w:val="nil"/>
              <w:right w:val="nil"/>
            </w:tcBorders>
            <w:noWrap/>
            <w:vAlign w:val="center"/>
            <w:hideMark/>
          </w:tcPr>
          <w:p w14:paraId="063481AA"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88.50</w:t>
            </w:r>
          </w:p>
        </w:tc>
        <w:tc>
          <w:tcPr>
            <w:tcW w:w="178" w:type="pct"/>
            <w:tcBorders>
              <w:top w:val="nil"/>
              <w:left w:val="nil"/>
              <w:bottom w:val="nil"/>
              <w:right w:val="nil"/>
            </w:tcBorders>
            <w:noWrap/>
            <w:vAlign w:val="center"/>
            <w:hideMark/>
          </w:tcPr>
          <w:p w14:paraId="275F0511"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d</w:t>
            </w:r>
          </w:p>
        </w:tc>
        <w:tc>
          <w:tcPr>
            <w:tcW w:w="401" w:type="pct"/>
            <w:tcBorders>
              <w:top w:val="nil"/>
              <w:left w:val="nil"/>
              <w:bottom w:val="nil"/>
              <w:right w:val="nil"/>
            </w:tcBorders>
            <w:noWrap/>
            <w:vAlign w:val="center"/>
            <w:hideMark/>
          </w:tcPr>
          <w:p w14:paraId="03521A65"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108.50</w:t>
            </w:r>
          </w:p>
        </w:tc>
        <w:tc>
          <w:tcPr>
            <w:tcW w:w="178" w:type="pct"/>
            <w:tcBorders>
              <w:top w:val="nil"/>
              <w:left w:val="nil"/>
              <w:bottom w:val="nil"/>
              <w:right w:val="nil"/>
            </w:tcBorders>
            <w:noWrap/>
            <w:vAlign w:val="center"/>
            <w:hideMark/>
          </w:tcPr>
          <w:p w14:paraId="7FCB5786"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c</w:t>
            </w:r>
          </w:p>
        </w:tc>
        <w:tc>
          <w:tcPr>
            <w:tcW w:w="441" w:type="pct"/>
            <w:tcBorders>
              <w:top w:val="nil"/>
              <w:left w:val="nil"/>
              <w:bottom w:val="nil"/>
              <w:right w:val="nil"/>
            </w:tcBorders>
            <w:noWrap/>
            <w:vAlign w:val="center"/>
            <w:hideMark/>
          </w:tcPr>
          <w:p w14:paraId="36E9B0C9"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130.30</w:t>
            </w:r>
          </w:p>
        </w:tc>
        <w:tc>
          <w:tcPr>
            <w:tcW w:w="142" w:type="pct"/>
            <w:tcBorders>
              <w:top w:val="nil"/>
              <w:left w:val="nil"/>
              <w:bottom w:val="nil"/>
              <w:right w:val="nil"/>
            </w:tcBorders>
            <w:vAlign w:val="center"/>
          </w:tcPr>
          <w:p w14:paraId="139876C8" w14:textId="5D873065"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d</w:t>
            </w:r>
          </w:p>
        </w:tc>
      </w:tr>
      <w:tr w:rsidR="00782496" w:rsidRPr="00380CE0" w14:paraId="0DCCE97C" w14:textId="5B119A88" w:rsidTr="00782496">
        <w:trPr>
          <w:trHeight w:val="288"/>
          <w:jc w:val="center"/>
        </w:trPr>
        <w:tc>
          <w:tcPr>
            <w:tcW w:w="609" w:type="pct"/>
            <w:tcBorders>
              <w:top w:val="nil"/>
              <w:left w:val="nil"/>
              <w:bottom w:val="nil"/>
              <w:right w:val="nil"/>
            </w:tcBorders>
            <w:noWrap/>
            <w:vAlign w:val="center"/>
            <w:hideMark/>
          </w:tcPr>
          <w:p w14:paraId="4C86EE4E" w14:textId="6B24E3AE"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T</w:t>
            </w:r>
            <w:r w:rsidRPr="00782496">
              <w:rPr>
                <w:rFonts w:ascii="Arial" w:hAnsi="Arial" w:cs="Arial"/>
                <w:color w:val="000000" w:themeColor="text1"/>
                <w:sz w:val="14"/>
                <w:szCs w:val="14"/>
                <w:vertAlign w:val="subscript"/>
              </w:rPr>
              <w:t>5</w:t>
            </w:r>
          </w:p>
        </w:tc>
        <w:tc>
          <w:tcPr>
            <w:tcW w:w="352" w:type="pct"/>
            <w:tcBorders>
              <w:top w:val="nil"/>
              <w:left w:val="nil"/>
              <w:bottom w:val="nil"/>
              <w:right w:val="nil"/>
            </w:tcBorders>
            <w:noWrap/>
            <w:vAlign w:val="center"/>
            <w:hideMark/>
          </w:tcPr>
          <w:p w14:paraId="6F70F9E1"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17.10</w:t>
            </w:r>
          </w:p>
        </w:tc>
        <w:tc>
          <w:tcPr>
            <w:tcW w:w="178" w:type="pct"/>
            <w:tcBorders>
              <w:top w:val="nil"/>
              <w:left w:val="nil"/>
              <w:bottom w:val="nil"/>
              <w:right w:val="nil"/>
            </w:tcBorders>
            <w:noWrap/>
            <w:vAlign w:val="center"/>
            <w:hideMark/>
          </w:tcPr>
          <w:p w14:paraId="5C2F1AE2"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b</w:t>
            </w:r>
          </w:p>
        </w:tc>
        <w:tc>
          <w:tcPr>
            <w:tcW w:w="352" w:type="pct"/>
            <w:tcBorders>
              <w:top w:val="nil"/>
              <w:left w:val="nil"/>
              <w:bottom w:val="nil"/>
              <w:right w:val="nil"/>
            </w:tcBorders>
            <w:noWrap/>
            <w:vAlign w:val="center"/>
            <w:hideMark/>
          </w:tcPr>
          <w:p w14:paraId="16272A8B"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25.30</w:t>
            </w:r>
          </w:p>
        </w:tc>
        <w:tc>
          <w:tcPr>
            <w:tcW w:w="178" w:type="pct"/>
            <w:tcBorders>
              <w:top w:val="nil"/>
              <w:left w:val="nil"/>
              <w:bottom w:val="nil"/>
              <w:right w:val="nil"/>
            </w:tcBorders>
            <w:noWrap/>
            <w:vAlign w:val="center"/>
            <w:hideMark/>
          </w:tcPr>
          <w:p w14:paraId="7797D32F"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b</w:t>
            </w:r>
          </w:p>
        </w:tc>
        <w:tc>
          <w:tcPr>
            <w:tcW w:w="352" w:type="pct"/>
            <w:tcBorders>
              <w:top w:val="nil"/>
              <w:left w:val="nil"/>
              <w:bottom w:val="nil"/>
              <w:right w:val="nil"/>
            </w:tcBorders>
            <w:noWrap/>
            <w:vAlign w:val="center"/>
            <w:hideMark/>
          </w:tcPr>
          <w:p w14:paraId="168DB73A"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37.80</w:t>
            </w:r>
          </w:p>
        </w:tc>
        <w:tc>
          <w:tcPr>
            <w:tcW w:w="178" w:type="pct"/>
            <w:tcBorders>
              <w:top w:val="nil"/>
              <w:left w:val="nil"/>
              <w:bottom w:val="nil"/>
              <w:right w:val="nil"/>
            </w:tcBorders>
            <w:noWrap/>
            <w:vAlign w:val="center"/>
            <w:hideMark/>
          </w:tcPr>
          <w:p w14:paraId="55BAD701"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c</w:t>
            </w:r>
          </w:p>
        </w:tc>
        <w:tc>
          <w:tcPr>
            <w:tcW w:w="352" w:type="pct"/>
            <w:tcBorders>
              <w:top w:val="nil"/>
              <w:left w:val="nil"/>
              <w:bottom w:val="nil"/>
              <w:right w:val="nil"/>
            </w:tcBorders>
            <w:noWrap/>
            <w:vAlign w:val="center"/>
            <w:hideMark/>
          </w:tcPr>
          <w:p w14:paraId="7BD71E45"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53.10</w:t>
            </w:r>
          </w:p>
        </w:tc>
        <w:tc>
          <w:tcPr>
            <w:tcW w:w="178" w:type="pct"/>
            <w:tcBorders>
              <w:top w:val="nil"/>
              <w:left w:val="nil"/>
              <w:bottom w:val="nil"/>
              <w:right w:val="nil"/>
            </w:tcBorders>
            <w:noWrap/>
            <w:vAlign w:val="center"/>
            <w:hideMark/>
          </w:tcPr>
          <w:p w14:paraId="06B14644"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c</w:t>
            </w:r>
          </w:p>
        </w:tc>
        <w:tc>
          <w:tcPr>
            <w:tcW w:w="352" w:type="pct"/>
            <w:tcBorders>
              <w:top w:val="nil"/>
              <w:left w:val="nil"/>
              <w:bottom w:val="nil"/>
              <w:right w:val="nil"/>
            </w:tcBorders>
            <w:noWrap/>
            <w:vAlign w:val="center"/>
            <w:hideMark/>
          </w:tcPr>
          <w:p w14:paraId="59E1424B"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71.78</w:t>
            </w:r>
          </w:p>
        </w:tc>
        <w:tc>
          <w:tcPr>
            <w:tcW w:w="178" w:type="pct"/>
            <w:tcBorders>
              <w:top w:val="nil"/>
              <w:left w:val="nil"/>
              <w:bottom w:val="nil"/>
              <w:right w:val="nil"/>
            </w:tcBorders>
            <w:noWrap/>
            <w:vAlign w:val="center"/>
            <w:hideMark/>
          </w:tcPr>
          <w:p w14:paraId="31B91BCD"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c</w:t>
            </w:r>
          </w:p>
        </w:tc>
        <w:tc>
          <w:tcPr>
            <w:tcW w:w="401" w:type="pct"/>
            <w:tcBorders>
              <w:top w:val="nil"/>
              <w:left w:val="nil"/>
              <w:bottom w:val="nil"/>
              <w:right w:val="nil"/>
            </w:tcBorders>
            <w:noWrap/>
            <w:vAlign w:val="center"/>
            <w:hideMark/>
          </w:tcPr>
          <w:p w14:paraId="256C582C"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96.88</w:t>
            </w:r>
          </w:p>
        </w:tc>
        <w:tc>
          <w:tcPr>
            <w:tcW w:w="178" w:type="pct"/>
            <w:tcBorders>
              <w:top w:val="nil"/>
              <w:left w:val="nil"/>
              <w:bottom w:val="nil"/>
              <w:right w:val="nil"/>
            </w:tcBorders>
            <w:noWrap/>
            <w:vAlign w:val="center"/>
            <w:hideMark/>
          </w:tcPr>
          <w:p w14:paraId="487F5B83"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c</w:t>
            </w:r>
          </w:p>
        </w:tc>
        <w:tc>
          <w:tcPr>
            <w:tcW w:w="401" w:type="pct"/>
            <w:tcBorders>
              <w:top w:val="nil"/>
              <w:left w:val="nil"/>
              <w:bottom w:val="nil"/>
              <w:right w:val="nil"/>
            </w:tcBorders>
            <w:noWrap/>
            <w:vAlign w:val="center"/>
            <w:hideMark/>
          </w:tcPr>
          <w:p w14:paraId="58E68E06"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119.68</w:t>
            </w:r>
          </w:p>
        </w:tc>
        <w:tc>
          <w:tcPr>
            <w:tcW w:w="178" w:type="pct"/>
            <w:tcBorders>
              <w:top w:val="nil"/>
              <w:left w:val="nil"/>
              <w:bottom w:val="nil"/>
              <w:right w:val="nil"/>
            </w:tcBorders>
            <w:noWrap/>
            <w:vAlign w:val="center"/>
            <w:hideMark/>
          </w:tcPr>
          <w:p w14:paraId="1FE3696D"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b</w:t>
            </w:r>
          </w:p>
        </w:tc>
        <w:tc>
          <w:tcPr>
            <w:tcW w:w="441" w:type="pct"/>
            <w:tcBorders>
              <w:top w:val="nil"/>
              <w:left w:val="nil"/>
              <w:bottom w:val="nil"/>
              <w:right w:val="nil"/>
            </w:tcBorders>
            <w:noWrap/>
            <w:vAlign w:val="center"/>
            <w:hideMark/>
          </w:tcPr>
          <w:p w14:paraId="72504DFD"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143.08</w:t>
            </w:r>
          </w:p>
        </w:tc>
        <w:tc>
          <w:tcPr>
            <w:tcW w:w="142" w:type="pct"/>
            <w:tcBorders>
              <w:top w:val="nil"/>
              <w:left w:val="nil"/>
              <w:bottom w:val="nil"/>
              <w:right w:val="nil"/>
            </w:tcBorders>
            <w:vAlign w:val="center"/>
          </w:tcPr>
          <w:p w14:paraId="4D6233BA" w14:textId="39EDED31"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c</w:t>
            </w:r>
          </w:p>
        </w:tc>
      </w:tr>
      <w:tr w:rsidR="00782496" w:rsidRPr="00380CE0" w14:paraId="3332B692" w14:textId="4B674056" w:rsidTr="00782496">
        <w:trPr>
          <w:trHeight w:val="288"/>
          <w:jc w:val="center"/>
        </w:trPr>
        <w:tc>
          <w:tcPr>
            <w:tcW w:w="609" w:type="pct"/>
            <w:tcBorders>
              <w:top w:val="nil"/>
              <w:left w:val="nil"/>
              <w:bottom w:val="single" w:sz="4" w:space="0" w:color="auto"/>
              <w:right w:val="nil"/>
            </w:tcBorders>
            <w:noWrap/>
            <w:vAlign w:val="center"/>
            <w:hideMark/>
          </w:tcPr>
          <w:p w14:paraId="0925F638" w14:textId="7986461A"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T</w:t>
            </w:r>
            <w:r w:rsidRPr="00782496">
              <w:rPr>
                <w:rFonts w:ascii="Arial" w:hAnsi="Arial" w:cs="Arial"/>
                <w:color w:val="000000" w:themeColor="text1"/>
                <w:sz w:val="14"/>
                <w:szCs w:val="14"/>
                <w:vertAlign w:val="subscript"/>
              </w:rPr>
              <w:t>6</w:t>
            </w:r>
          </w:p>
        </w:tc>
        <w:tc>
          <w:tcPr>
            <w:tcW w:w="352" w:type="pct"/>
            <w:tcBorders>
              <w:top w:val="nil"/>
              <w:left w:val="nil"/>
              <w:bottom w:val="nil"/>
              <w:right w:val="nil"/>
            </w:tcBorders>
            <w:noWrap/>
            <w:vAlign w:val="center"/>
            <w:hideMark/>
          </w:tcPr>
          <w:p w14:paraId="1063705A"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18.40</w:t>
            </w:r>
          </w:p>
        </w:tc>
        <w:tc>
          <w:tcPr>
            <w:tcW w:w="178" w:type="pct"/>
            <w:tcBorders>
              <w:top w:val="nil"/>
              <w:left w:val="nil"/>
              <w:bottom w:val="nil"/>
              <w:right w:val="nil"/>
            </w:tcBorders>
            <w:noWrap/>
            <w:vAlign w:val="center"/>
            <w:hideMark/>
          </w:tcPr>
          <w:p w14:paraId="51D9F467"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a</w:t>
            </w:r>
          </w:p>
        </w:tc>
        <w:tc>
          <w:tcPr>
            <w:tcW w:w="352" w:type="pct"/>
            <w:tcBorders>
              <w:top w:val="nil"/>
              <w:left w:val="nil"/>
              <w:bottom w:val="nil"/>
              <w:right w:val="nil"/>
            </w:tcBorders>
            <w:noWrap/>
            <w:vAlign w:val="center"/>
            <w:hideMark/>
          </w:tcPr>
          <w:p w14:paraId="3181E6BD"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29.75</w:t>
            </w:r>
          </w:p>
        </w:tc>
        <w:tc>
          <w:tcPr>
            <w:tcW w:w="178" w:type="pct"/>
            <w:tcBorders>
              <w:top w:val="nil"/>
              <w:left w:val="nil"/>
              <w:bottom w:val="nil"/>
              <w:right w:val="nil"/>
            </w:tcBorders>
            <w:noWrap/>
            <w:vAlign w:val="center"/>
            <w:hideMark/>
          </w:tcPr>
          <w:p w14:paraId="5F7DB9E6"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a</w:t>
            </w:r>
          </w:p>
        </w:tc>
        <w:tc>
          <w:tcPr>
            <w:tcW w:w="352" w:type="pct"/>
            <w:tcBorders>
              <w:top w:val="nil"/>
              <w:left w:val="nil"/>
              <w:bottom w:val="nil"/>
              <w:right w:val="nil"/>
            </w:tcBorders>
            <w:noWrap/>
            <w:vAlign w:val="center"/>
            <w:hideMark/>
          </w:tcPr>
          <w:p w14:paraId="75519334"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43.90</w:t>
            </w:r>
          </w:p>
        </w:tc>
        <w:tc>
          <w:tcPr>
            <w:tcW w:w="178" w:type="pct"/>
            <w:tcBorders>
              <w:top w:val="nil"/>
              <w:left w:val="nil"/>
              <w:bottom w:val="nil"/>
              <w:right w:val="nil"/>
            </w:tcBorders>
            <w:noWrap/>
            <w:vAlign w:val="center"/>
            <w:hideMark/>
          </w:tcPr>
          <w:p w14:paraId="55892C3F"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a</w:t>
            </w:r>
          </w:p>
        </w:tc>
        <w:tc>
          <w:tcPr>
            <w:tcW w:w="352" w:type="pct"/>
            <w:tcBorders>
              <w:top w:val="nil"/>
              <w:left w:val="nil"/>
              <w:bottom w:val="nil"/>
              <w:right w:val="nil"/>
            </w:tcBorders>
            <w:noWrap/>
            <w:vAlign w:val="center"/>
            <w:hideMark/>
          </w:tcPr>
          <w:p w14:paraId="0A735E8E"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59.20</w:t>
            </w:r>
          </w:p>
        </w:tc>
        <w:tc>
          <w:tcPr>
            <w:tcW w:w="178" w:type="pct"/>
            <w:tcBorders>
              <w:top w:val="nil"/>
              <w:left w:val="nil"/>
              <w:bottom w:val="nil"/>
              <w:right w:val="nil"/>
            </w:tcBorders>
            <w:noWrap/>
            <w:vAlign w:val="center"/>
            <w:hideMark/>
          </w:tcPr>
          <w:p w14:paraId="06FF361F"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a</w:t>
            </w:r>
          </w:p>
        </w:tc>
        <w:tc>
          <w:tcPr>
            <w:tcW w:w="352" w:type="pct"/>
            <w:tcBorders>
              <w:top w:val="nil"/>
              <w:left w:val="nil"/>
              <w:bottom w:val="nil"/>
              <w:right w:val="nil"/>
            </w:tcBorders>
            <w:noWrap/>
            <w:vAlign w:val="center"/>
            <w:hideMark/>
          </w:tcPr>
          <w:p w14:paraId="07CBF026"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77.70</w:t>
            </w:r>
          </w:p>
        </w:tc>
        <w:tc>
          <w:tcPr>
            <w:tcW w:w="178" w:type="pct"/>
            <w:tcBorders>
              <w:top w:val="nil"/>
              <w:left w:val="nil"/>
              <w:bottom w:val="nil"/>
              <w:right w:val="nil"/>
            </w:tcBorders>
            <w:noWrap/>
            <w:vAlign w:val="center"/>
            <w:hideMark/>
          </w:tcPr>
          <w:p w14:paraId="35C88DB7"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a</w:t>
            </w:r>
          </w:p>
        </w:tc>
        <w:tc>
          <w:tcPr>
            <w:tcW w:w="401" w:type="pct"/>
            <w:tcBorders>
              <w:top w:val="nil"/>
              <w:left w:val="nil"/>
              <w:bottom w:val="nil"/>
              <w:right w:val="nil"/>
            </w:tcBorders>
            <w:noWrap/>
            <w:vAlign w:val="center"/>
            <w:hideMark/>
          </w:tcPr>
          <w:p w14:paraId="69F169E3"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102.80</w:t>
            </w:r>
          </w:p>
        </w:tc>
        <w:tc>
          <w:tcPr>
            <w:tcW w:w="178" w:type="pct"/>
            <w:tcBorders>
              <w:top w:val="nil"/>
              <w:left w:val="nil"/>
              <w:bottom w:val="nil"/>
              <w:right w:val="nil"/>
            </w:tcBorders>
            <w:noWrap/>
            <w:vAlign w:val="center"/>
            <w:hideMark/>
          </w:tcPr>
          <w:p w14:paraId="6D782372"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a</w:t>
            </w:r>
          </w:p>
        </w:tc>
        <w:tc>
          <w:tcPr>
            <w:tcW w:w="401" w:type="pct"/>
            <w:tcBorders>
              <w:top w:val="nil"/>
              <w:left w:val="nil"/>
              <w:bottom w:val="nil"/>
              <w:right w:val="nil"/>
            </w:tcBorders>
            <w:noWrap/>
            <w:vAlign w:val="center"/>
            <w:hideMark/>
          </w:tcPr>
          <w:p w14:paraId="34F4C187"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126.20</w:t>
            </w:r>
          </w:p>
        </w:tc>
        <w:tc>
          <w:tcPr>
            <w:tcW w:w="178" w:type="pct"/>
            <w:tcBorders>
              <w:top w:val="nil"/>
              <w:left w:val="nil"/>
              <w:bottom w:val="nil"/>
              <w:right w:val="nil"/>
            </w:tcBorders>
            <w:noWrap/>
            <w:vAlign w:val="center"/>
            <w:hideMark/>
          </w:tcPr>
          <w:p w14:paraId="2CB12E49"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a</w:t>
            </w:r>
          </w:p>
        </w:tc>
        <w:tc>
          <w:tcPr>
            <w:tcW w:w="441" w:type="pct"/>
            <w:tcBorders>
              <w:top w:val="nil"/>
              <w:left w:val="nil"/>
              <w:bottom w:val="nil"/>
              <w:right w:val="nil"/>
            </w:tcBorders>
            <w:noWrap/>
            <w:vAlign w:val="center"/>
            <w:hideMark/>
          </w:tcPr>
          <w:p w14:paraId="244982FC"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152.70</w:t>
            </w:r>
          </w:p>
        </w:tc>
        <w:tc>
          <w:tcPr>
            <w:tcW w:w="142" w:type="pct"/>
            <w:tcBorders>
              <w:top w:val="nil"/>
              <w:left w:val="nil"/>
              <w:bottom w:val="nil"/>
              <w:right w:val="nil"/>
            </w:tcBorders>
            <w:vAlign w:val="center"/>
          </w:tcPr>
          <w:p w14:paraId="531BEDF2" w14:textId="3576786B"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a</w:t>
            </w:r>
          </w:p>
        </w:tc>
      </w:tr>
      <w:tr w:rsidR="00782496" w:rsidRPr="00380CE0" w14:paraId="34DE52C1" w14:textId="71843A6C" w:rsidTr="00782496">
        <w:trPr>
          <w:trHeight w:val="288"/>
          <w:jc w:val="center"/>
        </w:trPr>
        <w:tc>
          <w:tcPr>
            <w:tcW w:w="609" w:type="pct"/>
            <w:tcBorders>
              <w:top w:val="nil"/>
              <w:left w:val="nil"/>
              <w:bottom w:val="nil"/>
              <w:right w:val="nil"/>
            </w:tcBorders>
            <w:noWrap/>
            <w:vAlign w:val="center"/>
            <w:hideMark/>
          </w:tcPr>
          <w:p w14:paraId="3B92BB48"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LSD 0.05</w:t>
            </w:r>
          </w:p>
        </w:tc>
        <w:tc>
          <w:tcPr>
            <w:tcW w:w="530" w:type="pct"/>
            <w:gridSpan w:val="2"/>
            <w:tcBorders>
              <w:top w:val="single" w:sz="4" w:space="0" w:color="auto"/>
              <w:left w:val="nil"/>
              <w:bottom w:val="nil"/>
              <w:right w:val="nil"/>
            </w:tcBorders>
            <w:noWrap/>
            <w:vAlign w:val="center"/>
            <w:hideMark/>
          </w:tcPr>
          <w:p w14:paraId="0727947F"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0.60</w:t>
            </w:r>
          </w:p>
        </w:tc>
        <w:tc>
          <w:tcPr>
            <w:tcW w:w="530" w:type="pct"/>
            <w:gridSpan w:val="2"/>
            <w:tcBorders>
              <w:top w:val="single" w:sz="4" w:space="0" w:color="auto"/>
              <w:left w:val="nil"/>
              <w:bottom w:val="nil"/>
              <w:right w:val="nil"/>
            </w:tcBorders>
            <w:noWrap/>
            <w:vAlign w:val="center"/>
            <w:hideMark/>
          </w:tcPr>
          <w:p w14:paraId="14788FBA"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1.34</w:t>
            </w:r>
          </w:p>
        </w:tc>
        <w:tc>
          <w:tcPr>
            <w:tcW w:w="530" w:type="pct"/>
            <w:gridSpan w:val="2"/>
            <w:tcBorders>
              <w:top w:val="single" w:sz="4" w:space="0" w:color="auto"/>
              <w:left w:val="nil"/>
              <w:bottom w:val="nil"/>
              <w:right w:val="nil"/>
            </w:tcBorders>
            <w:noWrap/>
            <w:vAlign w:val="center"/>
            <w:hideMark/>
          </w:tcPr>
          <w:p w14:paraId="702E7FE6"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1.02</w:t>
            </w:r>
          </w:p>
        </w:tc>
        <w:tc>
          <w:tcPr>
            <w:tcW w:w="530" w:type="pct"/>
            <w:gridSpan w:val="2"/>
            <w:tcBorders>
              <w:top w:val="single" w:sz="4" w:space="0" w:color="auto"/>
              <w:left w:val="nil"/>
              <w:bottom w:val="nil"/>
              <w:right w:val="nil"/>
            </w:tcBorders>
            <w:noWrap/>
            <w:vAlign w:val="center"/>
            <w:hideMark/>
          </w:tcPr>
          <w:p w14:paraId="42ED96A3"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0.93</w:t>
            </w:r>
          </w:p>
        </w:tc>
        <w:tc>
          <w:tcPr>
            <w:tcW w:w="530" w:type="pct"/>
            <w:gridSpan w:val="2"/>
            <w:tcBorders>
              <w:top w:val="single" w:sz="4" w:space="0" w:color="auto"/>
              <w:left w:val="nil"/>
              <w:bottom w:val="nil"/>
              <w:right w:val="nil"/>
            </w:tcBorders>
            <w:noWrap/>
            <w:vAlign w:val="center"/>
            <w:hideMark/>
          </w:tcPr>
          <w:p w14:paraId="2FB8BD43"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1.21</w:t>
            </w:r>
          </w:p>
        </w:tc>
        <w:tc>
          <w:tcPr>
            <w:tcW w:w="579" w:type="pct"/>
            <w:gridSpan w:val="2"/>
            <w:tcBorders>
              <w:top w:val="single" w:sz="4" w:space="0" w:color="auto"/>
              <w:left w:val="nil"/>
              <w:bottom w:val="nil"/>
              <w:right w:val="nil"/>
            </w:tcBorders>
            <w:noWrap/>
            <w:vAlign w:val="center"/>
            <w:hideMark/>
          </w:tcPr>
          <w:p w14:paraId="5D418935"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1.22</w:t>
            </w:r>
          </w:p>
        </w:tc>
        <w:tc>
          <w:tcPr>
            <w:tcW w:w="579" w:type="pct"/>
            <w:gridSpan w:val="2"/>
            <w:tcBorders>
              <w:top w:val="single" w:sz="4" w:space="0" w:color="auto"/>
              <w:left w:val="nil"/>
              <w:bottom w:val="nil"/>
              <w:right w:val="nil"/>
            </w:tcBorders>
            <w:noWrap/>
            <w:vAlign w:val="center"/>
            <w:hideMark/>
          </w:tcPr>
          <w:p w14:paraId="3639963D"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1.21</w:t>
            </w:r>
          </w:p>
        </w:tc>
        <w:tc>
          <w:tcPr>
            <w:tcW w:w="583" w:type="pct"/>
            <w:gridSpan w:val="2"/>
            <w:tcBorders>
              <w:top w:val="single" w:sz="4" w:space="0" w:color="auto"/>
              <w:left w:val="nil"/>
              <w:bottom w:val="nil"/>
              <w:right w:val="nil"/>
            </w:tcBorders>
            <w:noWrap/>
            <w:vAlign w:val="center"/>
            <w:hideMark/>
          </w:tcPr>
          <w:p w14:paraId="78C23572" w14:textId="5C50F13A"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1.2</w:t>
            </w:r>
            <w:r w:rsidR="000C6880">
              <w:rPr>
                <w:rFonts w:ascii="Arial" w:hAnsi="Arial" w:cs="Arial"/>
                <w:color w:val="000000" w:themeColor="text1"/>
                <w:sz w:val="14"/>
                <w:szCs w:val="14"/>
              </w:rPr>
              <w:t>2</w:t>
            </w:r>
          </w:p>
        </w:tc>
      </w:tr>
      <w:tr w:rsidR="00782496" w:rsidRPr="00380CE0" w14:paraId="763288D7" w14:textId="4D894C20" w:rsidTr="007C6DB0">
        <w:trPr>
          <w:trHeight w:val="288"/>
          <w:jc w:val="center"/>
        </w:trPr>
        <w:tc>
          <w:tcPr>
            <w:tcW w:w="609" w:type="pct"/>
            <w:tcBorders>
              <w:top w:val="nil"/>
              <w:left w:val="nil"/>
              <w:bottom w:val="nil"/>
              <w:right w:val="nil"/>
            </w:tcBorders>
            <w:noWrap/>
            <w:vAlign w:val="center"/>
            <w:hideMark/>
          </w:tcPr>
          <w:p w14:paraId="50197CB2" w14:textId="77777777" w:rsidR="00782496" w:rsidRPr="00782496" w:rsidRDefault="00782496" w:rsidP="00782496">
            <w:pPr>
              <w:jc w:val="center"/>
              <w:rPr>
                <w:rFonts w:ascii="Arial" w:hAnsi="Arial" w:cs="Arial"/>
                <w:color w:val="000000" w:themeColor="text1"/>
                <w:sz w:val="14"/>
                <w:szCs w:val="14"/>
              </w:rPr>
            </w:pPr>
            <w:proofErr w:type="spellStart"/>
            <w:r w:rsidRPr="00782496">
              <w:rPr>
                <w:rFonts w:ascii="Arial" w:hAnsi="Arial" w:cs="Arial"/>
                <w:color w:val="000000" w:themeColor="text1"/>
                <w:sz w:val="14"/>
                <w:szCs w:val="14"/>
              </w:rPr>
              <w:t>Pr</w:t>
            </w:r>
            <w:proofErr w:type="spellEnd"/>
            <w:r w:rsidRPr="00782496">
              <w:rPr>
                <w:rFonts w:ascii="Arial" w:hAnsi="Arial" w:cs="Arial"/>
                <w:color w:val="000000" w:themeColor="text1"/>
                <w:sz w:val="14"/>
                <w:szCs w:val="14"/>
              </w:rPr>
              <w:t>&gt;F</w:t>
            </w:r>
          </w:p>
        </w:tc>
        <w:tc>
          <w:tcPr>
            <w:tcW w:w="530" w:type="pct"/>
            <w:gridSpan w:val="2"/>
            <w:tcBorders>
              <w:top w:val="single" w:sz="4" w:space="0" w:color="auto"/>
              <w:left w:val="nil"/>
              <w:bottom w:val="nil"/>
              <w:right w:val="nil"/>
            </w:tcBorders>
            <w:noWrap/>
            <w:vAlign w:val="center"/>
            <w:hideMark/>
          </w:tcPr>
          <w:p w14:paraId="7CD1968C"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w:t>
            </w:r>
          </w:p>
        </w:tc>
        <w:tc>
          <w:tcPr>
            <w:tcW w:w="530" w:type="pct"/>
            <w:gridSpan w:val="2"/>
            <w:tcBorders>
              <w:top w:val="single" w:sz="4" w:space="0" w:color="auto"/>
              <w:left w:val="nil"/>
              <w:bottom w:val="nil"/>
              <w:right w:val="nil"/>
            </w:tcBorders>
            <w:noWrap/>
            <w:vAlign w:val="center"/>
            <w:hideMark/>
          </w:tcPr>
          <w:p w14:paraId="0F89698E"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w:t>
            </w:r>
          </w:p>
        </w:tc>
        <w:tc>
          <w:tcPr>
            <w:tcW w:w="530" w:type="pct"/>
            <w:gridSpan w:val="2"/>
            <w:tcBorders>
              <w:top w:val="single" w:sz="4" w:space="0" w:color="auto"/>
              <w:left w:val="nil"/>
              <w:bottom w:val="nil"/>
              <w:right w:val="nil"/>
            </w:tcBorders>
            <w:noWrap/>
            <w:vAlign w:val="center"/>
            <w:hideMark/>
          </w:tcPr>
          <w:p w14:paraId="25A32742"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w:t>
            </w:r>
          </w:p>
        </w:tc>
        <w:tc>
          <w:tcPr>
            <w:tcW w:w="530" w:type="pct"/>
            <w:gridSpan w:val="2"/>
            <w:tcBorders>
              <w:top w:val="single" w:sz="4" w:space="0" w:color="auto"/>
              <w:left w:val="nil"/>
              <w:bottom w:val="nil"/>
              <w:right w:val="nil"/>
            </w:tcBorders>
            <w:noWrap/>
            <w:vAlign w:val="center"/>
            <w:hideMark/>
          </w:tcPr>
          <w:p w14:paraId="7F25CB11"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w:t>
            </w:r>
          </w:p>
        </w:tc>
        <w:tc>
          <w:tcPr>
            <w:tcW w:w="530" w:type="pct"/>
            <w:gridSpan w:val="2"/>
            <w:tcBorders>
              <w:top w:val="single" w:sz="4" w:space="0" w:color="auto"/>
              <w:left w:val="nil"/>
              <w:bottom w:val="nil"/>
              <w:right w:val="nil"/>
            </w:tcBorders>
            <w:noWrap/>
            <w:vAlign w:val="center"/>
            <w:hideMark/>
          </w:tcPr>
          <w:p w14:paraId="67EC3EF0"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w:t>
            </w:r>
          </w:p>
        </w:tc>
        <w:tc>
          <w:tcPr>
            <w:tcW w:w="579" w:type="pct"/>
            <w:gridSpan w:val="2"/>
            <w:tcBorders>
              <w:top w:val="single" w:sz="4" w:space="0" w:color="auto"/>
              <w:left w:val="nil"/>
              <w:bottom w:val="nil"/>
              <w:right w:val="nil"/>
            </w:tcBorders>
            <w:noWrap/>
            <w:vAlign w:val="center"/>
            <w:hideMark/>
          </w:tcPr>
          <w:p w14:paraId="6D376F73"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w:t>
            </w:r>
          </w:p>
        </w:tc>
        <w:tc>
          <w:tcPr>
            <w:tcW w:w="579" w:type="pct"/>
            <w:gridSpan w:val="2"/>
            <w:tcBorders>
              <w:top w:val="single" w:sz="4" w:space="0" w:color="auto"/>
              <w:left w:val="nil"/>
              <w:bottom w:val="nil"/>
              <w:right w:val="nil"/>
            </w:tcBorders>
            <w:noWrap/>
            <w:vAlign w:val="center"/>
            <w:hideMark/>
          </w:tcPr>
          <w:p w14:paraId="02BB8F0F"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w:t>
            </w:r>
          </w:p>
        </w:tc>
        <w:tc>
          <w:tcPr>
            <w:tcW w:w="583" w:type="pct"/>
            <w:gridSpan w:val="2"/>
            <w:tcBorders>
              <w:top w:val="single" w:sz="4" w:space="0" w:color="auto"/>
              <w:left w:val="nil"/>
              <w:bottom w:val="nil"/>
              <w:right w:val="nil"/>
            </w:tcBorders>
            <w:noWrap/>
            <w:vAlign w:val="center"/>
            <w:hideMark/>
          </w:tcPr>
          <w:p w14:paraId="273A4F41" w14:textId="6B4D459D"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w:t>
            </w:r>
          </w:p>
        </w:tc>
      </w:tr>
      <w:tr w:rsidR="00782496" w:rsidRPr="00380CE0" w14:paraId="0517C5C0" w14:textId="02FF2C1C" w:rsidTr="00782496">
        <w:trPr>
          <w:trHeight w:val="288"/>
          <w:jc w:val="center"/>
        </w:trPr>
        <w:tc>
          <w:tcPr>
            <w:tcW w:w="609" w:type="pct"/>
            <w:tcBorders>
              <w:top w:val="nil"/>
              <w:left w:val="nil"/>
              <w:bottom w:val="single" w:sz="4" w:space="0" w:color="auto"/>
              <w:right w:val="nil"/>
            </w:tcBorders>
            <w:noWrap/>
            <w:vAlign w:val="center"/>
            <w:hideMark/>
          </w:tcPr>
          <w:p w14:paraId="0BB885C9"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CV%</w:t>
            </w:r>
          </w:p>
        </w:tc>
        <w:tc>
          <w:tcPr>
            <w:tcW w:w="530" w:type="pct"/>
            <w:gridSpan w:val="2"/>
            <w:tcBorders>
              <w:top w:val="single" w:sz="4" w:space="0" w:color="auto"/>
              <w:left w:val="nil"/>
              <w:bottom w:val="single" w:sz="4" w:space="0" w:color="auto"/>
              <w:right w:val="nil"/>
            </w:tcBorders>
            <w:noWrap/>
            <w:vAlign w:val="center"/>
            <w:hideMark/>
          </w:tcPr>
          <w:p w14:paraId="40F1363A"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2.67</w:t>
            </w:r>
          </w:p>
        </w:tc>
        <w:tc>
          <w:tcPr>
            <w:tcW w:w="530" w:type="pct"/>
            <w:gridSpan w:val="2"/>
            <w:tcBorders>
              <w:top w:val="single" w:sz="4" w:space="0" w:color="auto"/>
              <w:left w:val="nil"/>
              <w:bottom w:val="single" w:sz="4" w:space="0" w:color="auto"/>
              <w:right w:val="nil"/>
            </w:tcBorders>
            <w:noWrap/>
            <w:vAlign w:val="center"/>
            <w:hideMark/>
          </w:tcPr>
          <w:p w14:paraId="00BA307B"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3.98</w:t>
            </w:r>
          </w:p>
        </w:tc>
        <w:tc>
          <w:tcPr>
            <w:tcW w:w="530" w:type="pct"/>
            <w:gridSpan w:val="2"/>
            <w:tcBorders>
              <w:top w:val="single" w:sz="4" w:space="0" w:color="auto"/>
              <w:left w:val="nil"/>
              <w:bottom w:val="single" w:sz="4" w:space="0" w:color="auto"/>
              <w:right w:val="nil"/>
            </w:tcBorders>
            <w:noWrap/>
            <w:vAlign w:val="center"/>
            <w:hideMark/>
          </w:tcPr>
          <w:p w14:paraId="01E29742"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2.01</w:t>
            </w:r>
          </w:p>
        </w:tc>
        <w:tc>
          <w:tcPr>
            <w:tcW w:w="530" w:type="pct"/>
            <w:gridSpan w:val="2"/>
            <w:tcBorders>
              <w:top w:val="single" w:sz="4" w:space="0" w:color="auto"/>
              <w:left w:val="nil"/>
              <w:bottom w:val="single" w:sz="4" w:space="0" w:color="auto"/>
              <w:right w:val="nil"/>
            </w:tcBorders>
            <w:noWrap/>
            <w:vAlign w:val="center"/>
            <w:hideMark/>
          </w:tcPr>
          <w:p w14:paraId="6CD177C5"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1.30</w:t>
            </w:r>
          </w:p>
        </w:tc>
        <w:tc>
          <w:tcPr>
            <w:tcW w:w="530" w:type="pct"/>
            <w:gridSpan w:val="2"/>
            <w:tcBorders>
              <w:top w:val="single" w:sz="4" w:space="0" w:color="auto"/>
              <w:left w:val="nil"/>
              <w:bottom w:val="single" w:sz="4" w:space="0" w:color="auto"/>
              <w:right w:val="nil"/>
            </w:tcBorders>
            <w:noWrap/>
            <w:vAlign w:val="center"/>
            <w:hideMark/>
          </w:tcPr>
          <w:p w14:paraId="3AECC021"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1.28</w:t>
            </w:r>
          </w:p>
        </w:tc>
        <w:tc>
          <w:tcPr>
            <w:tcW w:w="579" w:type="pct"/>
            <w:gridSpan w:val="2"/>
            <w:tcBorders>
              <w:top w:val="single" w:sz="4" w:space="0" w:color="auto"/>
              <w:left w:val="nil"/>
              <w:bottom w:val="single" w:sz="4" w:space="0" w:color="auto"/>
              <w:right w:val="nil"/>
            </w:tcBorders>
            <w:noWrap/>
            <w:vAlign w:val="center"/>
            <w:hideMark/>
          </w:tcPr>
          <w:p w14:paraId="27939160"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0.95</w:t>
            </w:r>
          </w:p>
        </w:tc>
        <w:tc>
          <w:tcPr>
            <w:tcW w:w="579" w:type="pct"/>
            <w:gridSpan w:val="2"/>
            <w:tcBorders>
              <w:top w:val="single" w:sz="4" w:space="0" w:color="auto"/>
              <w:left w:val="nil"/>
              <w:bottom w:val="single" w:sz="4" w:space="0" w:color="auto"/>
              <w:right w:val="nil"/>
            </w:tcBorders>
            <w:noWrap/>
            <w:vAlign w:val="center"/>
            <w:hideMark/>
          </w:tcPr>
          <w:p w14:paraId="633CCC1E"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0.79</w:t>
            </w:r>
          </w:p>
        </w:tc>
        <w:tc>
          <w:tcPr>
            <w:tcW w:w="583" w:type="pct"/>
            <w:gridSpan w:val="2"/>
            <w:tcBorders>
              <w:top w:val="single" w:sz="4" w:space="0" w:color="auto"/>
              <w:left w:val="nil"/>
              <w:bottom w:val="single" w:sz="4" w:space="0" w:color="auto"/>
              <w:right w:val="nil"/>
            </w:tcBorders>
            <w:noWrap/>
            <w:vAlign w:val="center"/>
            <w:hideMark/>
          </w:tcPr>
          <w:p w14:paraId="124BEA31" w14:textId="50BF2F14"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0.66</w:t>
            </w:r>
          </w:p>
        </w:tc>
      </w:tr>
    </w:tbl>
    <w:p w14:paraId="7C0A0414" w14:textId="77777777" w:rsidR="00C13684" w:rsidRPr="006355D2" w:rsidRDefault="00C13684" w:rsidP="00C13684">
      <w:pPr>
        <w:jc w:val="both"/>
        <w:rPr>
          <w:rFonts w:ascii="Arial" w:hAnsi="Arial" w:cs="Arial"/>
          <w:b/>
          <w:bCs/>
          <w:noProof/>
          <w:color w:val="000000" w:themeColor="text1"/>
        </w:rPr>
      </w:pPr>
    </w:p>
    <w:p w14:paraId="657A6F72" w14:textId="77777777" w:rsidR="00ED617B" w:rsidRPr="00ED617B" w:rsidRDefault="00ED617B" w:rsidP="00ED617B">
      <w:pPr>
        <w:jc w:val="both"/>
        <w:rPr>
          <w:rFonts w:ascii="Arial" w:hAnsi="Arial" w:cs="Arial"/>
          <w:noProof/>
          <w:color w:val="000000" w:themeColor="text1"/>
          <w:sz w:val="16"/>
          <w:szCs w:val="16"/>
        </w:rPr>
      </w:pPr>
      <w:r w:rsidRPr="00ED617B">
        <w:rPr>
          <w:rFonts w:ascii="Arial" w:hAnsi="Arial" w:cs="Arial"/>
          <w:noProof/>
          <w:color w:val="000000" w:themeColor="text1"/>
          <w:sz w:val="16"/>
          <w:szCs w:val="16"/>
        </w:rPr>
        <w:t xml:space="preserve">Means followed by the same letter in each column are not significantly different, </w:t>
      </w:r>
      <w:r w:rsidRPr="00ED617B">
        <w:rPr>
          <w:rFonts w:ascii="Arial" w:hAnsi="Arial" w:cs="Arial"/>
          <w:bCs/>
          <w:noProof/>
          <w:color w:val="000000" w:themeColor="text1"/>
          <w:sz w:val="16"/>
          <w:szCs w:val="16"/>
        </w:rPr>
        <w:t>** Significant difference at 1% level</w:t>
      </w:r>
    </w:p>
    <w:p w14:paraId="25125B82" w14:textId="77777777" w:rsidR="00ED617B" w:rsidRPr="00ED617B" w:rsidRDefault="00ED617B" w:rsidP="00ED617B">
      <w:pPr>
        <w:jc w:val="both"/>
        <w:rPr>
          <w:rFonts w:ascii="Arial" w:hAnsi="Arial" w:cs="Arial"/>
          <w:noProof/>
          <w:color w:val="000000" w:themeColor="text1"/>
          <w:sz w:val="16"/>
          <w:szCs w:val="16"/>
        </w:rPr>
      </w:pPr>
      <w:r w:rsidRPr="00ED617B">
        <w:rPr>
          <w:rFonts w:ascii="Arial" w:hAnsi="Arial" w:cs="Arial"/>
          <w:noProof/>
          <w:color w:val="000000" w:themeColor="text1"/>
          <w:sz w:val="16"/>
          <w:szCs w:val="16"/>
        </w:rPr>
        <w:t>T</w:t>
      </w:r>
      <w:r w:rsidRPr="00ED617B">
        <w:rPr>
          <w:rFonts w:ascii="Arial" w:hAnsi="Arial" w:cs="Arial"/>
          <w:noProof/>
          <w:color w:val="000000" w:themeColor="text1"/>
          <w:sz w:val="16"/>
          <w:szCs w:val="16"/>
          <w:vertAlign w:val="subscript"/>
        </w:rPr>
        <w:t>1</w:t>
      </w:r>
      <w:r w:rsidRPr="00ED617B">
        <w:rPr>
          <w:rFonts w:ascii="Arial" w:hAnsi="Arial" w:cs="Arial"/>
          <w:noProof/>
          <w:color w:val="000000" w:themeColor="text1"/>
          <w:sz w:val="16"/>
          <w:szCs w:val="16"/>
        </w:rPr>
        <w:t xml:space="preserve"> – (control), T</w:t>
      </w:r>
      <w:r w:rsidRPr="00ED617B">
        <w:rPr>
          <w:rFonts w:ascii="Arial" w:hAnsi="Arial" w:cs="Arial"/>
          <w:noProof/>
          <w:color w:val="000000" w:themeColor="text1"/>
          <w:sz w:val="16"/>
          <w:szCs w:val="16"/>
          <w:vertAlign w:val="subscript"/>
        </w:rPr>
        <w:t>2</w:t>
      </w:r>
      <w:r w:rsidRPr="00ED617B">
        <w:rPr>
          <w:rFonts w:ascii="Arial" w:hAnsi="Arial" w:cs="Arial"/>
          <w:noProof/>
          <w:color w:val="000000" w:themeColor="text1"/>
          <w:sz w:val="16"/>
          <w:szCs w:val="16"/>
        </w:rPr>
        <w:t xml:space="preserve"> – (Organic amendment (OA)), T</w:t>
      </w:r>
      <w:r w:rsidRPr="00ED617B">
        <w:rPr>
          <w:rFonts w:ascii="Arial" w:hAnsi="Arial" w:cs="Arial"/>
          <w:noProof/>
          <w:color w:val="000000" w:themeColor="text1"/>
          <w:sz w:val="16"/>
          <w:szCs w:val="16"/>
          <w:vertAlign w:val="subscript"/>
        </w:rPr>
        <w:t>3</w:t>
      </w:r>
      <w:r w:rsidRPr="00ED617B">
        <w:rPr>
          <w:rFonts w:ascii="Arial" w:hAnsi="Arial" w:cs="Arial"/>
          <w:noProof/>
          <w:color w:val="000000" w:themeColor="text1"/>
          <w:sz w:val="16"/>
          <w:szCs w:val="16"/>
        </w:rPr>
        <w:t xml:space="preserve"> – (100%NPK), T</w:t>
      </w:r>
      <w:r w:rsidRPr="00ED617B">
        <w:rPr>
          <w:rFonts w:ascii="Arial" w:hAnsi="Arial" w:cs="Arial"/>
          <w:noProof/>
          <w:color w:val="000000" w:themeColor="text1"/>
          <w:sz w:val="16"/>
          <w:szCs w:val="16"/>
          <w:vertAlign w:val="subscript"/>
        </w:rPr>
        <w:t>4</w:t>
      </w:r>
      <w:r w:rsidRPr="00ED617B">
        <w:rPr>
          <w:rFonts w:ascii="Arial" w:hAnsi="Arial" w:cs="Arial"/>
          <w:noProof/>
          <w:color w:val="000000" w:themeColor="text1"/>
          <w:sz w:val="16"/>
          <w:szCs w:val="16"/>
        </w:rPr>
        <w:t xml:space="preserve"> – (OA + 50% NPK), T</w:t>
      </w:r>
      <w:r w:rsidRPr="00ED617B">
        <w:rPr>
          <w:rFonts w:ascii="Arial" w:hAnsi="Arial" w:cs="Arial"/>
          <w:noProof/>
          <w:color w:val="000000" w:themeColor="text1"/>
          <w:sz w:val="16"/>
          <w:szCs w:val="16"/>
          <w:vertAlign w:val="subscript"/>
        </w:rPr>
        <w:t>5</w:t>
      </w:r>
      <w:r w:rsidRPr="00ED617B">
        <w:rPr>
          <w:rFonts w:ascii="Arial" w:hAnsi="Arial" w:cs="Arial"/>
          <w:noProof/>
          <w:color w:val="000000" w:themeColor="text1"/>
          <w:sz w:val="16"/>
          <w:szCs w:val="16"/>
        </w:rPr>
        <w:t xml:space="preserve"> – (OA + 75% NPK), T</w:t>
      </w:r>
      <w:r w:rsidRPr="00ED617B">
        <w:rPr>
          <w:rFonts w:ascii="Arial" w:hAnsi="Arial" w:cs="Arial"/>
          <w:noProof/>
          <w:color w:val="000000" w:themeColor="text1"/>
          <w:sz w:val="16"/>
          <w:szCs w:val="16"/>
          <w:vertAlign w:val="subscript"/>
        </w:rPr>
        <w:t>6</w:t>
      </w:r>
      <w:r w:rsidRPr="00ED617B">
        <w:rPr>
          <w:rFonts w:ascii="Arial" w:hAnsi="Arial" w:cs="Arial"/>
          <w:noProof/>
          <w:color w:val="000000" w:themeColor="text1"/>
          <w:sz w:val="16"/>
          <w:szCs w:val="16"/>
        </w:rPr>
        <w:t xml:space="preserve"> – (OA + 100% NPK)</w:t>
      </w:r>
    </w:p>
    <w:p w14:paraId="4B5A4D64" w14:textId="77777777" w:rsidR="00C13684" w:rsidRPr="00380CE0" w:rsidRDefault="00C13684" w:rsidP="00C13684">
      <w:pPr>
        <w:jc w:val="both"/>
        <w:rPr>
          <w:rFonts w:ascii="Arial" w:hAnsi="Arial" w:cs="Arial"/>
          <w:noProof/>
          <w:color w:val="000000" w:themeColor="text1"/>
        </w:rPr>
        <w:sectPr w:rsidR="00C13684" w:rsidRPr="00380CE0" w:rsidSect="003A239A">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2261" w:header="720" w:footer="720" w:gutter="0"/>
          <w:cols w:space="720"/>
          <w:docGrid w:linePitch="360"/>
        </w:sectPr>
      </w:pPr>
    </w:p>
    <w:p w14:paraId="31B90E1B" w14:textId="45D4FFA7" w:rsidR="00C13684" w:rsidRPr="00F42131" w:rsidRDefault="00F42131" w:rsidP="00380CE0">
      <w:pPr>
        <w:spacing w:before="120" w:after="120"/>
        <w:ind w:left="990" w:hanging="990"/>
        <w:jc w:val="both"/>
        <w:rPr>
          <w:rFonts w:ascii="Arial" w:hAnsi="Arial" w:cs="Arial"/>
          <w:b/>
          <w:bCs/>
          <w:color w:val="000000" w:themeColor="text1"/>
        </w:rPr>
      </w:pPr>
      <w:r w:rsidRPr="00F42131">
        <w:rPr>
          <w:rFonts w:ascii="Arial" w:hAnsi="Arial" w:cs="Arial"/>
          <w:b/>
          <w:bCs/>
          <w:color w:val="000000" w:themeColor="text1"/>
        </w:rPr>
        <w:lastRenderedPageBreak/>
        <w:t>3.</w:t>
      </w:r>
      <w:r w:rsidR="00C13684" w:rsidRPr="00F42131">
        <w:rPr>
          <w:rFonts w:ascii="Arial" w:hAnsi="Arial" w:cs="Arial"/>
          <w:b/>
          <w:bCs/>
          <w:color w:val="000000" w:themeColor="text1"/>
        </w:rPr>
        <w:t xml:space="preserve">2.2 Days to </w:t>
      </w:r>
      <w:r w:rsidR="008A311A" w:rsidRPr="008A311A">
        <w:rPr>
          <w:rFonts w:ascii="Arial" w:hAnsi="Arial" w:cs="Arial"/>
          <w:b/>
          <w:bCs/>
          <w:color w:val="000000" w:themeColor="text1"/>
        </w:rPr>
        <w:t>50%</w:t>
      </w:r>
      <w:r w:rsidR="008A311A">
        <w:rPr>
          <w:rFonts w:ascii="Arial" w:hAnsi="Arial" w:cs="Arial"/>
          <w:b/>
          <w:bCs/>
          <w:color w:val="000000" w:themeColor="text1"/>
        </w:rPr>
        <w:t xml:space="preserve"> </w:t>
      </w:r>
      <w:r w:rsidR="00C13684" w:rsidRPr="00F42131">
        <w:rPr>
          <w:rFonts w:ascii="Arial" w:hAnsi="Arial" w:cs="Arial"/>
          <w:b/>
          <w:bCs/>
          <w:color w:val="000000" w:themeColor="text1"/>
        </w:rPr>
        <w:t xml:space="preserve">Tasseling </w:t>
      </w:r>
    </w:p>
    <w:p w14:paraId="235F01CB" w14:textId="1E5206B0" w:rsidR="00C13684" w:rsidRPr="006355D2" w:rsidRDefault="00ED617B" w:rsidP="00380CE0">
      <w:pPr>
        <w:ind w:right="15" w:firstLine="720"/>
        <w:jc w:val="both"/>
        <w:rPr>
          <w:rFonts w:ascii="Arial" w:hAnsi="Arial" w:cs="Arial"/>
          <w:color w:val="000000" w:themeColor="text1"/>
        </w:rPr>
      </w:pPr>
      <w:r w:rsidRPr="00ED617B">
        <w:rPr>
          <w:rFonts w:ascii="Arial" w:hAnsi="Arial" w:cs="Arial"/>
          <w:color w:val="000000" w:themeColor="text1"/>
        </w:rPr>
        <w:t>Days to 50% tasseling</w:t>
      </w:r>
      <w:r w:rsidR="00C13684" w:rsidRPr="006355D2">
        <w:rPr>
          <w:rFonts w:ascii="Arial" w:hAnsi="Arial" w:cs="Arial"/>
          <w:color w:val="000000" w:themeColor="text1"/>
        </w:rPr>
        <w:t xml:space="preserve"> did not differ significantly among treatments, ranging from 61.67 (T</w:t>
      </w:r>
      <w:r w:rsidR="00C13684" w:rsidRPr="006355D2">
        <w:rPr>
          <w:rFonts w:ascii="Cambria Math" w:hAnsi="Cambria Math" w:cs="Cambria Math"/>
          <w:color w:val="000000" w:themeColor="text1"/>
        </w:rPr>
        <w:t>₆</w:t>
      </w:r>
      <w:r w:rsidR="00C13684" w:rsidRPr="006355D2">
        <w:rPr>
          <w:rFonts w:ascii="Arial" w:hAnsi="Arial" w:cs="Arial"/>
          <w:color w:val="000000" w:themeColor="text1"/>
        </w:rPr>
        <w:t>) to 65.08 (T</w:t>
      </w:r>
      <w:r w:rsidR="00C13684" w:rsidRPr="006355D2">
        <w:rPr>
          <w:rFonts w:ascii="Cambria Math" w:hAnsi="Cambria Math" w:cs="Cambria Math"/>
          <w:color w:val="000000" w:themeColor="text1"/>
        </w:rPr>
        <w:t>₁</w:t>
      </w:r>
      <w:r w:rsidR="00C13684" w:rsidRPr="006355D2">
        <w:rPr>
          <w:rFonts w:ascii="Arial" w:hAnsi="Arial" w:cs="Arial"/>
          <w:color w:val="000000" w:themeColor="text1"/>
        </w:rPr>
        <w:t xml:space="preserve">) days (Table </w:t>
      </w:r>
      <w:r w:rsidR="009E4FEF">
        <w:rPr>
          <w:rFonts w:ascii="Arial" w:hAnsi="Arial" w:cs="Arial"/>
          <w:color w:val="000000" w:themeColor="text1"/>
        </w:rPr>
        <w:t>6</w:t>
      </w:r>
      <w:r w:rsidR="00C13684" w:rsidRPr="006355D2">
        <w:rPr>
          <w:rFonts w:ascii="Arial" w:hAnsi="Arial" w:cs="Arial"/>
          <w:color w:val="000000" w:themeColor="text1"/>
        </w:rPr>
        <w:t xml:space="preserve">). This indicates that photoperiod and temperature </w:t>
      </w:r>
      <w:r w:rsidR="00475DC5" w:rsidRPr="006355D2">
        <w:rPr>
          <w:rFonts w:ascii="Arial" w:hAnsi="Arial" w:cs="Arial"/>
          <w:color w:val="000000" w:themeColor="text1"/>
        </w:rPr>
        <w:t>dominate</w:t>
      </w:r>
      <w:r w:rsidR="00C13684" w:rsidRPr="006355D2">
        <w:rPr>
          <w:rFonts w:ascii="Arial" w:hAnsi="Arial" w:cs="Arial"/>
          <w:color w:val="000000" w:themeColor="text1"/>
        </w:rPr>
        <w:t xml:space="preserve"> nutrient effects on tasseling under monsoon conditions (Hatfield &amp; </w:t>
      </w:r>
      <w:proofErr w:type="spellStart"/>
      <w:r w:rsidR="00C13684" w:rsidRPr="006355D2">
        <w:rPr>
          <w:rFonts w:ascii="Arial" w:hAnsi="Arial" w:cs="Arial"/>
          <w:color w:val="000000" w:themeColor="text1"/>
        </w:rPr>
        <w:t>Prueger</w:t>
      </w:r>
      <w:proofErr w:type="spellEnd"/>
      <w:r w:rsidR="00C13684" w:rsidRPr="006355D2">
        <w:rPr>
          <w:rFonts w:ascii="Arial" w:hAnsi="Arial" w:cs="Arial"/>
          <w:color w:val="000000" w:themeColor="text1"/>
        </w:rPr>
        <w:t>, 2015). In stable environments, developmental timing is governed by genetic and photoperiodic factors, whereas in variable conditions, nutrient supply becomes a key driver (Pixley &amp; Bjarnason, 1993).</w:t>
      </w:r>
    </w:p>
    <w:p w14:paraId="0ED49660" w14:textId="132AD2A7" w:rsidR="00C13684" w:rsidRPr="00F42131" w:rsidRDefault="00F42131" w:rsidP="00380CE0">
      <w:pPr>
        <w:spacing w:before="120" w:after="120"/>
        <w:ind w:left="990" w:hanging="990"/>
        <w:jc w:val="both"/>
        <w:rPr>
          <w:rFonts w:ascii="Arial" w:hAnsi="Arial" w:cs="Arial"/>
          <w:b/>
          <w:bCs/>
          <w:color w:val="000000" w:themeColor="text1"/>
        </w:rPr>
      </w:pPr>
      <w:r w:rsidRPr="00F42131">
        <w:rPr>
          <w:rFonts w:ascii="Arial" w:hAnsi="Arial" w:cs="Arial"/>
          <w:b/>
          <w:bCs/>
          <w:color w:val="000000" w:themeColor="text1"/>
        </w:rPr>
        <w:t>3.</w:t>
      </w:r>
      <w:r w:rsidR="00C13684" w:rsidRPr="00F42131">
        <w:rPr>
          <w:rFonts w:ascii="Arial" w:hAnsi="Arial" w:cs="Arial"/>
          <w:b/>
          <w:bCs/>
          <w:color w:val="000000" w:themeColor="text1"/>
        </w:rPr>
        <w:t xml:space="preserve">2.3 Days to </w:t>
      </w:r>
      <w:r w:rsidR="00707275">
        <w:rPr>
          <w:rFonts w:ascii="Arial" w:hAnsi="Arial" w:cs="Arial"/>
          <w:b/>
          <w:bCs/>
          <w:color w:val="000000" w:themeColor="text1"/>
        </w:rPr>
        <w:t xml:space="preserve">50% </w:t>
      </w:r>
      <w:r w:rsidR="00C13684" w:rsidRPr="00F42131">
        <w:rPr>
          <w:rFonts w:ascii="Arial" w:hAnsi="Arial" w:cs="Arial"/>
          <w:b/>
          <w:bCs/>
          <w:color w:val="000000" w:themeColor="text1"/>
        </w:rPr>
        <w:t xml:space="preserve">Silking </w:t>
      </w:r>
    </w:p>
    <w:p w14:paraId="0C999B3F" w14:textId="0D10D798" w:rsidR="00C13684" w:rsidRPr="006355D2" w:rsidRDefault="00ED617B" w:rsidP="00380CE0">
      <w:pPr>
        <w:ind w:right="15" w:firstLine="720"/>
        <w:jc w:val="both"/>
        <w:rPr>
          <w:rFonts w:ascii="Arial" w:hAnsi="Arial" w:cs="Arial"/>
          <w:color w:val="000000" w:themeColor="text1"/>
        </w:rPr>
      </w:pPr>
      <w:r w:rsidRPr="00ED617B">
        <w:rPr>
          <w:rFonts w:ascii="Arial" w:hAnsi="Arial" w:cs="Arial"/>
          <w:color w:val="000000" w:themeColor="text1"/>
        </w:rPr>
        <w:t xml:space="preserve">Days to 50% </w:t>
      </w:r>
      <w:r>
        <w:rPr>
          <w:rFonts w:ascii="Arial" w:hAnsi="Arial" w:cs="Arial"/>
          <w:color w:val="000000" w:themeColor="text1"/>
        </w:rPr>
        <w:t>s</w:t>
      </w:r>
      <w:r w:rsidRPr="00ED617B">
        <w:rPr>
          <w:rFonts w:ascii="Arial" w:hAnsi="Arial" w:cs="Arial"/>
          <w:color w:val="000000" w:themeColor="text1"/>
        </w:rPr>
        <w:t>ilking</w:t>
      </w:r>
      <w:r w:rsidR="00C13684" w:rsidRPr="006355D2">
        <w:rPr>
          <w:rFonts w:ascii="Arial" w:hAnsi="Arial" w:cs="Arial"/>
          <w:color w:val="000000" w:themeColor="text1"/>
        </w:rPr>
        <w:t xml:space="preserve"> was earliest in T</w:t>
      </w:r>
      <w:r w:rsidR="00C13684" w:rsidRPr="006355D2">
        <w:rPr>
          <w:rFonts w:ascii="Cambria Math" w:hAnsi="Cambria Math" w:cs="Cambria Math"/>
          <w:color w:val="000000" w:themeColor="text1"/>
        </w:rPr>
        <w:t>₆</w:t>
      </w:r>
      <w:r w:rsidR="00C13684" w:rsidRPr="006355D2">
        <w:rPr>
          <w:rFonts w:ascii="Arial" w:hAnsi="Arial" w:cs="Arial"/>
          <w:color w:val="000000" w:themeColor="text1"/>
        </w:rPr>
        <w:t xml:space="preserve"> (66.75 days) and latest in T</w:t>
      </w:r>
      <w:r w:rsidR="00C13684" w:rsidRPr="006355D2">
        <w:rPr>
          <w:rFonts w:ascii="Cambria Math" w:hAnsi="Cambria Math" w:cs="Cambria Math"/>
          <w:color w:val="000000" w:themeColor="text1"/>
        </w:rPr>
        <w:t>₁</w:t>
      </w:r>
      <w:r w:rsidR="00C13684" w:rsidRPr="006355D2">
        <w:rPr>
          <w:rFonts w:ascii="Arial" w:hAnsi="Arial" w:cs="Arial"/>
          <w:color w:val="000000" w:themeColor="text1"/>
        </w:rPr>
        <w:t xml:space="preserve"> (73.42 days). T</w:t>
      </w:r>
      <w:r w:rsidR="00C13684" w:rsidRPr="006355D2">
        <w:rPr>
          <w:rFonts w:ascii="Cambria Math" w:hAnsi="Cambria Math" w:cs="Cambria Math"/>
          <w:color w:val="000000" w:themeColor="text1"/>
        </w:rPr>
        <w:t>₆</w:t>
      </w:r>
      <w:r w:rsidR="00C13684" w:rsidRPr="006355D2">
        <w:rPr>
          <w:rFonts w:ascii="Arial" w:hAnsi="Arial" w:cs="Arial"/>
          <w:color w:val="000000" w:themeColor="text1"/>
        </w:rPr>
        <w:t>’s advantage suggests improved water and nutrient uptake efficiency under high rainfall, likely due to enhanced root-soil contact and hydraulic conductivity (Lynch, 2019). OA improves soil structure and porosity, facilitating root penetration and function even under waterlogged conditions (Dwivedi &amp; Dwivedi, 2015).</w:t>
      </w:r>
    </w:p>
    <w:p w14:paraId="7BE58677" w14:textId="59BD8294" w:rsidR="00C13684" w:rsidRPr="00F42131" w:rsidRDefault="00F42131" w:rsidP="00380CE0">
      <w:pPr>
        <w:spacing w:before="120" w:after="120"/>
        <w:ind w:left="990" w:hanging="990"/>
        <w:jc w:val="both"/>
        <w:rPr>
          <w:rFonts w:ascii="Arial" w:hAnsi="Arial" w:cs="Arial"/>
          <w:b/>
          <w:bCs/>
          <w:color w:val="000000" w:themeColor="text1"/>
        </w:rPr>
      </w:pPr>
      <w:r w:rsidRPr="00F42131">
        <w:rPr>
          <w:rFonts w:ascii="Arial" w:hAnsi="Arial" w:cs="Arial"/>
          <w:b/>
          <w:bCs/>
          <w:color w:val="000000" w:themeColor="text1"/>
        </w:rPr>
        <w:t>3.</w:t>
      </w:r>
      <w:r w:rsidR="00C13684" w:rsidRPr="00F42131">
        <w:rPr>
          <w:rFonts w:ascii="Arial" w:hAnsi="Arial" w:cs="Arial"/>
          <w:b/>
          <w:bCs/>
          <w:color w:val="000000" w:themeColor="text1"/>
        </w:rPr>
        <w:t>2.4 Ear Height, Ear Length, Row Length, and Ear Diameter</w:t>
      </w:r>
    </w:p>
    <w:p w14:paraId="5B91BB57" w14:textId="0475E7D5" w:rsidR="00ED617B" w:rsidRDefault="00ED617B" w:rsidP="00ED617B">
      <w:pPr>
        <w:spacing w:before="120" w:after="120"/>
        <w:ind w:firstLine="720"/>
        <w:jc w:val="both"/>
        <w:rPr>
          <w:rFonts w:ascii="Arial" w:hAnsi="Arial" w:cs="Arial"/>
          <w:color w:val="000000" w:themeColor="text1"/>
        </w:rPr>
      </w:pPr>
      <w:r w:rsidRPr="00ED617B">
        <w:rPr>
          <w:rFonts w:ascii="Arial" w:hAnsi="Arial" w:cs="Arial"/>
          <w:color w:val="000000" w:themeColor="text1"/>
        </w:rPr>
        <w:t>Ear height was highest in treatment T</w:t>
      </w:r>
      <w:r w:rsidRPr="00ED617B">
        <w:rPr>
          <w:rFonts w:ascii="Cambria Math" w:hAnsi="Cambria Math" w:cs="Cambria Math"/>
          <w:color w:val="000000" w:themeColor="text1"/>
        </w:rPr>
        <w:t>₆</w:t>
      </w:r>
      <w:r w:rsidRPr="00ED617B">
        <w:rPr>
          <w:rFonts w:ascii="Arial" w:hAnsi="Arial" w:cs="Arial"/>
          <w:color w:val="000000" w:themeColor="text1"/>
        </w:rPr>
        <w:t xml:space="preserve"> (98.80 cm), followed by T</w:t>
      </w:r>
      <w:r w:rsidRPr="00ED617B">
        <w:rPr>
          <w:rFonts w:ascii="Cambria Math" w:hAnsi="Cambria Math" w:cs="Cambria Math"/>
          <w:color w:val="000000" w:themeColor="text1"/>
        </w:rPr>
        <w:t>₃</w:t>
      </w:r>
      <w:r w:rsidRPr="00ED617B">
        <w:rPr>
          <w:rFonts w:ascii="Arial" w:hAnsi="Arial" w:cs="Arial"/>
          <w:color w:val="000000" w:themeColor="text1"/>
        </w:rPr>
        <w:t xml:space="preserve"> (93.93 cm). Similarly, ear length, row length, and ear diameter were greater in T</w:t>
      </w:r>
      <w:r w:rsidRPr="00ED617B">
        <w:rPr>
          <w:rFonts w:ascii="Cambria Math" w:hAnsi="Cambria Math" w:cs="Cambria Math"/>
          <w:color w:val="000000" w:themeColor="text1"/>
        </w:rPr>
        <w:t>₆</w:t>
      </w:r>
      <w:r w:rsidRPr="00ED617B">
        <w:rPr>
          <w:rFonts w:ascii="Arial" w:hAnsi="Arial" w:cs="Arial"/>
          <w:color w:val="000000" w:themeColor="text1"/>
        </w:rPr>
        <w:t xml:space="preserve"> (15.91 cm, 14.59 cm, and 3.91 cm, respectively) compared to T</w:t>
      </w:r>
      <w:r w:rsidRPr="00ED617B">
        <w:rPr>
          <w:rFonts w:ascii="Cambria Math" w:hAnsi="Cambria Math" w:cs="Cambria Math"/>
          <w:color w:val="000000" w:themeColor="text1"/>
        </w:rPr>
        <w:t>₃</w:t>
      </w:r>
      <w:r w:rsidRPr="00ED617B">
        <w:rPr>
          <w:rFonts w:ascii="Arial" w:hAnsi="Arial" w:cs="Arial"/>
          <w:color w:val="000000" w:themeColor="text1"/>
        </w:rPr>
        <w:t xml:space="preserve"> (14.89 cm, 13.41 cm, and 3.76 cm, respectively). The consistent performance advantage of T</w:t>
      </w:r>
      <w:r w:rsidRPr="00ED617B">
        <w:rPr>
          <w:rFonts w:ascii="Cambria Math" w:hAnsi="Cambria Math" w:cs="Cambria Math"/>
          <w:color w:val="000000" w:themeColor="text1"/>
        </w:rPr>
        <w:t>₆</w:t>
      </w:r>
      <w:r w:rsidRPr="00ED617B">
        <w:rPr>
          <w:rFonts w:ascii="Arial" w:hAnsi="Arial" w:cs="Arial"/>
          <w:color w:val="000000" w:themeColor="text1"/>
        </w:rPr>
        <w:t xml:space="preserve"> over T</w:t>
      </w:r>
      <w:r w:rsidRPr="00ED617B">
        <w:rPr>
          <w:rFonts w:ascii="Cambria Math" w:hAnsi="Cambria Math" w:cs="Cambria Math"/>
          <w:color w:val="000000" w:themeColor="text1"/>
        </w:rPr>
        <w:t>₃</w:t>
      </w:r>
      <w:r w:rsidRPr="00ED617B">
        <w:rPr>
          <w:rFonts w:ascii="Arial" w:hAnsi="Arial" w:cs="Arial"/>
          <w:color w:val="000000" w:themeColor="text1"/>
        </w:rPr>
        <w:t xml:space="preserve"> indicates the beneficial role of organic amendments (OA) in supporting plant growth, particularly under conditions prone to nutrient leaching. Organic amendments improve soil physical properties such as structure, water retention, and cation exchange capacity (CEC), which enhance root function and nutrient availability during critical reproductive stages (Dwivedi &amp; Dwivedi, 2015). The larger ear diameter observed in T</w:t>
      </w:r>
      <w:r w:rsidRPr="00ED617B">
        <w:rPr>
          <w:rFonts w:ascii="Cambria Math" w:hAnsi="Cambria Math" w:cs="Cambria Math"/>
          <w:color w:val="000000" w:themeColor="text1"/>
        </w:rPr>
        <w:t>₆</w:t>
      </w:r>
      <w:r w:rsidRPr="00ED617B">
        <w:rPr>
          <w:rFonts w:ascii="Arial" w:hAnsi="Arial" w:cs="Arial"/>
          <w:color w:val="000000" w:themeColor="text1"/>
        </w:rPr>
        <w:t xml:space="preserve"> suggests improved radial expansion of the ear, which may be linked to better potassium availability and more favorable plant water status</w:t>
      </w:r>
      <w:r>
        <w:rPr>
          <w:rFonts w:ascii="Arial" w:hAnsi="Arial" w:cs="Arial"/>
          <w:color w:val="000000" w:themeColor="text1"/>
        </w:rPr>
        <w:t xml:space="preserve"> </w:t>
      </w:r>
      <w:r w:rsidRPr="00ED617B">
        <w:rPr>
          <w:rFonts w:ascii="Arial" w:hAnsi="Arial" w:cs="Arial"/>
          <w:color w:val="000000" w:themeColor="text1"/>
        </w:rPr>
        <w:t xml:space="preserve">factors known to influence cell expansion and assimilate delivery to developing kernels (Rawat, </w:t>
      </w:r>
      <w:proofErr w:type="spellStart"/>
      <w:r w:rsidRPr="00ED617B">
        <w:rPr>
          <w:rFonts w:ascii="Arial" w:hAnsi="Arial" w:cs="Arial"/>
          <w:color w:val="000000" w:themeColor="text1"/>
        </w:rPr>
        <w:t>Sanwal</w:t>
      </w:r>
      <w:proofErr w:type="spellEnd"/>
      <w:r w:rsidRPr="00ED617B">
        <w:rPr>
          <w:rFonts w:ascii="Arial" w:hAnsi="Arial" w:cs="Arial"/>
          <w:color w:val="000000" w:themeColor="text1"/>
        </w:rPr>
        <w:t xml:space="preserve"> &amp; Saxena, 2016). These results demonstrate that integrated nutrient management with OA can promote stronger reproductive development, even in challenging environments.</w:t>
      </w:r>
    </w:p>
    <w:p w14:paraId="72E59912" w14:textId="1E90332E" w:rsidR="00C13684" w:rsidRPr="006355D2" w:rsidRDefault="00C13684" w:rsidP="00801D01">
      <w:pPr>
        <w:spacing w:before="120" w:after="120"/>
        <w:ind w:left="990" w:hanging="990"/>
        <w:jc w:val="both"/>
        <w:rPr>
          <w:rFonts w:ascii="Arial" w:hAnsi="Arial" w:cs="Arial"/>
          <w:b/>
          <w:bCs/>
          <w:color w:val="000000" w:themeColor="text1"/>
        </w:rPr>
      </w:pPr>
      <w:r w:rsidRPr="006355D2">
        <w:rPr>
          <w:rFonts w:ascii="Arial" w:hAnsi="Arial" w:cs="Arial"/>
          <w:b/>
          <w:bCs/>
          <w:color w:val="000000" w:themeColor="text1"/>
        </w:rPr>
        <w:t xml:space="preserve">Table </w:t>
      </w:r>
      <w:r w:rsidR="009E4FEF">
        <w:rPr>
          <w:rFonts w:ascii="Arial" w:hAnsi="Arial" w:cs="Arial"/>
          <w:b/>
          <w:bCs/>
          <w:color w:val="000000" w:themeColor="text1"/>
        </w:rPr>
        <w:t>6</w:t>
      </w:r>
      <w:r w:rsidRPr="006355D2">
        <w:rPr>
          <w:rFonts w:ascii="Arial" w:hAnsi="Arial" w:cs="Arial"/>
          <w:b/>
          <w:bCs/>
          <w:color w:val="000000" w:themeColor="text1"/>
        </w:rPr>
        <w:t xml:space="preserve">.  Mean effect of organic amendment and inorganic fertilizers on agronomic characters of maize </w:t>
      </w:r>
      <w:r w:rsidR="009701C0">
        <w:rPr>
          <w:rFonts w:ascii="Arial" w:hAnsi="Arial" w:cs="Arial"/>
          <w:b/>
          <w:bCs/>
          <w:color w:val="000000" w:themeColor="text1"/>
        </w:rPr>
        <w:t>during the monsoon experiment.</w:t>
      </w:r>
    </w:p>
    <w:tbl>
      <w:tblPr>
        <w:tblW w:w="4865" w:type="pct"/>
        <w:tblLook w:val="04A0" w:firstRow="1" w:lastRow="0" w:firstColumn="1" w:lastColumn="0" w:noHBand="0" w:noVBand="1"/>
      </w:tblPr>
      <w:tblGrid>
        <w:gridCol w:w="1397"/>
        <w:gridCol w:w="755"/>
        <w:gridCol w:w="226"/>
        <w:gridCol w:w="757"/>
        <w:gridCol w:w="341"/>
        <w:gridCol w:w="757"/>
        <w:gridCol w:w="341"/>
        <w:gridCol w:w="757"/>
        <w:gridCol w:w="446"/>
        <w:gridCol w:w="757"/>
        <w:gridCol w:w="446"/>
        <w:gridCol w:w="875"/>
        <w:gridCol w:w="339"/>
      </w:tblGrid>
      <w:tr w:rsidR="00801D01" w:rsidRPr="00801D01" w14:paraId="2CB189D6" w14:textId="77777777" w:rsidTr="007C49E7">
        <w:trPr>
          <w:trHeight w:val="259"/>
        </w:trPr>
        <w:tc>
          <w:tcPr>
            <w:tcW w:w="852" w:type="pct"/>
            <w:vMerge w:val="restart"/>
            <w:tcBorders>
              <w:top w:val="single" w:sz="8" w:space="0" w:color="auto"/>
              <w:left w:val="nil"/>
              <w:bottom w:val="single" w:sz="4" w:space="0" w:color="auto"/>
              <w:right w:val="nil"/>
            </w:tcBorders>
            <w:noWrap/>
            <w:vAlign w:val="center"/>
            <w:hideMark/>
          </w:tcPr>
          <w:p w14:paraId="6D2E444B" w14:textId="77777777" w:rsidR="00C13684" w:rsidRPr="00801D01" w:rsidRDefault="00C13684" w:rsidP="00801D01">
            <w:pPr>
              <w:ind w:right="15"/>
              <w:jc w:val="center"/>
              <w:rPr>
                <w:rFonts w:ascii="Arial" w:hAnsi="Arial" w:cs="Arial"/>
                <w:b/>
                <w:bCs/>
                <w:color w:val="000000" w:themeColor="text1"/>
                <w:sz w:val="16"/>
                <w:szCs w:val="16"/>
              </w:rPr>
            </w:pPr>
            <w:r w:rsidRPr="00801D01">
              <w:rPr>
                <w:rFonts w:ascii="Arial" w:hAnsi="Arial" w:cs="Arial"/>
                <w:b/>
                <w:bCs/>
                <w:color w:val="000000" w:themeColor="text1"/>
                <w:sz w:val="16"/>
                <w:szCs w:val="16"/>
              </w:rPr>
              <w:t>Treatments</w:t>
            </w:r>
          </w:p>
        </w:tc>
        <w:tc>
          <w:tcPr>
            <w:tcW w:w="599" w:type="pct"/>
            <w:gridSpan w:val="2"/>
            <w:vMerge w:val="restart"/>
            <w:tcBorders>
              <w:top w:val="single" w:sz="8" w:space="0" w:color="auto"/>
              <w:left w:val="nil"/>
              <w:bottom w:val="single" w:sz="4" w:space="0" w:color="000000"/>
              <w:right w:val="nil"/>
            </w:tcBorders>
            <w:vAlign w:val="center"/>
            <w:hideMark/>
          </w:tcPr>
          <w:p w14:paraId="22FEDBB9" w14:textId="77777777" w:rsidR="00C13684" w:rsidRPr="00801D01" w:rsidRDefault="00C13684" w:rsidP="00801D01">
            <w:pPr>
              <w:ind w:right="15"/>
              <w:jc w:val="center"/>
              <w:rPr>
                <w:rFonts w:ascii="Arial" w:hAnsi="Arial" w:cs="Arial"/>
                <w:b/>
                <w:bCs/>
                <w:color w:val="000000" w:themeColor="text1"/>
                <w:sz w:val="16"/>
                <w:szCs w:val="16"/>
              </w:rPr>
            </w:pPr>
            <w:r w:rsidRPr="00801D01">
              <w:rPr>
                <w:rFonts w:ascii="Arial" w:hAnsi="Arial" w:cs="Arial"/>
                <w:b/>
                <w:bCs/>
                <w:color w:val="000000" w:themeColor="text1"/>
                <w:sz w:val="16"/>
                <w:szCs w:val="16"/>
              </w:rPr>
              <w:t>DA</w:t>
            </w:r>
          </w:p>
        </w:tc>
        <w:tc>
          <w:tcPr>
            <w:tcW w:w="670" w:type="pct"/>
            <w:gridSpan w:val="2"/>
            <w:vMerge w:val="restart"/>
            <w:tcBorders>
              <w:top w:val="single" w:sz="8" w:space="0" w:color="auto"/>
              <w:left w:val="nil"/>
              <w:bottom w:val="single" w:sz="4" w:space="0" w:color="000000"/>
              <w:right w:val="nil"/>
            </w:tcBorders>
            <w:noWrap/>
            <w:vAlign w:val="center"/>
            <w:hideMark/>
          </w:tcPr>
          <w:p w14:paraId="26400008" w14:textId="77777777" w:rsidR="00C13684" w:rsidRPr="00801D01" w:rsidRDefault="00C13684" w:rsidP="00801D01">
            <w:pPr>
              <w:ind w:right="15"/>
              <w:jc w:val="center"/>
              <w:rPr>
                <w:rFonts w:ascii="Arial" w:hAnsi="Arial" w:cs="Arial"/>
                <w:b/>
                <w:bCs/>
                <w:color w:val="000000" w:themeColor="text1"/>
                <w:sz w:val="16"/>
                <w:szCs w:val="16"/>
              </w:rPr>
            </w:pPr>
            <w:r w:rsidRPr="00801D01">
              <w:rPr>
                <w:rFonts w:ascii="Arial" w:hAnsi="Arial" w:cs="Arial"/>
                <w:b/>
                <w:bCs/>
                <w:color w:val="000000" w:themeColor="text1"/>
                <w:sz w:val="16"/>
                <w:szCs w:val="16"/>
              </w:rPr>
              <w:t>DS</w:t>
            </w:r>
          </w:p>
        </w:tc>
        <w:tc>
          <w:tcPr>
            <w:tcW w:w="670" w:type="pct"/>
            <w:gridSpan w:val="2"/>
            <w:vMerge w:val="restart"/>
            <w:tcBorders>
              <w:top w:val="single" w:sz="8" w:space="0" w:color="auto"/>
              <w:left w:val="nil"/>
              <w:bottom w:val="single" w:sz="4" w:space="0" w:color="000000"/>
              <w:right w:val="nil"/>
            </w:tcBorders>
            <w:noWrap/>
            <w:vAlign w:val="center"/>
            <w:hideMark/>
          </w:tcPr>
          <w:p w14:paraId="004DF2C0" w14:textId="77777777" w:rsidR="00C13684" w:rsidRPr="00801D01" w:rsidRDefault="00C13684" w:rsidP="00801D01">
            <w:pPr>
              <w:ind w:right="15"/>
              <w:jc w:val="center"/>
              <w:rPr>
                <w:rFonts w:ascii="Arial" w:hAnsi="Arial" w:cs="Arial"/>
                <w:b/>
                <w:bCs/>
                <w:color w:val="000000" w:themeColor="text1"/>
                <w:sz w:val="16"/>
                <w:szCs w:val="16"/>
              </w:rPr>
            </w:pPr>
            <w:r w:rsidRPr="00801D01">
              <w:rPr>
                <w:rFonts w:ascii="Arial" w:hAnsi="Arial" w:cs="Arial"/>
                <w:b/>
                <w:bCs/>
                <w:color w:val="000000" w:themeColor="text1"/>
                <w:sz w:val="16"/>
                <w:szCs w:val="16"/>
              </w:rPr>
              <w:t>EH</w:t>
            </w:r>
          </w:p>
        </w:tc>
        <w:tc>
          <w:tcPr>
            <w:tcW w:w="734" w:type="pct"/>
            <w:gridSpan w:val="2"/>
            <w:vMerge w:val="restart"/>
            <w:tcBorders>
              <w:top w:val="single" w:sz="8" w:space="0" w:color="auto"/>
              <w:left w:val="nil"/>
              <w:bottom w:val="single" w:sz="4" w:space="0" w:color="000000"/>
              <w:right w:val="nil"/>
            </w:tcBorders>
            <w:noWrap/>
            <w:vAlign w:val="center"/>
            <w:hideMark/>
          </w:tcPr>
          <w:p w14:paraId="496659EF" w14:textId="77777777" w:rsidR="00C13684" w:rsidRPr="00801D01" w:rsidRDefault="00C13684" w:rsidP="00801D01">
            <w:pPr>
              <w:ind w:right="15"/>
              <w:jc w:val="center"/>
              <w:rPr>
                <w:rFonts w:ascii="Arial" w:hAnsi="Arial" w:cs="Arial"/>
                <w:b/>
                <w:bCs/>
                <w:color w:val="000000" w:themeColor="text1"/>
                <w:sz w:val="16"/>
                <w:szCs w:val="16"/>
              </w:rPr>
            </w:pPr>
            <w:r w:rsidRPr="00801D01">
              <w:rPr>
                <w:rFonts w:ascii="Arial" w:hAnsi="Arial" w:cs="Arial"/>
                <w:b/>
                <w:bCs/>
                <w:color w:val="000000" w:themeColor="text1"/>
                <w:sz w:val="16"/>
                <w:szCs w:val="16"/>
              </w:rPr>
              <w:t>EL</w:t>
            </w:r>
          </w:p>
        </w:tc>
        <w:tc>
          <w:tcPr>
            <w:tcW w:w="734" w:type="pct"/>
            <w:gridSpan w:val="2"/>
            <w:vMerge w:val="restart"/>
            <w:tcBorders>
              <w:top w:val="single" w:sz="8" w:space="0" w:color="auto"/>
              <w:left w:val="nil"/>
              <w:bottom w:val="single" w:sz="4" w:space="0" w:color="000000"/>
              <w:right w:val="nil"/>
            </w:tcBorders>
            <w:noWrap/>
            <w:vAlign w:val="center"/>
            <w:hideMark/>
          </w:tcPr>
          <w:p w14:paraId="769509C7" w14:textId="77777777" w:rsidR="00C13684" w:rsidRPr="00801D01" w:rsidRDefault="00C13684" w:rsidP="00801D01">
            <w:pPr>
              <w:ind w:right="15"/>
              <w:jc w:val="center"/>
              <w:rPr>
                <w:rFonts w:ascii="Arial" w:hAnsi="Arial" w:cs="Arial"/>
                <w:b/>
                <w:bCs/>
                <w:color w:val="000000" w:themeColor="text1"/>
                <w:sz w:val="16"/>
                <w:szCs w:val="16"/>
              </w:rPr>
            </w:pPr>
            <w:r w:rsidRPr="00801D01">
              <w:rPr>
                <w:rFonts w:ascii="Arial" w:hAnsi="Arial" w:cs="Arial"/>
                <w:b/>
                <w:bCs/>
                <w:color w:val="000000" w:themeColor="text1"/>
                <w:sz w:val="16"/>
                <w:szCs w:val="16"/>
              </w:rPr>
              <w:t>RL</w:t>
            </w:r>
          </w:p>
        </w:tc>
        <w:tc>
          <w:tcPr>
            <w:tcW w:w="741" w:type="pct"/>
            <w:gridSpan w:val="2"/>
            <w:vMerge w:val="restart"/>
            <w:tcBorders>
              <w:top w:val="single" w:sz="8" w:space="0" w:color="auto"/>
              <w:left w:val="nil"/>
              <w:bottom w:val="single" w:sz="4" w:space="0" w:color="000000"/>
              <w:right w:val="nil"/>
            </w:tcBorders>
            <w:noWrap/>
            <w:vAlign w:val="center"/>
            <w:hideMark/>
          </w:tcPr>
          <w:p w14:paraId="4EA50B5B" w14:textId="77777777" w:rsidR="00C13684" w:rsidRPr="00801D01" w:rsidRDefault="00C13684" w:rsidP="00801D01">
            <w:pPr>
              <w:ind w:right="15"/>
              <w:jc w:val="center"/>
              <w:rPr>
                <w:rFonts w:ascii="Arial" w:hAnsi="Arial" w:cs="Arial"/>
                <w:b/>
                <w:bCs/>
                <w:color w:val="000000" w:themeColor="text1"/>
                <w:sz w:val="16"/>
                <w:szCs w:val="16"/>
              </w:rPr>
            </w:pPr>
            <w:r w:rsidRPr="00801D01">
              <w:rPr>
                <w:rFonts w:ascii="Arial" w:hAnsi="Arial" w:cs="Arial"/>
                <w:b/>
                <w:bCs/>
                <w:color w:val="000000" w:themeColor="text1"/>
                <w:sz w:val="16"/>
                <w:szCs w:val="16"/>
              </w:rPr>
              <w:t>ED</w:t>
            </w:r>
          </w:p>
        </w:tc>
      </w:tr>
      <w:tr w:rsidR="00801D01" w:rsidRPr="00801D01" w14:paraId="6AA8B677" w14:textId="77777777" w:rsidTr="007C49E7">
        <w:trPr>
          <w:trHeight w:val="259"/>
        </w:trPr>
        <w:tc>
          <w:tcPr>
            <w:tcW w:w="852" w:type="pct"/>
            <w:vMerge/>
            <w:tcBorders>
              <w:top w:val="single" w:sz="8" w:space="0" w:color="auto"/>
              <w:left w:val="nil"/>
              <w:bottom w:val="single" w:sz="4" w:space="0" w:color="auto"/>
              <w:right w:val="nil"/>
            </w:tcBorders>
            <w:vAlign w:val="center"/>
            <w:hideMark/>
          </w:tcPr>
          <w:p w14:paraId="3201A02C" w14:textId="77777777" w:rsidR="00C13684" w:rsidRPr="00801D01" w:rsidRDefault="00C13684" w:rsidP="00801D01">
            <w:pPr>
              <w:ind w:right="15"/>
              <w:jc w:val="center"/>
              <w:rPr>
                <w:rFonts w:ascii="Arial" w:hAnsi="Arial" w:cs="Arial"/>
                <w:b/>
                <w:bCs/>
                <w:color w:val="000000" w:themeColor="text1"/>
                <w:sz w:val="16"/>
                <w:szCs w:val="16"/>
              </w:rPr>
            </w:pPr>
          </w:p>
        </w:tc>
        <w:tc>
          <w:tcPr>
            <w:tcW w:w="599" w:type="pct"/>
            <w:gridSpan w:val="2"/>
            <w:vMerge/>
            <w:tcBorders>
              <w:top w:val="single" w:sz="8" w:space="0" w:color="auto"/>
              <w:left w:val="nil"/>
              <w:bottom w:val="single" w:sz="4" w:space="0" w:color="000000"/>
              <w:right w:val="nil"/>
            </w:tcBorders>
            <w:vAlign w:val="center"/>
            <w:hideMark/>
          </w:tcPr>
          <w:p w14:paraId="036A9221" w14:textId="77777777" w:rsidR="00C13684" w:rsidRPr="00801D01" w:rsidRDefault="00C13684" w:rsidP="00801D01">
            <w:pPr>
              <w:ind w:right="15"/>
              <w:jc w:val="center"/>
              <w:rPr>
                <w:rFonts w:ascii="Arial" w:hAnsi="Arial" w:cs="Arial"/>
                <w:b/>
                <w:bCs/>
                <w:color w:val="000000" w:themeColor="text1"/>
                <w:sz w:val="16"/>
                <w:szCs w:val="16"/>
              </w:rPr>
            </w:pPr>
          </w:p>
        </w:tc>
        <w:tc>
          <w:tcPr>
            <w:tcW w:w="670" w:type="pct"/>
            <w:gridSpan w:val="2"/>
            <w:vMerge/>
            <w:tcBorders>
              <w:top w:val="single" w:sz="8" w:space="0" w:color="auto"/>
              <w:left w:val="nil"/>
              <w:bottom w:val="single" w:sz="4" w:space="0" w:color="000000"/>
              <w:right w:val="nil"/>
            </w:tcBorders>
            <w:vAlign w:val="center"/>
            <w:hideMark/>
          </w:tcPr>
          <w:p w14:paraId="2A749CCF" w14:textId="77777777" w:rsidR="00C13684" w:rsidRPr="00801D01" w:rsidRDefault="00C13684" w:rsidP="00801D01">
            <w:pPr>
              <w:ind w:right="15"/>
              <w:jc w:val="center"/>
              <w:rPr>
                <w:rFonts w:ascii="Arial" w:hAnsi="Arial" w:cs="Arial"/>
                <w:b/>
                <w:bCs/>
                <w:color w:val="000000" w:themeColor="text1"/>
                <w:sz w:val="16"/>
                <w:szCs w:val="16"/>
              </w:rPr>
            </w:pPr>
          </w:p>
        </w:tc>
        <w:tc>
          <w:tcPr>
            <w:tcW w:w="670" w:type="pct"/>
            <w:gridSpan w:val="2"/>
            <w:vMerge/>
            <w:tcBorders>
              <w:top w:val="single" w:sz="8" w:space="0" w:color="auto"/>
              <w:left w:val="nil"/>
              <w:bottom w:val="single" w:sz="4" w:space="0" w:color="000000"/>
              <w:right w:val="nil"/>
            </w:tcBorders>
            <w:vAlign w:val="center"/>
            <w:hideMark/>
          </w:tcPr>
          <w:p w14:paraId="56B07A1A" w14:textId="77777777" w:rsidR="00C13684" w:rsidRPr="00801D01" w:rsidRDefault="00C13684" w:rsidP="00801D01">
            <w:pPr>
              <w:ind w:right="15"/>
              <w:jc w:val="center"/>
              <w:rPr>
                <w:rFonts w:ascii="Arial" w:hAnsi="Arial" w:cs="Arial"/>
                <w:b/>
                <w:bCs/>
                <w:color w:val="000000" w:themeColor="text1"/>
                <w:sz w:val="16"/>
                <w:szCs w:val="16"/>
              </w:rPr>
            </w:pPr>
          </w:p>
        </w:tc>
        <w:tc>
          <w:tcPr>
            <w:tcW w:w="734" w:type="pct"/>
            <w:gridSpan w:val="2"/>
            <w:vMerge/>
            <w:tcBorders>
              <w:top w:val="single" w:sz="8" w:space="0" w:color="auto"/>
              <w:left w:val="nil"/>
              <w:bottom w:val="single" w:sz="4" w:space="0" w:color="000000"/>
              <w:right w:val="nil"/>
            </w:tcBorders>
            <w:vAlign w:val="center"/>
            <w:hideMark/>
          </w:tcPr>
          <w:p w14:paraId="4B492D88" w14:textId="77777777" w:rsidR="00C13684" w:rsidRPr="00801D01" w:rsidRDefault="00C13684" w:rsidP="00801D01">
            <w:pPr>
              <w:ind w:right="15"/>
              <w:jc w:val="center"/>
              <w:rPr>
                <w:rFonts w:ascii="Arial" w:hAnsi="Arial" w:cs="Arial"/>
                <w:b/>
                <w:bCs/>
                <w:color w:val="000000" w:themeColor="text1"/>
                <w:sz w:val="16"/>
                <w:szCs w:val="16"/>
              </w:rPr>
            </w:pPr>
          </w:p>
        </w:tc>
        <w:tc>
          <w:tcPr>
            <w:tcW w:w="734" w:type="pct"/>
            <w:gridSpan w:val="2"/>
            <w:vMerge/>
            <w:tcBorders>
              <w:top w:val="single" w:sz="8" w:space="0" w:color="auto"/>
              <w:left w:val="nil"/>
              <w:bottom w:val="single" w:sz="4" w:space="0" w:color="000000"/>
              <w:right w:val="nil"/>
            </w:tcBorders>
            <w:vAlign w:val="center"/>
            <w:hideMark/>
          </w:tcPr>
          <w:p w14:paraId="51649E6F" w14:textId="77777777" w:rsidR="00C13684" w:rsidRPr="00801D01" w:rsidRDefault="00C13684" w:rsidP="00801D01">
            <w:pPr>
              <w:ind w:right="15"/>
              <w:jc w:val="center"/>
              <w:rPr>
                <w:rFonts w:ascii="Arial" w:hAnsi="Arial" w:cs="Arial"/>
                <w:b/>
                <w:bCs/>
                <w:color w:val="000000" w:themeColor="text1"/>
                <w:sz w:val="16"/>
                <w:szCs w:val="16"/>
              </w:rPr>
            </w:pPr>
          </w:p>
        </w:tc>
        <w:tc>
          <w:tcPr>
            <w:tcW w:w="741" w:type="pct"/>
            <w:gridSpan w:val="2"/>
            <w:vMerge/>
            <w:tcBorders>
              <w:top w:val="single" w:sz="8" w:space="0" w:color="auto"/>
              <w:left w:val="nil"/>
              <w:bottom w:val="single" w:sz="4" w:space="0" w:color="000000"/>
              <w:right w:val="nil"/>
            </w:tcBorders>
            <w:vAlign w:val="center"/>
            <w:hideMark/>
          </w:tcPr>
          <w:p w14:paraId="1C1EF4F9" w14:textId="77777777" w:rsidR="00C13684" w:rsidRPr="00801D01" w:rsidRDefault="00C13684" w:rsidP="00801D01">
            <w:pPr>
              <w:ind w:right="15"/>
              <w:jc w:val="center"/>
              <w:rPr>
                <w:rFonts w:ascii="Arial" w:hAnsi="Arial" w:cs="Arial"/>
                <w:b/>
                <w:bCs/>
                <w:color w:val="000000" w:themeColor="text1"/>
                <w:sz w:val="16"/>
                <w:szCs w:val="16"/>
              </w:rPr>
            </w:pPr>
          </w:p>
        </w:tc>
      </w:tr>
      <w:tr w:rsidR="007C49E7" w:rsidRPr="00801D01" w14:paraId="70BC59F6" w14:textId="77777777" w:rsidTr="007C49E7">
        <w:trPr>
          <w:trHeight w:val="259"/>
        </w:trPr>
        <w:tc>
          <w:tcPr>
            <w:tcW w:w="852" w:type="pct"/>
            <w:tcBorders>
              <w:top w:val="nil"/>
              <w:left w:val="nil"/>
              <w:bottom w:val="nil"/>
              <w:right w:val="nil"/>
            </w:tcBorders>
            <w:noWrap/>
            <w:vAlign w:val="center"/>
            <w:hideMark/>
          </w:tcPr>
          <w:p w14:paraId="656CF468" w14:textId="1545DE46" w:rsidR="007C49E7" w:rsidRPr="00801D01" w:rsidRDefault="007C49E7" w:rsidP="007C49E7">
            <w:pPr>
              <w:ind w:right="15"/>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1</w:t>
            </w:r>
          </w:p>
        </w:tc>
        <w:tc>
          <w:tcPr>
            <w:tcW w:w="461" w:type="pct"/>
            <w:tcBorders>
              <w:top w:val="nil"/>
              <w:left w:val="nil"/>
              <w:bottom w:val="nil"/>
              <w:right w:val="nil"/>
            </w:tcBorders>
            <w:noWrap/>
            <w:vAlign w:val="center"/>
            <w:hideMark/>
          </w:tcPr>
          <w:p w14:paraId="1FE91951"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65.08</w:t>
            </w:r>
          </w:p>
        </w:tc>
        <w:tc>
          <w:tcPr>
            <w:tcW w:w="138" w:type="pct"/>
            <w:tcBorders>
              <w:top w:val="nil"/>
              <w:left w:val="nil"/>
              <w:bottom w:val="nil"/>
              <w:right w:val="nil"/>
            </w:tcBorders>
            <w:noWrap/>
            <w:vAlign w:val="center"/>
            <w:hideMark/>
          </w:tcPr>
          <w:p w14:paraId="4C7D029B" w14:textId="77777777" w:rsidR="007C49E7" w:rsidRPr="00801D01" w:rsidRDefault="007C49E7" w:rsidP="007C49E7">
            <w:pPr>
              <w:ind w:right="15"/>
              <w:jc w:val="center"/>
              <w:rPr>
                <w:rFonts w:ascii="Arial" w:hAnsi="Arial" w:cs="Arial"/>
                <w:color w:val="000000" w:themeColor="text1"/>
                <w:sz w:val="16"/>
                <w:szCs w:val="16"/>
              </w:rPr>
            </w:pPr>
          </w:p>
        </w:tc>
        <w:tc>
          <w:tcPr>
            <w:tcW w:w="462" w:type="pct"/>
            <w:tcBorders>
              <w:top w:val="nil"/>
              <w:left w:val="nil"/>
              <w:bottom w:val="nil"/>
              <w:right w:val="nil"/>
            </w:tcBorders>
            <w:noWrap/>
            <w:vAlign w:val="center"/>
            <w:hideMark/>
          </w:tcPr>
          <w:p w14:paraId="72D9C767"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73.42</w:t>
            </w:r>
          </w:p>
        </w:tc>
        <w:tc>
          <w:tcPr>
            <w:tcW w:w="208" w:type="pct"/>
            <w:tcBorders>
              <w:top w:val="nil"/>
              <w:left w:val="nil"/>
              <w:bottom w:val="nil"/>
              <w:right w:val="nil"/>
            </w:tcBorders>
            <w:noWrap/>
            <w:vAlign w:val="center"/>
            <w:hideMark/>
          </w:tcPr>
          <w:p w14:paraId="27C3A51E"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a</w:t>
            </w:r>
          </w:p>
        </w:tc>
        <w:tc>
          <w:tcPr>
            <w:tcW w:w="462" w:type="pct"/>
            <w:tcBorders>
              <w:top w:val="nil"/>
              <w:left w:val="nil"/>
              <w:bottom w:val="nil"/>
              <w:right w:val="nil"/>
            </w:tcBorders>
            <w:noWrap/>
            <w:vAlign w:val="center"/>
            <w:hideMark/>
          </w:tcPr>
          <w:p w14:paraId="17A23C8E"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42.75</w:t>
            </w:r>
          </w:p>
        </w:tc>
        <w:tc>
          <w:tcPr>
            <w:tcW w:w="208" w:type="pct"/>
            <w:tcBorders>
              <w:top w:val="nil"/>
              <w:left w:val="nil"/>
              <w:bottom w:val="nil"/>
              <w:right w:val="nil"/>
            </w:tcBorders>
            <w:noWrap/>
            <w:vAlign w:val="center"/>
            <w:hideMark/>
          </w:tcPr>
          <w:p w14:paraId="45F9C018"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e</w:t>
            </w:r>
          </w:p>
        </w:tc>
        <w:tc>
          <w:tcPr>
            <w:tcW w:w="462" w:type="pct"/>
            <w:tcBorders>
              <w:top w:val="nil"/>
              <w:left w:val="nil"/>
              <w:bottom w:val="nil"/>
              <w:right w:val="nil"/>
            </w:tcBorders>
            <w:noWrap/>
            <w:vAlign w:val="center"/>
            <w:hideMark/>
          </w:tcPr>
          <w:p w14:paraId="194B2E84"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10.65</w:t>
            </w:r>
          </w:p>
        </w:tc>
        <w:tc>
          <w:tcPr>
            <w:tcW w:w="272" w:type="pct"/>
            <w:tcBorders>
              <w:top w:val="nil"/>
              <w:left w:val="nil"/>
              <w:bottom w:val="nil"/>
              <w:right w:val="nil"/>
            </w:tcBorders>
            <w:noWrap/>
            <w:vAlign w:val="center"/>
            <w:hideMark/>
          </w:tcPr>
          <w:p w14:paraId="7444309A"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d</w:t>
            </w:r>
          </w:p>
        </w:tc>
        <w:tc>
          <w:tcPr>
            <w:tcW w:w="462" w:type="pct"/>
            <w:tcBorders>
              <w:top w:val="nil"/>
              <w:left w:val="nil"/>
              <w:bottom w:val="nil"/>
              <w:right w:val="nil"/>
            </w:tcBorders>
            <w:noWrap/>
            <w:vAlign w:val="center"/>
            <w:hideMark/>
          </w:tcPr>
          <w:p w14:paraId="77097C0D"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8.90</w:t>
            </w:r>
          </w:p>
        </w:tc>
        <w:tc>
          <w:tcPr>
            <w:tcW w:w="272" w:type="pct"/>
            <w:tcBorders>
              <w:top w:val="nil"/>
              <w:left w:val="nil"/>
              <w:bottom w:val="nil"/>
              <w:right w:val="nil"/>
            </w:tcBorders>
            <w:noWrap/>
            <w:vAlign w:val="center"/>
            <w:hideMark/>
          </w:tcPr>
          <w:p w14:paraId="41E90585"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d</w:t>
            </w:r>
          </w:p>
        </w:tc>
        <w:tc>
          <w:tcPr>
            <w:tcW w:w="534" w:type="pct"/>
            <w:tcBorders>
              <w:top w:val="nil"/>
              <w:left w:val="nil"/>
              <w:bottom w:val="nil"/>
              <w:right w:val="nil"/>
            </w:tcBorders>
            <w:noWrap/>
            <w:vAlign w:val="center"/>
            <w:hideMark/>
          </w:tcPr>
          <w:p w14:paraId="23859077" w14:textId="140021E8"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3.3</w:t>
            </w:r>
            <w:r w:rsidR="000C6880">
              <w:rPr>
                <w:rFonts w:ascii="Arial" w:hAnsi="Arial" w:cs="Arial"/>
                <w:color w:val="000000" w:themeColor="text1"/>
                <w:sz w:val="16"/>
                <w:szCs w:val="16"/>
              </w:rPr>
              <w:t>8</w:t>
            </w:r>
          </w:p>
        </w:tc>
        <w:tc>
          <w:tcPr>
            <w:tcW w:w="207" w:type="pct"/>
            <w:tcBorders>
              <w:top w:val="nil"/>
              <w:left w:val="nil"/>
              <w:bottom w:val="nil"/>
              <w:right w:val="nil"/>
            </w:tcBorders>
            <w:noWrap/>
            <w:vAlign w:val="center"/>
            <w:hideMark/>
          </w:tcPr>
          <w:p w14:paraId="5603F434"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f</w:t>
            </w:r>
          </w:p>
        </w:tc>
      </w:tr>
      <w:tr w:rsidR="007C49E7" w:rsidRPr="00801D01" w14:paraId="6B2D50B9" w14:textId="77777777" w:rsidTr="007C49E7">
        <w:trPr>
          <w:trHeight w:val="259"/>
        </w:trPr>
        <w:tc>
          <w:tcPr>
            <w:tcW w:w="852" w:type="pct"/>
            <w:tcBorders>
              <w:top w:val="nil"/>
              <w:left w:val="nil"/>
              <w:bottom w:val="nil"/>
              <w:right w:val="nil"/>
            </w:tcBorders>
            <w:noWrap/>
            <w:vAlign w:val="center"/>
            <w:hideMark/>
          </w:tcPr>
          <w:p w14:paraId="04D421DD" w14:textId="4F1E4CB6" w:rsidR="007C49E7" w:rsidRPr="00801D01" w:rsidRDefault="007C49E7" w:rsidP="007C49E7">
            <w:pPr>
              <w:ind w:right="15"/>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2</w:t>
            </w:r>
          </w:p>
        </w:tc>
        <w:tc>
          <w:tcPr>
            <w:tcW w:w="461" w:type="pct"/>
            <w:tcBorders>
              <w:top w:val="nil"/>
              <w:left w:val="nil"/>
              <w:bottom w:val="nil"/>
              <w:right w:val="nil"/>
            </w:tcBorders>
            <w:noWrap/>
            <w:vAlign w:val="center"/>
            <w:hideMark/>
          </w:tcPr>
          <w:p w14:paraId="5923D98D"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63.75</w:t>
            </w:r>
          </w:p>
        </w:tc>
        <w:tc>
          <w:tcPr>
            <w:tcW w:w="138" w:type="pct"/>
            <w:tcBorders>
              <w:top w:val="nil"/>
              <w:left w:val="nil"/>
              <w:bottom w:val="nil"/>
              <w:right w:val="nil"/>
            </w:tcBorders>
            <w:noWrap/>
            <w:vAlign w:val="center"/>
            <w:hideMark/>
          </w:tcPr>
          <w:p w14:paraId="4F5DCDE3" w14:textId="77777777" w:rsidR="007C49E7" w:rsidRPr="00801D01" w:rsidRDefault="007C49E7" w:rsidP="007C49E7">
            <w:pPr>
              <w:ind w:right="15"/>
              <w:jc w:val="center"/>
              <w:rPr>
                <w:rFonts w:ascii="Arial" w:hAnsi="Arial" w:cs="Arial"/>
                <w:color w:val="000000" w:themeColor="text1"/>
                <w:sz w:val="16"/>
                <w:szCs w:val="16"/>
              </w:rPr>
            </w:pPr>
          </w:p>
        </w:tc>
        <w:tc>
          <w:tcPr>
            <w:tcW w:w="462" w:type="pct"/>
            <w:tcBorders>
              <w:top w:val="nil"/>
              <w:left w:val="nil"/>
              <w:bottom w:val="nil"/>
              <w:right w:val="nil"/>
            </w:tcBorders>
            <w:noWrap/>
            <w:vAlign w:val="center"/>
            <w:hideMark/>
          </w:tcPr>
          <w:p w14:paraId="5CB06B3C"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71.67</w:t>
            </w:r>
          </w:p>
        </w:tc>
        <w:tc>
          <w:tcPr>
            <w:tcW w:w="208" w:type="pct"/>
            <w:tcBorders>
              <w:top w:val="nil"/>
              <w:left w:val="nil"/>
              <w:bottom w:val="nil"/>
              <w:right w:val="nil"/>
            </w:tcBorders>
            <w:noWrap/>
            <w:vAlign w:val="center"/>
            <w:hideMark/>
          </w:tcPr>
          <w:p w14:paraId="770EBA9B"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b</w:t>
            </w:r>
          </w:p>
        </w:tc>
        <w:tc>
          <w:tcPr>
            <w:tcW w:w="462" w:type="pct"/>
            <w:tcBorders>
              <w:top w:val="nil"/>
              <w:left w:val="nil"/>
              <w:bottom w:val="nil"/>
              <w:right w:val="nil"/>
            </w:tcBorders>
            <w:noWrap/>
            <w:vAlign w:val="center"/>
            <w:hideMark/>
          </w:tcPr>
          <w:p w14:paraId="0B19B609"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57.93</w:t>
            </w:r>
          </w:p>
        </w:tc>
        <w:tc>
          <w:tcPr>
            <w:tcW w:w="208" w:type="pct"/>
            <w:tcBorders>
              <w:top w:val="nil"/>
              <w:left w:val="nil"/>
              <w:bottom w:val="nil"/>
              <w:right w:val="nil"/>
            </w:tcBorders>
            <w:noWrap/>
            <w:vAlign w:val="center"/>
            <w:hideMark/>
          </w:tcPr>
          <w:p w14:paraId="74693622"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d</w:t>
            </w:r>
          </w:p>
        </w:tc>
        <w:tc>
          <w:tcPr>
            <w:tcW w:w="462" w:type="pct"/>
            <w:tcBorders>
              <w:top w:val="nil"/>
              <w:left w:val="nil"/>
              <w:bottom w:val="nil"/>
              <w:right w:val="nil"/>
            </w:tcBorders>
            <w:noWrap/>
            <w:vAlign w:val="center"/>
            <w:hideMark/>
          </w:tcPr>
          <w:p w14:paraId="034E9F68"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11.38</w:t>
            </w:r>
          </w:p>
        </w:tc>
        <w:tc>
          <w:tcPr>
            <w:tcW w:w="272" w:type="pct"/>
            <w:tcBorders>
              <w:top w:val="nil"/>
              <w:left w:val="nil"/>
              <w:bottom w:val="nil"/>
              <w:right w:val="nil"/>
            </w:tcBorders>
            <w:noWrap/>
            <w:vAlign w:val="center"/>
            <w:hideMark/>
          </w:tcPr>
          <w:p w14:paraId="7A45FF5E"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d</w:t>
            </w:r>
          </w:p>
        </w:tc>
        <w:tc>
          <w:tcPr>
            <w:tcW w:w="462" w:type="pct"/>
            <w:tcBorders>
              <w:top w:val="nil"/>
              <w:left w:val="nil"/>
              <w:bottom w:val="nil"/>
              <w:right w:val="nil"/>
            </w:tcBorders>
            <w:noWrap/>
            <w:vAlign w:val="center"/>
            <w:hideMark/>
          </w:tcPr>
          <w:p w14:paraId="6A62A7E4"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9.70</w:t>
            </w:r>
          </w:p>
        </w:tc>
        <w:tc>
          <w:tcPr>
            <w:tcW w:w="272" w:type="pct"/>
            <w:tcBorders>
              <w:top w:val="nil"/>
              <w:left w:val="nil"/>
              <w:bottom w:val="nil"/>
              <w:right w:val="nil"/>
            </w:tcBorders>
            <w:noWrap/>
            <w:vAlign w:val="center"/>
            <w:hideMark/>
          </w:tcPr>
          <w:p w14:paraId="65CFD893"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d</w:t>
            </w:r>
          </w:p>
        </w:tc>
        <w:tc>
          <w:tcPr>
            <w:tcW w:w="534" w:type="pct"/>
            <w:tcBorders>
              <w:top w:val="nil"/>
              <w:left w:val="nil"/>
              <w:bottom w:val="nil"/>
              <w:right w:val="nil"/>
            </w:tcBorders>
            <w:noWrap/>
            <w:vAlign w:val="center"/>
            <w:hideMark/>
          </w:tcPr>
          <w:p w14:paraId="71B47E2E"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3.45</w:t>
            </w:r>
          </w:p>
        </w:tc>
        <w:tc>
          <w:tcPr>
            <w:tcW w:w="207" w:type="pct"/>
            <w:tcBorders>
              <w:top w:val="nil"/>
              <w:left w:val="nil"/>
              <w:bottom w:val="nil"/>
              <w:right w:val="nil"/>
            </w:tcBorders>
            <w:noWrap/>
            <w:vAlign w:val="center"/>
            <w:hideMark/>
          </w:tcPr>
          <w:p w14:paraId="34599170"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e</w:t>
            </w:r>
          </w:p>
        </w:tc>
      </w:tr>
      <w:tr w:rsidR="007C49E7" w:rsidRPr="00801D01" w14:paraId="5434F619" w14:textId="77777777" w:rsidTr="007C49E7">
        <w:trPr>
          <w:trHeight w:val="259"/>
        </w:trPr>
        <w:tc>
          <w:tcPr>
            <w:tcW w:w="852" w:type="pct"/>
            <w:tcBorders>
              <w:top w:val="nil"/>
              <w:left w:val="nil"/>
              <w:bottom w:val="nil"/>
              <w:right w:val="nil"/>
            </w:tcBorders>
            <w:noWrap/>
            <w:vAlign w:val="center"/>
            <w:hideMark/>
          </w:tcPr>
          <w:p w14:paraId="447EBDA5" w14:textId="1E1C397D" w:rsidR="007C49E7" w:rsidRPr="00801D01" w:rsidRDefault="007C49E7" w:rsidP="007C49E7">
            <w:pPr>
              <w:ind w:right="15"/>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3</w:t>
            </w:r>
          </w:p>
        </w:tc>
        <w:tc>
          <w:tcPr>
            <w:tcW w:w="461" w:type="pct"/>
            <w:tcBorders>
              <w:top w:val="nil"/>
              <w:left w:val="nil"/>
              <w:bottom w:val="nil"/>
              <w:right w:val="nil"/>
            </w:tcBorders>
            <w:noWrap/>
            <w:vAlign w:val="center"/>
            <w:hideMark/>
          </w:tcPr>
          <w:p w14:paraId="4D3E4745"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62.08</w:t>
            </w:r>
          </w:p>
        </w:tc>
        <w:tc>
          <w:tcPr>
            <w:tcW w:w="138" w:type="pct"/>
            <w:tcBorders>
              <w:top w:val="nil"/>
              <w:left w:val="nil"/>
              <w:bottom w:val="nil"/>
              <w:right w:val="nil"/>
            </w:tcBorders>
            <w:noWrap/>
            <w:vAlign w:val="center"/>
            <w:hideMark/>
          </w:tcPr>
          <w:p w14:paraId="69410438" w14:textId="77777777" w:rsidR="007C49E7" w:rsidRPr="00801D01" w:rsidRDefault="007C49E7" w:rsidP="007C49E7">
            <w:pPr>
              <w:ind w:right="15"/>
              <w:jc w:val="center"/>
              <w:rPr>
                <w:rFonts w:ascii="Arial" w:hAnsi="Arial" w:cs="Arial"/>
                <w:color w:val="000000" w:themeColor="text1"/>
                <w:sz w:val="16"/>
                <w:szCs w:val="16"/>
              </w:rPr>
            </w:pPr>
          </w:p>
        </w:tc>
        <w:tc>
          <w:tcPr>
            <w:tcW w:w="462" w:type="pct"/>
            <w:tcBorders>
              <w:top w:val="nil"/>
              <w:left w:val="nil"/>
              <w:bottom w:val="nil"/>
              <w:right w:val="nil"/>
            </w:tcBorders>
            <w:noWrap/>
            <w:vAlign w:val="center"/>
            <w:hideMark/>
          </w:tcPr>
          <w:p w14:paraId="7E4BD698"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68.42</w:t>
            </w:r>
          </w:p>
        </w:tc>
        <w:tc>
          <w:tcPr>
            <w:tcW w:w="208" w:type="pct"/>
            <w:tcBorders>
              <w:top w:val="nil"/>
              <w:left w:val="nil"/>
              <w:bottom w:val="nil"/>
              <w:right w:val="nil"/>
            </w:tcBorders>
            <w:noWrap/>
            <w:vAlign w:val="center"/>
            <w:hideMark/>
          </w:tcPr>
          <w:p w14:paraId="3E7487E5"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c</w:t>
            </w:r>
          </w:p>
        </w:tc>
        <w:tc>
          <w:tcPr>
            <w:tcW w:w="462" w:type="pct"/>
            <w:tcBorders>
              <w:top w:val="nil"/>
              <w:left w:val="nil"/>
              <w:bottom w:val="nil"/>
              <w:right w:val="nil"/>
            </w:tcBorders>
            <w:noWrap/>
            <w:vAlign w:val="center"/>
            <w:hideMark/>
          </w:tcPr>
          <w:p w14:paraId="178E2DA4"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93.93</w:t>
            </w:r>
          </w:p>
        </w:tc>
        <w:tc>
          <w:tcPr>
            <w:tcW w:w="208" w:type="pct"/>
            <w:tcBorders>
              <w:top w:val="nil"/>
              <w:left w:val="nil"/>
              <w:bottom w:val="nil"/>
              <w:right w:val="nil"/>
            </w:tcBorders>
            <w:noWrap/>
            <w:vAlign w:val="center"/>
            <w:hideMark/>
          </w:tcPr>
          <w:p w14:paraId="4479B110"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b</w:t>
            </w:r>
          </w:p>
        </w:tc>
        <w:tc>
          <w:tcPr>
            <w:tcW w:w="462" w:type="pct"/>
            <w:tcBorders>
              <w:top w:val="nil"/>
              <w:left w:val="nil"/>
              <w:bottom w:val="nil"/>
              <w:right w:val="nil"/>
            </w:tcBorders>
            <w:noWrap/>
            <w:vAlign w:val="center"/>
            <w:hideMark/>
          </w:tcPr>
          <w:p w14:paraId="0B8A8D68"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14.89</w:t>
            </w:r>
          </w:p>
        </w:tc>
        <w:tc>
          <w:tcPr>
            <w:tcW w:w="272" w:type="pct"/>
            <w:tcBorders>
              <w:top w:val="nil"/>
              <w:left w:val="nil"/>
              <w:bottom w:val="nil"/>
              <w:right w:val="nil"/>
            </w:tcBorders>
            <w:noWrap/>
            <w:vAlign w:val="center"/>
            <w:hideMark/>
          </w:tcPr>
          <w:p w14:paraId="5D5F730C"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b</w:t>
            </w:r>
          </w:p>
        </w:tc>
        <w:tc>
          <w:tcPr>
            <w:tcW w:w="462" w:type="pct"/>
            <w:tcBorders>
              <w:top w:val="nil"/>
              <w:left w:val="nil"/>
              <w:bottom w:val="nil"/>
              <w:right w:val="nil"/>
            </w:tcBorders>
            <w:noWrap/>
            <w:vAlign w:val="center"/>
            <w:hideMark/>
          </w:tcPr>
          <w:p w14:paraId="31CD69E7"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13.41</w:t>
            </w:r>
          </w:p>
        </w:tc>
        <w:tc>
          <w:tcPr>
            <w:tcW w:w="272" w:type="pct"/>
            <w:tcBorders>
              <w:top w:val="nil"/>
              <w:left w:val="nil"/>
              <w:bottom w:val="nil"/>
              <w:right w:val="nil"/>
            </w:tcBorders>
            <w:noWrap/>
            <w:vAlign w:val="center"/>
            <w:hideMark/>
          </w:tcPr>
          <w:p w14:paraId="306494E4"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b</w:t>
            </w:r>
          </w:p>
        </w:tc>
        <w:tc>
          <w:tcPr>
            <w:tcW w:w="534" w:type="pct"/>
            <w:tcBorders>
              <w:top w:val="nil"/>
              <w:left w:val="nil"/>
              <w:bottom w:val="nil"/>
              <w:right w:val="nil"/>
            </w:tcBorders>
            <w:noWrap/>
            <w:vAlign w:val="center"/>
            <w:hideMark/>
          </w:tcPr>
          <w:p w14:paraId="1DB0BDBB" w14:textId="467B1976"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3.76</w:t>
            </w:r>
          </w:p>
        </w:tc>
        <w:tc>
          <w:tcPr>
            <w:tcW w:w="207" w:type="pct"/>
            <w:tcBorders>
              <w:top w:val="nil"/>
              <w:left w:val="nil"/>
              <w:bottom w:val="nil"/>
              <w:right w:val="nil"/>
            </w:tcBorders>
            <w:noWrap/>
            <w:vAlign w:val="center"/>
            <w:hideMark/>
          </w:tcPr>
          <w:p w14:paraId="206B6CAD"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c</w:t>
            </w:r>
          </w:p>
        </w:tc>
      </w:tr>
      <w:tr w:rsidR="007C49E7" w:rsidRPr="00801D01" w14:paraId="6F69022E" w14:textId="77777777" w:rsidTr="007C49E7">
        <w:trPr>
          <w:trHeight w:val="259"/>
        </w:trPr>
        <w:tc>
          <w:tcPr>
            <w:tcW w:w="852" w:type="pct"/>
            <w:tcBorders>
              <w:top w:val="nil"/>
              <w:left w:val="nil"/>
              <w:bottom w:val="nil"/>
              <w:right w:val="nil"/>
            </w:tcBorders>
            <w:noWrap/>
            <w:vAlign w:val="center"/>
            <w:hideMark/>
          </w:tcPr>
          <w:p w14:paraId="0ED20157" w14:textId="23FFEC8C" w:rsidR="007C49E7" w:rsidRPr="00801D01" w:rsidRDefault="007C49E7" w:rsidP="007C49E7">
            <w:pPr>
              <w:ind w:right="15"/>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4</w:t>
            </w:r>
          </w:p>
        </w:tc>
        <w:tc>
          <w:tcPr>
            <w:tcW w:w="461" w:type="pct"/>
            <w:tcBorders>
              <w:top w:val="nil"/>
              <w:left w:val="nil"/>
              <w:bottom w:val="nil"/>
              <w:right w:val="nil"/>
            </w:tcBorders>
            <w:noWrap/>
            <w:vAlign w:val="center"/>
            <w:hideMark/>
          </w:tcPr>
          <w:p w14:paraId="298A1B6E"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62.75</w:t>
            </w:r>
          </w:p>
        </w:tc>
        <w:tc>
          <w:tcPr>
            <w:tcW w:w="138" w:type="pct"/>
            <w:tcBorders>
              <w:top w:val="nil"/>
              <w:left w:val="nil"/>
              <w:bottom w:val="nil"/>
              <w:right w:val="nil"/>
            </w:tcBorders>
            <w:noWrap/>
            <w:vAlign w:val="center"/>
            <w:hideMark/>
          </w:tcPr>
          <w:p w14:paraId="324B26F9" w14:textId="77777777" w:rsidR="007C49E7" w:rsidRPr="00801D01" w:rsidRDefault="007C49E7" w:rsidP="007C49E7">
            <w:pPr>
              <w:ind w:right="15"/>
              <w:jc w:val="center"/>
              <w:rPr>
                <w:rFonts w:ascii="Arial" w:hAnsi="Arial" w:cs="Arial"/>
                <w:color w:val="000000" w:themeColor="text1"/>
                <w:sz w:val="16"/>
                <w:szCs w:val="16"/>
              </w:rPr>
            </w:pPr>
          </w:p>
        </w:tc>
        <w:tc>
          <w:tcPr>
            <w:tcW w:w="462" w:type="pct"/>
            <w:tcBorders>
              <w:top w:val="nil"/>
              <w:left w:val="nil"/>
              <w:bottom w:val="nil"/>
              <w:right w:val="nil"/>
            </w:tcBorders>
            <w:noWrap/>
            <w:vAlign w:val="center"/>
            <w:hideMark/>
          </w:tcPr>
          <w:p w14:paraId="0822FA66"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68.50</w:t>
            </w:r>
          </w:p>
        </w:tc>
        <w:tc>
          <w:tcPr>
            <w:tcW w:w="208" w:type="pct"/>
            <w:tcBorders>
              <w:top w:val="nil"/>
              <w:left w:val="nil"/>
              <w:bottom w:val="nil"/>
              <w:right w:val="nil"/>
            </w:tcBorders>
            <w:noWrap/>
            <w:vAlign w:val="center"/>
            <w:hideMark/>
          </w:tcPr>
          <w:p w14:paraId="40ECC9A9"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c</w:t>
            </w:r>
          </w:p>
        </w:tc>
        <w:tc>
          <w:tcPr>
            <w:tcW w:w="462" w:type="pct"/>
            <w:tcBorders>
              <w:top w:val="nil"/>
              <w:left w:val="nil"/>
              <w:bottom w:val="nil"/>
              <w:right w:val="nil"/>
            </w:tcBorders>
            <w:noWrap/>
            <w:vAlign w:val="center"/>
            <w:hideMark/>
          </w:tcPr>
          <w:p w14:paraId="5701317C"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83.87</w:t>
            </w:r>
          </w:p>
        </w:tc>
        <w:tc>
          <w:tcPr>
            <w:tcW w:w="208" w:type="pct"/>
            <w:tcBorders>
              <w:top w:val="nil"/>
              <w:left w:val="nil"/>
              <w:bottom w:val="nil"/>
              <w:right w:val="nil"/>
            </w:tcBorders>
            <w:noWrap/>
            <w:vAlign w:val="center"/>
            <w:hideMark/>
          </w:tcPr>
          <w:p w14:paraId="63D43AC3"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c</w:t>
            </w:r>
          </w:p>
        </w:tc>
        <w:tc>
          <w:tcPr>
            <w:tcW w:w="462" w:type="pct"/>
            <w:tcBorders>
              <w:top w:val="nil"/>
              <w:left w:val="nil"/>
              <w:bottom w:val="nil"/>
              <w:right w:val="nil"/>
            </w:tcBorders>
            <w:noWrap/>
            <w:vAlign w:val="center"/>
            <w:hideMark/>
          </w:tcPr>
          <w:p w14:paraId="5FDF2713"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13.74</w:t>
            </w:r>
          </w:p>
        </w:tc>
        <w:tc>
          <w:tcPr>
            <w:tcW w:w="272" w:type="pct"/>
            <w:tcBorders>
              <w:top w:val="nil"/>
              <w:left w:val="nil"/>
              <w:bottom w:val="nil"/>
              <w:right w:val="nil"/>
            </w:tcBorders>
            <w:noWrap/>
            <w:vAlign w:val="center"/>
            <w:hideMark/>
          </w:tcPr>
          <w:p w14:paraId="0EEAF4BF"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c</w:t>
            </w:r>
          </w:p>
        </w:tc>
        <w:tc>
          <w:tcPr>
            <w:tcW w:w="462" w:type="pct"/>
            <w:tcBorders>
              <w:top w:val="nil"/>
              <w:left w:val="nil"/>
              <w:bottom w:val="nil"/>
              <w:right w:val="nil"/>
            </w:tcBorders>
            <w:noWrap/>
            <w:vAlign w:val="center"/>
            <w:hideMark/>
          </w:tcPr>
          <w:p w14:paraId="66BC0BFD"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12.36</w:t>
            </w:r>
          </w:p>
        </w:tc>
        <w:tc>
          <w:tcPr>
            <w:tcW w:w="272" w:type="pct"/>
            <w:tcBorders>
              <w:top w:val="nil"/>
              <w:left w:val="nil"/>
              <w:bottom w:val="nil"/>
              <w:right w:val="nil"/>
            </w:tcBorders>
            <w:noWrap/>
            <w:vAlign w:val="center"/>
            <w:hideMark/>
          </w:tcPr>
          <w:p w14:paraId="5724E97C"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c</w:t>
            </w:r>
          </w:p>
        </w:tc>
        <w:tc>
          <w:tcPr>
            <w:tcW w:w="534" w:type="pct"/>
            <w:tcBorders>
              <w:top w:val="nil"/>
              <w:left w:val="nil"/>
              <w:bottom w:val="nil"/>
              <w:right w:val="nil"/>
            </w:tcBorders>
            <w:noWrap/>
            <w:vAlign w:val="center"/>
            <w:hideMark/>
          </w:tcPr>
          <w:p w14:paraId="3E1E2E90" w14:textId="03A45770"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3.6</w:t>
            </w:r>
            <w:r>
              <w:rPr>
                <w:rFonts w:ascii="Arial" w:hAnsi="Arial" w:cs="Arial"/>
                <w:color w:val="000000" w:themeColor="text1"/>
                <w:sz w:val="16"/>
                <w:szCs w:val="16"/>
              </w:rPr>
              <w:t>9</w:t>
            </w:r>
          </w:p>
        </w:tc>
        <w:tc>
          <w:tcPr>
            <w:tcW w:w="207" w:type="pct"/>
            <w:tcBorders>
              <w:top w:val="nil"/>
              <w:left w:val="nil"/>
              <w:bottom w:val="nil"/>
              <w:right w:val="nil"/>
            </w:tcBorders>
            <w:noWrap/>
            <w:vAlign w:val="center"/>
            <w:hideMark/>
          </w:tcPr>
          <w:p w14:paraId="26ED0F19"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d</w:t>
            </w:r>
          </w:p>
        </w:tc>
      </w:tr>
      <w:tr w:rsidR="007C49E7" w:rsidRPr="00801D01" w14:paraId="6A08231C" w14:textId="77777777" w:rsidTr="007C49E7">
        <w:trPr>
          <w:trHeight w:val="259"/>
        </w:trPr>
        <w:tc>
          <w:tcPr>
            <w:tcW w:w="852" w:type="pct"/>
            <w:tcBorders>
              <w:top w:val="nil"/>
              <w:left w:val="nil"/>
              <w:bottom w:val="nil"/>
              <w:right w:val="nil"/>
            </w:tcBorders>
            <w:noWrap/>
            <w:vAlign w:val="center"/>
            <w:hideMark/>
          </w:tcPr>
          <w:p w14:paraId="2A857F38" w14:textId="449D3A22" w:rsidR="007C49E7" w:rsidRPr="00801D01" w:rsidRDefault="007C49E7" w:rsidP="007C49E7">
            <w:pPr>
              <w:ind w:right="15"/>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5</w:t>
            </w:r>
          </w:p>
        </w:tc>
        <w:tc>
          <w:tcPr>
            <w:tcW w:w="461" w:type="pct"/>
            <w:tcBorders>
              <w:top w:val="nil"/>
              <w:left w:val="nil"/>
              <w:bottom w:val="nil"/>
              <w:right w:val="nil"/>
            </w:tcBorders>
            <w:noWrap/>
            <w:vAlign w:val="center"/>
            <w:hideMark/>
          </w:tcPr>
          <w:p w14:paraId="5E6E5F62"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62.42</w:t>
            </w:r>
          </w:p>
        </w:tc>
        <w:tc>
          <w:tcPr>
            <w:tcW w:w="138" w:type="pct"/>
            <w:tcBorders>
              <w:top w:val="nil"/>
              <w:left w:val="nil"/>
              <w:bottom w:val="nil"/>
              <w:right w:val="nil"/>
            </w:tcBorders>
            <w:noWrap/>
            <w:vAlign w:val="center"/>
            <w:hideMark/>
          </w:tcPr>
          <w:p w14:paraId="4B4E1CD9" w14:textId="77777777" w:rsidR="007C49E7" w:rsidRPr="00801D01" w:rsidRDefault="007C49E7" w:rsidP="007C49E7">
            <w:pPr>
              <w:ind w:right="15"/>
              <w:jc w:val="center"/>
              <w:rPr>
                <w:rFonts w:ascii="Arial" w:hAnsi="Arial" w:cs="Arial"/>
                <w:color w:val="000000" w:themeColor="text1"/>
                <w:sz w:val="16"/>
                <w:szCs w:val="16"/>
              </w:rPr>
            </w:pPr>
          </w:p>
        </w:tc>
        <w:tc>
          <w:tcPr>
            <w:tcW w:w="462" w:type="pct"/>
            <w:tcBorders>
              <w:top w:val="nil"/>
              <w:left w:val="nil"/>
              <w:bottom w:val="nil"/>
              <w:right w:val="nil"/>
            </w:tcBorders>
            <w:noWrap/>
            <w:vAlign w:val="center"/>
            <w:hideMark/>
          </w:tcPr>
          <w:p w14:paraId="0EB5A067"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68.33</w:t>
            </w:r>
          </w:p>
        </w:tc>
        <w:tc>
          <w:tcPr>
            <w:tcW w:w="208" w:type="pct"/>
            <w:tcBorders>
              <w:top w:val="nil"/>
              <w:left w:val="nil"/>
              <w:bottom w:val="nil"/>
              <w:right w:val="nil"/>
            </w:tcBorders>
            <w:noWrap/>
            <w:vAlign w:val="center"/>
            <w:hideMark/>
          </w:tcPr>
          <w:p w14:paraId="68D754A6"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c</w:t>
            </w:r>
          </w:p>
        </w:tc>
        <w:tc>
          <w:tcPr>
            <w:tcW w:w="462" w:type="pct"/>
            <w:tcBorders>
              <w:top w:val="nil"/>
              <w:left w:val="nil"/>
              <w:bottom w:val="nil"/>
              <w:right w:val="nil"/>
            </w:tcBorders>
            <w:noWrap/>
            <w:vAlign w:val="center"/>
            <w:hideMark/>
          </w:tcPr>
          <w:p w14:paraId="27D75E37"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92.38</w:t>
            </w:r>
          </w:p>
        </w:tc>
        <w:tc>
          <w:tcPr>
            <w:tcW w:w="208" w:type="pct"/>
            <w:tcBorders>
              <w:top w:val="nil"/>
              <w:left w:val="nil"/>
              <w:bottom w:val="nil"/>
              <w:right w:val="nil"/>
            </w:tcBorders>
            <w:noWrap/>
            <w:vAlign w:val="center"/>
            <w:hideMark/>
          </w:tcPr>
          <w:p w14:paraId="0C462BC4"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b</w:t>
            </w:r>
          </w:p>
        </w:tc>
        <w:tc>
          <w:tcPr>
            <w:tcW w:w="462" w:type="pct"/>
            <w:tcBorders>
              <w:top w:val="nil"/>
              <w:left w:val="nil"/>
              <w:bottom w:val="nil"/>
              <w:right w:val="nil"/>
            </w:tcBorders>
            <w:noWrap/>
            <w:vAlign w:val="center"/>
            <w:hideMark/>
          </w:tcPr>
          <w:p w14:paraId="7B09B220"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15.04</w:t>
            </w:r>
          </w:p>
        </w:tc>
        <w:tc>
          <w:tcPr>
            <w:tcW w:w="272" w:type="pct"/>
            <w:tcBorders>
              <w:top w:val="nil"/>
              <w:left w:val="nil"/>
              <w:bottom w:val="nil"/>
              <w:right w:val="nil"/>
            </w:tcBorders>
            <w:noWrap/>
            <w:vAlign w:val="center"/>
            <w:hideMark/>
          </w:tcPr>
          <w:p w14:paraId="3E03711B"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ab</w:t>
            </w:r>
          </w:p>
        </w:tc>
        <w:tc>
          <w:tcPr>
            <w:tcW w:w="462" w:type="pct"/>
            <w:tcBorders>
              <w:top w:val="nil"/>
              <w:left w:val="nil"/>
              <w:bottom w:val="nil"/>
              <w:right w:val="nil"/>
            </w:tcBorders>
            <w:noWrap/>
            <w:vAlign w:val="center"/>
            <w:hideMark/>
          </w:tcPr>
          <w:p w14:paraId="2516FFD6"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13.72</w:t>
            </w:r>
          </w:p>
        </w:tc>
        <w:tc>
          <w:tcPr>
            <w:tcW w:w="272" w:type="pct"/>
            <w:tcBorders>
              <w:top w:val="nil"/>
              <w:left w:val="nil"/>
              <w:bottom w:val="nil"/>
              <w:right w:val="nil"/>
            </w:tcBorders>
            <w:noWrap/>
            <w:vAlign w:val="center"/>
            <w:hideMark/>
          </w:tcPr>
          <w:p w14:paraId="7E618536"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ab</w:t>
            </w:r>
          </w:p>
        </w:tc>
        <w:tc>
          <w:tcPr>
            <w:tcW w:w="534" w:type="pct"/>
            <w:tcBorders>
              <w:top w:val="nil"/>
              <w:left w:val="nil"/>
              <w:bottom w:val="nil"/>
              <w:right w:val="nil"/>
            </w:tcBorders>
            <w:noWrap/>
            <w:vAlign w:val="center"/>
            <w:hideMark/>
          </w:tcPr>
          <w:p w14:paraId="7E406BF7" w14:textId="2490E8BB"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3.8</w:t>
            </w:r>
            <w:r>
              <w:rPr>
                <w:rFonts w:ascii="Arial" w:hAnsi="Arial" w:cs="Arial"/>
                <w:color w:val="000000" w:themeColor="text1"/>
                <w:sz w:val="16"/>
                <w:szCs w:val="16"/>
              </w:rPr>
              <w:t>3</w:t>
            </w:r>
          </w:p>
        </w:tc>
        <w:tc>
          <w:tcPr>
            <w:tcW w:w="207" w:type="pct"/>
            <w:tcBorders>
              <w:top w:val="nil"/>
              <w:left w:val="nil"/>
              <w:bottom w:val="nil"/>
              <w:right w:val="nil"/>
            </w:tcBorders>
            <w:noWrap/>
            <w:vAlign w:val="center"/>
            <w:hideMark/>
          </w:tcPr>
          <w:p w14:paraId="087ACC9C"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b</w:t>
            </w:r>
          </w:p>
        </w:tc>
      </w:tr>
      <w:tr w:rsidR="007C49E7" w:rsidRPr="00801D01" w14:paraId="56F16D09" w14:textId="77777777" w:rsidTr="007C49E7">
        <w:trPr>
          <w:trHeight w:val="259"/>
        </w:trPr>
        <w:tc>
          <w:tcPr>
            <w:tcW w:w="852" w:type="pct"/>
            <w:tcBorders>
              <w:top w:val="nil"/>
              <w:left w:val="nil"/>
              <w:bottom w:val="single" w:sz="4" w:space="0" w:color="auto"/>
              <w:right w:val="nil"/>
            </w:tcBorders>
            <w:noWrap/>
            <w:vAlign w:val="center"/>
            <w:hideMark/>
          </w:tcPr>
          <w:p w14:paraId="5537C9FA" w14:textId="50E9BE94" w:rsidR="007C49E7" w:rsidRPr="00801D01" w:rsidRDefault="007C49E7" w:rsidP="007C49E7">
            <w:pPr>
              <w:ind w:right="15"/>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6</w:t>
            </w:r>
          </w:p>
        </w:tc>
        <w:tc>
          <w:tcPr>
            <w:tcW w:w="461" w:type="pct"/>
            <w:tcBorders>
              <w:top w:val="nil"/>
              <w:left w:val="nil"/>
              <w:bottom w:val="nil"/>
              <w:right w:val="nil"/>
            </w:tcBorders>
            <w:noWrap/>
            <w:vAlign w:val="center"/>
            <w:hideMark/>
          </w:tcPr>
          <w:p w14:paraId="584C6FBC"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61.67</w:t>
            </w:r>
          </w:p>
        </w:tc>
        <w:tc>
          <w:tcPr>
            <w:tcW w:w="138" w:type="pct"/>
            <w:tcBorders>
              <w:top w:val="nil"/>
              <w:left w:val="nil"/>
              <w:bottom w:val="nil"/>
              <w:right w:val="nil"/>
            </w:tcBorders>
            <w:noWrap/>
            <w:vAlign w:val="center"/>
            <w:hideMark/>
          </w:tcPr>
          <w:p w14:paraId="07675911" w14:textId="77777777" w:rsidR="007C49E7" w:rsidRPr="00801D01" w:rsidRDefault="007C49E7" w:rsidP="007C49E7">
            <w:pPr>
              <w:ind w:right="15"/>
              <w:jc w:val="center"/>
              <w:rPr>
                <w:rFonts w:ascii="Arial" w:hAnsi="Arial" w:cs="Arial"/>
                <w:color w:val="000000" w:themeColor="text1"/>
                <w:sz w:val="16"/>
                <w:szCs w:val="16"/>
              </w:rPr>
            </w:pPr>
          </w:p>
        </w:tc>
        <w:tc>
          <w:tcPr>
            <w:tcW w:w="462" w:type="pct"/>
            <w:tcBorders>
              <w:top w:val="nil"/>
              <w:left w:val="nil"/>
              <w:bottom w:val="nil"/>
              <w:right w:val="nil"/>
            </w:tcBorders>
            <w:noWrap/>
            <w:vAlign w:val="center"/>
            <w:hideMark/>
          </w:tcPr>
          <w:p w14:paraId="22D08585"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66.75</w:t>
            </w:r>
          </w:p>
        </w:tc>
        <w:tc>
          <w:tcPr>
            <w:tcW w:w="208" w:type="pct"/>
            <w:tcBorders>
              <w:top w:val="nil"/>
              <w:left w:val="nil"/>
              <w:bottom w:val="nil"/>
              <w:right w:val="nil"/>
            </w:tcBorders>
            <w:noWrap/>
            <w:vAlign w:val="center"/>
            <w:hideMark/>
          </w:tcPr>
          <w:p w14:paraId="349EF677"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d</w:t>
            </w:r>
          </w:p>
        </w:tc>
        <w:tc>
          <w:tcPr>
            <w:tcW w:w="462" w:type="pct"/>
            <w:tcBorders>
              <w:top w:val="nil"/>
              <w:left w:val="nil"/>
              <w:bottom w:val="nil"/>
              <w:right w:val="nil"/>
            </w:tcBorders>
            <w:noWrap/>
            <w:vAlign w:val="center"/>
            <w:hideMark/>
          </w:tcPr>
          <w:p w14:paraId="51620115"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98.80</w:t>
            </w:r>
          </w:p>
        </w:tc>
        <w:tc>
          <w:tcPr>
            <w:tcW w:w="208" w:type="pct"/>
            <w:tcBorders>
              <w:top w:val="nil"/>
              <w:left w:val="nil"/>
              <w:bottom w:val="nil"/>
              <w:right w:val="nil"/>
            </w:tcBorders>
            <w:noWrap/>
            <w:vAlign w:val="center"/>
            <w:hideMark/>
          </w:tcPr>
          <w:p w14:paraId="37D051E7"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a</w:t>
            </w:r>
          </w:p>
        </w:tc>
        <w:tc>
          <w:tcPr>
            <w:tcW w:w="462" w:type="pct"/>
            <w:tcBorders>
              <w:top w:val="nil"/>
              <w:left w:val="nil"/>
              <w:bottom w:val="nil"/>
              <w:right w:val="nil"/>
            </w:tcBorders>
            <w:noWrap/>
            <w:vAlign w:val="center"/>
            <w:hideMark/>
          </w:tcPr>
          <w:p w14:paraId="4DE2EB80"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15.91</w:t>
            </w:r>
          </w:p>
        </w:tc>
        <w:tc>
          <w:tcPr>
            <w:tcW w:w="272" w:type="pct"/>
            <w:tcBorders>
              <w:top w:val="nil"/>
              <w:left w:val="nil"/>
              <w:bottom w:val="nil"/>
              <w:right w:val="nil"/>
            </w:tcBorders>
            <w:noWrap/>
            <w:vAlign w:val="center"/>
            <w:hideMark/>
          </w:tcPr>
          <w:p w14:paraId="15716C83"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a</w:t>
            </w:r>
          </w:p>
        </w:tc>
        <w:tc>
          <w:tcPr>
            <w:tcW w:w="462" w:type="pct"/>
            <w:tcBorders>
              <w:top w:val="nil"/>
              <w:left w:val="nil"/>
              <w:bottom w:val="nil"/>
              <w:right w:val="nil"/>
            </w:tcBorders>
            <w:noWrap/>
            <w:vAlign w:val="center"/>
            <w:hideMark/>
          </w:tcPr>
          <w:p w14:paraId="3B5C9D5B"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14.59</w:t>
            </w:r>
          </w:p>
        </w:tc>
        <w:tc>
          <w:tcPr>
            <w:tcW w:w="272" w:type="pct"/>
            <w:tcBorders>
              <w:top w:val="nil"/>
              <w:left w:val="nil"/>
              <w:bottom w:val="nil"/>
              <w:right w:val="nil"/>
            </w:tcBorders>
            <w:noWrap/>
            <w:vAlign w:val="center"/>
            <w:hideMark/>
          </w:tcPr>
          <w:p w14:paraId="6B0D75A3"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a</w:t>
            </w:r>
          </w:p>
        </w:tc>
        <w:tc>
          <w:tcPr>
            <w:tcW w:w="534" w:type="pct"/>
            <w:tcBorders>
              <w:top w:val="nil"/>
              <w:left w:val="nil"/>
              <w:bottom w:val="nil"/>
              <w:right w:val="nil"/>
            </w:tcBorders>
            <w:noWrap/>
            <w:vAlign w:val="center"/>
            <w:hideMark/>
          </w:tcPr>
          <w:p w14:paraId="7E66D649" w14:textId="4ED61A85"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3.91</w:t>
            </w:r>
          </w:p>
        </w:tc>
        <w:tc>
          <w:tcPr>
            <w:tcW w:w="207" w:type="pct"/>
            <w:tcBorders>
              <w:top w:val="nil"/>
              <w:left w:val="nil"/>
              <w:bottom w:val="nil"/>
              <w:right w:val="nil"/>
            </w:tcBorders>
            <w:noWrap/>
            <w:vAlign w:val="center"/>
            <w:hideMark/>
          </w:tcPr>
          <w:p w14:paraId="4A37BA43"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a</w:t>
            </w:r>
          </w:p>
        </w:tc>
      </w:tr>
      <w:tr w:rsidR="00801D01" w:rsidRPr="00801D01" w14:paraId="63556404" w14:textId="77777777" w:rsidTr="007C49E7">
        <w:trPr>
          <w:trHeight w:val="259"/>
        </w:trPr>
        <w:tc>
          <w:tcPr>
            <w:tcW w:w="852" w:type="pct"/>
            <w:tcBorders>
              <w:top w:val="nil"/>
              <w:left w:val="nil"/>
              <w:bottom w:val="nil"/>
              <w:right w:val="nil"/>
            </w:tcBorders>
            <w:noWrap/>
            <w:vAlign w:val="center"/>
            <w:hideMark/>
          </w:tcPr>
          <w:p w14:paraId="06F0E42A"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LSD 0.05</w:t>
            </w:r>
          </w:p>
        </w:tc>
        <w:tc>
          <w:tcPr>
            <w:tcW w:w="599" w:type="pct"/>
            <w:gridSpan w:val="2"/>
            <w:tcBorders>
              <w:top w:val="single" w:sz="4" w:space="0" w:color="auto"/>
              <w:left w:val="nil"/>
              <w:bottom w:val="nil"/>
              <w:right w:val="nil"/>
            </w:tcBorders>
            <w:noWrap/>
            <w:vAlign w:val="center"/>
            <w:hideMark/>
          </w:tcPr>
          <w:p w14:paraId="626DD654"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3.11</w:t>
            </w:r>
          </w:p>
        </w:tc>
        <w:tc>
          <w:tcPr>
            <w:tcW w:w="670" w:type="pct"/>
            <w:gridSpan w:val="2"/>
            <w:tcBorders>
              <w:top w:val="single" w:sz="4" w:space="0" w:color="auto"/>
              <w:left w:val="nil"/>
              <w:bottom w:val="nil"/>
              <w:right w:val="nil"/>
            </w:tcBorders>
            <w:noWrap/>
            <w:vAlign w:val="center"/>
            <w:hideMark/>
          </w:tcPr>
          <w:p w14:paraId="2AC441C3"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0.55</w:t>
            </w:r>
          </w:p>
        </w:tc>
        <w:tc>
          <w:tcPr>
            <w:tcW w:w="670" w:type="pct"/>
            <w:gridSpan w:val="2"/>
            <w:tcBorders>
              <w:top w:val="single" w:sz="4" w:space="0" w:color="auto"/>
              <w:left w:val="nil"/>
              <w:bottom w:val="nil"/>
              <w:right w:val="nil"/>
            </w:tcBorders>
            <w:noWrap/>
            <w:vAlign w:val="center"/>
            <w:hideMark/>
          </w:tcPr>
          <w:p w14:paraId="461BA93C"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4.85</w:t>
            </w:r>
          </w:p>
        </w:tc>
        <w:tc>
          <w:tcPr>
            <w:tcW w:w="734" w:type="pct"/>
            <w:gridSpan w:val="2"/>
            <w:tcBorders>
              <w:top w:val="single" w:sz="4" w:space="0" w:color="auto"/>
              <w:left w:val="nil"/>
              <w:bottom w:val="nil"/>
              <w:right w:val="nil"/>
            </w:tcBorders>
            <w:noWrap/>
            <w:vAlign w:val="center"/>
            <w:hideMark/>
          </w:tcPr>
          <w:p w14:paraId="2E384302"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0.96</w:t>
            </w:r>
          </w:p>
        </w:tc>
        <w:tc>
          <w:tcPr>
            <w:tcW w:w="734" w:type="pct"/>
            <w:gridSpan w:val="2"/>
            <w:tcBorders>
              <w:top w:val="single" w:sz="4" w:space="0" w:color="auto"/>
              <w:left w:val="nil"/>
              <w:bottom w:val="nil"/>
              <w:right w:val="nil"/>
            </w:tcBorders>
            <w:noWrap/>
            <w:vAlign w:val="center"/>
            <w:hideMark/>
          </w:tcPr>
          <w:p w14:paraId="3F6F5FE5" w14:textId="133A3E44"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0.9</w:t>
            </w:r>
            <w:r w:rsidR="003E6120">
              <w:rPr>
                <w:rFonts w:ascii="Arial" w:hAnsi="Arial" w:cs="Arial"/>
                <w:color w:val="000000" w:themeColor="text1"/>
                <w:sz w:val="16"/>
                <w:szCs w:val="16"/>
              </w:rPr>
              <w:t>9</w:t>
            </w:r>
          </w:p>
        </w:tc>
        <w:tc>
          <w:tcPr>
            <w:tcW w:w="741" w:type="pct"/>
            <w:gridSpan w:val="2"/>
            <w:tcBorders>
              <w:top w:val="single" w:sz="4" w:space="0" w:color="auto"/>
              <w:left w:val="nil"/>
              <w:bottom w:val="nil"/>
              <w:right w:val="nil"/>
            </w:tcBorders>
            <w:noWrap/>
            <w:vAlign w:val="center"/>
            <w:hideMark/>
          </w:tcPr>
          <w:p w14:paraId="2EBEA890" w14:textId="3D64AB76"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0.</w:t>
            </w:r>
            <w:r w:rsidR="00657A5A">
              <w:rPr>
                <w:rFonts w:ascii="Arial" w:hAnsi="Arial" w:cs="Arial"/>
                <w:color w:val="000000" w:themeColor="text1"/>
                <w:sz w:val="16"/>
                <w:szCs w:val="16"/>
              </w:rPr>
              <w:t>06</w:t>
            </w:r>
          </w:p>
        </w:tc>
      </w:tr>
      <w:tr w:rsidR="00801D01" w:rsidRPr="00801D01" w14:paraId="4738C007" w14:textId="77777777" w:rsidTr="007C49E7">
        <w:trPr>
          <w:trHeight w:val="259"/>
        </w:trPr>
        <w:tc>
          <w:tcPr>
            <w:tcW w:w="852" w:type="pct"/>
            <w:tcBorders>
              <w:top w:val="nil"/>
              <w:left w:val="nil"/>
              <w:bottom w:val="nil"/>
              <w:right w:val="nil"/>
            </w:tcBorders>
            <w:noWrap/>
            <w:vAlign w:val="center"/>
            <w:hideMark/>
          </w:tcPr>
          <w:p w14:paraId="5DEAE723" w14:textId="77777777" w:rsidR="00C13684" w:rsidRPr="00801D01" w:rsidRDefault="00C13684" w:rsidP="00801D01">
            <w:pPr>
              <w:ind w:right="15"/>
              <w:jc w:val="center"/>
              <w:rPr>
                <w:rFonts w:ascii="Arial" w:hAnsi="Arial" w:cs="Arial"/>
                <w:color w:val="000000" w:themeColor="text1"/>
                <w:sz w:val="16"/>
                <w:szCs w:val="16"/>
              </w:rPr>
            </w:pPr>
            <w:proofErr w:type="spellStart"/>
            <w:r w:rsidRPr="00801D01">
              <w:rPr>
                <w:rFonts w:ascii="Arial" w:hAnsi="Arial" w:cs="Arial"/>
                <w:color w:val="000000" w:themeColor="text1"/>
                <w:sz w:val="16"/>
                <w:szCs w:val="16"/>
              </w:rPr>
              <w:t>Pr</w:t>
            </w:r>
            <w:proofErr w:type="spellEnd"/>
            <w:r w:rsidRPr="00801D01">
              <w:rPr>
                <w:rFonts w:ascii="Arial" w:hAnsi="Arial" w:cs="Arial"/>
                <w:color w:val="000000" w:themeColor="text1"/>
                <w:sz w:val="16"/>
                <w:szCs w:val="16"/>
              </w:rPr>
              <w:t>&gt;F</w:t>
            </w:r>
          </w:p>
        </w:tc>
        <w:tc>
          <w:tcPr>
            <w:tcW w:w="599" w:type="pct"/>
            <w:gridSpan w:val="2"/>
            <w:tcBorders>
              <w:top w:val="single" w:sz="4" w:space="0" w:color="auto"/>
              <w:left w:val="nil"/>
              <w:bottom w:val="nil"/>
              <w:right w:val="nil"/>
            </w:tcBorders>
            <w:noWrap/>
            <w:vAlign w:val="center"/>
            <w:hideMark/>
          </w:tcPr>
          <w:p w14:paraId="17B202F5"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ns</w:t>
            </w:r>
          </w:p>
        </w:tc>
        <w:tc>
          <w:tcPr>
            <w:tcW w:w="670" w:type="pct"/>
            <w:gridSpan w:val="2"/>
            <w:tcBorders>
              <w:top w:val="single" w:sz="4" w:space="0" w:color="auto"/>
              <w:left w:val="nil"/>
              <w:bottom w:val="nil"/>
              <w:right w:val="nil"/>
            </w:tcBorders>
            <w:noWrap/>
            <w:vAlign w:val="center"/>
            <w:hideMark/>
          </w:tcPr>
          <w:p w14:paraId="2328314B"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w:t>
            </w:r>
          </w:p>
        </w:tc>
        <w:tc>
          <w:tcPr>
            <w:tcW w:w="670" w:type="pct"/>
            <w:gridSpan w:val="2"/>
            <w:tcBorders>
              <w:top w:val="single" w:sz="4" w:space="0" w:color="auto"/>
              <w:left w:val="nil"/>
              <w:bottom w:val="nil"/>
              <w:right w:val="nil"/>
            </w:tcBorders>
            <w:noWrap/>
            <w:vAlign w:val="center"/>
            <w:hideMark/>
          </w:tcPr>
          <w:p w14:paraId="57F7DE3D"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w:t>
            </w:r>
          </w:p>
        </w:tc>
        <w:tc>
          <w:tcPr>
            <w:tcW w:w="734" w:type="pct"/>
            <w:gridSpan w:val="2"/>
            <w:tcBorders>
              <w:top w:val="single" w:sz="4" w:space="0" w:color="auto"/>
              <w:left w:val="nil"/>
              <w:bottom w:val="nil"/>
              <w:right w:val="nil"/>
            </w:tcBorders>
            <w:noWrap/>
            <w:vAlign w:val="center"/>
            <w:hideMark/>
          </w:tcPr>
          <w:p w14:paraId="5B15BBC0"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w:t>
            </w:r>
          </w:p>
        </w:tc>
        <w:tc>
          <w:tcPr>
            <w:tcW w:w="734" w:type="pct"/>
            <w:gridSpan w:val="2"/>
            <w:tcBorders>
              <w:top w:val="single" w:sz="4" w:space="0" w:color="auto"/>
              <w:left w:val="nil"/>
              <w:bottom w:val="nil"/>
              <w:right w:val="nil"/>
            </w:tcBorders>
            <w:noWrap/>
            <w:vAlign w:val="center"/>
            <w:hideMark/>
          </w:tcPr>
          <w:p w14:paraId="6BD09CAC"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w:t>
            </w:r>
          </w:p>
        </w:tc>
        <w:tc>
          <w:tcPr>
            <w:tcW w:w="741" w:type="pct"/>
            <w:gridSpan w:val="2"/>
            <w:tcBorders>
              <w:top w:val="single" w:sz="4" w:space="0" w:color="auto"/>
              <w:left w:val="nil"/>
              <w:bottom w:val="nil"/>
              <w:right w:val="nil"/>
            </w:tcBorders>
            <w:noWrap/>
            <w:vAlign w:val="center"/>
            <w:hideMark/>
          </w:tcPr>
          <w:p w14:paraId="3D177037"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w:t>
            </w:r>
          </w:p>
        </w:tc>
      </w:tr>
      <w:tr w:rsidR="00801D01" w:rsidRPr="00801D01" w14:paraId="7E2B184C" w14:textId="77777777" w:rsidTr="007C49E7">
        <w:trPr>
          <w:trHeight w:val="259"/>
        </w:trPr>
        <w:tc>
          <w:tcPr>
            <w:tcW w:w="852" w:type="pct"/>
            <w:tcBorders>
              <w:top w:val="nil"/>
              <w:left w:val="nil"/>
              <w:bottom w:val="single" w:sz="4" w:space="0" w:color="auto"/>
              <w:right w:val="nil"/>
            </w:tcBorders>
            <w:noWrap/>
            <w:vAlign w:val="center"/>
            <w:hideMark/>
          </w:tcPr>
          <w:p w14:paraId="672BA269"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CV%</w:t>
            </w:r>
          </w:p>
        </w:tc>
        <w:tc>
          <w:tcPr>
            <w:tcW w:w="599" w:type="pct"/>
            <w:gridSpan w:val="2"/>
            <w:tcBorders>
              <w:top w:val="single" w:sz="4" w:space="0" w:color="auto"/>
              <w:left w:val="nil"/>
              <w:bottom w:val="single" w:sz="4" w:space="0" w:color="auto"/>
              <w:right w:val="nil"/>
            </w:tcBorders>
            <w:noWrap/>
            <w:vAlign w:val="center"/>
            <w:hideMark/>
          </w:tcPr>
          <w:p w14:paraId="10027622"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3.27</w:t>
            </w:r>
          </w:p>
        </w:tc>
        <w:tc>
          <w:tcPr>
            <w:tcW w:w="670" w:type="pct"/>
            <w:gridSpan w:val="2"/>
            <w:tcBorders>
              <w:top w:val="single" w:sz="4" w:space="0" w:color="auto"/>
              <w:left w:val="nil"/>
              <w:bottom w:val="single" w:sz="4" w:space="0" w:color="auto"/>
              <w:right w:val="nil"/>
            </w:tcBorders>
            <w:noWrap/>
            <w:vAlign w:val="center"/>
            <w:hideMark/>
          </w:tcPr>
          <w:p w14:paraId="497A9D9D"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0.53</w:t>
            </w:r>
          </w:p>
        </w:tc>
        <w:tc>
          <w:tcPr>
            <w:tcW w:w="670" w:type="pct"/>
            <w:gridSpan w:val="2"/>
            <w:tcBorders>
              <w:top w:val="single" w:sz="4" w:space="0" w:color="auto"/>
              <w:left w:val="nil"/>
              <w:bottom w:val="single" w:sz="4" w:space="0" w:color="auto"/>
              <w:right w:val="nil"/>
            </w:tcBorders>
            <w:noWrap/>
            <w:vAlign w:val="center"/>
            <w:hideMark/>
          </w:tcPr>
          <w:p w14:paraId="7FFD70C4"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4.12</w:t>
            </w:r>
          </w:p>
        </w:tc>
        <w:tc>
          <w:tcPr>
            <w:tcW w:w="734" w:type="pct"/>
            <w:gridSpan w:val="2"/>
            <w:tcBorders>
              <w:top w:val="single" w:sz="4" w:space="0" w:color="auto"/>
              <w:left w:val="nil"/>
              <w:bottom w:val="single" w:sz="4" w:space="0" w:color="auto"/>
              <w:right w:val="nil"/>
            </w:tcBorders>
            <w:noWrap/>
            <w:vAlign w:val="center"/>
            <w:hideMark/>
          </w:tcPr>
          <w:p w14:paraId="38DBFC26"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4.72</w:t>
            </w:r>
          </w:p>
        </w:tc>
        <w:tc>
          <w:tcPr>
            <w:tcW w:w="734" w:type="pct"/>
            <w:gridSpan w:val="2"/>
            <w:tcBorders>
              <w:top w:val="single" w:sz="4" w:space="0" w:color="auto"/>
              <w:left w:val="nil"/>
              <w:bottom w:val="single" w:sz="4" w:space="0" w:color="auto"/>
              <w:right w:val="nil"/>
            </w:tcBorders>
            <w:noWrap/>
            <w:vAlign w:val="center"/>
            <w:hideMark/>
          </w:tcPr>
          <w:p w14:paraId="6A651BD6"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5.43</w:t>
            </w:r>
          </w:p>
        </w:tc>
        <w:tc>
          <w:tcPr>
            <w:tcW w:w="741" w:type="pct"/>
            <w:gridSpan w:val="2"/>
            <w:tcBorders>
              <w:top w:val="single" w:sz="4" w:space="0" w:color="auto"/>
              <w:left w:val="nil"/>
              <w:bottom w:val="single" w:sz="4" w:space="0" w:color="auto"/>
              <w:right w:val="nil"/>
            </w:tcBorders>
            <w:noWrap/>
            <w:vAlign w:val="center"/>
            <w:hideMark/>
          </w:tcPr>
          <w:p w14:paraId="43E9DF5F"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1.10</w:t>
            </w:r>
          </w:p>
        </w:tc>
      </w:tr>
    </w:tbl>
    <w:p w14:paraId="638EB152" w14:textId="7B9E9E8C" w:rsidR="00ED617B" w:rsidRPr="00ED617B" w:rsidRDefault="00ED617B" w:rsidP="00ED617B">
      <w:pPr>
        <w:spacing w:before="120" w:after="120"/>
        <w:jc w:val="both"/>
        <w:rPr>
          <w:rFonts w:ascii="Arial" w:hAnsi="Arial" w:cs="Arial"/>
          <w:noProof/>
          <w:color w:val="000000" w:themeColor="text1"/>
          <w:sz w:val="16"/>
          <w:szCs w:val="16"/>
        </w:rPr>
      </w:pPr>
      <w:r w:rsidRPr="00ED617B">
        <w:rPr>
          <w:rFonts w:ascii="Arial" w:hAnsi="Arial" w:cs="Arial"/>
          <w:noProof/>
          <w:color w:val="000000" w:themeColor="text1"/>
          <w:sz w:val="16"/>
          <w:szCs w:val="16"/>
        </w:rPr>
        <w:t xml:space="preserve">Means followed by the same letter in each column are not significantly different, </w:t>
      </w:r>
      <w:r>
        <w:rPr>
          <w:rFonts w:ascii="Arial" w:hAnsi="Arial" w:cs="Arial"/>
          <w:noProof/>
          <w:color w:val="000000" w:themeColor="text1"/>
          <w:sz w:val="16"/>
          <w:szCs w:val="16"/>
        </w:rPr>
        <w:t xml:space="preserve">ns – Non-significant different,        </w:t>
      </w:r>
      <w:r w:rsidRPr="00ED617B">
        <w:rPr>
          <w:rFonts w:ascii="Arial" w:hAnsi="Arial" w:cs="Arial"/>
          <w:bCs/>
          <w:noProof/>
          <w:color w:val="000000" w:themeColor="text1"/>
          <w:sz w:val="16"/>
          <w:szCs w:val="16"/>
        </w:rPr>
        <w:t>** Significant difference at 1% level</w:t>
      </w:r>
    </w:p>
    <w:p w14:paraId="74357096" w14:textId="77777777" w:rsidR="00ED617B" w:rsidRPr="00ED617B" w:rsidRDefault="00ED617B" w:rsidP="00ED617B">
      <w:pPr>
        <w:spacing w:before="120" w:after="120"/>
        <w:jc w:val="both"/>
        <w:rPr>
          <w:rFonts w:ascii="Arial" w:hAnsi="Arial" w:cs="Arial"/>
          <w:noProof/>
          <w:color w:val="000000" w:themeColor="text1"/>
          <w:sz w:val="16"/>
          <w:szCs w:val="16"/>
        </w:rPr>
      </w:pPr>
      <w:r w:rsidRPr="00ED617B">
        <w:rPr>
          <w:rFonts w:ascii="Arial" w:hAnsi="Arial" w:cs="Arial"/>
          <w:noProof/>
          <w:color w:val="000000" w:themeColor="text1"/>
          <w:sz w:val="16"/>
          <w:szCs w:val="16"/>
        </w:rPr>
        <w:t>T</w:t>
      </w:r>
      <w:r w:rsidRPr="00ED617B">
        <w:rPr>
          <w:rFonts w:ascii="Arial" w:hAnsi="Arial" w:cs="Arial"/>
          <w:noProof/>
          <w:color w:val="000000" w:themeColor="text1"/>
          <w:sz w:val="16"/>
          <w:szCs w:val="16"/>
          <w:vertAlign w:val="subscript"/>
        </w:rPr>
        <w:t>1</w:t>
      </w:r>
      <w:r w:rsidRPr="00ED617B">
        <w:rPr>
          <w:rFonts w:ascii="Arial" w:hAnsi="Arial" w:cs="Arial"/>
          <w:noProof/>
          <w:color w:val="000000" w:themeColor="text1"/>
          <w:sz w:val="16"/>
          <w:szCs w:val="16"/>
        </w:rPr>
        <w:t xml:space="preserve"> – (control), T</w:t>
      </w:r>
      <w:r w:rsidRPr="00ED617B">
        <w:rPr>
          <w:rFonts w:ascii="Arial" w:hAnsi="Arial" w:cs="Arial"/>
          <w:noProof/>
          <w:color w:val="000000" w:themeColor="text1"/>
          <w:sz w:val="16"/>
          <w:szCs w:val="16"/>
          <w:vertAlign w:val="subscript"/>
        </w:rPr>
        <w:t>2</w:t>
      </w:r>
      <w:r w:rsidRPr="00ED617B">
        <w:rPr>
          <w:rFonts w:ascii="Arial" w:hAnsi="Arial" w:cs="Arial"/>
          <w:noProof/>
          <w:color w:val="000000" w:themeColor="text1"/>
          <w:sz w:val="16"/>
          <w:szCs w:val="16"/>
        </w:rPr>
        <w:t xml:space="preserve"> – (Organic amendment (OA)), T</w:t>
      </w:r>
      <w:r w:rsidRPr="00ED617B">
        <w:rPr>
          <w:rFonts w:ascii="Arial" w:hAnsi="Arial" w:cs="Arial"/>
          <w:noProof/>
          <w:color w:val="000000" w:themeColor="text1"/>
          <w:sz w:val="16"/>
          <w:szCs w:val="16"/>
          <w:vertAlign w:val="subscript"/>
        </w:rPr>
        <w:t>3</w:t>
      </w:r>
      <w:r w:rsidRPr="00ED617B">
        <w:rPr>
          <w:rFonts w:ascii="Arial" w:hAnsi="Arial" w:cs="Arial"/>
          <w:noProof/>
          <w:color w:val="000000" w:themeColor="text1"/>
          <w:sz w:val="16"/>
          <w:szCs w:val="16"/>
        </w:rPr>
        <w:t xml:space="preserve"> – (100%NPK), T</w:t>
      </w:r>
      <w:r w:rsidRPr="00ED617B">
        <w:rPr>
          <w:rFonts w:ascii="Arial" w:hAnsi="Arial" w:cs="Arial"/>
          <w:noProof/>
          <w:color w:val="000000" w:themeColor="text1"/>
          <w:sz w:val="16"/>
          <w:szCs w:val="16"/>
          <w:vertAlign w:val="subscript"/>
        </w:rPr>
        <w:t>4</w:t>
      </w:r>
      <w:r w:rsidRPr="00ED617B">
        <w:rPr>
          <w:rFonts w:ascii="Arial" w:hAnsi="Arial" w:cs="Arial"/>
          <w:noProof/>
          <w:color w:val="000000" w:themeColor="text1"/>
          <w:sz w:val="16"/>
          <w:szCs w:val="16"/>
        </w:rPr>
        <w:t xml:space="preserve"> – (OA + 50% NPK), T</w:t>
      </w:r>
      <w:r w:rsidRPr="00ED617B">
        <w:rPr>
          <w:rFonts w:ascii="Arial" w:hAnsi="Arial" w:cs="Arial"/>
          <w:noProof/>
          <w:color w:val="000000" w:themeColor="text1"/>
          <w:sz w:val="16"/>
          <w:szCs w:val="16"/>
          <w:vertAlign w:val="subscript"/>
        </w:rPr>
        <w:t>5</w:t>
      </w:r>
      <w:r w:rsidRPr="00ED617B">
        <w:rPr>
          <w:rFonts w:ascii="Arial" w:hAnsi="Arial" w:cs="Arial"/>
          <w:noProof/>
          <w:color w:val="000000" w:themeColor="text1"/>
          <w:sz w:val="16"/>
          <w:szCs w:val="16"/>
        </w:rPr>
        <w:t xml:space="preserve"> – (OA + 75% NPK), T</w:t>
      </w:r>
      <w:r w:rsidRPr="00ED617B">
        <w:rPr>
          <w:rFonts w:ascii="Arial" w:hAnsi="Arial" w:cs="Arial"/>
          <w:noProof/>
          <w:color w:val="000000" w:themeColor="text1"/>
          <w:sz w:val="16"/>
          <w:szCs w:val="16"/>
          <w:vertAlign w:val="subscript"/>
        </w:rPr>
        <w:t>6</w:t>
      </w:r>
      <w:r w:rsidRPr="00ED617B">
        <w:rPr>
          <w:rFonts w:ascii="Arial" w:hAnsi="Arial" w:cs="Arial"/>
          <w:noProof/>
          <w:color w:val="000000" w:themeColor="text1"/>
          <w:sz w:val="16"/>
          <w:szCs w:val="16"/>
        </w:rPr>
        <w:t xml:space="preserve"> – (OA + 100% NPK)</w:t>
      </w:r>
    </w:p>
    <w:p w14:paraId="67D4A784" w14:textId="731B4690" w:rsidR="00C13684" w:rsidRPr="00F42131" w:rsidRDefault="00F42131" w:rsidP="00801D01">
      <w:pPr>
        <w:spacing w:before="120" w:after="120"/>
        <w:ind w:left="990" w:hanging="990"/>
        <w:jc w:val="both"/>
        <w:rPr>
          <w:rFonts w:ascii="Arial" w:hAnsi="Arial" w:cs="Arial"/>
          <w:b/>
          <w:bCs/>
          <w:color w:val="000000" w:themeColor="text1"/>
        </w:rPr>
      </w:pPr>
      <w:r w:rsidRPr="00F42131">
        <w:rPr>
          <w:rFonts w:ascii="Arial" w:hAnsi="Arial" w:cs="Arial"/>
          <w:b/>
          <w:bCs/>
          <w:color w:val="000000" w:themeColor="text1"/>
        </w:rPr>
        <w:t>3.</w:t>
      </w:r>
      <w:r w:rsidR="00C13684" w:rsidRPr="00F42131">
        <w:rPr>
          <w:rFonts w:ascii="Arial" w:hAnsi="Arial" w:cs="Arial"/>
          <w:b/>
          <w:bCs/>
          <w:color w:val="000000" w:themeColor="text1"/>
        </w:rPr>
        <w:t>2.5 Number of Rows per Ear and Kernels per Row</w:t>
      </w:r>
    </w:p>
    <w:p w14:paraId="4E9553AD" w14:textId="77777777" w:rsidR="00AD3342" w:rsidRPr="00D823AD" w:rsidRDefault="00ED617B" w:rsidP="00AD3342">
      <w:pPr>
        <w:spacing w:line="360" w:lineRule="auto"/>
        <w:jc w:val="both"/>
      </w:pPr>
      <w:r w:rsidRPr="00ED617B">
        <w:rPr>
          <w:rFonts w:ascii="Arial" w:hAnsi="Arial" w:cs="Arial"/>
          <w:color w:val="000000" w:themeColor="text1"/>
        </w:rPr>
        <w:t>The number of rows per ear was highest in treatment T</w:t>
      </w:r>
      <w:r w:rsidRPr="00ED617B">
        <w:rPr>
          <w:rFonts w:ascii="Cambria Math" w:hAnsi="Cambria Math" w:cs="Cambria Math"/>
          <w:color w:val="000000" w:themeColor="text1"/>
        </w:rPr>
        <w:t>₆</w:t>
      </w:r>
      <w:r w:rsidRPr="00ED617B">
        <w:rPr>
          <w:rFonts w:ascii="Arial" w:hAnsi="Arial" w:cs="Arial"/>
          <w:color w:val="000000" w:themeColor="text1"/>
        </w:rPr>
        <w:t xml:space="preserve"> (14.30), followed by T</w:t>
      </w:r>
      <w:r w:rsidRPr="00ED617B">
        <w:rPr>
          <w:rFonts w:ascii="Cambria Math" w:hAnsi="Cambria Math" w:cs="Cambria Math"/>
          <w:color w:val="000000" w:themeColor="text1"/>
        </w:rPr>
        <w:t>₃</w:t>
      </w:r>
      <w:r w:rsidRPr="00ED617B">
        <w:rPr>
          <w:rFonts w:ascii="Arial" w:hAnsi="Arial" w:cs="Arial"/>
          <w:color w:val="000000" w:themeColor="text1"/>
        </w:rPr>
        <w:t xml:space="preserve"> (13.20). Similarly, kernels per row were greater in T</w:t>
      </w:r>
      <w:r w:rsidRPr="00ED617B">
        <w:rPr>
          <w:rFonts w:ascii="Cambria Math" w:hAnsi="Cambria Math" w:cs="Cambria Math"/>
          <w:color w:val="000000" w:themeColor="text1"/>
        </w:rPr>
        <w:t>₆</w:t>
      </w:r>
      <w:r w:rsidRPr="00ED617B">
        <w:rPr>
          <w:rFonts w:ascii="Arial" w:hAnsi="Arial" w:cs="Arial"/>
          <w:color w:val="000000" w:themeColor="text1"/>
        </w:rPr>
        <w:t xml:space="preserve"> (34.00) compared to T</w:t>
      </w:r>
      <w:r w:rsidRPr="00ED617B">
        <w:rPr>
          <w:rFonts w:ascii="Cambria Math" w:hAnsi="Cambria Math" w:cs="Cambria Math"/>
          <w:color w:val="000000" w:themeColor="text1"/>
        </w:rPr>
        <w:t>₃</w:t>
      </w:r>
      <w:r w:rsidRPr="00ED617B">
        <w:rPr>
          <w:rFonts w:ascii="Arial" w:hAnsi="Arial" w:cs="Arial"/>
          <w:color w:val="000000" w:themeColor="text1"/>
        </w:rPr>
        <w:t xml:space="preserve"> (33.00). These yield components are determined during the early vegetative stages (V5–V8) and are highly sensitive to environmental stresses such as waterlogging and nutrient deficiency. The superior performance of T</w:t>
      </w:r>
      <w:r w:rsidRPr="00ED617B">
        <w:rPr>
          <w:rFonts w:ascii="Cambria Math" w:hAnsi="Cambria Math" w:cs="Cambria Math"/>
          <w:color w:val="000000" w:themeColor="text1"/>
        </w:rPr>
        <w:t>₆</w:t>
      </w:r>
      <w:r w:rsidRPr="00ED617B">
        <w:rPr>
          <w:rFonts w:ascii="Arial" w:hAnsi="Arial" w:cs="Arial"/>
          <w:color w:val="000000" w:themeColor="text1"/>
        </w:rPr>
        <w:t xml:space="preserve"> suggests that organic amendments (OA) improve rhizosphere </w:t>
      </w:r>
      <w:r w:rsidRPr="00ED617B">
        <w:rPr>
          <w:rFonts w:ascii="Arial" w:hAnsi="Arial" w:cs="Arial"/>
          <w:color w:val="000000" w:themeColor="text1"/>
        </w:rPr>
        <w:lastRenderedPageBreak/>
        <w:t>conditions by enhancing soil structure, microbial activity, and nutrient retention, thereby supporting stable meristem development under stress (Lynch, 2019). In contrast, the lower values observed in T</w:t>
      </w:r>
      <w:r w:rsidRPr="00ED617B">
        <w:rPr>
          <w:rFonts w:ascii="Cambria Math" w:hAnsi="Cambria Math" w:cs="Cambria Math"/>
          <w:color w:val="000000" w:themeColor="text1"/>
        </w:rPr>
        <w:t>₃</w:t>
      </w:r>
      <w:r w:rsidRPr="00ED617B">
        <w:rPr>
          <w:rFonts w:ascii="Arial" w:hAnsi="Arial" w:cs="Arial"/>
          <w:color w:val="000000" w:themeColor="text1"/>
        </w:rPr>
        <w:t xml:space="preserve"> may be attributed to nutrient leaching—particularly of nitrogen and potassium—before plants can fully utilize them, reducing their availability during critical growth stages. </w:t>
      </w:r>
      <w:r w:rsidR="00AD3342" w:rsidRPr="00D823AD">
        <w:t>These findings align with recent studies showing that organic inputs alter the sorption behavior of soluble compounds in soil, reducing vertical movement and leaching of nutrients and agrochemicals (Janaki, 2023). This protective effect helps maintain nutrient availability in the root zone, especially under heavy rainfall.</w:t>
      </w:r>
    </w:p>
    <w:p w14:paraId="7C7092F0" w14:textId="51B7F853" w:rsidR="00C13684" w:rsidRPr="00F42131" w:rsidRDefault="00F42131" w:rsidP="00AD3342">
      <w:pPr>
        <w:spacing w:before="120" w:after="120"/>
        <w:ind w:firstLine="720"/>
        <w:jc w:val="both"/>
        <w:rPr>
          <w:rFonts w:ascii="Arial" w:hAnsi="Arial" w:cs="Arial"/>
          <w:b/>
          <w:bCs/>
          <w:color w:val="000000" w:themeColor="text1"/>
        </w:rPr>
      </w:pPr>
      <w:r w:rsidRPr="00F42131">
        <w:rPr>
          <w:rFonts w:ascii="Arial" w:hAnsi="Arial" w:cs="Arial"/>
          <w:b/>
          <w:bCs/>
          <w:color w:val="000000" w:themeColor="text1"/>
        </w:rPr>
        <w:t>3.</w:t>
      </w:r>
      <w:r w:rsidR="00C13684" w:rsidRPr="00F42131">
        <w:rPr>
          <w:rFonts w:ascii="Arial" w:hAnsi="Arial" w:cs="Arial"/>
          <w:b/>
          <w:bCs/>
          <w:color w:val="000000" w:themeColor="text1"/>
        </w:rPr>
        <w:t>2.6 Shelling Percentage and 1000-Seed Weight</w:t>
      </w:r>
    </w:p>
    <w:p w14:paraId="0822337C" w14:textId="77777777" w:rsidR="00ED617B" w:rsidRDefault="00ED617B" w:rsidP="00ED617B">
      <w:pPr>
        <w:spacing w:before="120" w:after="120"/>
        <w:ind w:firstLine="720"/>
        <w:jc w:val="both"/>
        <w:rPr>
          <w:rFonts w:ascii="Arial" w:hAnsi="Arial" w:cs="Arial"/>
          <w:color w:val="000000" w:themeColor="text1"/>
        </w:rPr>
      </w:pPr>
      <w:r w:rsidRPr="00ED617B">
        <w:rPr>
          <w:rFonts w:ascii="Arial" w:hAnsi="Arial" w:cs="Arial"/>
          <w:color w:val="000000" w:themeColor="text1"/>
        </w:rPr>
        <w:t>Shelling percentage was highest in treatment T</w:t>
      </w:r>
      <w:r w:rsidRPr="00ED617B">
        <w:rPr>
          <w:rFonts w:ascii="Cambria Math" w:hAnsi="Cambria Math" w:cs="Cambria Math"/>
          <w:color w:val="000000" w:themeColor="text1"/>
        </w:rPr>
        <w:t>₆</w:t>
      </w:r>
      <w:r w:rsidRPr="00ED617B">
        <w:rPr>
          <w:rFonts w:ascii="Arial" w:hAnsi="Arial" w:cs="Arial"/>
          <w:color w:val="000000" w:themeColor="text1"/>
        </w:rPr>
        <w:t xml:space="preserve"> (85.89%), compared to T</w:t>
      </w:r>
      <w:r w:rsidRPr="00ED617B">
        <w:rPr>
          <w:rFonts w:ascii="Cambria Math" w:hAnsi="Cambria Math" w:cs="Cambria Math"/>
          <w:color w:val="000000" w:themeColor="text1"/>
        </w:rPr>
        <w:t>₃</w:t>
      </w:r>
      <w:r w:rsidRPr="00ED617B">
        <w:rPr>
          <w:rFonts w:ascii="Arial" w:hAnsi="Arial" w:cs="Arial"/>
          <w:color w:val="000000" w:themeColor="text1"/>
        </w:rPr>
        <w:t xml:space="preserve"> (82.56%). Similarly, 1000-seed weight was greatest in T</w:t>
      </w:r>
      <w:r w:rsidRPr="00ED617B">
        <w:rPr>
          <w:rFonts w:ascii="Cambria Math" w:hAnsi="Cambria Math" w:cs="Cambria Math"/>
          <w:color w:val="000000" w:themeColor="text1"/>
        </w:rPr>
        <w:t>₆</w:t>
      </w:r>
      <w:r w:rsidRPr="00ED617B">
        <w:rPr>
          <w:rFonts w:ascii="Arial" w:hAnsi="Arial" w:cs="Arial"/>
          <w:color w:val="000000" w:themeColor="text1"/>
        </w:rPr>
        <w:t xml:space="preserve"> (210.50 g) and T</w:t>
      </w:r>
      <w:r w:rsidRPr="00ED617B">
        <w:rPr>
          <w:rFonts w:ascii="Cambria Math" w:hAnsi="Cambria Math" w:cs="Cambria Math"/>
          <w:color w:val="000000" w:themeColor="text1"/>
        </w:rPr>
        <w:t>₅</w:t>
      </w:r>
      <w:r w:rsidRPr="00ED617B">
        <w:rPr>
          <w:rFonts w:ascii="Arial" w:hAnsi="Arial" w:cs="Arial"/>
          <w:color w:val="000000" w:themeColor="text1"/>
        </w:rPr>
        <w:t xml:space="preserve"> (210.25 g), while T</w:t>
      </w:r>
      <w:r w:rsidRPr="00ED617B">
        <w:rPr>
          <w:rFonts w:ascii="Cambria Math" w:hAnsi="Cambria Math" w:cs="Cambria Math"/>
          <w:color w:val="000000" w:themeColor="text1"/>
        </w:rPr>
        <w:t>₃</w:t>
      </w:r>
      <w:r w:rsidRPr="00ED617B">
        <w:rPr>
          <w:rFonts w:ascii="Arial" w:hAnsi="Arial" w:cs="Arial"/>
          <w:color w:val="000000" w:themeColor="text1"/>
        </w:rPr>
        <w:t xml:space="preserve"> recorded a lower value of 191.70 g. These results suggest that treatments incorporating organic amendments, particularly T</w:t>
      </w:r>
      <w:r w:rsidRPr="00ED617B">
        <w:rPr>
          <w:rFonts w:ascii="Cambria Math" w:hAnsi="Cambria Math" w:cs="Cambria Math"/>
          <w:color w:val="000000" w:themeColor="text1"/>
        </w:rPr>
        <w:t>₆</w:t>
      </w:r>
      <w:r w:rsidRPr="00ED617B">
        <w:rPr>
          <w:rFonts w:ascii="Arial" w:hAnsi="Arial" w:cs="Arial"/>
          <w:color w:val="000000" w:themeColor="text1"/>
        </w:rPr>
        <w:t>, supported more efficient and prolonged grain filling. The improved performance in T</w:t>
      </w:r>
      <w:r w:rsidRPr="00ED617B">
        <w:rPr>
          <w:rFonts w:ascii="Cambria Math" w:hAnsi="Cambria Math" w:cs="Cambria Math"/>
          <w:color w:val="000000" w:themeColor="text1"/>
        </w:rPr>
        <w:t>₆</w:t>
      </w:r>
      <w:r w:rsidRPr="00ED617B">
        <w:rPr>
          <w:rFonts w:ascii="Arial" w:hAnsi="Arial" w:cs="Arial"/>
          <w:color w:val="000000" w:themeColor="text1"/>
        </w:rPr>
        <w:t xml:space="preserve"> is likely due to the slow and sustained release of nutrients from organic matter, which maintains nutrient availability during the critical grain development phase (Pimentel et al., 2005). In contrast, the lower shelling percentage and seed weight in T</w:t>
      </w:r>
      <w:r w:rsidRPr="00ED617B">
        <w:rPr>
          <w:rFonts w:ascii="Cambria Math" w:hAnsi="Cambria Math" w:cs="Cambria Math"/>
          <w:color w:val="000000" w:themeColor="text1"/>
        </w:rPr>
        <w:t>₃</w:t>
      </w:r>
      <w:r w:rsidRPr="00ED617B">
        <w:rPr>
          <w:rFonts w:ascii="Arial" w:hAnsi="Arial" w:cs="Arial"/>
          <w:color w:val="000000" w:themeColor="text1"/>
        </w:rPr>
        <w:t xml:space="preserve"> may reflect premature cessation of grain filling, possibly caused by nutrient leaching or reduced root function due to poor soil aeration under high-rainfall conditions (Lobell et al., 2013). These findings highlight the role of organic amendments in enhancing nutrient use efficiency (NUE) by stabilizing nutrient supply and improving soil conditions, especially in environments prone to waterlogging and nutrient loss.</w:t>
      </w:r>
    </w:p>
    <w:p w14:paraId="08A54438" w14:textId="5C0301B6" w:rsidR="00C13684" w:rsidRPr="006355D2" w:rsidRDefault="00C13684" w:rsidP="0041376D">
      <w:pPr>
        <w:spacing w:before="120" w:after="120"/>
        <w:ind w:left="810" w:hanging="810"/>
        <w:jc w:val="both"/>
        <w:rPr>
          <w:rFonts w:ascii="Arial" w:hAnsi="Arial" w:cs="Arial"/>
          <w:b/>
          <w:bCs/>
          <w:color w:val="000000" w:themeColor="text1"/>
        </w:rPr>
      </w:pPr>
      <w:r w:rsidRPr="006355D2">
        <w:rPr>
          <w:rFonts w:ascii="Arial" w:hAnsi="Arial" w:cs="Arial"/>
          <w:b/>
          <w:bCs/>
          <w:color w:val="000000" w:themeColor="text1"/>
        </w:rPr>
        <w:t xml:space="preserve">Table </w:t>
      </w:r>
      <w:r w:rsidR="009E4FEF">
        <w:rPr>
          <w:rFonts w:ascii="Arial" w:hAnsi="Arial" w:cs="Arial"/>
          <w:b/>
          <w:bCs/>
          <w:color w:val="000000" w:themeColor="text1"/>
        </w:rPr>
        <w:t>7</w:t>
      </w:r>
      <w:r w:rsidRPr="006355D2">
        <w:rPr>
          <w:rFonts w:ascii="Arial" w:hAnsi="Arial" w:cs="Arial"/>
          <w:b/>
          <w:bCs/>
          <w:color w:val="000000" w:themeColor="text1"/>
        </w:rPr>
        <w:t>. Mean effect of organic amendment and inorganic fertilizers on yield and yield components of maize from May to August, 2025.</w:t>
      </w:r>
    </w:p>
    <w:tbl>
      <w:tblPr>
        <w:tblW w:w="5000" w:type="pct"/>
        <w:tblLook w:val="04A0" w:firstRow="1" w:lastRow="0" w:firstColumn="1" w:lastColumn="0" w:noHBand="0" w:noVBand="1"/>
      </w:tblPr>
      <w:tblGrid>
        <w:gridCol w:w="1693"/>
        <w:gridCol w:w="1250"/>
        <w:gridCol w:w="397"/>
        <w:gridCol w:w="1260"/>
        <w:gridCol w:w="399"/>
        <w:gridCol w:w="1319"/>
        <w:gridCol w:w="397"/>
        <w:gridCol w:w="1309"/>
        <w:gridCol w:w="397"/>
      </w:tblGrid>
      <w:tr w:rsidR="00C13684" w:rsidRPr="00801D01" w14:paraId="07C1B211" w14:textId="77777777" w:rsidTr="00475DC5">
        <w:trPr>
          <w:trHeight w:val="230"/>
        </w:trPr>
        <w:tc>
          <w:tcPr>
            <w:tcW w:w="1005" w:type="pct"/>
            <w:vMerge w:val="restart"/>
            <w:tcBorders>
              <w:top w:val="single" w:sz="8" w:space="0" w:color="auto"/>
              <w:left w:val="nil"/>
              <w:bottom w:val="single" w:sz="4" w:space="0" w:color="auto"/>
              <w:right w:val="nil"/>
            </w:tcBorders>
            <w:noWrap/>
            <w:vAlign w:val="center"/>
            <w:hideMark/>
          </w:tcPr>
          <w:p w14:paraId="4736E020" w14:textId="77777777" w:rsidR="00C13684" w:rsidRPr="00801D01" w:rsidRDefault="00C13684" w:rsidP="00801D01">
            <w:pPr>
              <w:ind w:right="15"/>
              <w:jc w:val="center"/>
              <w:rPr>
                <w:rFonts w:ascii="Arial" w:hAnsi="Arial" w:cs="Arial"/>
                <w:b/>
                <w:bCs/>
                <w:color w:val="000000" w:themeColor="text1"/>
                <w:sz w:val="14"/>
                <w:szCs w:val="14"/>
              </w:rPr>
            </w:pPr>
            <w:r w:rsidRPr="00801D01">
              <w:rPr>
                <w:rFonts w:ascii="Arial" w:hAnsi="Arial" w:cs="Arial"/>
                <w:b/>
                <w:bCs/>
                <w:color w:val="000000" w:themeColor="text1"/>
                <w:sz w:val="14"/>
                <w:szCs w:val="14"/>
              </w:rPr>
              <w:t>Treatments</w:t>
            </w:r>
          </w:p>
        </w:tc>
        <w:tc>
          <w:tcPr>
            <w:tcW w:w="978" w:type="pct"/>
            <w:gridSpan w:val="2"/>
            <w:vMerge w:val="restart"/>
            <w:tcBorders>
              <w:top w:val="single" w:sz="8" w:space="0" w:color="auto"/>
              <w:left w:val="nil"/>
              <w:bottom w:val="single" w:sz="4" w:space="0" w:color="000000"/>
              <w:right w:val="nil"/>
            </w:tcBorders>
            <w:vAlign w:val="center"/>
            <w:hideMark/>
          </w:tcPr>
          <w:p w14:paraId="1F4105EA" w14:textId="77777777" w:rsidR="00C13684" w:rsidRPr="00801D01" w:rsidRDefault="00C13684" w:rsidP="00801D01">
            <w:pPr>
              <w:ind w:right="15"/>
              <w:jc w:val="center"/>
              <w:rPr>
                <w:rFonts w:ascii="Arial" w:hAnsi="Arial" w:cs="Arial"/>
                <w:b/>
                <w:bCs/>
                <w:color w:val="000000" w:themeColor="text1"/>
                <w:sz w:val="14"/>
                <w:szCs w:val="14"/>
              </w:rPr>
            </w:pPr>
            <w:r w:rsidRPr="00801D01">
              <w:rPr>
                <w:rFonts w:ascii="Arial" w:hAnsi="Arial" w:cs="Arial"/>
                <w:b/>
                <w:bCs/>
                <w:color w:val="000000" w:themeColor="text1"/>
                <w:sz w:val="14"/>
                <w:szCs w:val="14"/>
              </w:rPr>
              <w:t>No. of rows ear</w:t>
            </w:r>
            <w:r w:rsidRPr="00801D01">
              <w:rPr>
                <w:rFonts w:ascii="Arial" w:hAnsi="Arial" w:cs="Arial"/>
                <w:b/>
                <w:bCs/>
                <w:color w:val="000000" w:themeColor="text1"/>
                <w:sz w:val="14"/>
                <w:szCs w:val="14"/>
                <w:vertAlign w:val="superscript"/>
              </w:rPr>
              <w:t>-1</w:t>
            </w:r>
          </w:p>
        </w:tc>
        <w:tc>
          <w:tcPr>
            <w:tcW w:w="985" w:type="pct"/>
            <w:gridSpan w:val="2"/>
            <w:vMerge w:val="restart"/>
            <w:tcBorders>
              <w:top w:val="single" w:sz="8" w:space="0" w:color="auto"/>
              <w:left w:val="nil"/>
              <w:bottom w:val="single" w:sz="4" w:space="0" w:color="000000"/>
              <w:right w:val="nil"/>
            </w:tcBorders>
            <w:vAlign w:val="center"/>
            <w:hideMark/>
          </w:tcPr>
          <w:p w14:paraId="1C8CB721" w14:textId="77777777" w:rsidR="00C13684" w:rsidRPr="00801D01" w:rsidRDefault="00C13684" w:rsidP="00801D01">
            <w:pPr>
              <w:ind w:right="15"/>
              <w:jc w:val="center"/>
              <w:rPr>
                <w:rFonts w:ascii="Arial" w:hAnsi="Arial" w:cs="Arial"/>
                <w:b/>
                <w:bCs/>
                <w:color w:val="000000" w:themeColor="text1"/>
                <w:sz w:val="14"/>
                <w:szCs w:val="14"/>
              </w:rPr>
            </w:pPr>
            <w:r w:rsidRPr="00801D01">
              <w:rPr>
                <w:rFonts w:ascii="Arial" w:hAnsi="Arial" w:cs="Arial"/>
                <w:b/>
                <w:bCs/>
                <w:color w:val="000000" w:themeColor="text1"/>
                <w:sz w:val="14"/>
                <w:szCs w:val="14"/>
              </w:rPr>
              <w:t>No. of kernels row</w:t>
            </w:r>
            <w:r w:rsidRPr="00801D01">
              <w:rPr>
                <w:rFonts w:ascii="Arial" w:hAnsi="Arial" w:cs="Arial"/>
                <w:b/>
                <w:bCs/>
                <w:color w:val="000000" w:themeColor="text1"/>
                <w:sz w:val="14"/>
                <w:szCs w:val="14"/>
                <w:vertAlign w:val="superscript"/>
              </w:rPr>
              <w:t>-1</w:t>
            </w:r>
          </w:p>
        </w:tc>
        <w:tc>
          <w:tcPr>
            <w:tcW w:w="1019" w:type="pct"/>
            <w:gridSpan w:val="2"/>
            <w:vMerge w:val="restart"/>
            <w:tcBorders>
              <w:top w:val="single" w:sz="8" w:space="0" w:color="auto"/>
              <w:left w:val="nil"/>
              <w:bottom w:val="single" w:sz="4" w:space="0" w:color="000000"/>
              <w:right w:val="nil"/>
            </w:tcBorders>
            <w:vAlign w:val="center"/>
            <w:hideMark/>
          </w:tcPr>
          <w:p w14:paraId="5D5A2DA6" w14:textId="77777777" w:rsidR="00C13684" w:rsidRPr="00801D01" w:rsidRDefault="00C13684" w:rsidP="00801D01">
            <w:pPr>
              <w:ind w:right="15"/>
              <w:jc w:val="center"/>
              <w:rPr>
                <w:rFonts w:ascii="Arial" w:hAnsi="Arial" w:cs="Arial"/>
                <w:b/>
                <w:bCs/>
                <w:color w:val="000000" w:themeColor="text1"/>
                <w:sz w:val="14"/>
                <w:szCs w:val="14"/>
              </w:rPr>
            </w:pPr>
            <w:r w:rsidRPr="00801D01">
              <w:rPr>
                <w:rFonts w:ascii="Arial" w:hAnsi="Arial" w:cs="Arial"/>
                <w:b/>
                <w:bCs/>
                <w:color w:val="000000" w:themeColor="text1"/>
                <w:sz w:val="14"/>
                <w:szCs w:val="14"/>
              </w:rPr>
              <w:t>Shelling %</w:t>
            </w:r>
          </w:p>
        </w:tc>
        <w:tc>
          <w:tcPr>
            <w:tcW w:w="1013" w:type="pct"/>
            <w:gridSpan w:val="2"/>
            <w:vMerge w:val="restart"/>
            <w:tcBorders>
              <w:top w:val="single" w:sz="8" w:space="0" w:color="auto"/>
              <w:left w:val="nil"/>
              <w:bottom w:val="single" w:sz="4" w:space="0" w:color="000000"/>
              <w:right w:val="nil"/>
            </w:tcBorders>
            <w:vAlign w:val="center"/>
            <w:hideMark/>
          </w:tcPr>
          <w:p w14:paraId="67963024" w14:textId="77777777" w:rsidR="00C13684" w:rsidRPr="00801D01" w:rsidRDefault="00C13684" w:rsidP="00801D01">
            <w:pPr>
              <w:ind w:right="15"/>
              <w:jc w:val="center"/>
              <w:rPr>
                <w:rFonts w:ascii="Arial" w:hAnsi="Arial" w:cs="Arial"/>
                <w:b/>
                <w:bCs/>
                <w:color w:val="000000" w:themeColor="text1"/>
                <w:sz w:val="14"/>
                <w:szCs w:val="14"/>
              </w:rPr>
            </w:pPr>
            <w:r w:rsidRPr="00801D01">
              <w:rPr>
                <w:rFonts w:ascii="Arial" w:hAnsi="Arial" w:cs="Arial"/>
                <w:b/>
                <w:bCs/>
                <w:color w:val="000000" w:themeColor="text1"/>
                <w:sz w:val="14"/>
                <w:szCs w:val="14"/>
              </w:rPr>
              <w:t>1000 seeds weight (g)</w:t>
            </w:r>
          </w:p>
        </w:tc>
      </w:tr>
      <w:tr w:rsidR="00C13684" w:rsidRPr="00801D01" w14:paraId="215A93AF" w14:textId="77777777" w:rsidTr="00475DC5">
        <w:trPr>
          <w:trHeight w:val="230"/>
        </w:trPr>
        <w:tc>
          <w:tcPr>
            <w:tcW w:w="1005" w:type="pct"/>
            <w:vMerge/>
            <w:tcBorders>
              <w:top w:val="single" w:sz="8" w:space="0" w:color="auto"/>
              <w:left w:val="nil"/>
              <w:bottom w:val="single" w:sz="4" w:space="0" w:color="auto"/>
              <w:right w:val="nil"/>
            </w:tcBorders>
            <w:vAlign w:val="center"/>
            <w:hideMark/>
          </w:tcPr>
          <w:p w14:paraId="2CD8F99D" w14:textId="77777777" w:rsidR="00C13684" w:rsidRPr="00801D01" w:rsidRDefault="00C13684" w:rsidP="00801D01">
            <w:pPr>
              <w:ind w:right="15"/>
              <w:jc w:val="center"/>
              <w:rPr>
                <w:rFonts w:ascii="Arial" w:hAnsi="Arial" w:cs="Arial"/>
                <w:b/>
                <w:bCs/>
                <w:color w:val="000000" w:themeColor="text1"/>
                <w:sz w:val="16"/>
                <w:szCs w:val="16"/>
              </w:rPr>
            </w:pPr>
          </w:p>
        </w:tc>
        <w:tc>
          <w:tcPr>
            <w:tcW w:w="978" w:type="pct"/>
            <w:gridSpan w:val="2"/>
            <w:vMerge/>
            <w:tcBorders>
              <w:top w:val="single" w:sz="8" w:space="0" w:color="auto"/>
              <w:left w:val="nil"/>
              <w:bottom w:val="single" w:sz="4" w:space="0" w:color="000000"/>
              <w:right w:val="nil"/>
            </w:tcBorders>
            <w:vAlign w:val="center"/>
            <w:hideMark/>
          </w:tcPr>
          <w:p w14:paraId="1AECC1CC" w14:textId="77777777" w:rsidR="00C13684" w:rsidRPr="00801D01" w:rsidRDefault="00C13684" w:rsidP="00801D01">
            <w:pPr>
              <w:ind w:right="15"/>
              <w:jc w:val="center"/>
              <w:rPr>
                <w:rFonts w:ascii="Arial" w:hAnsi="Arial" w:cs="Arial"/>
                <w:b/>
                <w:bCs/>
                <w:color w:val="000000" w:themeColor="text1"/>
                <w:sz w:val="16"/>
                <w:szCs w:val="16"/>
              </w:rPr>
            </w:pPr>
          </w:p>
        </w:tc>
        <w:tc>
          <w:tcPr>
            <w:tcW w:w="985" w:type="pct"/>
            <w:gridSpan w:val="2"/>
            <w:vMerge/>
            <w:tcBorders>
              <w:top w:val="single" w:sz="8" w:space="0" w:color="auto"/>
              <w:left w:val="nil"/>
              <w:bottom w:val="single" w:sz="4" w:space="0" w:color="000000"/>
              <w:right w:val="nil"/>
            </w:tcBorders>
            <w:vAlign w:val="center"/>
            <w:hideMark/>
          </w:tcPr>
          <w:p w14:paraId="07D366B6" w14:textId="77777777" w:rsidR="00C13684" w:rsidRPr="00801D01" w:rsidRDefault="00C13684" w:rsidP="00801D01">
            <w:pPr>
              <w:ind w:right="15"/>
              <w:jc w:val="center"/>
              <w:rPr>
                <w:rFonts w:ascii="Arial" w:hAnsi="Arial" w:cs="Arial"/>
                <w:b/>
                <w:bCs/>
                <w:color w:val="000000" w:themeColor="text1"/>
                <w:sz w:val="16"/>
                <w:szCs w:val="16"/>
              </w:rPr>
            </w:pPr>
          </w:p>
        </w:tc>
        <w:tc>
          <w:tcPr>
            <w:tcW w:w="1019" w:type="pct"/>
            <w:gridSpan w:val="2"/>
            <w:vMerge/>
            <w:tcBorders>
              <w:top w:val="single" w:sz="8" w:space="0" w:color="auto"/>
              <w:left w:val="nil"/>
              <w:bottom w:val="single" w:sz="4" w:space="0" w:color="000000"/>
              <w:right w:val="nil"/>
            </w:tcBorders>
            <w:vAlign w:val="center"/>
            <w:hideMark/>
          </w:tcPr>
          <w:p w14:paraId="5417FF0D" w14:textId="77777777" w:rsidR="00C13684" w:rsidRPr="00801D01" w:rsidRDefault="00C13684" w:rsidP="00801D01">
            <w:pPr>
              <w:ind w:right="15"/>
              <w:jc w:val="center"/>
              <w:rPr>
                <w:rFonts w:ascii="Arial" w:hAnsi="Arial" w:cs="Arial"/>
                <w:b/>
                <w:bCs/>
                <w:color w:val="000000" w:themeColor="text1"/>
                <w:sz w:val="16"/>
                <w:szCs w:val="16"/>
              </w:rPr>
            </w:pPr>
          </w:p>
        </w:tc>
        <w:tc>
          <w:tcPr>
            <w:tcW w:w="1013" w:type="pct"/>
            <w:gridSpan w:val="2"/>
            <w:vMerge/>
            <w:tcBorders>
              <w:top w:val="single" w:sz="8" w:space="0" w:color="auto"/>
              <w:left w:val="nil"/>
              <w:bottom w:val="single" w:sz="4" w:space="0" w:color="000000"/>
              <w:right w:val="nil"/>
            </w:tcBorders>
            <w:vAlign w:val="center"/>
            <w:hideMark/>
          </w:tcPr>
          <w:p w14:paraId="37A072A2" w14:textId="77777777" w:rsidR="00C13684" w:rsidRPr="00801D01" w:rsidRDefault="00C13684" w:rsidP="00801D01">
            <w:pPr>
              <w:ind w:right="15"/>
              <w:jc w:val="center"/>
              <w:rPr>
                <w:rFonts w:ascii="Arial" w:hAnsi="Arial" w:cs="Arial"/>
                <w:b/>
                <w:bCs/>
                <w:color w:val="000000" w:themeColor="text1"/>
                <w:sz w:val="16"/>
                <w:szCs w:val="16"/>
              </w:rPr>
            </w:pPr>
          </w:p>
        </w:tc>
      </w:tr>
      <w:tr w:rsidR="007C49E7" w:rsidRPr="00801D01" w14:paraId="3C95E92C" w14:textId="77777777" w:rsidTr="00475DC5">
        <w:trPr>
          <w:trHeight w:val="216"/>
        </w:trPr>
        <w:tc>
          <w:tcPr>
            <w:tcW w:w="1005" w:type="pct"/>
            <w:tcBorders>
              <w:top w:val="nil"/>
              <w:left w:val="nil"/>
              <w:bottom w:val="nil"/>
              <w:right w:val="nil"/>
            </w:tcBorders>
            <w:noWrap/>
            <w:vAlign w:val="center"/>
            <w:hideMark/>
          </w:tcPr>
          <w:p w14:paraId="2AE06A75" w14:textId="1910D5FF" w:rsidR="007C49E7" w:rsidRPr="00801D01" w:rsidRDefault="007C49E7" w:rsidP="007C49E7">
            <w:pPr>
              <w:ind w:right="15"/>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1</w:t>
            </w:r>
          </w:p>
        </w:tc>
        <w:tc>
          <w:tcPr>
            <w:tcW w:w="742" w:type="pct"/>
            <w:tcBorders>
              <w:top w:val="nil"/>
              <w:left w:val="nil"/>
              <w:bottom w:val="nil"/>
              <w:right w:val="nil"/>
            </w:tcBorders>
            <w:noWrap/>
            <w:vAlign w:val="center"/>
            <w:hideMark/>
          </w:tcPr>
          <w:p w14:paraId="7E60C1B9"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10.80</w:t>
            </w:r>
          </w:p>
        </w:tc>
        <w:tc>
          <w:tcPr>
            <w:tcW w:w="236" w:type="pct"/>
            <w:tcBorders>
              <w:top w:val="nil"/>
              <w:left w:val="nil"/>
              <w:bottom w:val="nil"/>
              <w:right w:val="nil"/>
            </w:tcBorders>
            <w:noWrap/>
            <w:vAlign w:val="center"/>
            <w:hideMark/>
          </w:tcPr>
          <w:p w14:paraId="60F4D163"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f</w:t>
            </w:r>
          </w:p>
        </w:tc>
        <w:tc>
          <w:tcPr>
            <w:tcW w:w="748" w:type="pct"/>
            <w:tcBorders>
              <w:top w:val="nil"/>
              <w:left w:val="nil"/>
              <w:bottom w:val="nil"/>
              <w:right w:val="nil"/>
            </w:tcBorders>
            <w:noWrap/>
            <w:vAlign w:val="center"/>
            <w:hideMark/>
          </w:tcPr>
          <w:p w14:paraId="2B11B47C"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25.00</w:t>
            </w:r>
          </w:p>
        </w:tc>
        <w:tc>
          <w:tcPr>
            <w:tcW w:w="237" w:type="pct"/>
            <w:tcBorders>
              <w:top w:val="nil"/>
              <w:left w:val="nil"/>
              <w:bottom w:val="nil"/>
              <w:right w:val="nil"/>
            </w:tcBorders>
            <w:noWrap/>
            <w:vAlign w:val="center"/>
            <w:hideMark/>
          </w:tcPr>
          <w:p w14:paraId="6145B3A4"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e</w:t>
            </w:r>
          </w:p>
        </w:tc>
        <w:tc>
          <w:tcPr>
            <w:tcW w:w="783" w:type="pct"/>
            <w:tcBorders>
              <w:top w:val="nil"/>
              <w:left w:val="nil"/>
              <w:bottom w:val="nil"/>
              <w:right w:val="nil"/>
            </w:tcBorders>
            <w:noWrap/>
            <w:vAlign w:val="center"/>
            <w:hideMark/>
          </w:tcPr>
          <w:p w14:paraId="4A097611"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76.22</w:t>
            </w:r>
          </w:p>
        </w:tc>
        <w:tc>
          <w:tcPr>
            <w:tcW w:w="236" w:type="pct"/>
            <w:tcBorders>
              <w:top w:val="nil"/>
              <w:left w:val="nil"/>
              <w:bottom w:val="nil"/>
              <w:right w:val="nil"/>
            </w:tcBorders>
            <w:noWrap/>
            <w:vAlign w:val="center"/>
          </w:tcPr>
          <w:p w14:paraId="68033BB2"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e</w:t>
            </w:r>
          </w:p>
        </w:tc>
        <w:tc>
          <w:tcPr>
            <w:tcW w:w="777" w:type="pct"/>
            <w:tcBorders>
              <w:top w:val="nil"/>
              <w:left w:val="nil"/>
              <w:bottom w:val="nil"/>
              <w:right w:val="nil"/>
            </w:tcBorders>
            <w:noWrap/>
            <w:vAlign w:val="center"/>
            <w:hideMark/>
          </w:tcPr>
          <w:p w14:paraId="5F160D7B"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186.60</w:t>
            </w:r>
          </w:p>
        </w:tc>
        <w:tc>
          <w:tcPr>
            <w:tcW w:w="236" w:type="pct"/>
            <w:tcBorders>
              <w:top w:val="nil"/>
              <w:left w:val="nil"/>
              <w:bottom w:val="nil"/>
              <w:right w:val="nil"/>
            </w:tcBorders>
            <w:noWrap/>
            <w:vAlign w:val="center"/>
            <w:hideMark/>
          </w:tcPr>
          <w:p w14:paraId="6C0FFE26"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f</w:t>
            </w:r>
          </w:p>
        </w:tc>
      </w:tr>
      <w:tr w:rsidR="007C49E7" w:rsidRPr="00801D01" w14:paraId="62F5E118" w14:textId="77777777" w:rsidTr="00475DC5">
        <w:trPr>
          <w:trHeight w:val="216"/>
        </w:trPr>
        <w:tc>
          <w:tcPr>
            <w:tcW w:w="1005" w:type="pct"/>
            <w:tcBorders>
              <w:top w:val="nil"/>
              <w:left w:val="nil"/>
              <w:bottom w:val="nil"/>
              <w:right w:val="nil"/>
            </w:tcBorders>
            <w:noWrap/>
            <w:vAlign w:val="center"/>
            <w:hideMark/>
          </w:tcPr>
          <w:p w14:paraId="5E1F1014" w14:textId="11658D7A" w:rsidR="007C49E7" w:rsidRPr="00801D01" w:rsidRDefault="007C49E7" w:rsidP="007C49E7">
            <w:pPr>
              <w:ind w:right="15"/>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2</w:t>
            </w:r>
          </w:p>
        </w:tc>
        <w:tc>
          <w:tcPr>
            <w:tcW w:w="742" w:type="pct"/>
            <w:tcBorders>
              <w:top w:val="nil"/>
              <w:left w:val="nil"/>
              <w:bottom w:val="nil"/>
              <w:right w:val="nil"/>
            </w:tcBorders>
            <w:noWrap/>
            <w:vAlign w:val="center"/>
            <w:hideMark/>
          </w:tcPr>
          <w:p w14:paraId="68B8B9F6"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12.10</w:t>
            </w:r>
          </w:p>
        </w:tc>
        <w:tc>
          <w:tcPr>
            <w:tcW w:w="236" w:type="pct"/>
            <w:tcBorders>
              <w:top w:val="nil"/>
              <w:left w:val="nil"/>
              <w:bottom w:val="nil"/>
              <w:right w:val="nil"/>
            </w:tcBorders>
            <w:noWrap/>
            <w:vAlign w:val="center"/>
            <w:hideMark/>
          </w:tcPr>
          <w:p w14:paraId="11C30563"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e</w:t>
            </w:r>
          </w:p>
        </w:tc>
        <w:tc>
          <w:tcPr>
            <w:tcW w:w="748" w:type="pct"/>
            <w:tcBorders>
              <w:top w:val="nil"/>
              <w:left w:val="nil"/>
              <w:bottom w:val="nil"/>
              <w:right w:val="nil"/>
            </w:tcBorders>
            <w:noWrap/>
            <w:vAlign w:val="center"/>
            <w:hideMark/>
          </w:tcPr>
          <w:p w14:paraId="01B2537A"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27.03</w:t>
            </w:r>
          </w:p>
        </w:tc>
        <w:tc>
          <w:tcPr>
            <w:tcW w:w="237" w:type="pct"/>
            <w:tcBorders>
              <w:top w:val="nil"/>
              <w:left w:val="nil"/>
              <w:bottom w:val="nil"/>
              <w:right w:val="nil"/>
            </w:tcBorders>
            <w:noWrap/>
            <w:vAlign w:val="center"/>
            <w:hideMark/>
          </w:tcPr>
          <w:p w14:paraId="31391EC0"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d</w:t>
            </w:r>
          </w:p>
        </w:tc>
        <w:tc>
          <w:tcPr>
            <w:tcW w:w="783" w:type="pct"/>
            <w:tcBorders>
              <w:top w:val="nil"/>
              <w:left w:val="nil"/>
              <w:bottom w:val="nil"/>
              <w:right w:val="nil"/>
            </w:tcBorders>
            <w:noWrap/>
            <w:vAlign w:val="center"/>
            <w:hideMark/>
          </w:tcPr>
          <w:p w14:paraId="775D84C4"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77.89</w:t>
            </w:r>
          </w:p>
        </w:tc>
        <w:tc>
          <w:tcPr>
            <w:tcW w:w="236" w:type="pct"/>
            <w:tcBorders>
              <w:top w:val="nil"/>
              <w:left w:val="nil"/>
              <w:bottom w:val="nil"/>
              <w:right w:val="nil"/>
            </w:tcBorders>
            <w:noWrap/>
            <w:vAlign w:val="center"/>
          </w:tcPr>
          <w:p w14:paraId="59BB3BF4"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d</w:t>
            </w:r>
          </w:p>
        </w:tc>
        <w:tc>
          <w:tcPr>
            <w:tcW w:w="777" w:type="pct"/>
            <w:tcBorders>
              <w:top w:val="nil"/>
              <w:left w:val="nil"/>
              <w:bottom w:val="nil"/>
              <w:right w:val="nil"/>
            </w:tcBorders>
            <w:noWrap/>
            <w:vAlign w:val="center"/>
            <w:hideMark/>
          </w:tcPr>
          <w:p w14:paraId="7EF7D714"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196.40</w:t>
            </w:r>
          </w:p>
        </w:tc>
        <w:tc>
          <w:tcPr>
            <w:tcW w:w="236" w:type="pct"/>
            <w:tcBorders>
              <w:top w:val="nil"/>
              <w:left w:val="nil"/>
              <w:bottom w:val="nil"/>
              <w:right w:val="nil"/>
            </w:tcBorders>
            <w:noWrap/>
            <w:vAlign w:val="center"/>
            <w:hideMark/>
          </w:tcPr>
          <w:p w14:paraId="0503197F"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d</w:t>
            </w:r>
          </w:p>
        </w:tc>
      </w:tr>
      <w:tr w:rsidR="007C49E7" w:rsidRPr="00801D01" w14:paraId="5939A27D" w14:textId="77777777" w:rsidTr="00475DC5">
        <w:trPr>
          <w:trHeight w:val="216"/>
        </w:trPr>
        <w:tc>
          <w:tcPr>
            <w:tcW w:w="1005" w:type="pct"/>
            <w:tcBorders>
              <w:top w:val="nil"/>
              <w:left w:val="nil"/>
              <w:bottom w:val="nil"/>
              <w:right w:val="nil"/>
            </w:tcBorders>
            <w:noWrap/>
            <w:vAlign w:val="center"/>
            <w:hideMark/>
          </w:tcPr>
          <w:p w14:paraId="0DC94C42" w14:textId="66940479" w:rsidR="007C49E7" w:rsidRPr="00801D01" w:rsidRDefault="007C49E7" w:rsidP="007C49E7">
            <w:pPr>
              <w:ind w:right="15"/>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3</w:t>
            </w:r>
          </w:p>
        </w:tc>
        <w:tc>
          <w:tcPr>
            <w:tcW w:w="742" w:type="pct"/>
            <w:tcBorders>
              <w:top w:val="nil"/>
              <w:left w:val="nil"/>
              <w:bottom w:val="nil"/>
              <w:right w:val="nil"/>
            </w:tcBorders>
            <w:noWrap/>
            <w:vAlign w:val="center"/>
            <w:hideMark/>
          </w:tcPr>
          <w:p w14:paraId="7E7F4116"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13.20</w:t>
            </w:r>
          </w:p>
        </w:tc>
        <w:tc>
          <w:tcPr>
            <w:tcW w:w="236" w:type="pct"/>
            <w:tcBorders>
              <w:top w:val="nil"/>
              <w:left w:val="nil"/>
              <w:bottom w:val="nil"/>
              <w:right w:val="nil"/>
            </w:tcBorders>
            <w:noWrap/>
            <w:vAlign w:val="center"/>
            <w:hideMark/>
          </w:tcPr>
          <w:p w14:paraId="72F0E346"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c</w:t>
            </w:r>
          </w:p>
        </w:tc>
        <w:tc>
          <w:tcPr>
            <w:tcW w:w="748" w:type="pct"/>
            <w:tcBorders>
              <w:top w:val="nil"/>
              <w:left w:val="nil"/>
              <w:bottom w:val="nil"/>
              <w:right w:val="nil"/>
            </w:tcBorders>
            <w:noWrap/>
            <w:vAlign w:val="center"/>
            <w:hideMark/>
          </w:tcPr>
          <w:p w14:paraId="1E4BDF0E"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33.00</w:t>
            </w:r>
          </w:p>
        </w:tc>
        <w:tc>
          <w:tcPr>
            <w:tcW w:w="237" w:type="pct"/>
            <w:tcBorders>
              <w:top w:val="nil"/>
              <w:left w:val="nil"/>
              <w:bottom w:val="nil"/>
              <w:right w:val="nil"/>
            </w:tcBorders>
            <w:noWrap/>
            <w:vAlign w:val="center"/>
            <w:hideMark/>
          </w:tcPr>
          <w:p w14:paraId="5FB8E1D8"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b</w:t>
            </w:r>
          </w:p>
        </w:tc>
        <w:tc>
          <w:tcPr>
            <w:tcW w:w="783" w:type="pct"/>
            <w:tcBorders>
              <w:top w:val="nil"/>
              <w:left w:val="nil"/>
              <w:bottom w:val="nil"/>
              <w:right w:val="nil"/>
            </w:tcBorders>
            <w:noWrap/>
            <w:vAlign w:val="center"/>
            <w:hideMark/>
          </w:tcPr>
          <w:p w14:paraId="52BCF96E"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82.56</w:t>
            </w:r>
          </w:p>
        </w:tc>
        <w:tc>
          <w:tcPr>
            <w:tcW w:w="236" w:type="pct"/>
            <w:tcBorders>
              <w:top w:val="nil"/>
              <w:left w:val="nil"/>
              <w:bottom w:val="nil"/>
              <w:right w:val="nil"/>
            </w:tcBorders>
            <w:noWrap/>
            <w:vAlign w:val="center"/>
          </w:tcPr>
          <w:p w14:paraId="36B9C242"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c</w:t>
            </w:r>
          </w:p>
        </w:tc>
        <w:tc>
          <w:tcPr>
            <w:tcW w:w="777" w:type="pct"/>
            <w:tcBorders>
              <w:top w:val="nil"/>
              <w:left w:val="nil"/>
              <w:bottom w:val="nil"/>
              <w:right w:val="nil"/>
            </w:tcBorders>
            <w:noWrap/>
            <w:vAlign w:val="center"/>
            <w:hideMark/>
          </w:tcPr>
          <w:p w14:paraId="0F5E3AE4"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191.70</w:t>
            </w:r>
          </w:p>
        </w:tc>
        <w:tc>
          <w:tcPr>
            <w:tcW w:w="236" w:type="pct"/>
            <w:tcBorders>
              <w:top w:val="nil"/>
              <w:left w:val="nil"/>
              <w:bottom w:val="nil"/>
              <w:right w:val="nil"/>
            </w:tcBorders>
            <w:noWrap/>
            <w:vAlign w:val="center"/>
            <w:hideMark/>
          </w:tcPr>
          <w:p w14:paraId="2D05F94C"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e</w:t>
            </w:r>
          </w:p>
        </w:tc>
      </w:tr>
      <w:tr w:rsidR="007C49E7" w:rsidRPr="00801D01" w14:paraId="4BE06E11" w14:textId="77777777" w:rsidTr="00475DC5">
        <w:trPr>
          <w:trHeight w:val="216"/>
        </w:trPr>
        <w:tc>
          <w:tcPr>
            <w:tcW w:w="1005" w:type="pct"/>
            <w:tcBorders>
              <w:top w:val="nil"/>
              <w:left w:val="nil"/>
              <w:bottom w:val="nil"/>
              <w:right w:val="nil"/>
            </w:tcBorders>
            <w:noWrap/>
            <w:vAlign w:val="center"/>
            <w:hideMark/>
          </w:tcPr>
          <w:p w14:paraId="131B7300" w14:textId="5FAB0ACF" w:rsidR="007C49E7" w:rsidRPr="00801D01" w:rsidRDefault="007C49E7" w:rsidP="007C49E7">
            <w:pPr>
              <w:ind w:right="15"/>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4</w:t>
            </w:r>
          </w:p>
        </w:tc>
        <w:tc>
          <w:tcPr>
            <w:tcW w:w="742" w:type="pct"/>
            <w:tcBorders>
              <w:top w:val="nil"/>
              <w:left w:val="nil"/>
              <w:bottom w:val="nil"/>
              <w:right w:val="nil"/>
            </w:tcBorders>
            <w:noWrap/>
            <w:vAlign w:val="center"/>
            <w:hideMark/>
          </w:tcPr>
          <w:p w14:paraId="1F177575"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12.50</w:t>
            </w:r>
          </w:p>
        </w:tc>
        <w:tc>
          <w:tcPr>
            <w:tcW w:w="236" w:type="pct"/>
            <w:tcBorders>
              <w:top w:val="nil"/>
              <w:left w:val="nil"/>
              <w:bottom w:val="nil"/>
              <w:right w:val="nil"/>
            </w:tcBorders>
            <w:noWrap/>
            <w:vAlign w:val="center"/>
            <w:hideMark/>
          </w:tcPr>
          <w:p w14:paraId="6201D4A8"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d</w:t>
            </w:r>
          </w:p>
        </w:tc>
        <w:tc>
          <w:tcPr>
            <w:tcW w:w="748" w:type="pct"/>
            <w:tcBorders>
              <w:top w:val="nil"/>
              <w:left w:val="nil"/>
              <w:bottom w:val="nil"/>
              <w:right w:val="nil"/>
            </w:tcBorders>
            <w:noWrap/>
            <w:vAlign w:val="center"/>
            <w:hideMark/>
          </w:tcPr>
          <w:p w14:paraId="7B4811FC"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28.00</w:t>
            </w:r>
          </w:p>
        </w:tc>
        <w:tc>
          <w:tcPr>
            <w:tcW w:w="237" w:type="pct"/>
            <w:tcBorders>
              <w:top w:val="nil"/>
              <w:left w:val="nil"/>
              <w:bottom w:val="nil"/>
              <w:right w:val="nil"/>
            </w:tcBorders>
            <w:noWrap/>
            <w:vAlign w:val="center"/>
            <w:hideMark/>
          </w:tcPr>
          <w:p w14:paraId="16E6F267"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c</w:t>
            </w:r>
          </w:p>
        </w:tc>
        <w:tc>
          <w:tcPr>
            <w:tcW w:w="783" w:type="pct"/>
            <w:tcBorders>
              <w:top w:val="nil"/>
              <w:left w:val="nil"/>
              <w:bottom w:val="nil"/>
              <w:right w:val="nil"/>
            </w:tcBorders>
            <w:noWrap/>
            <w:vAlign w:val="center"/>
            <w:hideMark/>
          </w:tcPr>
          <w:p w14:paraId="34EE04A7"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84.82</w:t>
            </w:r>
          </w:p>
        </w:tc>
        <w:tc>
          <w:tcPr>
            <w:tcW w:w="236" w:type="pct"/>
            <w:tcBorders>
              <w:top w:val="nil"/>
              <w:left w:val="nil"/>
              <w:bottom w:val="nil"/>
              <w:right w:val="nil"/>
            </w:tcBorders>
            <w:noWrap/>
            <w:vAlign w:val="center"/>
          </w:tcPr>
          <w:p w14:paraId="2A354D17"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b</w:t>
            </w:r>
          </w:p>
        </w:tc>
        <w:tc>
          <w:tcPr>
            <w:tcW w:w="777" w:type="pct"/>
            <w:tcBorders>
              <w:top w:val="nil"/>
              <w:left w:val="nil"/>
              <w:bottom w:val="nil"/>
              <w:right w:val="nil"/>
            </w:tcBorders>
            <w:noWrap/>
            <w:vAlign w:val="center"/>
            <w:hideMark/>
          </w:tcPr>
          <w:p w14:paraId="59DB3DB3"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198.72</w:t>
            </w:r>
          </w:p>
        </w:tc>
        <w:tc>
          <w:tcPr>
            <w:tcW w:w="236" w:type="pct"/>
            <w:tcBorders>
              <w:top w:val="nil"/>
              <w:left w:val="nil"/>
              <w:bottom w:val="nil"/>
              <w:right w:val="nil"/>
            </w:tcBorders>
            <w:noWrap/>
            <w:vAlign w:val="center"/>
            <w:hideMark/>
          </w:tcPr>
          <w:p w14:paraId="4ADAEDC5"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c</w:t>
            </w:r>
          </w:p>
        </w:tc>
      </w:tr>
      <w:tr w:rsidR="007C49E7" w:rsidRPr="00801D01" w14:paraId="0D211792" w14:textId="77777777" w:rsidTr="00475DC5">
        <w:trPr>
          <w:trHeight w:val="216"/>
        </w:trPr>
        <w:tc>
          <w:tcPr>
            <w:tcW w:w="1005" w:type="pct"/>
            <w:tcBorders>
              <w:top w:val="nil"/>
              <w:left w:val="nil"/>
              <w:bottom w:val="nil"/>
              <w:right w:val="nil"/>
            </w:tcBorders>
            <w:noWrap/>
            <w:vAlign w:val="center"/>
            <w:hideMark/>
          </w:tcPr>
          <w:p w14:paraId="7BEB514C" w14:textId="59714F86" w:rsidR="007C49E7" w:rsidRPr="00801D01" w:rsidRDefault="007C49E7" w:rsidP="007C49E7">
            <w:pPr>
              <w:ind w:right="15"/>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5</w:t>
            </w:r>
          </w:p>
        </w:tc>
        <w:tc>
          <w:tcPr>
            <w:tcW w:w="742" w:type="pct"/>
            <w:tcBorders>
              <w:top w:val="nil"/>
              <w:left w:val="nil"/>
              <w:bottom w:val="nil"/>
              <w:right w:val="nil"/>
            </w:tcBorders>
            <w:noWrap/>
            <w:vAlign w:val="center"/>
            <w:hideMark/>
          </w:tcPr>
          <w:p w14:paraId="0D9AC99F"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13.90</w:t>
            </w:r>
          </w:p>
        </w:tc>
        <w:tc>
          <w:tcPr>
            <w:tcW w:w="236" w:type="pct"/>
            <w:tcBorders>
              <w:top w:val="nil"/>
              <w:left w:val="nil"/>
              <w:bottom w:val="nil"/>
              <w:right w:val="nil"/>
            </w:tcBorders>
            <w:noWrap/>
            <w:vAlign w:val="center"/>
            <w:hideMark/>
          </w:tcPr>
          <w:p w14:paraId="063599BA"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b</w:t>
            </w:r>
          </w:p>
        </w:tc>
        <w:tc>
          <w:tcPr>
            <w:tcW w:w="748" w:type="pct"/>
            <w:tcBorders>
              <w:top w:val="nil"/>
              <w:left w:val="nil"/>
              <w:bottom w:val="nil"/>
              <w:right w:val="nil"/>
            </w:tcBorders>
            <w:noWrap/>
            <w:vAlign w:val="center"/>
            <w:hideMark/>
          </w:tcPr>
          <w:p w14:paraId="51573A8D"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33.00</w:t>
            </w:r>
          </w:p>
        </w:tc>
        <w:tc>
          <w:tcPr>
            <w:tcW w:w="237" w:type="pct"/>
            <w:tcBorders>
              <w:top w:val="nil"/>
              <w:left w:val="nil"/>
              <w:bottom w:val="nil"/>
              <w:right w:val="nil"/>
            </w:tcBorders>
            <w:noWrap/>
            <w:vAlign w:val="center"/>
            <w:hideMark/>
          </w:tcPr>
          <w:p w14:paraId="1A6E2617"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b</w:t>
            </w:r>
          </w:p>
        </w:tc>
        <w:tc>
          <w:tcPr>
            <w:tcW w:w="783" w:type="pct"/>
            <w:tcBorders>
              <w:top w:val="nil"/>
              <w:left w:val="nil"/>
              <w:bottom w:val="nil"/>
              <w:right w:val="nil"/>
            </w:tcBorders>
            <w:noWrap/>
            <w:vAlign w:val="center"/>
            <w:hideMark/>
          </w:tcPr>
          <w:p w14:paraId="0EB8054B"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84.58</w:t>
            </w:r>
          </w:p>
        </w:tc>
        <w:tc>
          <w:tcPr>
            <w:tcW w:w="236" w:type="pct"/>
            <w:tcBorders>
              <w:top w:val="nil"/>
              <w:left w:val="nil"/>
              <w:bottom w:val="nil"/>
              <w:right w:val="nil"/>
            </w:tcBorders>
            <w:noWrap/>
            <w:vAlign w:val="center"/>
          </w:tcPr>
          <w:p w14:paraId="44AFC5EB"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b</w:t>
            </w:r>
          </w:p>
        </w:tc>
        <w:tc>
          <w:tcPr>
            <w:tcW w:w="777" w:type="pct"/>
            <w:tcBorders>
              <w:top w:val="nil"/>
              <w:left w:val="nil"/>
              <w:bottom w:val="nil"/>
              <w:right w:val="nil"/>
            </w:tcBorders>
            <w:noWrap/>
            <w:vAlign w:val="center"/>
            <w:hideMark/>
          </w:tcPr>
          <w:p w14:paraId="2648A0A3"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210.25</w:t>
            </w:r>
          </w:p>
        </w:tc>
        <w:tc>
          <w:tcPr>
            <w:tcW w:w="236" w:type="pct"/>
            <w:tcBorders>
              <w:top w:val="nil"/>
              <w:left w:val="nil"/>
              <w:bottom w:val="nil"/>
              <w:right w:val="nil"/>
            </w:tcBorders>
            <w:noWrap/>
            <w:vAlign w:val="center"/>
            <w:hideMark/>
          </w:tcPr>
          <w:p w14:paraId="4B476601"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b</w:t>
            </w:r>
          </w:p>
        </w:tc>
      </w:tr>
      <w:tr w:rsidR="007C49E7" w:rsidRPr="00801D01" w14:paraId="67298C49" w14:textId="77777777" w:rsidTr="00475DC5">
        <w:trPr>
          <w:trHeight w:val="216"/>
        </w:trPr>
        <w:tc>
          <w:tcPr>
            <w:tcW w:w="1005" w:type="pct"/>
            <w:tcBorders>
              <w:top w:val="nil"/>
              <w:left w:val="nil"/>
              <w:bottom w:val="single" w:sz="4" w:space="0" w:color="auto"/>
              <w:right w:val="nil"/>
            </w:tcBorders>
            <w:noWrap/>
            <w:vAlign w:val="center"/>
            <w:hideMark/>
          </w:tcPr>
          <w:p w14:paraId="49920265" w14:textId="2E22210E" w:rsidR="007C49E7" w:rsidRPr="00801D01" w:rsidRDefault="007C49E7" w:rsidP="007C49E7">
            <w:pPr>
              <w:ind w:right="15"/>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6</w:t>
            </w:r>
          </w:p>
        </w:tc>
        <w:tc>
          <w:tcPr>
            <w:tcW w:w="742" w:type="pct"/>
            <w:tcBorders>
              <w:top w:val="nil"/>
              <w:left w:val="nil"/>
              <w:bottom w:val="nil"/>
              <w:right w:val="nil"/>
            </w:tcBorders>
            <w:noWrap/>
            <w:vAlign w:val="center"/>
            <w:hideMark/>
          </w:tcPr>
          <w:p w14:paraId="0172CC0A"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14.30</w:t>
            </w:r>
          </w:p>
        </w:tc>
        <w:tc>
          <w:tcPr>
            <w:tcW w:w="236" w:type="pct"/>
            <w:tcBorders>
              <w:top w:val="nil"/>
              <w:left w:val="nil"/>
              <w:bottom w:val="nil"/>
              <w:right w:val="nil"/>
            </w:tcBorders>
            <w:noWrap/>
            <w:vAlign w:val="center"/>
            <w:hideMark/>
          </w:tcPr>
          <w:p w14:paraId="2C0A4BF7"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a</w:t>
            </w:r>
          </w:p>
        </w:tc>
        <w:tc>
          <w:tcPr>
            <w:tcW w:w="748" w:type="pct"/>
            <w:tcBorders>
              <w:top w:val="nil"/>
              <w:left w:val="nil"/>
              <w:bottom w:val="nil"/>
              <w:right w:val="nil"/>
            </w:tcBorders>
            <w:noWrap/>
            <w:vAlign w:val="center"/>
            <w:hideMark/>
          </w:tcPr>
          <w:p w14:paraId="2210FC47"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34.00</w:t>
            </w:r>
          </w:p>
        </w:tc>
        <w:tc>
          <w:tcPr>
            <w:tcW w:w="237" w:type="pct"/>
            <w:tcBorders>
              <w:top w:val="nil"/>
              <w:left w:val="nil"/>
              <w:bottom w:val="nil"/>
              <w:right w:val="nil"/>
            </w:tcBorders>
            <w:noWrap/>
            <w:vAlign w:val="center"/>
            <w:hideMark/>
          </w:tcPr>
          <w:p w14:paraId="00AB01F5"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a</w:t>
            </w:r>
          </w:p>
        </w:tc>
        <w:tc>
          <w:tcPr>
            <w:tcW w:w="783" w:type="pct"/>
            <w:tcBorders>
              <w:top w:val="nil"/>
              <w:left w:val="nil"/>
              <w:bottom w:val="nil"/>
              <w:right w:val="nil"/>
            </w:tcBorders>
            <w:noWrap/>
            <w:vAlign w:val="center"/>
            <w:hideMark/>
          </w:tcPr>
          <w:p w14:paraId="3B76BAC8"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85.89</w:t>
            </w:r>
          </w:p>
        </w:tc>
        <w:tc>
          <w:tcPr>
            <w:tcW w:w="236" w:type="pct"/>
            <w:tcBorders>
              <w:top w:val="nil"/>
              <w:left w:val="nil"/>
              <w:bottom w:val="nil"/>
              <w:right w:val="nil"/>
            </w:tcBorders>
            <w:noWrap/>
            <w:vAlign w:val="center"/>
          </w:tcPr>
          <w:p w14:paraId="54E85147"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a</w:t>
            </w:r>
          </w:p>
        </w:tc>
        <w:tc>
          <w:tcPr>
            <w:tcW w:w="777" w:type="pct"/>
            <w:tcBorders>
              <w:top w:val="nil"/>
              <w:left w:val="nil"/>
              <w:bottom w:val="nil"/>
              <w:right w:val="nil"/>
            </w:tcBorders>
            <w:noWrap/>
            <w:vAlign w:val="center"/>
            <w:hideMark/>
          </w:tcPr>
          <w:p w14:paraId="6F82EA7B"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210.50</w:t>
            </w:r>
          </w:p>
        </w:tc>
        <w:tc>
          <w:tcPr>
            <w:tcW w:w="236" w:type="pct"/>
            <w:tcBorders>
              <w:top w:val="nil"/>
              <w:left w:val="nil"/>
              <w:bottom w:val="nil"/>
              <w:right w:val="nil"/>
            </w:tcBorders>
            <w:noWrap/>
            <w:vAlign w:val="center"/>
            <w:hideMark/>
          </w:tcPr>
          <w:p w14:paraId="0C6A5AC9"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a</w:t>
            </w:r>
          </w:p>
        </w:tc>
      </w:tr>
      <w:tr w:rsidR="00C13684" w:rsidRPr="00801D01" w14:paraId="04F138DD" w14:textId="77777777" w:rsidTr="00475DC5">
        <w:trPr>
          <w:trHeight w:val="216"/>
        </w:trPr>
        <w:tc>
          <w:tcPr>
            <w:tcW w:w="1005" w:type="pct"/>
            <w:tcBorders>
              <w:top w:val="nil"/>
              <w:left w:val="nil"/>
              <w:bottom w:val="nil"/>
              <w:right w:val="nil"/>
            </w:tcBorders>
            <w:noWrap/>
            <w:vAlign w:val="center"/>
            <w:hideMark/>
          </w:tcPr>
          <w:p w14:paraId="3FF7C05C"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LSD 0.05</w:t>
            </w:r>
          </w:p>
        </w:tc>
        <w:tc>
          <w:tcPr>
            <w:tcW w:w="978" w:type="pct"/>
            <w:gridSpan w:val="2"/>
            <w:tcBorders>
              <w:top w:val="single" w:sz="4" w:space="0" w:color="auto"/>
              <w:left w:val="nil"/>
              <w:bottom w:val="nil"/>
              <w:right w:val="nil"/>
            </w:tcBorders>
            <w:noWrap/>
            <w:vAlign w:val="center"/>
            <w:hideMark/>
          </w:tcPr>
          <w:p w14:paraId="1E9B5C38"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0.36</w:t>
            </w:r>
          </w:p>
        </w:tc>
        <w:tc>
          <w:tcPr>
            <w:tcW w:w="985" w:type="pct"/>
            <w:gridSpan w:val="2"/>
            <w:tcBorders>
              <w:top w:val="single" w:sz="4" w:space="0" w:color="auto"/>
              <w:left w:val="nil"/>
              <w:bottom w:val="nil"/>
              <w:right w:val="nil"/>
            </w:tcBorders>
            <w:noWrap/>
            <w:vAlign w:val="center"/>
            <w:hideMark/>
          </w:tcPr>
          <w:p w14:paraId="492D9F2B"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0.35</w:t>
            </w:r>
          </w:p>
        </w:tc>
        <w:tc>
          <w:tcPr>
            <w:tcW w:w="1019" w:type="pct"/>
            <w:gridSpan w:val="2"/>
            <w:tcBorders>
              <w:top w:val="single" w:sz="4" w:space="0" w:color="auto"/>
              <w:left w:val="nil"/>
              <w:bottom w:val="nil"/>
              <w:right w:val="nil"/>
            </w:tcBorders>
            <w:noWrap/>
            <w:vAlign w:val="center"/>
            <w:hideMark/>
          </w:tcPr>
          <w:p w14:paraId="764011C1"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0.35</w:t>
            </w:r>
          </w:p>
        </w:tc>
        <w:tc>
          <w:tcPr>
            <w:tcW w:w="1013" w:type="pct"/>
            <w:gridSpan w:val="2"/>
            <w:tcBorders>
              <w:top w:val="single" w:sz="4" w:space="0" w:color="auto"/>
              <w:left w:val="nil"/>
              <w:bottom w:val="nil"/>
              <w:right w:val="nil"/>
            </w:tcBorders>
            <w:noWrap/>
            <w:vAlign w:val="center"/>
            <w:hideMark/>
          </w:tcPr>
          <w:p w14:paraId="12F610DA"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0.14</w:t>
            </w:r>
          </w:p>
        </w:tc>
      </w:tr>
      <w:tr w:rsidR="00C13684" w:rsidRPr="00801D01" w14:paraId="4FAE6C0C" w14:textId="77777777" w:rsidTr="00475DC5">
        <w:trPr>
          <w:trHeight w:val="216"/>
        </w:trPr>
        <w:tc>
          <w:tcPr>
            <w:tcW w:w="1005" w:type="pct"/>
            <w:tcBorders>
              <w:top w:val="nil"/>
              <w:left w:val="nil"/>
              <w:bottom w:val="nil"/>
              <w:right w:val="nil"/>
            </w:tcBorders>
            <w:noWrap/>
            <w:vAlign w:val="center"/>
            <w:hideMark/>
          </w:tcPr>
          <w:p w14:paraId="351F3C92" w14:textId="77777777" w:rsidR="00C13684" w:rsidRPr="00801D01" w:rsidRDefault="00C13684" w:rsidP="00801D01">
            <w:pPr>
              <w:ind w:right="15"/>
              <w:jc w:val="center"/>
              <w:rPr>
                <w:rFonts w:ascii="Arial" w:hAnsi="Arial" w:cs="Arial"/>
                <w:color w:val="000000" w:themeColor="text1"/>
                <w:sz w:val="16"/>
                <w:szCs w:val="16"/>
              </w:rPr>
            </w:pPr>
            <w:proofErr w:type="spellStart"/>
            <w:r w:rsidRPr="00801D01">
              <w:rPr>
                <w:rFonts w:ascii="Arial" w:hAnsi="Arial" w:cs="Arial"/>
                <w:color w:val="000000" w:themeColor="text1"/>
                <w:sz w:val="16"/>
                <w:szCs w:val="16"/>
              </w:rPr>
              <w:t>Pr</w:t>
            </w:r>
            <w:proofErr w:type="spellEnd"/>
            <w:r w:rsidRPr="00801D01">
              <w:rPr>
                <w:rFonts w:ascii="Arial" w:hAnsi="Arial" w:cs="Arial"/>
                <w:color w:val="000000" w:themeColor="text1"/>
                <w:sz w:val="16"/>
                <w:szCs w:val="16"/>
              </w:rPr>
              <w:t>&gt;F</w:t>
            </w:r>
          </w:p>
        </w:tc>
        <w:tc>
          <w:tcPr>
            <w:tcW w:w="978" w:type="pct"/>
            <w:gridSpan w:val="2"/>
            <w:tcBorders>
              <w:top w:val="single" w:sz="4" w:space="0" w:color="auto"/>
              <w:left w:val="nil"/>
              <w:bottom w:val="nil"/>
              <w:right w:val="nil"/>
            </w:tcBorders>
            <w:noWrap/>
            <w:vAlign w:val="center"/>
            <w:hideMark/>
          </w:tcPr>
          <w:p w14:paraId="0A636F0E"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w:t>
            </w:r>
          </w:p>
        </w:tc>
        <w:tc>
          <w:tcPr>
            <w:tcW w:w="985" w:type="pct"/>
            <w:gridSpan w:val="2"/>
            <w:tcBorders>
              <w:top w:val="single" w:sz="4" w:space="0" w:color="auto"/>
              <w:left w:val="nil"/>
              <w:bottom w:val="nil"/>
              <w:right w:val="nil"/>
            </w:tcBorders>
            <w:noWrap/>
            <w:vAlign w:val="center"/>
            <w:hideMark/>
          </w:tcPr>
          <w:p w14:paraId="23A8208A"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w:t>
            </w:r>
          </w:p>
        </w:tc>
        <w:tc>
          <w:tcPr>
            <w:tcW w:w="1019" w:type="pct"/>
            <w:gridSpan w:val="2"/>
            <w:tcBorders>
              <w:top w:val="single" w:sz="4" w:space="0" w:color="auto"/>
              <w:left w:val="nil"/>
              <w:bottom w:val="nil"/>
              <w:right w:val="nil"/>
            </w:tcBorders>
            <w:noWrap/>
            <w:vAlign w:val="center"/>
            <w:hideMark/>
          </w:tcPr>
          <w:p w14:paraId="03F5074F"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w:t>
            </w:r>
          </w:p>
        </w:tc>
        <w:tc>
          <w:tcPr>
            <w:tcW w:w="1013" w:type="pct"/>
            <w:gridSpan w:val="2"/>
            <w:tcBorders>
              <w:top w:val="single" w:sz="4" w:space="0" w:color="auto"/>
              <w:left w:val="nil"/>
              <w:bottom w:val="nil"/>
              <w:right w:val="nil"/>
            </w:tcBorders>
            <w:noWrap/>
            <w:vAlign w:val="center"/>
            <w:hideMark/>
          </w:tcPr>
          <w:p w14:paraId="6A260583"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w:t>
            </w:r>
          </w:p>
        </w:tc>
      </w:tr>
      <w:tr w:rsidR="00C13684" w:rsidRPr="00801D01" w14:paraId="5698F05F" w14:textId="77777777" w:rsidTr="00475DC5">
        <w:trPr>
          <w:trHeight w:val="216"/>
        </w:trPr>
        <w:tc>
          <w:tcPr>
            <w:tcW w:w="1005" w:type="pct"/>
            <w:tcBorders>
              <w:top w:val="nil"/>
              <w:left w:val="nil"/>
              <w:bottom w:val="single" w:sz="4" w:space="0" w:color="auto"/>
              <w:right w:val="nil"/>
            </w:tcBorders>
            <w:noWrap/>
            <w:vAlign w:val="center"/>
            <w:hideMark/>
          </w:tcPr>
          <w:p w14:paraId="7173F30E"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CV%</w:t>
            </w:r>
          </w:p>
        </w:tc>
        <w:tc>
          <w:tcPr>
            <w:tcW w:w="978" w:type="pct"/>
            <w:gridSpan w:val="2"/>
            <w:tcBorders>
              <w:top w:val="single" w:sz="4" w:space="0" w:color="auto"/>
              <w:left w:val="nil"/>
              <w:bottom w:val="single" w:sz="4" w:space="0" w:color="auto"/>
              <w:right w:val="nil"/>
            </w:tcBorders>
            <w:noWrap/>
            <w:vAlign w:val="center"/>
            <w:hideMark/>
          </w:tcPr>
          <w:p w14:paraId="0840531B"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1.89</w:t>
            </w:r>
          </w:p>
        </w:tc>
        <w:tc>
          <w:tcPr>
            <w:tcW w:w="985" w:type="pct"/>
            <w:gridSpan w:val="2"/>
            <w:tcBorders>
              <w:top w:val="single" w:sz="4" w:space="0" w:color="auto"/>
              <w:left w:val="nil"/>
              <w:bottom w:val="single" w:sz="4" w:space="0" w:color="auto"/>
              <w:right w:val="nil"/>
            </w:tcBorders>
            <w:noWrap/>
            <w:vAlign w:val="center"/>
            <w:hideMark/>
          </w:tcPr>
          <w:p w14:paraId="26C0DF65"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0.79</w:t>
            </w:r>
          </w:p>
        </w:tc>
        <w:tc>
          <w:tcPr>
            <w:tcW w:w="1019" w:type="pct"/>
            <w:gridSpan w:val="2"/>
            <w:tcBorders>
              <w:top w:val="single" w:sz="4" w:space="0" w:color="auto"/>
              <w:left w:val="nil"/>
              <w:bottom w:val="single" w:sz="4" w:space="0" w:color="auto"/>
              <w:right w:val="nil"/>
            </w:tcBorders>
            <w:noWrap/>
            <w:vAlign w:val="center"/>
            <w:hideMark/>
          </w:tcPr>
          <w:p w14:paraId="5046DC17"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0.29</w:t>
            </w:r>
          </w:p>
        </w:tc>
        <w:tc>
          <w:tcPr>
            <w:tcW w:w="1013" w:type="pct"/>
            <w:gridSpan w:val="2"/>
            <w:tcBorders>
              <w:top w:val="single" w:sz="4" w:space="0" w:color="auto"/>
              <w:left w:val="nil"/>
              <w:bottom w:val="single" w:sz="4" w:space="0" w:color="auto"/>
              <w:right w:val="nil"/>
            </w:tcBorders>
            <w:noWrap/>
            <w:vAlign w:val="center"/>
            <w:hideMark/>
          </w:tcPr>
          <w:p w14:paraId="49763340"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0.05</w:t>
            </w:r>
          </w:p>
        </w:tc>
      </w:tr>
    </w:tbl>
    <w:p w14:paraId="307C3EB7" w14:textId="77777777" w:rsidR="00ED617B" w:rsidRPr="00ED617B" w:rsidRDefault="00ED617B" w:rsidP="00ED617B">
      <w:pPr>
        <w:spacing w:before="120" w:after="120"/>
        <w:jc w:val="both"/>
        <w:rPr>
          <w:rFonts w:ascii="Arial" w:hAnsi="Arial" w:cs="Arial"/>
          <w:noProof/>
          <w:color w:val="000000" w:themeColor="text1"/>
          <w:sz w:val="16"/>
          <w:szCs w:val="16"/>
        </w:rPr>
      </w:pPr>
      <w:r w:rsidRPr="00ED617B">
        <w:rPr>
          <w:rFonts w:ascii="Arial" w:hAnsi="Arial" w:cs="Arial"/>
          <w:noProof/>
          <w:color w:val="000000" w:themeColor="text1"/>
          <w:sz w:val="16"/>
          <w:szCs w:val="16"/>
        </w:rPr>
        <w:t xml:space="preserve">Means followed by the same letter in each column are not significantly different, </w:t>
      </w:r>
      <w:r w:rsidRPr="00ED617B">
        <w:rPr>
          <w:rFonts w:ascii="Arial" w:hAnsi="Arial" w:cs="Arial"/>
          <w:bCs/>
          <w:noProof/>
          <w:color w:val="000000" w:themeColor="text1"/>
          <w:sz w:val="16"/>
          <w:szCs w:val="16"/>
        </w:rPr>
        <w:t>** Significant difference at 1% level</w:t>
      </w:r>
    </w:p>
    <w:p w14:paraId="297EB0AC" w14:textId="77777777" w:rsidR="00ED617B" w:rsidRPr="00ED617B" w:rsidRDefault="00ED617B" w:rsidP="00ED617B">
      <w:pPr>
        <w:spacing w:before="120" w:after="120"/>
        <w:jc w:val="both"/>
        <w:rPr>
          <w:rFonts w:ascii="Arial" w:hAnsi="Arial" w:cs="Arial"/>
          <w:noProof/>
          <w:color w:val="000000" w:themeColor="text1"/>
          <w:sz w:val="16"/>
          <w:szCs w:val="16"/>
        </w:rPr>
      </w:pPr>
      <w:r w:rsidRPr="00ED617B">
        <w:rPr>
          <w:rFonts w:ascii="Arial" w:hAnsi="Arial" w:cs="Arial"/>
          <w:noProof/>
          <w:color w:val="000000" w:themeColor="text1"/>
          <w:sz w:val="16"/>
          <w:szCs w:val="16"/>
        </w:rPr>
        <w:t>T</w:t>
      </w:r>
      <w:r w:rsidRPr="00ED617B">
        <w:rPr>
          <w:rFonts w:ascii="Arial" w:hAnsi="Arial" w:cs="Arial"/>
          <w:noProof/>
          <w:color w:val="000000" w:themeColor="text1"/>
          <w:sz w:val="16"/>
          <w:szCs w:val="16"/>
          <w:vertAlign w:val="subscript"/>
        </w:rPr>
        <w:t>1</w:t>
      </w:r>
      <w:r w:rsidRPr="00ED617B">
        <w:rPr>
          <w:rFonts w:ascii="Arial" w:hAnsi="Arial" w:cs="Arial"/>
          <w:noProof/>
          <w:color w:val="000000" w:themeColor="text1"/>
          <w:sz w:val="16"/>
          <w:szCs w:val="16"/>
        </w:rPr>
        <w:t xml:space="preserve"> – (control), T</w:t>
      </w:r>
      <w:r w:rsidRPr="00ED617B">
        <w:rPr>
          <w:rFonts w:ascii="Arial" w:hAnsi="Arial" w:cs="Arial"/>
          <w:noProof/>
          <w:color w:val="000000" w:themeColor="text1"/>
          <w:sz w:val="16"/>
          <w:szCs w:val="16"/>
          <w:vertAlign w:val="subscript"/>
        </w:rPr>
        <w:t>2</w:t>
      </w:r>
      <w:r w:rsidRPr="00ED617B">
        <w:rPr>
          <w:rFonts w:ascii="Arial" w:hAnsi="Arial" w:cs="Arial"/>
          <w:noProof/>
          <w:color w:val="000000" w:themeColor="text1"/>
          <w:sz w:val="16"/>
          <w:szCs w:val="16"/>
        </w:rPr>
        <w:t xml:space="preserve"> – (Organic amendment (OA)), T</w:t>
      </w:r>
      <w:r w:rsidRPr="00ED617B">
        <w:rPr>
          <w:rFonts w:ascii="Arial" w:hAnsi="Arial" w:cs="Arial"/>
          <w:noProof/>
          <w:color w:val="000000" w:themeColor="text1"/>
          <w:sz w:val="16"/>
          <w:szCs w:val="16"/>
          <w:vertAlign w:val="subscript"/>
        </w:rPr>
        <w:t>3</w:t>
      </w:r>
      <w:r w:rsidRPr="00ED617B">
        <w:rPr>
          <w:rFonts w:ascii="Arial" w:hAnsi="Arial" w:cs="Arial"/>
          <w:noProof/>
          <w:color w:val="000000" w:themeColor="text1"/>
          <w:sz w:val="16"/>
          <w:szCs w:val="16"/>
        </w:rPr>
        <w:t xml:space="preserve"> – (100%NPK), T</w:t>
      </w:r>
      <w:r w:rsidRPr="00ED617B">
        <w:rPr>
          <w:rFonts w:ascii="Arial" w:hAnsi="Arial" w:cs="Arial"/>
          <w:noProof/>
          <w:color w:val="000000" w:themeColor="text1"/>
          <w:sz w:val="16"/>
          <w:szCs w:val="16"/>
          <w:vertAlign w:val="subscript"/>
        </w:rPr>
        <w:t>4</w:t>
      </w:r>
      <w:r w:rsidRPr="00ED617B">
        <w:rPr>
          <w:rFonts w:ascii="Arial" w:hAnsi="Arial" w:cs="Arial"/>
          <w:noProof/>
          <w:color w:val="000000" w:themeColor="text1"/>
          <w:sz w:val="16"/>
          <w:szCs w:val="16"/>
        </w:rPr>
        <w:t xml:space="preserve"> – (OA + 50% NPK), T</w:t>
      </w:r>
      <w:r w:rsidRPr="00ED617B">
        <w:rPr>
          <w:rFonts w:ascii="Arial" w:hAnsi="Arial" w:cs="Arial"/>
          <w:noProof/>
          <w:color w:val="000000" w:themeColor="text1"/>
          <w:sz w:val="16"/>
          <w:szCs w:val="16"/>
          <w:vertAlign w:val="subscript"/>
        </w:rPr>
        <w:t>5</w:t>
      </w:r>
      <w:r w:rsidRPr="00ED617B">
        <w:rPr>
          <w:rFonts w:ascii="Arial" w:hAnsi="Arial" w:cs="Arial"/>
          <w:noProof/>
          <w:color w:val="000000" w:themeColor="text1"/>
          <w:sz w:val="16"/>
          <w:szCs w:val="16"/>
        </w:rPr>
        <w:t xml:space="preserve"> – (OA + 75% NPK), T</w:t>
      </w:r>
      <w:r w:rsidRPr="00ED617B">
        <w:rPr>
          <w:rFonts w:ascii="Arial" w:hAnsi="Arial" w:cs="Arial"/>
          <w:noProof/>
          <w:color w:val="000000" w:themeColor="text1"/>
          <w:sz w:val="16"/>
          <w:szCs w:val="16"/>
          <w:vertAlign w:val="subscript"/>
        </w:rPr>
        <w:t>6</w:t>
      </w:r>
      <w:r w:rsidRPr="00ED617B">
        <w:rPr>
          <w:rFonts w:ascii="Arial" w:hAnsi="Arial" w:cs="Arial"/>
          <w:noProof/>
          <w:color w:val="000000" w:themeColor="text1"/>
          <w:sz w:val="16"/>
          <w:szCs w:val="16"/>
        </w:rPr>
        <w:t xml:space="preserve"> – (OA + 100% NPK)</w:t>
      </w:r>
    </w:p>
    <w:p w14:paraId="443CC72A" w14:textId="647FC286" w:rsidR="00C13684" w:rsidRPr="00F42131" w:rsidRDefault="00F42131" w:rsidP="00801D01">
      <w:pPr>
        <w:spacing w:before="120" w:after="120"/>
        <w:ind w:left="990" w:hanging="990"/>
        <w:jc w:val="both"/>
        <w:rPr>
          <w:rFonts w:ascii="Arial" w:hAnsi="Arial" w:cs="Arial"/>
          <w:b/>
          <w:bCs/>
          <w:color w:val="000000" w:themeColor="text1"/>
        </w:rPr>
      </w:pPr>
      <w:r w:rsidRPr="00F42131">
        <w:rPr>
          <w:rFonts w:ascii="Arial" w:hAnsi="Arial" w:cs="Arial"/>
          <w:b/>
          <w:bCs/>
          <w:color w:val="000000" w:themeColor="text1"/>
        </w:rPr>
        <w:t>3.</w:t>
      </w:r>
      <w:r w:rsidR="00C13684" w:rsidRPr="00F42131">
        <w:rPr>
          <w:rFonts w:ascii="Arial" w:hAnsi="Arial" w:cs="Arial"/>
          <w:b/>
          <w:bCs/>
          <w:color w:val="000000" w:themeColor="text1"/>
        </w:rPr>
        <w:t xml:space="preserve">2.12 Grain Yield </w:t>
      </w:r>
      <w:proofErr w:type="gramStart"/>
      <w:r w:rsidR="00C13684" w:rsidRPr="00F42131">
        <w:rPr>
          <w:rFonts w:ascii="Arial" w:hAnsi="Arial" w:cs="Arial"/>
          <w:b/>
          <w:bCs/>
          <w:color w:val="000000" w:themeColor="text1"/>
        </w:rPr>
        <w:t>( kg</w:t>
      </w:r>
      <w:proofErr w:type="gramEnd"/>
      <w:r w:rsidR="00C13684" w:rsidRPr="00F42131">
        <w:rPr>
          <w:rFonts w:ascii="Arial" w:hAnsi="Arial" w:cs="Arial"/>
          <w:b/>
          <w:bCs/>
          <w:color w:val="000000" w:themeColor="text1"/>
        </w:rPr>
        <w:t xml:space="preserve"> h</w:t>
      </w:r>
      <w:r w:rsidR="00801D01">
        <w:rPr>
          <w:rFonts w:ascii="Arial" w:hAnsi="Arial" w:cs="Arial"/>
          <w:b/>
          <w:bCs/>
          <w:color w:val="000000" w:themeColor="text1"/>
        </w:rPr>
        <w:t>a</w:t>
      </w:r>
      <w:r w:rsidR="00801D01" w:rsidRPr="00801D01">
        <w:rPr>
          <w:rFonts w:ascii="Arial" w:hAnsi="Arial" w:cs="Arial"/>
          <w:b/>
          <w:bCs/>
          <w:color w:val="000000" w:themeColor="text1"/>
          <w:vertAlign w:val="superscript"/>
        </w:rPr>
        <w:t>-1</w:t>
      </w:r>
      <w:r w:rsidR="00C13684" w:rsidRPr="00F42131">
        <w:rPr>
          <w:rFonts w:ascii="Arial" w:hAnsi="Arial" w:cs="Arial"/>
          <w:b/>
          <w:bCs/>
          <w:color w:val="000000" w:themeColor="text1"/>
        </w:rPr>
        <w:t>)</w:t>
      </w:r>
    </w:p>
    <w:p w14:paraId="40CDE14C" w14:textId="6A08672A" w:rsidR="00022602" w:rsidRPr="00022602" w:rsidRDefault="00022602" w:rsidP="00022602">
      <w:pPr>
        <w:spacing w:before="120" w:after="120"/>
        <w:ind w:firstLine="720"/>
        <w:jc w:val="both"/>
        <w:rPr>
          <w:rFonts w:ascii="Arial" w:hAnsi="Arial" w:cs="Arial"/>
          <w:color w:val="000000" w:themeColor="text1"/>
        </w:rPr>
      </w:pPr>
      <w:r w:rsidRPr="00022602">
        <w:rPr>
          <w:rFonts w:ascii="Arial" w:hAnsi="Arial" w:cs="Arial"/>
          <w:color w:val="000000" w:themeColor="text1"/>
        </w:rPr>
        <w:t>Grain yield was significantly highest in T</w:t>
      </w:r>
      <w:r w:rsidRPr="00022602">
        <w:rPr>
          <w:rFonts w:ascii="Cambria Math" w:hAnsi="Cambria Math" w:cs="Cambria Math"/>
          <w:color w:val="000000" w:themeColor="text1"/>
        </w:rPr>
        <w:t>₆</w:t>
      </w:r>
      <w:r w:rsidRPr="00022602">
        <w:rPr>
          <w:rFonts w:ascii="Arial" w:hAnsi="Arial" w:cs="Arial"/>
          <w:color w:val="000000" w:themeColor="text1"/>
        </w:rPr>
        <w:t xml:space="preserve"> (OA + 100% NPK) at 4707.86 kg ha</w:t>
      </w:r>
      <w:r w:rsidRPr="00022602">
        <w:rPr>
          <w:rFonts w:ascii="Cambria Math" w:hAnsi="Cambria Math" w:cs="Cambria Math"/>
          <w:color w:val="000000" w:themeColor="text1"/>
        </w:rPr>
        <w:t>⁻</w:t>
      </w:r>
      <w:r w:rsidRPr="00022602">
        <w:rPr>
          <w:rFonts w:ascii="Arial" w:hAnsi="Arial" w:cs="Arial"/>
          <w:color w:val="000000" w:themeColor="text1"/>
        </w:rPr>
        <w:t>¹, followed closely by T</w:t>
      </w:r>
      <w:r w:rsidRPr="00022602">
        <w:rPr>
          <w:rFonts w:ascii="Cambria Math" w:hAnsi="Cambria Math" w:cs="Cambria Math"/>
          <w:color w:val="000000" w:themeColor="text1"/>
        </w:rPr>
        <w:t>₅</w:t>
      </w:r>
      <w:r w:rsidRPr="00022602">
        <w:rPr>
          <w:rFonts w:ascii="Arial" w:hAnsi="Arial" w:cs="Arial"/>
          <w:color w:val="000000" w:themeColor="text1"/>
        </w:rPr>
        <w:t xml:space="preserve"> (OA + 75% NPK) at 4615.17 kg ha</w:t>
      </w:r>
      <w:r w:rsidRPr="00022602">
        <w:rPr>
          <w:rFonts w:ascii="Cambria Math" w:hAnsi="Cambria Math" w:cs="Cambria Math"/>
          <w:color w:val="000000" w:themeColor="text1"/>
        </w:rPr>
        <w:t>⁻</w:t>
      </w:r>
      <w:r w:rsidRPr="00022602">
        <w:rPr>
          <w:rFonts w:ascii="Arial" w:hAnsi="Arial" w:cs="Arial"/>
          <w:color w:val="000000" w:themeColor="text1"/>
        </w:rPr>
        <w:t>¹, both of which outperformed T</w:t>
      </w:r>
      <w:r w:rsidRPr="00022602">
        <w:rPr>
          <w:rFonts w:ascii="Cambria Math" w:hAnsi="Cambria Math" w:cs="Cambria Math"/>
          <w:color w:val="000000" w:themeColor="text1"/>
        </w:rPr>
        <w:t>₃</w:t>
      </w:r>
      <w:r w:rsidRPr="00022602">
        <w:rPr>
          <w:rFonts w:ascii="Arial" w:hAnsi="Arial" w:cs="Arial"/>
          <w:color w:val="000000" w:themeColor="text1"/>
        </w:rPr>
        <w:t xml:space="preserve"> (100% NPK alone) (4473.08 kg ha</w:t>
      </w:r>
      <w:r w:rsidRPr="00022602">
        <w:rPr>
          <w:rFonts w:ascii="Cambria Math" w:hAnsi="Cambria Math" w:cs="Cambria Math"/>
          <w:color w:val="000000" w:themeColor="text1"/>
        </w:rPr>
        <w:t>⁻</w:t>
      </w:r>
      <w:r w:rsidRPr="00022602">
        <w:rPr>
          <w:rFonts w:ascii="Arial" w:hAnsi="Arial" w:cs="Arial"/>
          <w:color w:val="000000" w:themeColor="text1"/>
        </w:rPr>
        <w:t>¹) during the monsoon season (Figure 3). This represents a clear advantage of integrating maize straw with inorganic fertilizers under high-rainfall conditions, where nutrient leaching and waterlogging limit the efficiency of synthetic inputs (Lobell et al., 2013).</w:t>
      </w:r>
      <w:r>
        <w:rPr>
          <w:rFonts w:ascii="Arial" w:hAnsi="Arial" w:cs="Arial"/>
          <w:color w:val="000000" w:themeColor="text1"/>
        </w:rPr>
        <w:t xml:space="preserve"> </w:t>
      </w:r>
      <w:r w:rsidRPr="00022602">
        <w:rPr>
          <w:rFonts w:ascii="Arial" w:hAnsi="Arial" w:cs="Arial"/>
          <w:color w:val="000000" w:themeColor="text1"/>
        </w:rPr>
        <w:t>The superior yield in T</w:t>
      </w:r>
      <w:r w:rsidRPr="00022602">
        <w:rPr>
          <w:rFonts w:ascii="Cambria Math" w:hAnsi="Cambria Math" w:cs="Cambria Math"/>
          <w:color w:val="000000" w:themeColor="text1"/>
        </w:rPr>
        <w:t>₆</w:t>
      </w:r>
      <w:r w:rsidRPr="00022602">
        <w:rPr>
          <w:rFonts w:ascii="Arial" w:hAnsi="Arial" w:cs="Arial"/>
          <w:color w:val="000000" w:themeColor="text1"/>
        </w:rPr>
        <w:t xml:space="preserve"> can be attributed to enhanced soil structure, improved nutrient retention, and sustained nutrient supply from organic matter decomposition, which collectively support better root function and grain filling under stress (Dwivedi &amp; Dwivedi, 2015; Ávila et al., 2008). Notably, T</w:t>
      </w:r>
      <w:r w:rsidRPr="00022602">
        <w:rPr>
          <w:rFonts w:ascii="Cambria Math" w:hAnsi="Cambria Math" w:cs="Cambria Math"/>
          <w:color w:val="000000" w:themeColor="text1"/>
        </w:rPr>
        <w:t>₅</w:t>
      </w:r>
      <w:r w:rsidRPr="00022602">
        <w:rPr>
          <w:rFonts w:ascii="Arial" w:hAnsi="Arial" w:cs="Arial"/>
          <w:color w:val="000000" w:themeColor="text1"/>
        </w:rPr>
        <w:t xml:space="preserve"> achieved 98% of T</w:t>
      </w:r>
      <w:r w:rsidRPr="00022602">
        <w:rPr>
          <w:rFonts w:ascii="Cambria Math" w:hAnsi="Cambria Math" w:cs="Cambria Math"/>
          <w:color w:val="000000" w:themeColor="text1"/>
        </w:rPr>
        <w:t>₆</w:t>
      </w:r>
      <w:r w:rsidRPr="00022602">
        <w:rPr>
          <w:rFonts w:ascii="Arial" w:hAnsi="Arial" w:cs="Arial"/>
          <w:color w:val="000000" w:themeColor="text1"/>
        </w:rPr>
        <w:t>’s yield despite using only 75% of the recommended inorganic fertilizer, indicating high nutrient use efficiency and strong agronomic potential.</w:t>
      </w:r>
    </w:p>
    <w:p w14:paraId="1CE18F47" w14:textId="07F7F39A" w:rsidR="00022602" w:rsidRPr="00022602" w:rsidRDefault="00022602" w:rsidP="00022602">
      <w:pPr>
        <w:spacing w:before="120" w:after="120"/>
        <w:ind w:firstLine="720"/>
        <w:jc w:val="both"/>
        <w:rPr>
          <w:rFonts w:ascii="Arial" w:hAnsi="Arial" w:cs="Arial"/>
          <w:color w:val="000000" w:themeColor="text1"/>
        </w:rPr>
      </w:pPr>
      <w:r w:rsidRPr="00022602">
        <w:rPr>
          <w:rFonts w:ascii="Arial" w:hAnsi="Arial" w:cs="Arial"/>
          <w:color w:val="000000" w:themeColor="text1"/>
        </w:rPr>
        <w:t>This suggests that maize straw not only reduces nutrient loss but also compensates for reduced chemical inputs by improving cation exchange capacity (CEC), water-holding capacity, and microbial activity (</w:t>
      </w:r>
      <w:proofErr w:type="spellStart"/>
      <w:r w:rsidRPr="00022602">
        <w:rPr>
          <w:rFonts w:ascii="Arial" w:hAnsi="Arial" w:cs="Arial"/>
          <w:color w:val="000000" w:themeColor="text1"/>
        </w:rPr>
        <w:t>Cherr</w:t>
      </w:r>
      <w:proofErr w:type="spellEnd"/>
      <w:r w:rsidRPr="00022602">
        <w:rPr>
          <w:rFonts w:ascii="Arial" w:hAnsi="Arial" w:cs="Arial"/>
          <w:color w:val="000000" w:themeColor="text1"/>
        </w:rPr>
        <w:t xml:space="preserve"> et al., 2006). Given its high yield, lower input cost, and </w:t>
      </w:r>
      <w:r w:rsidRPr="00022602">
        <w:rPr>
          <w:rFonts w:ascii="Arial" w:hAnsi="Arial" w:cs="Arial"/>
          <w:color w:val="000000" w:themeColor="text1"/>
        </w:rPr>
        <w:lastRenderedPageBreak/>
        <w:t>contribution to long-term soil fertility, T</w:t>
      </w:r>
      <w:r w:rsidRPr="00022602">
        <w:rPr>
          <w:rFonts w:ascii="Cambria Math" w:hAnsi="Cambria Math" w:cs="Cambria Math"/>
          <w:color w:val="000000" w:themeColor="text1"/>
        </w:rPr>
        <w:t>₅</w:t>
      </w:r>
      <w:r w:rsidRPr="00022602">
        <w:rPr>
          <w:rFonts w:ascii="Arial" w:hAnsi="Arial" w:cs="Arial"/>
          <w:color w:val="000000" w:themeColor="text1"/>
        </w:rPr>
        <w:t xml:space="preserve"> (OA + 75% NPK) is recommended as a sustainable and practical option for monsoon maize production. It aligns with the principles of Integrated Soil Fertility Management (ISFM), which promotes context-specific combinations of organic and inorganic inputs to enhance resilience and sustainability (</w:t>
      </w:r>
      <w:proofErr w:type="spellStart"/>
      <w:r w:rsidRPr="00022602">
        <w:rPr>
          <w:rFonts w:ascii="Arial" w:hAnsi="Arial" w:cs="Arial"/>
          <w:color w:val="000000" w:themeColor="text1"/>
        </w:rPr>
        <w:t>Vanlauwe</w:t>
      </w:r>
      <w:proofErr w:type="spellEnd"/>
      <w:r w:rsidRPr="00022602">
        <w:rPr>
          <w:rFonts w:ascii="Arial" w:hAnsi="Arial" w:cs="Arial"/>
          <w:color w:val="000000" w:themeColor="text1"/>
        </w:rPr>
        <w:t xml:space="preserve"> et al., 2010).</w:t>
      </w:r>
    </w:p>
    <w:p w14:paraId="3EC52DC7" w14:textId="13932988" w:rsidR="00022602" w:rsidRDefault="00022602" w:rsidP="00022602">
      <w:pPr>
        <w:ind w:right="15" w:firstLine="720"/>
        <w:jc w:val="both"/>
        <w:rPr>
          <w:rFonts w:ascii="Arial" w:hAnsi="Arial" w:cs="Arial"/>
          <w:color w:val="000000" w:themeColor="text1"/>
        </w:rPr>
      </w:pPr>
      <w:r w:rsidRPr="00022602">
        <w:rPr>
          <w:rFonts w:ascii="Arial" w:hAnsi="Arial" w:cs="Arial"/>
          <w:color w:val="000000" w:themeColor="text1"/>
        </w:rPr>
        <w:t>These findings confirm that sole reliance on inorganic fertilizers (T</w:t>
      </w:r>
      <w:r w:rsidRPr="00022602">
        <w:rPr>
          <w:rFonts w:ascii="Cambria Math" w:hAnsi="Cambria Math" w:cs="Cambria Math"/>
          <w:color w:val="000000" w:themeColor="text1"/>
        </w:rPr>
        <w:t>₃</w:t>
      </w:r>
      <w:r w:rsidRPr="00022602">
        <w:rPr>
          <w:rFonts w:ascii="Arial" w:hAnsi="Arial" w:cs="Arial"/>
          <w:color w:val="000000" w:themeColor="text1"/>
        </w:rPr>
        <w:t>) is suboptimal during the monsoon, while full integration (T</w:t>
      </w:r>
      <w:r w:rsidRPr="00022602">
        <w:rPr>
          <w:rFonts w:ascii="Cambria Math" w:hAnsi="Cambria Math" w:cs="Cambria Math"/>
          <w:color w:val="000000" w:themeColor="text1"/>
        </w:rPr>
        <w:t>₆</w:t>
      </w:r>
      <w:r w:rsidRPr="00022602">
        <w:rPr>
          <w:rFonts w:ascii="Arial" w:hAnsi="Arial" w:cs="Arial"/>
          <w:color w:val="000000" w:themeColor="text1"/>
        </w:rPr>
        <w:t>) or partial substitution (T</w:t>
      </w:r>
      <w:r w:rsidRPr="00022602">
        <w:rPr>
          <w:rFonts w:ascii="Cambria Math" w:hAnsi="Cambria Math" w:cs="Cambria Math"/>
          <w:color w:val="000000" w:themeColor="text1"/>
        </w:rPr>
        <w:t>₅</w:t>
      </w:r>
      <w:r w:rsidRPr="00022602">
        <w:rPr>
          <w:rFonts w:ascii="Arial" w:hAnsi="Arial" w:cs="Arial"/>
          <w:color w:val="000000" w:themeColor="text1"/>
        </w:rPr>
        <w:t>) significantly improves yield stability. For smallholder systems in tropical agroecosystems, adopting ISFM strategies such as T</w:t>
      </w:r>
      <w:r w:rsidRPr="00022602">
        <w:rPr>
          <w:rFonts w:ascii="Cambria Math" w:hAnsi="Cambria Math" w:cs="Cambria Math"/>
          <w:color w:val="000000" w:themeColor="text1"/>
        </w:rPr>
        <w:t>₅</w:t>
      </w:r>
      <w:r w:rsidRPr="00022602">
        <w:rPr>
          <w:rFonts w:ascii="Arial" w:hAnsi="Arial" w:cs="Arial"/>
          <w:color w:val="000000" w:themeColor="text1"/>
        </w:rPr>
        <w:t xml:space="preserve"> offers a balanced approach</w:t>
      </w:r>
      <w:r>
        <w:rPr>
          <w:rFonts w:ascii="Arial" w:hAnsi="Arial" w:cs="Arial"/>
          <w:color w:val="000000" w:themeColor="text1"/>
        </w:rPr>
        <w:t xml:space="preserve"> </w:t>
      </w:r>
      <w:r w:rsidRPr="00022602">
        <w:rPr>
          <w:rFonts w:ascii="Arial" w:hAnsi="Arial" w:cs="Arial"/>
          <w:color w:val="000000" w:themeColor="text1"/>
        </w:rPr>
        <w:t>maintaining productivity while reducing environmental risks and input costs.</w:t>
      </w:r>
    </w:p>
    <w:p w14:paraId="4D58FE86" w14:textId="77777777" w:rsidR="00022602" w:rsidRDefault="00022602" w:rsidP="00022602">
      <w:pPr>
        <w:ind w:right="15" w:firstLine="720"/>
        <w:jc w:val="both"/>
        <w:rPr>
          <w:rFonts w:ascii="Arial" w:hAnsi="Arial" w:cs="Arial"/>
          <w:color w:val="000000" w:themeColor="text1"/>
        </w:rPr>
      </w:pPr>
    </w:p>
    <w:p w14:paraId="34AA7ACE" w14:textId="5BE07799" w:rsidR="00C13684" w:rsidRPr="006355D2" w:rsidRDefault="00DF4B27" w:rsidP="00022602">
      <w:pPr>
        <w:ind w:right="15" w:firstLine="1080"/>
        <w:jc w:val="both"/>
        <w:rPr>
          <w:rFonts w:ascii="Arial" w:hAnsi="Arial" w:cs="Arial"/>
          <w:b/>
          <w:bCs/>
          <w:noProof/>
          <w:color w:val="000000" w:themeColor="text1"/>
        </w:rPr>
      </w:pPr>
      <w:r w:rsidRPr="00DF4B27">
        <w:rPr>
          <w:rFonts w:ascii="Arial" w:hAnsi="Arial" w:cs="Arial"/>
          <w:noProof/>
          <w:color w:val="000000" w:themeColor="text1"/>
        </w:rPr>
        <mc:AlternateContent>
          <mc:Choice Requires="wps">
            <w:drawing>
              <wp:anchor distT="0" distB="0" distL="114300" distR="114300" simplePos="0" relativeHeight="251656192" behindDoc="0" locked="0" layoutInCell="1" allowOverlap="1" wp14:anchorId="4AD40F33" wp14:editId="0664FE10">
                <wp:simplePos x="0" y="0"/>
                <wp:positionH relativeFrom="column">
                  <wp:posOffset>4114800</wp:posOffset>
                </wp:positionH>
                <wp:positionV relativeFrom="paragraph">
                  <wp:posOffset>189865</wp:posOffset>
                </wp:positionV>
                <wp:extent cx="1267992" cy="646331"/>
                <wp:effectExtent l="0" t="0" r="0" b="0"/>
                <wp:wrapNone/>
                <wp:docPr id="13" name="TextBox 12"/>
                <wp:cNvGraphicFramePr/>
                <a:graphic xmlns:a="http://schemas.openxmlformats.org/drawingml/2006/main">
                  <a:graphicData uri="http://schemas.microsoft.com/office/word/2010/wordprocessingShape">
                    <wps:wsp>
                      <wps:cNvSpPr txBox="1"/>
                      <wps:spPr>
                        <a:xfrm>
                          <a:off x="0" y="0"/>
                          <a:ext cx="1267992" cy="646331"/>
                        </a:xfrm>
                        <a:prstGeom prst="rect">
                          <a:avLst/>
                        </a:prstGeom>
                        <a:noFill/>
                      </wps:spPr>
                      <wps:txbx>
                        <w:txbxContent>
                          <w:p w14:paraId="1FF9DC52" w14:textId="5DAE5A7F" w:rsidR="00DF4B27" w:rsidRPr="00DF4B27" w:rsidRDefault="00DF4B27" w:rsidP="00DF4B27">
                            <w:pPr>
                              <w:rPr>
                                <w:rFonts w:ascii="Arial" w:hAnsi="Arial" w:cs="Arial"/>
                                <w:color w:val="000000"/>
                                <w:kern w:val="24"/>
                              </w:rPr>
                            </w:pPr>
                            <w:proofErr w:type="spellStart"/>
                            <w:r w:rsidRPr="00DF4B27">
                              <w:rPr>
                                <w:rFonts w:ascii="Arial" w:hAnsi="Arial" w:cs="Arial"/>
                                <w:color w:val="000000"/>
                                <w:kern w:val="24"/>
                                <w:sz w:val="16"/>
                                <w:szCs w:val="16"/>
                              </w:rPr>
                              <w:t>Pr</w:t>
                            </w:r>
                            <w:proofErr w:type="spellEnd"/>
                            <w:r w:rsidRPr="00DF4B27">
                              <w:rPr>
                                <w:rFonts w:ascii="Arial" w:hAnsi="Arial" w:cs="Arial"/>
                                <w:color w:val="000000"/>
                                <w:kern w:val="24"/>
                                <w:sz w:val="16"/>
                                <w:szCs w:val="16"/>
                              </w:rPr>
                              <w:t xml:space="preserve">&gt;F </w:t>
                            </w:r>
                            <w:r>
                              <w:rPr>
                                <w:rFonts w:ascii="Arial" w:hAnsi="Arial" w:cs="Arial"/>
                                <w:color w:val="000000"/>
                                <w:kern w:val="24"/>
                                <w:sz w:val="16"/>
                                <w:szCs w:val="16"/>
                              </w:rPr>
                              <w:t xml:space="preserve">     </w:t>
                            </w:r>
                            <w:r w:rsidRPr="00DF4B27">
                              <w:rPr>
                                <w:rFonts w:ascii="Arial" w:hAnsi="Arial" w:cs="Arial"/>
                                <w:color w:val="000000"/>
                                <w:kern w:val="24"/>
                                <w:sz w:val="16"/>
                                <w:szCs w:val="16"/>
                              </w:rPr>
                              <w:t>**</w:t>
                            </w:r>
                          </w:p>
                          <w:p w14:paraId="4F85EB36" w14:textId="74EB761F" w:rsidR="00DF4B27" w:rsidRPr="00DF4B27" w:rsidRDefault="00DF4B27" w:rsidP="00DF4B27">
                            <w:pPr>
                              <w:rPr>
                                <w:rFonts w:ascii="Arial" w:hAnsi="Arial" w:cs="Arial"/>
                                <w:color w:val="000000"/>
                                <w:kern w:val="24"/>
                                <w:sz w:val="16"/>
                                <w:szCs w:val="16"/>
                              </w:rPr>
                            </w:pPr>
                            <w:r w:rsidRPr="00DF4B27">
                              <w:rPr>
                                <w:rFonts w:ascii="Arial" w:hAnsi="Arial" w:cs="Arial"/>
                                <w:color w:val="000000"/>
                                <w:kern w:val="24"/>
                                <w:sz w:val="16"/>
                                <w:szCs w:val="16"/>
                              </w:rPr>
                              <w:t>LSD</w:t>
                            </w:r>
                            <w:r w:rsidRPr="00DF4B27">
                              <w:rPr>
                                <w:rFonts w:ascii="Arial" w:hAnsi="Arial" w:cs="Arial"/>
                                <w:color w:val="000000"/>
                                <w:kern w:val="24"/>
                                <w:position w:val="-6"/>
                                <w:sz w:val="16"/>
                                <w:szCs w:val="16"/>
                                <w:vertAlign w:val="subscript"/>
                              </w:rPr>
                              <w:t>0.05</w:t>
                            </w:r>
                            <w:r>
                              <w:rPr>
                                <w:rFonts w:ascii="Arial" w:hAnsi="Arial" w:cs="Arial"/>
                                <w:color w:val="000000"/>
                                <w:kern w:val="24"/>
                                <w:sz w:val="16"/>
                                <w:szCs w:val="16"/>
                              </w:rPr>
                              <w:t xml:space="preserve">   107.47</w:t>
                            </w:r>
                          </w:p>
                          <w:p w14:paraId="5F9D6403" w14:textId="70C3305F" w:rsidR="00DF4B27" w:rsidRPr="00DF4B27" w:rsidRDefault="00DF4B27" w:rsidP="00DF4B27">
                            <w:pPr>
                              <w:rPr>
                                <w:rFonts w:ascii="Arial" w:hAnsi="Arial" w:cs="Arial"/>
                                <w:color w:val="000000"/>
                                <w:kern w:val="24"/>
                                <w:sz w:val="16"/>
                                <w:szCs w:val="16"/>
                              </w:rPr>
                            </w:pPr>
                            <w:r w:rsidRPr="00DF4B27">
                              <w:rPr>
                                <w:rFonts w:ascii="Arial" w:hAnsi="Arial" w:cs="Arial"/>
                                <w:color w:val="000000"/>
                                <w:kern w:val="24"/>
                                <w:sz w:val="16"/>
                                <w:szCs w:val="16"/>
                              </w:rPr>
                              <w:t>CV%</w:t>
                            </w:r>
                            <w:r>
                              <w:rPr>
                                <w:rFonts w:ascii="Arial" w:hAnsi="Arial" w:cs="Arial"/>
                                <w:color w:val="000000"/>
                                <w:kern w:val="24"/>
                                <w:sz w:val="16"/>
                                <w:szCs w:val="16"/>
                              </w:rPr>
                              <w:t xml:space="preserve">      1.95</w:t>
                            </w:r>
                          </w:p>
                        </w:txbxContent>
                      </wps:txbx>
                      <wps:bodyPr wrap="square" rtlCol="0">
                        <a:spAutoFit/>
                      </wps:bodyPr>
                    </wps:wsp>
                  </a:graphicData>
                </a:graphic>
              </wp:anchor>
            </w:drawing>
          </mc:Choice>
          <mc:Fallback>
            <w:pict>
              <v:shape w14:anchorId="4AD40F33" id="_x0000_s1027" type="#_x0000_t202" style="position:absolute;left:0;text-align:left;margin-left:324pt;margin-top:14.95pt;width:99.85pt;height:50.9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" filled="f" stroked="f">
                <v:textbox style="mso-fit-shape-to-text:t">
                  <w:txbxContent>
                    <w:p w14:paraId="1FF9DC52" w14:textId="5DAE5A7F" w:rsidR="00DF4B27" w:rsidRPr="00DF4B27" w:rsidRDefault="00DF4B27" w:rsidP="00DF4B27">
                      <w:pPr>
                        <w:rPr>
                          <w:rFonts w:ascii="Arial" w:hAnsi="Arial" w:cs="Arial"/>
                          <w:color w:val="000000"/>
                          <w:kern w:val="24"/>
                        </w:rPr>
                      </w:pPr>
                      <w:proofErr w:type="spellStart"/>
                      <w:r w:rsidRPr="00DF4B27">
                        <w:rPr>
                          <w:rFonts w:ascii="Arial" w:hAnsi="Arial" w:cs="Arial"/>
                          <w:color w:val="000000"/>
                          <w:kern w:val="24"/>
                          <w:sz w:val="16"/>
                          <w:szCs w:val="16"/>
                        </w:rPr>
                        <w:t>Pr</w:t>
                      </w:r>
                      <w:proofErr w:type="spellEnd"/>
                      <w:r w:rsidRPr="00DF4B27">
                        <w:rPr>
                          <w:rFonts w:ascii="Arial" w:hAnsi="Arial" w:cs="Arial"/>
                          <w:color w:val="000000"/>
                          <w:kern w:val="24"/>
                          <w:sz w:val="16"/>
                          <w:szCs w:val="16"/>
                        </w:rPr>
                        <w:t xml:space="preserve">&gt;F </w:t>
                      </w:r>
                      <w:r>
                        <w:rPr>
                          <w:rFonts w:ascii="Arial" w:hAnsi="Arial" w:cs="Arial"/>
                          <w:color w:val="000000"/>
                          <w:kern w:val="24"/>
                          <w:sz w:val="16"/>
                          <w:szCs w:val="16"/>
                        </w:rPr>
                        <w:t xml:space="preserve">     </w:t>
                      </w:r>
                      <w:r w:rsidRPr="00DF4B27">
                        <w:rPr>
                          <w:rFonts w:ascii="Arial" w:hAnsi="Arial" w:cs="Arial"/>
                          <w:color w:val="000000"/>
                          <w:kern w:val="24"/>
                          <w:sz w:val="16"/>
                          <w:szCs w:val="16"/>
                        </w:rPr>
                        <w:t>**</w:t>
                      </w:r>
                    </w:p>
                    <w:p w14:paraId="4F85EB36" w14:textId="74EB761F" w:rsidR="00DF4B27" w:rsidRPr="00DF4B27" w:rsidRDefault="00DF4B27" w:rsidP="00DF4B27">
                      <w:pPr>
                        <w:rPr>
                          <w:rFonts w:ascii="Arial" w:hAnsi="Arial" w:cs="Arial"/>
                          <w:color w:val="000000"/>
                          <w:kern w:val="24"/>
                          <w:sz w:val="16"/>
                          <w:szCs w:val="16"/>
                        </w:rPr>
                      </w:pPr>
                      <w:r w:rsidRPr="00DF4B27">
                        <w:rPr>
                          <w:rFonts w:ascii="Arial" w:hAnsi="Arial" w:cs="Arial"/>
                          <w:color w:val="000000"/>
                          <w:kern w:val="24"/>
                          <w:sz w:val="16"/>
                          <w:szCs w:val="16"/>
                        </w:rPr>
                        <w:t>LSD</w:t>
                      </w:r>
                      <w:r w:rsidRPr="00DF4B27">
                        <w:rPr>
                          <w:rFonts w:ascii="Arial" w:hAnsi="Arial" w:cs="Arial"/>
                          <w:color w:val="000000"/>
                          <w:kern w:val="24"/>
                          <w:position w:val="-6"/>
                          <w:sz w:val="16"/>
                          <w:szCs w:val="16"/>
                          <w:vertAlign w:val="subscript"/>
                        </w:rPr>
                        <w:t>0.05</w:t>
                      </w:r>
                      <w:r>
                        <w:rPr>
                          <w:rFonts w:ascii="Arial" w:hAnsi="Arial" w:cs="Arial"/>
                          <w:color w:val="000000"/>
                          <w:kern w:val="24"/>
                          <w:sz w:val="16"/>
                          <w:szCs w:val="16"/>
                        </w:rPr>
                        <w:t xml:space="preserve">   107.47</w:t>
                      </w:r>
                    </w:p>
                    <w:p w14:paraId="5F9D6403" w14:textId="70C3305F" w:rsidR="00DF4B27" w:rsidRPr="00DF4B27" w:rsidRDefault="00DF4B27" w:rsidP="00DF4B27">
                      <w:pPr>
                        <w:rPr>
                          <w:rFonts w:ascii="Arial" w:hAnsi="Arial" w:cs="Arial"/>
                          <w:color w:val="000000"/>
                          <w:kern w:val="24"/>
                          <w:sz w:val="16"/>
                          <w:szCs w:val="16"/>
                        </w:rPr>
                      </w:pPr>
                      <w:r w:rsidRPr="00DF4B27">
                        <w:rPr>
                          <w:rFonts w:ascii="Arial" w:hAnsi="Arial" w:cs="Arial"/>
                          <w:color w:val="000000"/>
                          <w:kern w:val="24"/>
                          <w:sz w:val="16"/>
                          <w:szCs w:val="16"/>
                        </w:rPr>
                        <w:t>CV%</w:t>
                      </w:r>
                      <w:r>
                        <w:rPr>
                          <w:rFonts w:ascii="Arial" w:hAnsi="Arial" w:cs="Arial"/>
                          <w:color w:val="000000"/>
                          <w:kern w:val="24"/>
                          <w:sz w:val="16"/>
                          <w:szCs w:val="16"/>
                        </w:rPr>
                        <w:t xml:space="preserve">      1.95</w:t>
                      </w:r>
                    </w:p>
                  </w:txbxContent>
                </v:textbox>
              </v:shape>
            </w:pict>
          </mc:Fallback>
        </mc:AlternateContent>
      </w:r>
      <w:r w:rsidR="00C13684" w:rsidRPr="006355D2">
        <w:rPr>
          <w:rFonts w:ascii="Arial" w:hAnsi="Arial" w:cs="Arial"/>
          <w:noProof/>
          <w:color w:val="000000" w:themeColor="text1"/>
        </w:rPr>
        <w:drawing>
          <wp:inline distT="0" distB="0" distL="0" distR="0" wp14:anchorId="28995DBE" wp14:editId="118406BB">
            <wp:extent cx="3562503" cy="2018665"/>
            <wp:effectExtent l="0" t="0" r="0" b="635"/>
            <wp:docPr id="152143124" name="Chart 1">
              <a:extLst xmlns:a="http://schemas.openxmlformats.org/drawingml/2006/main">
                <a:ext uri="{FF2B5EF4-FFF2-40B4-BE49-F238E27FC236}">
                  <a16:creationId xmlns:a16="http://schemas.microsoft.com/office/drawing/2014/main" id="{A35559F1-2ADB-AC36-D524-5A07AAE8E2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3895D6B" w14:textId="22D07200" w:rsidR="00C13684" w:rsidRDefault="00C13684" w:rsidP="00707275">
      <w:pPr>
        <w:spacing w:before="120" w:after="120"/>
        <w:ind w:left="990" w:hanging="990"/>
        <w:jc w:val="both"/>
        <w:rPr>
          <w:rFonts w:ascii="Arial" w:hAnsi="Arial" w:cs="Arial"/>
          <w:b/>
          <w:bCs/>
          <w:color w:val="000000" w:themeColor="text1"/>
        </w:rPr>
      </w:pPr>
      <w:r w:rsidRPr="006355D2">
        <w:rPr>
          <w:rFonts w:ascii="Arial" w:hAnsi="Arial" w:cs="Arial"/>
          <w:b/>
          <w:bCs/>
          <w:color w:val="000000" w:themeColor="text1"/>
        </w:rPr>
        <w:t>Figure 3. Mean values of yield (kg ha</w:t>
      </w:r>
      <w:r w:rsidRPr="00475E09">
        <w:rPr>
          <w:rFonts w:ascii="Arial" w:hAnsi="Arial" w:cs="Arial"/>
          <w:b/>
          <w:bCs/>
          <w:color w:val="000000" w:themeColor="text1"/>
          <w:vertAlign w:val="superscript"/>
        </w:rPr>
        <w:t>-1</w:t>
      </w:r>
      <w:r w:rsidRPr="006355D2">
        <w:rPr>
          <w:rFonts w:ascii="Arial" w:hAnsi="Arial" w:cs="Arial"/>
          <w:b/>
          <w:bCs/>
          <w:color w:val="000000" w:themeColor="text1"/>
        </w:rPr>
        <w:t>) as influenced by organic amendment and inorganic fertilizers from May to August, 2025.</w:t>
      </w:r>
    </w:p>
    <w:p w14:paraId="482F116A" w14:textId="5725D552" w:rsidR="009701C0" w:rsidRPr="00ED617B" w:rsidRDefault="009701C0" w:rsidP="009701C0">
      <w:pPr>
        <w:spacing w:before="120" w:after="120"/>
        <w:jc w:val="both"/>
        <w:rPr>
          <w:rFonts w:ascii="Arial" w:hAnsi="Arial" w:cs="Arial"/>
          <w:noProof/>
          <w:color w:val="000000" w:themeColor="text1"/>
          <w:sz w:val="16"/>
          <w:szCs w:val="16"/>
        </w:rPr>
      </w:pPr>
      <w:r w:rsidRPr="00ED617B">
        <w:rPr>
          <w:rFonts w:ascii="Arial" w:hAnsi="Arial" w:cs="Arial"/>
          <w:noProof/>
          <w:color w:val="000000" w:themeColor="text1"/>
          <w:sz w:val="16"/>
          <w:szCs w:val="16"/>
        </w:rPr>
        <w:t>T</w:t>
      </w:r>
      <w:r w:rsidRPr="00ED617B">
        <w:rPr>
          <w:rFonts w:ascii="Arial" w:hAnsi="Arial" w:cs="Arial"/>
          <w:noProof/>
          <w:color w:val="000000" w:themeColor="text1"/>
          <w:sz w:val="16"/>
          <w:szCs w:val="16"/>
          <w:vertAlign w:val="subscript"/>
        </w:rPr>
        <w:t>1</w:t>
      </w:r>
      <w:r w:rsidRPr="00ED617B">
        <w:rPr>
          <w:rFonts w:ascii="Arial" w:hAnsi="Arial" w:cs="Arial"/>
          <w:noProof/>
          <w:color w:val="000000" w:themeColor="text1"/>
          <w:sz w:val="16"/>
          <w:szCs w:val="16"/>
        </w:rPr>
        <w:t xml:space="preserve"> – (control), T</w:t>
      </w:r>
      <w:r w:rsidRPr="00ED617B">
        <w:rPr>
          <w:rFonts w:ascii="Arial" w:hAnsi="Arial" w:cs="Arial"/>
          <w:noProof/>
          <w:color w:val="000000" w:themeColor="text1"/>
          <w:sz w:val="16"/>
          <w:szCs w:val="16"/>
          <w:vertAlign w:val="subscript"/>
        </w:rPr>
        <w:t>2</w:t>
      </w:r>
      <w:r w:rsidRPr="00ED617B">
        <w:rPr>
          <w:rFonts w:ascii="Arial" w:hAnsi="Arial" w:cs="Arial"/>
          <w:noProof/>
          <w:color w:val="000000" w:themeColor="text1"/>
          <w:sz w:val="16"/>
          <w:szCs w:val="16"/>
        </w:rPr>
        <w:t xml:space="preserve"> – (Organic amendment (OA)), T</w:t>
      </w:r>
      <w:r w:rsidRPr="00ED617B">
        <w:rPr>
          <w:rFonts w:ascii="Arial" w:hAnsi="Arial" w:cs="Arial"/>
          <w:noProof/>
          <w:color w:val="000000" w:themeColor="text1"/>
          <w:sz w:val="16"/>
          <w:szCs w:val="16"/>
          <w:vertAlign w:val="subscript"/>
        </w:rPr>
        <w:t>3</w:t>
      </w:r>
      <w:r w:rsidRPr="00ED617B">
        <w:rPr>
          <w:rFonts w:ascii="Arial" w:hAnsi="Arial" w:cs="Arial"/>
          <w:noProof/>
          <w:color w:val="000000" w:themeColor="text1"/>
          <w:sz w:val="16"/>
          <w:szCs w:val="16"/>
        </w:rPr>
        <w:t xml:space="preserve"> – (100%NPK), T</w:t>
      </w:r>
      <w:r w:rsidRPr="00ED617B">
        <w:rPr>
          <w:rFonts w:ascii="Arial" w:hAnsi="Arial" w:cs="Arial"/>
          <w:noProof/>
          <w:color w:val="000000" w:themeColor="text1"/>
          <w:sz w:val="16"/>
          <w:szCs w:val="16"/>
          <w:vertAlign w:val="subscript"/>
        </w:rPr>
        <w:t>4</w:t>
      </w:r>
      <w:r w:rsidRPr="00ED617B">
        <w:rPr>
          <w:rFonts w:ascii="Arial" w:hAnsi="Arial" w:cs="Arial"/>
          <w:noProof/>
          <w:color w:val="000000" w:themeColor="text1"/>
          <w:sz w:val="16"/>
          <w:szCs w:val="16"/>
        </w:rPr>
        <w:t xml:space="preserve"> – (OA + 50% NPK), T</w:t>
      </w:r>
      <w:r w:rsidRPr="00ED617B">
        <w:rPr>
          <w:rFonts w:ascii="Arial" w:hAnsi="Arial" w:cs="Arial"/>
          <w:noProof/>
          <w:color w:val="000000" w:themeColor="text1"/>
          <w:sz w:val="16"/>
          <w:szCs w:val="16"/>
          <w:vertAlign w:val="subscript"/>
        </w:rPr>
        <w:t>5</w:t>
      </w:r>
      <w:r w:rsidRPr="00ED617B">
        <w:rPr>
          <w:rFonts w:ascii="Arial" w:hAnsi="Arial" w:cs="Arial"/>
          <w:noProof/>
          <w:color w:val="000000" w:themeColor="text1"/>
          <w:sz w:val="16"/>
          <w:szCs w:val="16"/>
        </w:rPr>
        <w:t xml:space="preserve"> – (OA + 75% NPK), T</w:t>
      </w:r>
      <w:r w:rsidRPr="00ED617B">
        <w:rPr>
          <w:rFonts w:ascii="Arial" w:hAnsi="Arial" w:cs="Arial"/>
          <w:noProof/>
          <w:color w:val="000000" w:themeColor="text1"/>
          <w:sz w:val="16"/>
          <w:szCs w:val="16"/>
          <w:vertAlign w:val="subscript"/>
        </w:rPr>
        <w:t>6</w:t>
      </w:r>
      <w:r w:rsidRPr="00ED617B">
        <w:rPr>
          <w:rFonts w:ascii="Arial" w:hAnsi="Arial" w:cs="Arial"/>
          <w:noProof/>
          <w:color w:val="000000" w:themeColor="text1"/>
          <w:sz w:val="16"/>
          <w:szCs w:val="16"/>
        </w:rPr>
        <w:t xml:space="preserve"> – (OA + 100% NPK)</w:t>
      </w:r>
      <w:r w:rsidR="00ED617B" w:rsidRPr="00ED617B">
        <w:rPr>
          <w:rFonts w:ascii="Arial" w:hAnsi="Arial" w:cs="Arial"/>
          <w:noProof/>
          <w:color w:val="000000" w:themeColor="text1"/>
          <w:sz w:val="16"/>
          <w:szCs w:val="16"/>
        </w:rPr>
        <w:t xml:space="preserve">, </w:t>
      </w:r>
      <w:r w:rsidR="00ED617B" w:rsidRPr="00ED617B">
        <w:rPr>
          <w:rFonts w:ascii="Arial" w:hAnsi="Arial" w:cs="Arial"/>
          <w:bCs/>
          <w:noProof/>
          <w:color w:val="000000" w:themeColor="text1"/>
          <w:sz w:val="16"/>
          <w:szCs w:val="16"/>
        </w:rPr>
        <w:t>** Significant difference at 1% level</w:t>
      </w:r>
    </w:p>
    <w:p w14:paraId="622D278D" w14:textId="39CC3E49" w:rsidR="00C13684" w:rsidRPr="00F42131" w:rsidRDefault="00F42131" w:rsidP="00707275">
      <w:pPr>
        <w:spacing w:before="120" w:after="120"/>
        <w:ind w:left="990" w:hanging="990"/>
        <w:jc w:val="both"/>
        <w:rPr>
          <w:rFonts w:ascii="Arial" w:hAnsi="Arial" w:cs="Arial"/>
          <w:b/>
          <w:bCs/>
          <w:color w:val="000000" w:themeColor="text1"/>
        </w:rPr>
      </w:pPr>
      <w:r w:rsidRPr="00F42131">
        <w:rPr>
          <w:rFonts w:ascii="Arial" w:hAnsi="Arial" w:cs="Arial"/>
          <w:b/>
          <w:bCs/>
          <w:color w:val="000000" w:themeColor="text1"/>
        </w:rPr>
        <w:t xml:space="preserve">4. </w:t>
      </w:r>
      <w:r w:rsidR="00C13684" w:rsidRPr="00F42131">
        <w:rPr>
          <w:rFonts w:ascii="Arial" w:hAnsi="Arial" w:cs="Arial"/>
          <w:b/>
          <w:bCs/>
          <w:color w:val="000000" w:themeColor="text1"/>
        </w:rPr>
        <w:t>Conclusion</w:t>
      </w:r>
    </w:p>
    <w:p w14:paraId="4B72798B" w14:textId="10B027EE" w:rsidR="005E14CA" w:rsidRDefault="005E14CA" w:rsidP="005E14CA">
      <w:pPr>
        <w:spacing w:before="120" w:after="120"/>
        <w:ind w:firstLine="720"/>
        <w:jc w:val="both"/>
        <w:rPr>
          <w:rFonts w:ascii="Arial" w:hAnsi="Arial" w:cs="Arial"/>
          <w:color w:val="000000" w:themeColor="text1"/>
        </w:rPr>
      </w:pPr>
      <w:r w:rsidRPr="005E14CA">
        <w:rPr>
          <w:rFonts w:ascii="Arial" w:hAnsi="Arial" w:cs="Arial"/>
          <w:color w:val="000000" w:themeColor="text1"/>
        </w:rPr>
        <w:t>This study shows that integrating maize straw as an organic amendment (OA) with inorganic fertilizers improves maize productivity, but the best strategy depends on the growing season.</w:t>
      </w:r>
      <w:r>
        <w:rPr>
          <w:rFonts w:ascii="Arial" w:hAnsi="Arial" w:cs="Arial"/>
          <w:color w:val="000000" w:themeColor="text1"/>
        </w:rPr>
        <w:t xml:space="preserve"> </w:t>
      </w:r>
      <w:r w:rsidRPr="005E14CA">
        <w:rPr>
          <w:rFonts w:ascii="Arial" w:hAnsi="Arial" w:cs="Arial"/>
          <w:color w:val="000000" w:themeColor="text1"/>
        </w:rPr>
        <w:t>In the post-monsoon season, the highest grain yields were achieved with T</w:t>
      </w:r>
      <w:r w:rsidRPr="005E14CA">
        <w:rPr>
          <w:rFonts w:ascii="Cambria Math" w:hAnsi="Cambria Math" w:cs="Cambria Math"/>
          <w:color w:val="000000" w:themeColor="text1"/>
        </w:rPr>
        <w:t>₃</w:t>
      </w:r>
      <w:r w:rsidRPr="005E14CA">
        <w:rPr>
          <w:rFonts w:ascii="Arial" w:hAnsi="Arial" w:cs="Arial"/>
          <w:color w:val="000000" w:themeColor="text1"/>
        </w:rPr>
        <w:t xml:space="preserve"> (100% NPK: 6752.99 kg ha</w:t>
      </w:r>
      <w:r w:rsidRPr="005E14CA">
        <w:rPr>
          <w:rFonts w:ascii="Cambria Math" w:hAnsi="Cambria Math" w:cs="Cambria Math"/>
          <w:color w:val="000000" w:themeColor="text1"/>
        </w:rPr>
        <w:t>⁻</w:t>
      </w:r>
      <w:r w:rsidRPr="005E14CA">
        <w:rPr>
          <w:rFonts w:ascii="Arial" w:hAnsi="Arial" w:cs="Arial"/>
          <w:color w:val="000000" w:themeColor="text1"/>
        </w:rPr>
        <w:t>¹) and T</w:t>
      </w:r>
      <w:r w:rsidRPr="005E14CA">
        <w:rPr>
          <w:rFonts w:ascii="Cambria Math" w:hAnsi="Cambria Math" w:cs="Cambria Math"/>
          <w:color w:val="000000" w:themeColor="text1"/>
        </w:rPr>
        <w:t>₆</w:t>
      </w:r>
      <w:r w:rsidRPr="005E14CA">
        <w:rPr>
          <w:rFonts w:ascii="Arial" w:hAnsi="Arial" w:cs="Arial"/>
          <w:color w:val="000000" w:themeColor="text1"/>
        </w:rPr>
        <w:t xml:space="preserve"> (OA + 100% NPK: 6730.93 kg ha</w:t>
      </w:r>
      <w:r w:rsidRPr="005E14CA">
        <w:rPr>
          <w:rFonts w:ascii="Cambria Math" w:hAnsi="Cambria Math" w:cs="Cambria Math"/>
          <w:color w:val="000000" w:themeColor="text1"/>
        </w:rPr>
        <w:t>⁻</w:t>
      </w:r>
      <w:r w:rsidRPr="005E14CA">
        <w:rPr>
          <w:rFonts w:ascii="Arial" w:hAnsi="Arial" w:cs="Arial"/>
          <w:color w:val="000000" w:themeColor="text1"/>
        </w:rPr>
        <w:t>¹), with no significant difference. This indicates that full inorganic fertilization is sufficient under favorable, dry conditions.</w:t>
      </w:r>
      <w:r>
        <w:rPr>
          <w:rFonts w:ascii="Arial" w:hAnsi="Arial" w:cs="Arial"/>
          <w:color w:val="000000" w:themeColor="text1"/>
        </w:rPr>
        <w:t xml:space="preserve"> </w:t>
      </w:r>
      <w:r w:rsidRPr="005E14CA">
        <w:rPr>
          <w:rFonts w:ascii="Arial" w:hAnsi="Arial" w:cs="Arial"/>
          <w:color w:val="000000" w:themeColor="text1"/>
        </w:rPr>
        <w:t>In the monsoon season, T</w:t>
      </w:r>
      <w:r w:rsidRPr="005E14CA">
        <w:rPr>
          <w:rFonts w:ascii="Cambria Math" w:hAnsi="Cambria Math" w:cs="Cambria Math"/>
          <w:color w:val="000000" w:themeColor="text1"/>
        </w:rPr>
        <w:t>₆</w:t>
      </w:r>
      <w:r w:rsidRPr="005E14CA">
        <w:rPr>
          <w:rFonts w:ascii="Arial" w:hAnsi="Arial" w:cs="Arial"/>
          <w:color w:val="000000" w:themeColor="text1"/>
        </w:rPr>
        <w:t xml:space="preserve"> gave the highest yield (4707.86 kg ha</w:t>
      </w:r>
      <w:r w:rsidRPr="005E14CA">
        <w:rPr>
          <w:rFonts w:ascii="Cambria Math" w:hAnsi="Cambria Math" w:cs="Cambria Math"/>
          <w:color w:val="000000" w:themeColor="text1"/>
        </w:rPr>
        <w:t>⁻</w:t>
      </w:r>
      <w:r w:rsidRPr="005E14CA">
        <w:rPr>
          <w:rFonts w:ascii="Arial" w:hAnsi="Arial" w:cs="Arial"/>
          <w:color w:val="000000" w:themeColor="text1"/>
        </w:rPr>
        <w:t>¹), significantly outperforming T</w:t>
      </w:r>
      <w:r w:rsidRPr="005E14CA">
        <w:rPr>
          <w:rFonts w:ascii="Cambria Math" w:hAnsi="Cambria Math" w:cs="Cambria Math"/>
          <w:color w:val="000000" w:themeColor="text1"/>
        </w:rPr>
        <w:t>₃</w:t>
      </w:r>
      <w:r w:rsidRPr="005E14CA">
        <w:rPr>
          <w:rFonts w:ascii="Arial" w:hAnsi="Arial" w:cs="Arial"/>
          <w:color w:val="000000" w:themeColor="text1"/>
        </w:rPr>
        <w:t xml:space="preserve"> (4473.08 kg ha</w:t>
      </w:r>
      <w:r w:rsidRPr="005E14CA">
        <w:rPr>
          <w:rFonts w:ascii="Cambria Math" w:hAnsi="Cambria Math" w:cs="Cambria Math"/>
          <w:color w:val="000000" w:themeColor="text1"/>
        </w:rPr>
        <w:t>⁻</w:t>
      </w:r>
      <w:r w:rsidRPr="005E14CA">
        <w:rPr>
          <w:rFonts w:ascii="Arial" w:hAnsi="Arial" w:cs="Arial"/>
          <w:color w:val="000000" w:themeColor="text1"/>
        </w:rPr>
        <w:t>¹). However, T</w:t>
      </w:r>
      <w:r w:rsidRPr="005E14CA">
        <w:rPr>
          <w:rFonts w:ascii="Cambria Math" w:hAnsi="Cambria Math" w:cs="Cambria Math"/>
          <w:color w:val="000000" w:themeColor="text1"/>
        </w:rPr>
        <w:t>₅</w:t>
      </w:r>
      <w:r w:rsidRPr="005E14CA">
        <w:rPr>
          <w:rFonts w:ascii="Arial" w:hAnsi="Arial" w:cs="Arial"/>
          <w:color w:val="000000" w:themeColor="text1"/>
        </w:rPr>
        <w:t xml:space="preserve"> (OA + 75% NPK) produced a similar yield (4615.17 kg ha</w:t>
      </w:r>
      <w:r w:rsidRPr="005E14CA">
        <w:rPr>
          <w:rFonts w:ascii="Cambria Math" w:hAnsi="Cambria Math" w:cs="Cambria Math"/>
          <w:color w:val="000000" w:themeColor="text1"/>
        </w:rPr>
        <w:t>⁻</w:t>
      </w:r>
      <w:r w:rsidRPr="005E14CA">
        <w:rPr>
          <w:rFonts w:ascii="Arial" w:hAnsi="Arial" w:cs="Arial"/>
          <w:color w:val="000000" w:themeColor="text1"/>
        </w:rPr>
        <w:t>¹) at lower input cost, with no significant difference from T</w:t>
      </w:r>
      <w:r w:rsidRPr="005E14CA">
        <w:rPr>
          <w:rFonts w:ascii="Cambria Math" w:hAnsi="Cambria Math" w:cs="Cambria Math"/>
          <w:color w:val="000000" w:themeColor="text1"/>
        </w:rPr>
        <w:t>₆</w:t>
      </w:r>
      <w:r w:rsidRPr="005E14CA">
        <w:rPr>
          <w:rFonts w:ascii="Arial" w:hAnsi="Arial" w:cs="Arial"/>
          <w:color w:val="000000" w:themeColor="text1"/>
        </w:rPr>
        <w:t>.</w:t>
      </w:r>
      <w:r>
        <w:rPr>
          <w:rFonts w:ascii="Arial" w:hAnsi="Arial" w:cs="Arial"/>
          <w:color w:val="000000" w:themeColor="text1"/>
        </w:rPr>
        <w:t xml:space="preserve"> </w:t>
      </w:r>
      <w:r w:rsidRPr="005E14CA">
        <w:rPr>
          <w:rFonts w:ascii="Arial" w:hAnsi="Arial" w:cs="Arial"/>
          <w:color w:val="000000" w:themeColor="text1"/>
        </w:rPr>
        <w:t>These results show that OA reduces nutrient leaching, especially under high-rainfall conditions. For monsoon maize, T</w:t>
      </w:r>
      <w:r w:rsidRPr="005E14CA">
        <w:rPr>
          <w:rFonts w:ascii="Cambria Math" w:hAnsi="Cambria Math" w:cs="Cambria Math"/>
          <w:color w:val="000000" w:themeColor="text1"/>
        </w:rPr>
        <w:t>₅</w:t>
      </w:r>
      <w:r w:rsidRPr="005E14CA">
        <w:rPr>
          <w:rFonts w:ascii="Arial" w:hAnsi="Arial" w:cs="Arial"/>
          <w:color w:val="000000" w:themeColor="text1"/>
        </w:rPr>
        <w:t xml:space="preserve"> is recommended as a sustainable and cost-effective option, combining high yield with 25% less chemical fertilizer.</w:t>
      </w:r>
      <w:r>
        <w:rPr>
          <w:rFonts w:ascii="Arial" w:hAnsi="Arial" w:cs="Arial"/>
          <w:color w:val="000000" w:themeColor="text1"/>
        </w:rPr>
        <w:t xml:space="preserve"> </w:t>
      </w:r>
      <w:r w:rsidRPr="005E14CA">
        <w:rPr>
          <w:rFonts w:ascii="Arial" w:hAnsi="Arial" w:cs="Arial"/>
          <w:color w:val="000000" w:themeColor="text1"/>
        </w:rPr>
        <w:t>Thus, while inorganic fertilizers alone are effective in dry seasons, integrating them with organic amendments like maize straw enhances productivity and sustainability in wetter environments, supporting long-term soil health and efficient resource use.</w:t>
      </w:r>
    </w:p>
    <w:p w14:paraId="596C4CF1" w14:textId="77777777" w:rsidR="005F5F3C" w:rsidRPr="005F5F3C" w:rsidRDefault="005F5F3C" w:rsidP="005F5F3C">
      <w:pPr>
        <w:rPr>
          <w:highlight w:val="yellow"/>
        </w:rPr>
      </w:pPr>
      <w:r w:rsidRPr="005F5F3C">
        <w:rPr>
          <w:highlight w:val="yellow"/>
        </w:rPr>
        <w:t>Disclaimer (Artificial intelligence)</w:t>
      </w:r>
    </w:p>
    <w:p w14:paraId="2AD0B15D" w14:textId="77777777" w:rsidR="005F5F3C" w:rsidRPr="005F5F3C" w:rsidRDefault="005F5F3C" w:rsidP="005F5F3C">
      <w:pPr>
        <w:rPr>
          <w:highlight w:val="yellow"/>
        </w:rPr>
      </w:pPr>
      <w:r w:rsidRPr="005F5F3C">
        <w:rPr>
          <w:highlight w:val="yellow"/>
        </w:rPr>
        <w:t xml:space="preserve">Option 1: </w:t>
      </w:r>
    </w:p>
    <w:p w14:paraId="23310146" w14:textId="77777777" w:rsidR="005F5F3C" w:rsidRPr="005F5F3C" w:rsidRDefault="005F5F3C" w:rsidP="005F5F3C">
      <w:pPr>
        <w:rPr>
          <w:highlight w:val="yellow"/>
        </w:rPr>
      </w:pPr>
      <w:r w:rsidRPr="005F5F3C">
        <w:rPr>
          <w:highlight w:val="yellow"/>
        </w:rPr>
        <w:t xml:space="preserve">Author(s) hereby </w:t>
      </w:r>
      <w:proofErr w:type="gramStart"/>
      <w:r w:rsidRPr="005F5F3C">
        <w:rPr>
          <w:highlight w:val="yellow"/>
        </w:rPr>
        <w:t>declare</w:t>
      </w:r>
      <w:proofErr w:type="gramEnd"/>
      <w:r w:rsidRPr="005F5F3C">
        <w:rPr>
          <w:highlight w:val="yellow"/>
        </w:rPr>
        <w:t xml:space="preserve"> that NO generative AI technologies such as Large Language Models (ChatGPT, COPILOT, etc.) and text-to-image generators have been used during the writing or editing of this manuscript. </w:t>
      </w:r>
    </w:p>
    <w:p w14:paraId="2A0A8EA8" w14:textId="77777777" w:rsidR="005F5F3C" w:rsidRPr="005F5F3C" w:rsidRDefault="005F5F3C" w:rsidP="005F5F3C">
      <w:pPr>
        <w:rPr>
          <w:highlight w:val="yellow"/>
        </w:rPr>
      </w:pPr>
      <w:r w:rsidRPr="005F5F3C">
        <w:rPr>
          <w:highlight w:val="yellow"/>
        </w:rPr>
        <w:t xml:space="preserve">Option 2: </w:t>
      </w:r>
    </w:p>
    <w:p w14:paraId="720F8DA8" w14:textId="77777777" w:rsidR="005F5F3C" w:rsidRPr="005F5F3C" w:rsidRDefault="005F5F3C" w:rsidP="005F5F3C">
      <w:pPr>
        <w:rPr>
          <w:highlight w:val="yellow"/>
        </w:rPr>
      </w:pPr>
      <w:r w:rsidRPr="005F5F3C">
        <w:rPr>
          <w:highlight w:val="yellow"/>
        </w:rPr>
        <w:t xml:space="preserve">Author(s) hereby </w:t>
      </w:r>
      <w:proofErr w:type="gramStart"/>
      <w:r w:rsidRPr="005F5F3C">
        <w:rPr>
          <w:highlight w:val="yellow"/>
        </w:rPr>
        <w:t>declare</w:t>
      </w:r>
      <w:proofErr w:type="gramEnd"/>
      <w:r w:rsidRPr="005F5F3C">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9BA62EF" w14:textId="77777777" w:rsidR="005F5F3C" w:rsidRPr="005F5F3C" w:rsidRDefault="005F5F3C" w:rsidP="005F5F3C">
      <w:pPr>
        <w:rPr>
          <w:highlight w:val="yellow"/>
        </w:rPr>
      </w:pPr>
      <w:r w:rsidRPr="005F5F3C">
        <w:rPr>
          <w:highlight w:val="yellow"/>
        </w:rPr>
        <w:t>Details of the AI usage are given below:</w:t>
      </w:r>
    </w:p>
    <w:p w14:paraId="5E72633C" w14:textId="77777777" w:rsidR="005F5F3C" w:rsidRPr="005F5F3C" w:rsidRDefault="005F5F3C" w:rsidP="005F5F3C">
      <w:pPr>
        <w:rPr>
          <w:highlight w:val="yellow"/>
        </w:rPr>
      </w:pPr>
      <w:r w:rsidRPr="005F5F3C">
        <w:rPr>
          <w:highlight w:val="yellow"/>
        </w:rPr>
        <w:t>1.</w:t>
      </w:r>
    </w:p>
    <w:p w14:paraId="6555CAAA" w14:textId="77777777" w:rsidR="005F5F3C" w:rsidRPr="005F5F3C" w:rsidRDefault="005F5F3C" w:rsidP="005F5F3C">
      <w:pPr>
        <w:rPr>
          <w:highlight w:val="yellow"/>
        </w:rPr>
      </w:pPr>
      <w:r w:rsidRPr="005F5F3C">
        <w:rPr>
          <w:highlight w:val="yellow"/>
        </w:rPr>
        <w:t>2.</w:t>
      </w:r>
    </w:p>
    <w:p w14:paraId="274CBBBE" w14:textId="77777777" w:rsidR="005F5F3C" w:rsidRPr="0053103C" w:rsidRDefault="005F5F3C" w:rsidP="005F5F3C">
      <w:r w:rsidRPr="005F5F3C">
        <w:rPr>
          <w:highlight w:val="yellow"/>
        </w:rPr>
        <w:t>3.</w:t>
      </w:r>
    </w:p>
    <w:p w14:paraId="76CAB41A" w14:textId="77777777" w:rsidR="005F5F3C" w:rsidRDefault="005F5F3C" w:rsidP="005E14CA">
      <w:pPr>
        <w:spacing w:before="120" w:after="120"/>
        <w:ind w:firstLine="720"/>
        <w:jc w:val="both"/>
        <w:rPr>
          <w:rFonts w:ascii="Arial" w:hAnsi="Arial" w:cs="Arial"/>
          <w:color w:val="000000" w:themeColor="text1"/>
        </w:rPr>
      </w:pPr>
    </w:p>
    <w:p w14:paraId="0996DB12" w14:textId="31F5E624" w:rsidR="00C13684" w:rsidRPr="00F42131" w:rsidRDefault="00F42131" w:rsidP="00707275">
      <w:pPr>
        <w:spacing w:before="120" w:after="120"/>
        <w:ind w:left="990" w:hanging="990"/>
        <w:jc w:val="both"/>
        <w:rPr>
          <w:rFonts w:ascii="Arial" w:hAnsi="Arial" w:cs="Arial"/>
          <w:b/>
          <w:bCs/>
          <w:color w:val="000000" w:themeColor="text1"/>
        </w:rPr>
      </w:pPr>
      <w:r w:rsidRPr="00F42131">
        <w:rPr>
          <w:rFonts w:ascii="Arial" w:hAnsi="Arial" w:cs="Arial"/>
          <w:b/>
          <w:bCs/>
          <w:color w:val="000000" w:themeColor="text1"/>
        </w:rPr>
        <w:t xml:space="preserve">5. </w:t>
      </w:r>
      <w:r w:rsidR="00C13684" w:rsidRPr="00F42131">
        <w:rPr>
          <w:rFonts w:ascii="Arial" w:hAnsi="Arial" w:cs="Arial"/>
          <w:b/>
          <w:bCs/>
          <w:color w:val="000000" w:themeColor="text1"/>
        </w:rPr>
        <w:t>References</w:t>
      </w:r>
    </w:p>
    <w:p w14:paraId="7980CDB4" w14:textId="77777777" w:rsidR="00AD3342" w:rsidRPr="00A83BD4" w:rsidRDefault="00AD3342" w:rsidP="00AD3342">
      <w:pPr>
        <w:spacing w:line="312" w:lineRule="auto"/>
        <w:ind w:left="720" w:right="15" w:hanging="720"/>
        <w:jc w:val="both"/>
        <w:rPr>
          <w:lang w:val="en-GB"/>
        </w:rPr>
      </w:pPr>
      <w:r w:rsidRPr="00A83BD4">
        <w:rPr>
          <w:lang w:val="en-IN"/>
        </w:rPr>
        <w:t xml:space="preserve">Afshana Doulat, Md. Shahidul Haque Bir, Quazi </w:t>
      </w:r>
      <w:proofErr w:type="spellStart"/>
      <w:r w:rsidRPr="00A83BD4">
        <w:rPr>
          <w:lang w:val="en-IN"/>
        </w:rPr>
        <w:t>Mostaque</w:t>
      </w:r>
      <w:proofErr w:type="spellEnd"/>
      <w:r w:rsidRPr="00A83BD4">
        <w:rPr>
          <w:lang w:val="en-IN"/>
        </w:rPr>
        <w:t xml:space="preserve"> Mahmud, Khandaker Nafiz Bayazid, Sabrina Jahan Rimy, Sourav Sarker, Rafat Nur Abdullah Khan &amp; </w:t>
      </w:r>
      <w:proofErr w:type="spellStart"/>
      <w:r w:rsidRPr="00A83BD4">
        <w:rPr>
          <w:lang w:val="en-IN"/>
        </w:rPr>
        <w:t>Masoum</w:t>
      </w:r>
      <w:proofErr w:type="spellEnd"/>
      <w:r w:rsidRPr="00A83BD4">
        <w:rPr>
          <w:lang w:val="en-IN"/>
        </w:rPr>
        <w:t xml:space="preserve"> Bhuiyan. (2025). Effect of Organic Amendments in Hybrid Maize under Soil Salinity Condition. </w:t>
      </w:r>
      <w:r w:rsidRPr="00A83BD4">
        <w:rPr>
          <w:i/>
          <w:iCs/>
          <w:lang w:val="en-IN"/>
        </w:rPr>
        <w:t>Asian Journal of Research in Crop Science</w:t>
      </w:r>
      <w:r w:rsidRPr="00A83BD4">
        <w:rPr>
          <w:lang w:val="en-IN"/>
        </w:rPr>
        <w:t>, </w:t>
      </w:r>
      <w:r w:rsidRPr="00A83BD4">
        <w:rPr>
          <w:i/>
          <w:iCs/>
          <w:lang w:val="en-IN"/>
        </w:rPr>
        <w:t>10</w:t>
      </w:r>
      <w:r w:rsidRPr="00A83BD4">
        <w:rPr>
          <w:lang w:val="en-IN"/>
        </w:rPr>
        <w:t xml:space="preserve">(3), 155–165. </w:t>
      </w:r>
      <w:hyperlink r:id="rId17" w:history="1">
        <w:r w:rsidRPr="00A83BD4">
          <w:rPr>
            <w:color w:val="0563C1"/>
            <w:u w:val="single"/>
            <w:lang w:val="en-IN"/>
          </w:rPr>
          <w:t>https://doi.org/10.9734/ajrcs/2025/v10i3382</w:t>
        </w:r>
      </w:hyperlink>
      <w:r w:rsidRPr="00A83BD4">
        <w:rPr>
          <w:lang w:val="en-IN"/>
        </w:rPr>
        <w:t xml:space="preserve"> </w:t>
      </w:r>
    </w:p>
    <w:p w14:paraId="5D606302" w14:textId="77777777" w:rsidR="00AD3342" w:rsidRPr="006355D2" w:rsidRDefault="00AD3342" w:rsidP="009E4FEF">
      <w:pPr>
        <w:spacing w:line="312" w:lineRule="auto"/>
        <w:ind w:left="720" w:right="15" w:hanging="720"/>
        <w:jc w:val="both"/>
        <w:rPr>
          <w:rFonts w:ascii="Arial" w:hAnsi="Arial" w:cs="Arial"/>
          <w:color w:val="000000" w:themeColor="text1"/>
        </w:rPr>
      </w:pPr>
      <w:r w:rsidRPr="006355D2">
        <w:rPr>
          <w:rFonts w:ascii="Arial" w:hAnsi="Arial" w:cs="Arial"/>
          <w:color w:val="000000" w:themeColor="text1"/>
        </w:rPr>
        <w:t>Ahmad, N., Hassan, F. U., &amp; Belford, R. K. (2009). Effects of soil compaction in the sub-humid cropping environment in Pakistan on uptake of NPK and grain yield in wheat (Triticum aestivum): II: Alleviation. </w:t>
      </w:r>
      <w:r w:rsidRPr="006355D2">
        <w:rPr>
          <w:rFonts w:ascii="Arial" w:hAnsi="Arial" w:cs="Arial"/>
          <w:i/>
          <w:iCs/>
          <w:color w:val="000000" w:themeColor="text1"/>
        </w:rPr>
        <w:t>Field Crops Research</w:t>
      </w:r>
      <w:r w:rsidRPr="006355D2">
        <w:rPr>
          <w:rFonts w:ascii="Arial" w:hAnsi="Arial" w:cs="Arial"/>
          <w:color w:val="000000" w:themeColor="text1"/>
        </w:rPr>
        <w:t>, </w:t>
      </w:r>
      <w:r w:rsidRPr="006355D2">
        <w:rPr>
          <w:rFonts w:ascii="Arial" w:hAnsi="Arial" w:cs="Arial"/>
          <w:i/>
          <w:iCs/>
          <w:color w:val="000000" w:themeColor="text1"/>
        </w:rPr>
        <w:t>110</w:t>
      </w:r>
      <w:r w:rsidRPr="006355D2">
        <w:rPr>
          <w:rFonts w:ascii="Arial" w:hAnsi="Arial" w:cs="Arial"/>
          <w:color w:val="000000" w:themeColor="text1"/>
        </w:rPr>
        <w:t>(1), 61-68.</w:t>
      </w:r>
    </w:p>
    <w:p w14:paraId="55C31DDD" w14:textId="77777777" w:rsidR="00AD3342" w:rsidRPr="006355D2" w:rsidRDefault="00AD3342" w:rsidP="009E4FEF">
      <w:pPr>
        <w:spacing w:line="312" w:lineRule="auto"/>
        <w:ind w:left="720" w:right="15" w:hanging="720"/>
        <w:jc w:val="both"/>
        <w:rPr>
          <w:rFonts w:ascii="Arial" w:hAnsi="Arial" w:cs="Arial"/>
          <w:color w:val="000000" w:themeColor="text1"/>
        </w:rPr>
      </w:pPr>
      <w:r w:rsidRPr="006355D2">
        <w:rPr>
          <w:rFonts w:ascii="Arial" w:hAnsi="Arial" w:cs="Arial"/>
          <w:color w:val="000000" w:themeColor="text1"/>
        </w:rPr>
        <w:t xml:space="preserve">Ávila, M. R., Braccini, A. D. L., </w:t>
      </w:r>
      <w:proofErr w:type="spellStart"/>
      <w:r w:rsidRPr="006355D2">
        <w:rPr>
          <w:rFonts w:ascii="Arial" w:hAnsi="Arial" w:cs="Arial"/>
          <w:color w:val="000000" w:themeColor="text1"/>
        </w:rPr>
        <w:t>Scapim</w:t>
      </w:r>
      <w:proofErr w:type="spellEnd"/>
      <w:r w:rsidRPr="006355D2">
        <w:rPr>
          <w:rFonts w:ascii="Arial" w:hAnsi="Arial" w:cs="Arial"/>
          <w:color w:val="000000" w:themeColor="text1"/>
        </w:rPr>
        <w:t xml:space="preserve">, C. A., Albrecht, L. P., Tonin, T. A., &amp; </w:t>
      </w:r>
      <w:proofErr w:type="spellStart"/>
      <w:r w:rsidRPr="006355D2">
        <w:rPr>
          <w:rFonts w:ascii="Arial" w:hAnsi="Arial" w:cs="Arial"/>
          <w:color w:val="000000" w:themeColor="text1"/>
        </w:rPr>
        <w:t>Stülp</w:t>
      </w:r>
      <w:proofErr w:type="spellEnd"/>
      <w:r w:rsidRPr="006355D2">
        <w:rPr>
          <w:rFonts w:ascii="Arial" w:hAnsi="Arial" w:cs="Arial"/>
          <w:color w:val="000000" w:themeColor="text1"/>
        </w:rPr>
        <w:t xml:space="preserve">, M. (2008). </w:t>
      </w:r>
      <w:proofErr w:type="spellStart"/>
      <w:r w:rsidRPr="006355D2">
        <w:rPr>
          <w:rFonts w:ascii="Arial" w:hAnsi="Arial" w:cs="Arial"/>
          <w:color w:val="000000" w:themeColor="text1"/>
        </w:rPr>
        <w:t>Aplicação</w:t>
      </w:r>
      <w:proofErr w:type="spellEnd"/>
      <w:r w:rsidRPr="006355D2">
        <w:rPr>
          <w:rFonts w:ascii="Arial" w:hAnsi="Arial" w:cs="Arial"/>
          <w:color w:val="000000" w:themeColor="text1"/>
        </w:rPr>
        <w:t xml:space="preserve"> de </w:t>
      </w:r>
      <w:proofErr w:type="spellStart"/>
      <w:r w:rsidRPr="006355D2">
        <w:rPr>
          <w:rFonts w:ascii="Arial" w:hAnsi="Arial" w:cs="Arial"/>
          <w:color w:val="000000" w:themeColor="text1"/>
        </w:rPr>
        <w:t>biorregulador</w:t>
      </w:r>
      <w:proofErr w:type="spellEnd"/>
      <w:r w:rsidRPr="006355D2">
        <w:rPr>
          <w:rFonts w:ascii="Arial" w:hAnsi="Arial" w:cs="Arial"/>
          <w:color w:val="000000" w:themeColor="text1"/>
        </w:rPr>
        <w:t xml:space="preserve">, </w:t>
      </w:r>
      <w:proofErr w:type="spellStart"/>
      <w:r w:rsidRPr="006355D2">
        <w:rPr>
          <w:rFonts w:ascii="Arial" w:hAnsi="Arial" w:cs="Arial"/>
          <w:color w:val="000000" w:themeColor="text1"/>
        </w:rPr>
        <w:t>desempenho</w:t>
      </w:r>
      <w:proofErr w:type="spellEnd"/>
      <w:r w:rsidRPr="006355D2">
        <w:rPr>
          <w:rFonts w:ascii="Arial" w:hAnsi="Arial" w:cs="Arial"/>
          <w:color w:val="000000" w:themeColor="text1"/>
        </w:rPr>
        <w:t xml:space="preserve"> </w:t>
      </w:r>
      <w:proofErr w:type="spellStart"/>
      <w:r w:rsidRPr="006355D2">
        <w:rPr>
          <w:rFonts w:ascii="Arial" w:hAnsi="Arial" w:cs="Arial"/>
          <w:color w:val="000000" w:themeColor="text1"/>
        </w:rPr>
        <w:t>agronômico</w:t>
      </w:r>
      <w:proofErr w:type="spellEnd"/>
      <w:r w:rsidRPr="006355D2">
        <w:rPr>
          <w:rFonts w:ascii="Arial" w:hAnsi="Arial" w:cs="Arial"/>
          <w:color w:val="000000" w:themeColor="text1"/>
        </w:rPr>
        <w:t xml:space="preserve"> e </w:t>
      </w:r>
      <w:proofErr w:type="spellStart"/>
      <w:r w:rsidRPr="006355D2">
        <w:rPr>
          <w:rFonts w:ascii="Arial" w:hAnsi="Arial" w:cs="Arial"/>
          <w:color w:val="000000" w:themeColor="text1"/>
        </w:rPr>
        <w:t>qualidade</w:t>
      </w:r>
      <w:proofErr w:type="spellEnd"/>
      <w:r w:rsidRPr="006355D2">
        <w:rPr>
          <w:rFonts w:ascii="Arial" w:hAnsi="Arial" w:cs="Arial"/>
          <w:color w:val="000000" w:themeColor="text1"/>
        </w:rPr>
        <w:t xml:space="preserve"> de </w:t>
      </w:r>
      <w:proofErr w:type="spellStart"/>
      <w:r w:rsidRPr="006355D2">
        <w:rPr>
          <w:rFonts w:ascii="Arial" w:hAnsi="Arial" w:cs="Arial"/>
          <w:color w:val="000000" w:themeColor="text1"/>
        </w:rPr>
        <w:t>sementes</w:t>
      </w:r>
      <w:proofErr w:type="spellEnd"/>
      <w:r w:rsidRPr="006355D2">
        <w:rPr>
          <w:rFonts w:ascii="Arial" w:hAnsi="Arial" w:cs="Arial"/>
          <w:color w:val="000000" w:themeColor="text1"/>
        </w:rPr>
        <w:t xml:space="preserve"> de soja. </w:t>
      </w:r>
      <w:r w:rsidRPr="006355D2">
        <w:rPr>
          <w:rFonts w:ascii="Arial" w:hAnsi="Arial" w:cs="Arial"/>
          <w:i/>
          <w:iCs/>
          <w:color w:val="000000" w:themeColor="text1"/>
        </w:rPr>
        <w:t xml:space="preserve">Scientia </w:t>
      </w:r>
      <w:proofErr w:type="spellStart"/>
      <w:r w:rsidRPr="006355D2">
        <w:rPr>
          <w:rFonts w:ascii="Arial" w:hAnsi="Arial" w:cs="Arial"/>
          <w:i/>
          <w:iCs/>
          <w:color w:val="000000" w:themeColor="text1"/>
        </w:rPr>
        <w:t>agricola</w:t>
      </w:r>
      <w:proofErr w:type="spellEnd"/>
      <w:r w:rsidRPr="006355D2">
        <w:rPr>
          <w:rFonts w:ascii="Arial" w:hAnsi="Arial" w:cs="Arial"/>
          <w:color w:val="000000" w:themeColor="text1"/>
        </w:rPr>
        <w:t>, </w:t>
      </w:r>
      <w:r w:rsidRPr="006355D2">
        <w:rPr>
          <w:rFonts w:ascii="Arial" w:hAnsi="Arial" w:cs="Arial"/>
          <w:i/>
          <w:iCs/>
          <w:color w:val="000000" w:themeColor="text1"/>
        </w:rPr>
        <w:t>65</w:t>
      </w:r>
      <w:r w:rsidRPr="006355D2">
        <w:rPr>
          <w:rFonts w:ascii="Arial" w:hAnsi="Arial" w:cs="Arial"/>
          <w:color w:val="000000" w:themeColor="text1"/>
        </w:rPr>
        <w:t>, 604-612.</w:t>
      </w:r>
    </w:p>
    <w:p w14:paraId="395D94D5" w14:textId="77777777" w:rsidR="00AD3342" w:rsidRDefault="00AD3342" w:rsidP="009E4FEF">
      <w:pPr>
        <w:spacing w:line="312" w:lineRule="auto"/>
        <w:ind w:left="720" w:right="15" w:hanging="720"/>
        <w:jc w:val="both"/>
        <w:rPr>
          <w:rFonts w:ascii="Arial" w:hAnsi="Arial" w:cs="Arial"/>
          <w:color w:val="000000" w:themeColor="text1"/>
        </w:rPr>
      </w:pPr>
      <w:r w:rsidRPr="006355D2">
        <w:rPr>
          <w:rFonts w:ascii="Arial" w:hAnsi="Arial" w:cs="Arial"/>
          <w:color w:val="000000" w:themeColor="text1"/>
        </w:rPr>
        <w:t>Bender, R. R., Haegele, J. W., Ruffo, M. L., &amp; Below, F. E. (2013). Nutrient uptake, partitioning, and remobilization in modern, transgenic insect</w:t>
      </w:r>
      <w:r w:rsidRPr="006355D2">
        <w:rPr>
          <w:rFonts w:ascii="Cambria Math" w:hAnsi="Cambria Math" w:cs="Cambria Math"/>
          <w:color w:val="000000" w:themeColor="text1"/>
        </w:rPr>
        <w:t>‐</w:t>
      </w:r>
      <w:r w:rsidRPr="006355D2">
        <w:rPr>
          <w:rFonts w:ascii="Arial" w:hAnsi="Arial" w:cs="Arial"/>
          <w:color w:val="000000" w:themeColor="text1"/>
        </w:rPr>
        <w:t>protected maize hybrids. </w:t>
      </w:r>
      <w:r w:rsidRPr="006355D2">
        <w:rPr>
          <w:rFonts w:ascii="Arial" w:hAnsi="Arial" w:cs="Arial"/>
          <w:i/>
          <w:iCs/>
          <w:color w:val="000000" w:themeColor="text1"/>
        </w:rPr>
        <w:t>Agronomy journal</w:t>
      </w:r>
      <w:r w:rsidRPr="006355D2">
        <w:rPr>
          <w:rFonts w:ascii="Arial" w:hAnsi="Arial" w:cs="Arial"/>
          <w:color w:val="000000" w:themeColor="text1"/>
        </w:rPr>
        <w:t>, </w:t>
      </w:r>
      <w:r w:rsidRPr="006355D2">
        <w:rPr>
          <w:rFonts w:ascii="Arial" w:hAnsi="Arial" w:cs="Arial"/>
          <w:i/>
          <w:iCs/>
          <w:color w:val="000000" w:themeColor="text1"/>
        </w:rPr>
        <w:t>105</w:t>
      </w:r>
      <w:r w:rsidRPr="006355D2">
        <w:rPr>
          <w:rFonts w:ascii="Arial" w:hAnsi="Arial" w:cs="Arial"/>
          <w:color w:val="000000" w:themeColor="text1"/>
        </w:rPr>
        <w:t>(1), 161-170.</w:t>
      </w:r>
    </w:p>
    <w:p w14:paraId="56237848" w14:textId="77777777" w:rsidR="00AD3342" w:rsidRPr="006355D2" w:rsidRDefault="00AD3342" w:rsidP="009E4FEF">
      <w:pPr>
        <w:spacing w:line="312" w:lineRule="auto"/>
        <w:ind w:left="720" w:right="15" w:hanging="720"/>
        <w:jc w:val="both"/>
        <w:rPr>
          <w:rFonts w:ascii="Arial" w:hAnsi="Arial" w:cs="Arial"/>
          <w:color w:val="000000" w:themeColor="text1"/>
        </w:rPr>
      </w:pPr>
      <w:proofErr w:type="spellStart"/>
      <w:r w:rsidRPr="006355D2">
        <w:rPr>
          <w:rFonts w:ascii="Arial" w:hAnsi="Arial" w:cs="Arial"/>
          <w:color w:val="000000" w:themeColor="text1"/>
        </w:rPr>
        <w:t>Cherr</w:t>
      </w:r>
      <w:proofErr w:type="spellEnd"/>
      <w:r w:rsidRPr="006355D2">
        <w:rPr>
          <w:rFonts w:ascii="Arial" w:hAnsi="Arial" w:cs="Arial"/>
          <w:color w:val="000000" w:themeColor="text1"/>
        </w:rPr>
        <w:t>, C. M., Scholberg, J. M. S., &amp; McSorley, R. (2006). Green manure approaches to crop production: A synthesis. </w:t>
      </w:r>
      <w:r w:rsidRPr="006355D2">
        <w:rPr>
          <w:rFonts w:ascii="Arial" w:hAnsi="Arial" w:cs="Arial"/>
          <w:i/>
          <w:iCs/>
          <w:color w:val="000000" w:themeColor="text1"/>
        </w:rPr>
        <w:t>Agronomy journal</w:t>
      </w:r>
      <w:r w:rsidRPr="006355D2">
        <w:rPr>
          <w:rFonts w:ascii="Arial" w:hAnsi="Arial" w:cs="Arial"/>
          <w:color w:val="000000" w:themeColor="text1"/>
        </w:rPr>
        <w:t>, </w:t>
      </w:r>
      <w:r w:rsidRPr="006355D2">
        <w:rPr>
          <w:rFonts w:ascii="Arial" w:hAnsi="Arial" w:cs="Arial"/>
          <w:i/>
          <w:iCs/>
          <w:color w:val="000000" w:themeColor="text1"/>
        </w:rPr>
        <w:t>98</w:t>
      </w:r>
      <w:r w:rsidRPr="006355D2">
        <w:rPr>
          <w:rFonts w:ascii="Arial" w:hAnsi="Arial" w:cs="Arial"/>
          <w:color w:val="000000" w:themeColor="text1"/>
        </w:rPr>
        <w:t>(2), 302-319.</w:t>
      </w:r>
    </w:p>
    <w:p w14:paraId="29CA583F" w14:textId="77777777" w:rsidR="00AD3342" w:rsidRPr="006355D2" w:rsidRDefault="00AD3342" w:rsidP="009E4FEF">
      <w:pPr>
        <w:spacing w:line="312" w:lineRule="auto"/>
        <w:ind w:left="720" w:right="15" w:hanging="720"/>
        <w:jc w:val="both"/>
        <w:rPr>
          <w:rFonts w:ascii="Arial" w:hAnsi="Arial" w:cs="Arial"/>
          <w:color w:val="000000" w:themeColor="text1"/>
        </w:rPr>
      </w:pPr>
      <w:r w:rsidRPr="006355D2">
        <w:rPr>
          <w:rFonts w:ascii="Arial" w:hAnsi="Arial" w:cs="Arial"/>
          <w:color w:val="000000" w:themeColor="text1"/>
        </w:rPr>
        <w:t xml:space="preserve">Dwivedi, A. K., &amp; Dwivedi, B. S. (2015). Impact of </w:t>
      </w:r>
      <w:proofErr w:type="gramStart"/>
      <w:r w:rsidRPr="006355D2">
        <w:rPr>
          <w:rFonts w:ascii="Arial" w:hAnsi="Arial" w:cs="Arial"/>
          <w:color w:val="000000" w:themeColor="text1"/>
        </w:rPr>
        <w:t>long term</w:t>
      </w:r>
      <w:proofErr w:type="gramEnd"/>
      <w:r w:rsidRPr="006355D2">
        <w:rPr>
          <w:rFonts w:ascii="Arial" w:hAnsi="Arial" w:cs="Arial"/>
          <w:color w:val="000000" w:themeColor="text1"/>
        </w:rPr>
        <w:t xml:space="preserve"> fertilizer management for sustainable soil health and crop productivity: Issues and challenges. </w:t>
      </w:r>
      <w:r w:rsidRPr="006355D2">
        <w:rPr>
          <w:rFonts w:ascii="Arial" w:hAnsi="Arial" w:cs="Arial"/>
          <w:i/>
          <w:iCs/>
          <w:color w:val="000000" w:themeColor="text1"/>
        </w:rPr>
        <w:t>Volume: 49 Research Journal</w:t>
      </w:r>
      <w:r w:rsidRPr="006355D2">
        <w:rPr>
          <w:rFonts w:ascii="Arial" w:hAnsi="Arial" w:cs="Arial"/>
          <w:color w:val="000000" w:themeColor="text1"/>
        </w:rPr>
        <w:t>, </w:t>
      </w:r>
      <w:r w:rsidRPr="006355D2">
        <w:rPr>
          <w:rFonts w:ascii="Arial" w:hAnsi="Arial" w:cs="Arial"/>
          <w:i/>
          <w:iCs/>
          <w:color w:val="000000" w:themeColor="text1"/>
        </w:rPr>
        <w:t>49</w:t>
      </w:r>
      <w:r w:rsidRPr="006355D2">
        <w:rPr>
          <w:rFonts w:ascii="Arial" w:hAnsi="Arial" w:cs="Arial"/>
          <w:color w:val="000000" w:themeColor="text1"/>
        </w:rPr>
        <w:t>(3), 374.</w:t>
      </w:r>
    </w:p>
    <w:p w14:paraId="52A8268D" w14:textId="77777777" w:rsidR="00AD3342" w:rsidRDefault="00AD3342" w:rsidP="009E4FEF">
      <w:pPr>
        <w:spacing w:line="312" w:lineRule="auto"/>
        <w:ind w:left="720" w:right="15" w:hanging="720"/>
        <w:jc w:val="both"/>
        <w:rPr>
          <w:rFonts w:ascii="Arial" w:hAnsi="Arial" w:cs="Arial"/>
          <w:color w:val="000000" w:themeColor="text1"/>
        </w:rPr>
      </w:pPr>
      <w:r w:rsidRPr="006355D2">
        <w:rPr>
          <w:rFonts w:ascii="Arial" w:hAnsi="Arial" w:cs="Arial"/>
          <w:color w:val="000000" w:themeColor="text1"/>
        </w:rPr>
        <w:t xml:space="preserve">Hatfield, J. L., &amp; </w:t>
      </w:r>
      <w:proofErr w:type="spellStart"/>
      <w:r w:rsidRPr="006355D2">
        <w:rPr>
          <w:rFonts w:ascii="Arial" w:hAnsi="Arial" w:cs="Arial"/>
          <w:color w:val="000000" w:themeColor="text1"/>
        </w:rPr>
        <w:t>Prueger</w:t>
      </w:r>
      <w:proofErr w:type="spellEnd"/>
      <w:r w:rsidRPr="006355D2">
        <w:rPr>
          <w:rFonts w:ascii="Arial" w:hAnsi="Arial" w:cs="Arial"/>
          <w:color w:val="000000" w:themeColor="text1"/>
        </w:rPr>
        <w:t>, J. H. (2015). Temperature extremes: Effect on plant growth and development. </w:t>
      </w:r>
      <w:r w:rsidRPr="006355D2">
        <w:rPr>
          <w:rFonts w:ascii="Arial" w:hAnsi="Arial" w:cs="Arial"/>
          <w:i/>
          <w:iCs/>
          <w:color w:val="000000" w:themeColor="text1"/>
        </w:rPr>
        <w:t>Weather and climate extremes</w:t>
      </w:r>
      <w:r w:rsidRPr="006355D2">
        <w:rPr>
          <w:rFonts w:ascii="Arial" w:hAnsi="Arial" w:cs="Arial"/>
          <w:color w:val="000000" w:themeColor="text1"/>
        </w:rPr>
        <w:t>, </w:t>
      </w:r>
      <w:r w:rsidRPr="006355D2">
        <w:rPr>
          <w:rFonts w:ascii="Arial" w:hAnsi="Arial" w:cs="Arial"/>
          <w:i/>
          <w:iCs/>
          <w:color w:val="000000" w:themeColor="text1"/>
        </w:rPr>
        <w:t>10</w:t>
      </w:r>
      <w:r w:rsidRPr="006355D2">
        <w:rPr>
          <w:rFonts w:ascii="Arial" w:hAnsi="Arial" w:cs="Arial"/>
          <w:color w:val="000000" w:themeColor="text1"/>
        </w:rPr>
        <w:t>(Part A), 4-10.</w:t>
      </w:r>
    </w:p>
    <w:p w14:paraId="17DBDBDF" w14:textId="77777777" w:rsidR="00AD3342" w:rsidRDefault="00AD3342" w:rsidP="009E4FEF">
      <w:pPr>
        <w:spacing w:line="312" w:lineRule="auto"/>
        <w:ind w:left="720" w:right="15" w:hanging="720"/>
        <w:jc w:val="both"/>
        <w:rPr>
          <w:rFonts w:ascii="Arial" w:hAnsi="Arial" w:cs="Arial"/>
          <w:color w:val="000000" w:themeColor="text1"/>
        </w:rPr>
      </w:pPr>
      <w:r w:rsidRPr="006355D2">
        <w:rPr>
          <w:rFonts w:ascii="Arial" w:hAnsi="Arial" w:cs="Arial"/>
          <w:color w:val="000000" w:themeColor="text1"/>
        </w:rPr>
        <w:t xml:space="preserve">IBPGR. (1991). </w:t>
      </w:r>
      <w:r w:rsidRPr="006355D2">
        <w:rPr>
          <w:rFonts w:ascii="Arial" w:hAnsi="Arial" w:cs="Arial"/>
          <w:i/>
          <w:iCs/>
          <w:color w:val="000000" w:themeColor="text1"/>
        </w:rPr>
        <w:t>Descriptors for maize (Zea mays L.)</w:t>
      </w:r>
      <w:r w:rsidRPr="006355D2">
        <w:rPr>
          <w:rFonts w:ascii="Arial" w:hAnsi="Arial" w:cs="Arial"/>
          <w:color w:val="000000" w:themeColor="text1"/>
        </w:rPr>
        <w:t>. International Board for Plant Genetic Resources, Rome.</w:t>
      </w:r>
    </w:p>
    <w:p w14:paraId="688EBC05" w14:textId="77777777" w:rsidR="00AD3342" w:rsidRPr="00994C28" w:rsidRDefault="00AD3342" w:rsidP="009E4FEF">
      <w:pPr>
        <w:spacing w:line="312" w:lineRule="auto"/>
        <w:ind w:left="720" w:hanging="720"/>
        <w:jc w:val="both"/>
        <w:rPr>
          <w:iCs/>
          <w:color w:val="000000" w:themeColor="text1"/>
        </w:rPr>
      </w:pPr>
      <w:r w:rsidRPr="005F5F3C">
        <w:rPr>
          <w:iCs/>
          <w:color w:val="000000" w:themeColor="text1"/>
          <w:lang w:val="nl-BE"/>
        </w:rPr>
        <w:t xml:space="preserve">Khaleeq, K., Nazir, R., Hemmat, N., Sirat, W. A., &amp; Samim, M. (2023). </w:t>
      </w:r>
      <w:r w:rsidRPr="00412C5A">
        <w:rPr>
          <w:iCs/>
          <w:color w:val="000000" w:themeColor="text1"/>
        </w:rPr>
        <w:t>Response of maize (Zea mays L.) to the soil application of phosphorus fertilizer. </w:t>
      </w:r>
      <w:r w:rsidRPr="00412C5A">
        <w:rPr>
          <w:i/>
          <w:iCs/>
          <w:color w:val="000000" w:themeColor="text1"/>
        </w:rPr>
        <w:t>Journal of Agriculture and Ecology</w:t>
      </w:r>
      <w:r w:rsidRPr="00412C5A">
        <w:rPr>
          <w:iCs/>
          <w:color w:val="000000" w:themeColor="text1"/>
        </w:rPr>
        <w:t>, </w:t>
      </w:r>
      <w:r w:rsidRPr="00412C5A">
        <w:rPr>
          <w:i/>
          <w:iCs/>
          <w:color w:val="000000" w:themeColor="text1"/>
        </w:rPr>
        <w:t>17</w:t>
      </w:r>
      <w:r w:rsidRPr="00412C5A">
        <w:rPr>
          <w:iCs/>
          <w:color w:val="000000" w:themeColor="text1"/>
        </w:rPr>
        <w:t>, 90-93.</w:t>
      </w:r>
    </w:p>
    <w:p w14:paraId="46D00CFE" w14:textId="77777777" w:rsidR="00AD3342" w:rsidRPr="006355D2" w:rsidRDefault="00AD3342" w:rsidP="009E4FEF">
      <w:pPr>
        <w:spacing w:line="312" w:lineRule="auto"/>
        <w:ind w:left="720" w:right="15" w:hanging="720"/>
        <w:jc w:val="both"/>
        <w:rPr>
          <w:rFonts w:ascii="Arial" w:hAnsi="Arial" w:cs="Arial"/>
          <w:color w:val="000000" w:themeColor="text1"/>
        </w:rPr>
      </w:pPr>
      <w:r w:rsidRPr="006355D2">
        <w:rPr>
          <w:rFonts w:ascii="Arial" w:hAnsi="Arial" w:cs="Arial"/>
          <w:color w:val="000000" w:themeColor="text1"/>
        </w:rPr>
        <w:t>Lobell, D. B., Hammer, G. L., McLean, G., Messina, C., Roberts, M. J., &amp; Schlenker, W. (2013). The critical role of extreme heat for maize production in the United States. </w:t>
      </w:r>
      <w:r w:rsidRPr="006355D2">
        <w:rPr>
          <w:rFonts w:ascii="Arial" w:hAnsi="Arial" w:cs="Arial"/>
          <w:i/>
          <w:iCs/>
          <w:color w:val="000000" w:themeColor="text1"/>
        </w:rPr>
        <w:t>Nature climate change</w:t>
      </w:r>
      <w:r w:rsidRPr="006355D2">
        <w:rPr>
          <w:rFonts w:ascii="Arial" w:hAnsi="Arial" w:cs="Arial"/>
          <w:color w:val="000000" w:themeColor="text1"/>
        </w:rPr>
        <w:t>, </w:t>
      </w:r>
      <w:r w:rsidRPr="006355D2">
        <w:rPr>
          <w:rFonts w:ascii="Arial" w:hAnsi="Arial" w:cs="Arial"/>
          <w:i/>
          <w:iCs/>
          <w:color w:val="000000" w:themeColor="text1"/>
        </w:rPr>
        <w:t>3</w:t>
      </w:r>
      <w:r w:rsidRPr="006355D2">
        <w:rPr>
          <w:rFonts w:ascii="Arial" w:hAnsi="Arial" w:cs="Arial"/>
          <w:color w:val="000000" w:themeColor="text1"/>
        </w:rPr>
        <w:t>(5), 497-501.</w:t>
      </w:r>
    </w:p>
    <w:p w14:paraId="368F4BCF" w14:textId="77777777" w:rsidR="00AD3342" w:rsidRPr="006355D2" w:rsidRDefault="00AD3342" w:rsidP="009E4FEF">
      <w:pPr>
        <w:spacing w:line="312" w:lineRule="auto"/>
        <w:ind w:left="720" w:right="15" w:hanging="720"/>
        <w:jc w:val="both"/>
        <w:rPr>
          <w:rFonts w:ascii="Arial" w:hAnsi="Arial" w:cs="Arial"/>
          <w:color w:val="000000" w:themeColor="text1"/>
        </w:rPr>
      </w:pPr>
      <w:r w:rsidRPr="006355D2">
        <w:rPr>
          <w:rFonts w:ascii="Arial" w:hAnsi="Arial" w:cs="Arial"/>
          <w:color w:val="000000" w:themeColor="text1"/>
        </w:rPr>
        <w:t>Lynch, J. P. (2019). Root phenotypes for improved nutrient capture: an underexploited opportunity for global agriculture. </w:t>
      </w:r>
      <w:r w:rsidRPr="006355D2">
        <w:rPr>
          <w:rFonts w:ascii="Arial" w:hAnsi="Arial" w:cs="Arial"/>
          <w:i/>
          <w:iCs/>
          <w:color w:val="000000" w:themeColor="text1"/>
        </w:rPr>
        <w:t>New phytologist</w:t>
      </w:r>
      <w:r w:rsidRPr="006355D2">
        <w:rPr>
          <w:rFonts w:ascii="Arial" w:hAnsi="Arial" w:cs="Arial"/>
          <w:color w:val="000000" w:themeColor="text1"/>
        </w:rPr>
        <w:t>, </w:t>
      </w:r>
      <w:r w:rsidRPr="006355D2">
        <w:rPr>
          <w:rFonts w:ascii="Arial" w:hAnsi="Arial" w:cs="Arial"/>
          <w:i/>
          <w:iCs/>
          <w:color w:val="000000" w:themeColor="text1"/>
        </w:rPr>
        <w:t>223</w:t>
      </w:r>
      <w:r w:rsidRPr="006355D2">
        <w:rPr>
          <w:rFonts w:ascii="Arial" w:hAnsi="Arial" w:cs="Arial"/>
          <w:color w:val="000000" w:themeColor="text1"/>
        </w:rPr>
        <w:t>(2), 548-564.</w:t>
      </w:r>
      <w:r w:rsidRPr="006355D2">
        <w:rPr>
          <w:rFonts w:ascii="Arial" w:hAnsi="Arial" w:cs="Arial"/>
          <w:color w:val="000000" w:themeColor="text1"/>
        </w:rPr>
        <w:br/>
        <w:t>Sánchez, B., Rasmussen, A., &amp; Porter, J. R. (2014). Temperatures and the growth and development of maize and rice: a review. </w:t>
      </w:r>
      <w:r w:rsidRPr="006355D2">
        <w:rPr>
          <w:rFonts w:ascii="Arial" w:hAnsi="Arial" w:cs="Arial"/>
          <w:i/>
          <w:iCs/>
          <w:color w:val="000000" w:themeColor="text1"/>
        </w:rPr>
        <w:t>Global change biology</w:t>
      </w:r>
      <w:r w:rsidRPr="006355D2">
        <w:rPr>
          <w:rFonts w:ascii="Arial" w:hAnsi="Arial" w:cs="Arial"/>
          <w:color w:val="000000" w:themeColor="text1"/>
        </w:rPr>
        <w:t>, </w:t>
      </w:r>
      <w:r w:rsidRPr="006355D2">
        <w:rPr>
          <w:rFonts w:ascii="Arial" w:hAnsi="Arial" w:cs="Arial"/>
          <w:i/>
          <w:iCs/>
          <w:color w:val="000000" w:themeColor="text1"/>
        </w:rPr>
        <w:t>20</w:t>
      </w:r>
      <w:r w:rsidRPr="006355D2">
        <w:rPr>
          <w:rFonts w:ascii="Arial" w:hAnsi="Arial" w:cs="Arial"/>
          <w:color w:val="000000" w:themeColor="text1"/>
        </w:rPr>
        <w:t>(2), 408-417.</w:t>
      </w:r>
    </w:p>
    <w:p w14:paraId="325C0E61" w14:textId="77777777" w:rsidR="00AD3342" w:rsidRDefault="00AD3342" w:rsidP="009E4FEF">
      <w:pPr>
        <w:spacing w:line="312" w:lineRule="auto"/>
        <w:ind w:left="720" w:right="15" w:hanging="720"/>
        <w:jc w:val="both"/>
        <w:rPr>
          <w:rFonts w:ascii="Arial" w:hAnsi="Arial" w:cs="Arial"/>
          <w:color w:val="000000" w:themeColor="text1"/>
        </w:rPr>
      </w:pPr>
      <w:r w:rsidRPr="006355D2">
        <w:rPr>
          <w:rFonts w:ascii="Arial" w:hAnsi="Arial" w:cs="Arial"/>
          <w:color w:val="000000" w:themeColor="text1"/>
        </w:rPr>
        <w:t>Mclaughlin, J. E., &amp; Boyer, J. S. (2004). Glucose localization in maize ovaries when kernel number decreases at low water potential and sucrose is fed to the stems. </w:t>
      </w:r>
      <w:r w:rsidRPr="006355D2">
        <w:rPr>
          <w:rFonts w:ascii="Arial" w:hAnsi="Arial" w:cs="Arial"/>
          <w:i/>
          <w:iCs/>
          <w:color w:val="000000" w:themeColor="text1"/>
        </w:rPr>
        <w:t>Annals of Botany</w:t>
      </w:r>
      <w:r w:rsidRPr="006355D2">
        <w:rPr>
          <w:rFonts w:ascii="Arial" w:hAnsi="Arial" w:cs="Arial"/>
          <w:color w:val="000000" w:themeColor="text1"/>
        </w:rPr>
        <w:t>, </w:t>
      </w:r>
      <w:r w:rsidRPr="006355D2">
        <w:rPr>
          <w:rFonts w:ascii="Arial" w:hAnsi="Arial" w:cs="Arial"/>
          <w:i/>
          <w:iCs/>
          <w:color w:val="000000" w:themeColor="text1"/>
        </w:rPr>
        <w:t>94</w:t>
      </w:r>
      <w:r w:rsidRPr="006355D2">
        <w:rPr>
          <w:rFonts w:ascii="Arial" w:hAnsi="Arial" w:cs="Arial"/>
          <w:color w:val="000000" w:themeColor="text1"/>
        </w:rPr>
        <w:t xml:space="preserve">(1), 75-86. </w:t>
      </w:r>
    </w:p>
    <w:p w14:paraId="10A07256" w14:textId="77777777" w:rsidR="00AD3342" w:rsidRPr="006355D2" w:rsidRDefault="00AD3342" w:rsidP="009E4FEF">
      <w:pPr>
        <w:spacing w:line="312" w:lineRule="auto"/>
        <w:ind w:left="720" w:right="15" w:hanging="720"/>
        <w:jc w:val="both"/>
        <w:rPr>
          <w:rFonts w:ascii="Arial" w:hAnsi="Arial" w:cs="Arial"/>
          <w:color w:val="000000" w:themeColor="text1"/>
        </w:rPr>
      </w:pPr>
      <w:r w:rsidRPr="006355D2">
        <w:rPr>
          <w:rFonts w:ascii="Arial" w:hAnsi="Arial" w:cs="Arial"/>
          <w:color w:val="000000" w:themeColor="text1"/>
        </w:rPr>
        <w:t>MOALI. (202</w:t>
      </w:r>
      <w:r>
        <w:rPr>
          <w:rFonts w:ascii="Arial" w:hAnsi="Arial" w:cs="Arial"/>
          <w:color w:val="000000" w:themeColor="text1"/>
        </w:rPr>
        <w:t>4</w:t>
      </w:r>
      <w:r w:rsidRPr="006355D2">
        <w:rPr>
          <w:rFonts w:ascii="Arial" w:hAnsi="Arial" w:cs="Arial"/>
          <w:color w:val="000000" w:themeColor="text1"/>
        </w:rPr>
        <w:t xml:space="preserve">). </w:t>
      </w:r>
      <w:r w:rsidRPr="006355D2">
        <w:rPr>
          <w:rFonts w:ascii="Arial" w:hAnsi="Arial" w:cs="Arial"/>
          <w:i/>
          <w:iCs/>
          <w:color w:val="000000" w:themeColor="text1"/>
        </w:rPr>
        <w:t>Myanmar agricultural statistics</w:t>
      </w:r>
      <w:r w:rsidRPr="006355D2">
        <w:rPr>
          <w:rFonts w:ascii="Arial" w:hAnsi="Arial" w:cs="Arial"/>
          <w:color w:val="000000" w:themeColor="text1"/>
        </w:rPr>
        <w:t xml:space="preserve">. Ministry of Agriculture, Livestock and Irrigation, Nay </w:t>
      </w:r>
      <w:proofErr w:type="spellStart"/>
      <w:r w:rsidRPr="006355D2">
        <w:rPr>
          <w:rFonts w:ascii="Arial" w:hAnsi="Arial" w:cs="Arial"/>
          <w:color w:val="000000" w:themeColor="text1"/>
        </w:rPr>
        <w:t>Pyi</w:t>
      </w:r>
      <w:proofErr w:type="spellEnd"/>
      <w:r w:rsidRPr="006355D2">
        <w:rPr>
          <w:rFonts w:ascii="Arial" w:hAnsi="Arial" w:cs="Arial"/>
          <w:color w:val="000000" w:themeColor="text1"/>
        </w:rPr>
        <w:t xml:space="preserve"> Taw.</w:t>
      </w:r>
      <w:r w:rsidRPr="006355D2">
        <w:rPr>
          <w:rFonts w:ascii="Arial" w:hAnsi="Arial" w:cs="Arial"/>
          <w:color w:val="000000" w:themeColor="text1"/>
        </w:rPr>
        <w:br/>
        <w:t>Pimentel, D., Hepperly, P., Hanson, J., Seidel, R., &amp; Douds, D. (2005). </w:t>
      </w:r>
      <w:r w:rsidRPr="006355D2">
        <w:rPr>
          <w:rFonts w:ascii="Arial" w:hAnsi="Arial" w:cs="Arial"/>
          <w:i/>
          <w:iCs/>
          <w:color w:val="000000" w:themeColor="text1"/>
        </w:rPr>
        <w:t>Organic and conventional farming systems: Environmental and economic issues</w:t>
      </w:r>
      <w:r w:rsidRPr="006355D2">
        <w:rPr>
          <w:rFonts w:ascii="Arial" w:hAnsi="Arial" w:cs="Arial"/>
          <w:color w:val="000000" w:themeColor="text1"/>
        </w:rPr>
        <w:t>.</w:t>
      </w:r>
    </w:p>
    <w:p w14:paraId="764F1193" w14:textId="77777777" w:rsidR="00AD3342" w:rsidRPr="006355D2" w:rsidRDefault="00AD3342" w:rsidP="009E4FEF">
      <w:pPr>
        <w:spacing w:line="312" w:lineRule="auto"/>
        <w:ind w:left="720" w:right="15" w:hanging="720"/>
        <w:jc w:val="both"/>
        <w:rPr>
          <w:rFonts w:ascii="Arial" w:hAnsi="Arial" w:cs="Arial"/>
          <w:color w:val="000000" w:themeColor="text1"/>
        </w:rPr>
      </w:pPr>
      <w:r w:rsidRPr="006355D2">
        <w:rPr>
          <w:rFonts w:ascii="Arial" w:hAnsi="Arial" w:cs="Arial"/>
          <w:color w:val="000000" w:themeColor="text1"/>
        </w:rPr>
        <w:t>Nleya, T., Chungu, C., &amp; Kleinjan, J. (2016). Corn growth and development. </w:t>
      </w:r>
      <w:r w:rsidRPr="006355D2">
        <w:rPr>
          <w:rFonts w:ascii="Arial" w:hAnsi="Arial" w:cs="Arial"/>
          <w:i/>
          <w:iCs/>
          <w:color w:val="000000" w:themeColor="text1"/>
        </w:rPr>
        <w:t xml:space="preserve">Grow Corn Best Manag. </w:t>
      </w:r>
      <w:proofErr w:type="spellStart"/>
      <w:r w:rsidRPr="006355D2">
        <w:rPr>
          <w:rFonts w:ascii="Arial" w:hAnsi="Arial" w:cs="Arial"/>
          <w:i/>
          <w:iCs/>
          <w:color w:val="000000" w:themeColor="text1"/>
        </w:rPr>
        <w:t>Pract</w:t>
      </w:r>
      <w:proofErr w:type="spellEnd"/>
      <w:r w:rsidRPr="006355D2">
        <w:rPr>
          <w:rFonts w:ascii="Arial" w:hAnsi="Arial" w:cs="Arial"/>
          <w:color w:val="000000" w:themeColor="text1"/>
        </w:rPr>
        <w:t>, </w:t>
      </w:r>
      <w:r w:rsidRPr="006355D2">
        <w:rPr>
          <w:rFonts w:ascii="Arial" w:hAnsi="Arial" w:cs="Arial"/>
          <w:i/>
          <w:iCs/>
          <w:color w:val="000000" w:themeColor="text1"/>
        </w:rPr>
        <w:t>722</w:t>
      </w:r>
      <w:r w:rsidRPr="006355D2">
        <w:rPr>
          <w:rFonts w:ascii="Arial" w:hAnsi="Arial" w:cs="Arial"/>
          <w:color w:val="000000" w:themeColor="text1"/>
        </w:rPr>
        <w:t>, 2019-09.</w:t>
      </w:r>
    </w:p>
    <w:p w14:paraId="5262276B" w14:textId="77777777" w:rsidR="00AD3342" w:rsidRDefault="00AD3342" w:rsidP="00AD3342">
      <w:pPr>
        <w:spacing w:line="312" w:lineRule="auto"/>
        <w:ind w:left="720" w:right="15" w:hanging="720"/>
        <w:jc w:val="both"/>
        <w:rPr>
          <w:rFonts w:ascii="Arial" w:hAnsi="Arial" w:cs="Arial"/>
          <w:color w:val="000000" w:themeColor="text1"/>
        </w:rPr>
      </w:pPr>
      <w:r w:rsidRPr="00A83BD4">
        <w:rPr>
          <w:lang w:val="en-IN"/>
        </w:rPr>
        <w:lastRenderedPageBreak/>
        <w:t xml:space="preserve">P. Janaki. (2023). Organic Amendments Addition on Altering the Sorption, Vertical Movement and Leaching </w:t>
      </w:r>
      <w:proofErr w:type="spellStart"/>
      <w:r w:rsidRPr="00A83BD4">
        <w:rPr>
          <w:lang w:val="en-IN"/>
        </w:rPr>
        <w:t>Behavior</w:t>
      </w:r>
      <w:proofErr w:type="spellEnd"/>
      <w:r w:rsidRPr="00A83BD4">
        <w:rPr>
          <w:lang w:val="en-IN"/>
        </w:rPr>
        <w:t xml:space="preserve"> of Herbicides in Soil. </w:t>
      </w:r>
      <w:r w:rsidRPr="00A83BD4">
        <w:rPr>
          <w:i/>
          <w:iCs/>
          <w:lang w:val="en-IN"/>
        </w:rPr>
        <w:t>International Journal of Plant &amp; Soil Science</w:t>
      </w:r>
      <w:r w:rsidRPr="00A83BD4">
        <w:rPr>
          <w:lang w:val="en-IN"/>
        </w:rPr>
        <w:t>, </w:t>
      </w:r>
      <w:r w:rsidRPr="00A83BD4">
        <w:rPr>
          <w:i/>
          <w:iCs/>
          <w:lang w:val="en-IN"/>
        </w:rPr>
        <w:t>35</w:t>
      </w:r>
      <w:r w:rsidRPr="00A83BD4">
        <w:rPr>
          <w:lang w:val="en-IN"/>
        </w:rPr>
        <w:t xml:space="preserve">(5), 18–30. </w:t>
      </w:r>
      <w:hyperlink r:id="rId18" w:history="1">
        <w:r w:rsidRPr="00A83BD4">
          <w:rPr>
            <w:color w:val="0563C1"/>
            <w:u w:val="single"/>
            <w:lang w:val="en-IN"/>
          </w:rPr>
          <w:t>https://doi.org/10.9734/ijpss/2023/v35i52816</w:t>
        </w:r>
      </w:hyperlink>
    </w:p>
    <w:p w14:paraId="1A8F06D2" w14:textId="77777777" w:rsidR="00AD3342" w:rsidRPr="006355D2" w:rsidRDefault="00AD3342" w:rsidP="009E4FEF">
      <w:pPr>
        <w:spacing w:line="312" w:lineRule="auto"/>
        <w:ind w:left="720" w:right="15" w:hanging="720"/>
        <w:jc w:val="both"/>
        <w:rPr>
          <w:rFonts w:ascii="Arial" w:hAnsi="Arial" w:cs="Arial"/>
          <w:color w:val="000000" w:themeColor="text1"/>
        </w:rPr>
      </w:pPr>
      <w:r w:rsidRPr="006355D2">
        <w:rPr>
          <w:rFonts w:ascii="Arial" w:hAnsi="Arial" w:cs="Arial"/>
          <w:color w:val="000000" w:themeColor="text1"/>
        </w:rPr>
        <w:t>Pixley, K. V., &amp; Bjarnason, M. S. (1993). Combining ability for yield and protein quality among modified endosperm opaque</w:t>
      </w:r>
      <w:r w:rsidRPr="006355D2">
        <w:rPr>
          <w:rFonts w:ascii="Cambria Math" w:hAnsi="Cambria Math" w:cs="Cambria Math"/>
          <w:color w:val="000000" w:themeColor="text1"/>
        </w:rPr>
        <w:t>‐</w:t>
      </w:r>
      <w:r w:rsidRPr="006355D2">
        <w:rPr>
          <w:rFonts w:ascii="Arial" w:hAnsi="Arial" w:cs="Arial"/>
          <w:color w:val="000000" w:themeColor="text1"/>
        </w:rPr>
        <w:t>2 tropical maize inbreds. </w:t>
      </w:r>
      <w:r w:rsidRPr="006355D2">
        <w:rPr>
          <w:rFonts w:ascii="Arial" w:hAnsi="Arial" w:cs="Arial"/>
          <w:i/>
          <w:iCs/>
          <w:color w:val="000000" w:themeColor="text1"/>
        </w:rPr>
        <w:t>Crop Science</w:t>
      </w:r>
      <w:r w:rsidRPr="006355D2">
        <w:rPr>
          <w:rFonts w:ascii="Arial" w:hAnsi="Arial" w:cs="Arial"/>
          <w:color w:val="000000" w:themeColor="text1"/>
        </w:rPr>
        <w:t>, </w:t>
      </w:r>
      <w:r w:rsidRPr="006355D2">
        <w:rPr>
          <w:rFonts w:ascii="Arial" w:hAnsi="Arial" w:cs="Arial"/>
          <w:i/>
          <w:iCs/>
          <w:color w:val="000000" w:themeColor="text1"/>
        </w:rPr>
        <w:t>33</w:t>
      </w:r>
      <w:r w:rsidRPr="006355D2">
        <w:rPr>
          <w:rFonts w:ascii="Arial" w:hAnsi="Arial" w:cs="Arial"/>
          <w:color w:val="000000" w:themeColor="text1"/>
        </w:rPr>
        <w:t>(6), 1229-1234.</w:t>
      </w:r>
    </w:p>
    <w:p w14:paraId="7C055CAF" w14:textId="77777777" w:rsidR="00AD3342" w:rsidRPr="00281E13" w:rsidRDefault="00AD3342" w:rsidP="009E4FEF">
      <w:pPr>
        <w:spacing w:line="312" w:lineRule="auto"/>
        <w:ind w:left="720" w:right="15" w:hanging="720"/>
        <w:jc w:val="both"/>
        <w:rPr>
          <w:rFonts w:ascii="Arial" w:hAnsi="Arial" w:cs="Arial"/>
          <w:caps/>
        </w:rPr>
      </w:pPr>
      <w:r w:rsidRPr="006355D2">
        <w:rPr>
          <w:rFonts w:ascii="Arial" w:hAnsi="Arial" w:cs="Arial"/>
          <w:color w:val="000000" w:themeColor="text1"/>
        </w:rPr>
        <w:t xml:space="preserve">Rawat, J., </w:t>
      </w:r>
      <w:proofErr w:type="spellStart"/>
      <w:r w:rsidRPr="006355D2">
        <w:rPr>
          <w:rFonts w:ascii="Arial" w:hAnsi="Arial" w:cs="Arial"/>
          <w:color w:val="000000" w:themeColor="text1"/>
        </w:rPr>
        <w:t>Sanwal</w:t>
      </w:r>
      <w:proofErr w:type="spellEnd"/>
      <w:r w:rsidRPr="006355D2">
        <w:rPr>
          <w:rFonts w:ascii="Arial" w:hAnsi="Arial" w:cs="Arial"/>
          <w:color w:val="000000" w:themeColor="text1"/>
        </w:rPr>
        <w:t>, P., &amp; Saxena, J. (2016). Potassium and its role in sustainable agriculture. In </w:t>
      </w:r>
      <w:r w:rsidRPr="006355D2">
        <w:rPr>
          <w:rFonts w:ascii="Arial" w:hAnsi="Arial" w:cs="Arial"/>
          <w:i/>
          <w:iCs/>
          <w:color w:val="000000" w:themeColor="text1"/>
        </w:rPr>
        <w:t>Potassium solubilizing microorganisms for sustainable agriculture</w:t>
      </w:r>
      <w:r w:rsidRPr="006355D2">
        <w:rPr>
          <w:rFonts w:ascii="Arial" w:hAnsi="Arial" w:cs="Arial"/>
          <w:color w:val="000000" w:themeColor="text1"/>
        </w:rPr>
        <w:t> (pp. 235-253). New Delhi: Springer India.</w:t>
      </w:r>
    </w:p>
    <w:p w14:paraId="74C1A0D4" w14:textId="77777777" w:rsidR="00AD3342" w:rsidRDefault="00AD3342" w:rsidP="009E4FEF">
      <w:pPr>
        <w:spacing w:line="312" w:lineRule="auto"/>
        <w:ind w:left="720" w:hanging="720"/>
        <w:jc w:val="both"/>
        <w:rPr>
          <w:iCs/>
          <w:color w:val="000000" w:themeColor="text1"/>
        </w:rPr>
      </w:pPr>
      <w:r w:rsidRPr="00994C28">
        <w:rPr>
          <w:iCs/>
          <w:color w:val="000000" w:themeColor="text1"/>
        </w:rPr>
        <w:t>Sánchez, B., Rasmussen, A., &amp; Porter, J. R. (2014). Temperatures and the growth and development of maize and rice: a review. </w:t>
      </w:r>
      <w:r w:rsidRPr="00994C28">
        <w:rPr>
          <w:i/>
          <w:iCs/>
          <w:color w:val="000000" w:themeColor="text1"/>
        </w:rPr>
        <w:t>Global change biology</w:t>
      </w:r>
      <w:r w:rsidRPr="00994C28">
        <w:rPr>
          <w:iCs/>
          <w:color w:val="000000" w:themeColor="text1"/>
        </w:rPr>
        <w:t>, </w:t>
      </w:r>
      <w:r w:rsidRPr="00994C28">
        <w:rPr>
          <w:i/>
          <w:iCs/>
          <w:color w:val="000000" w:themeColor="text1"/>
        </w:rPr>
        <w:t>20</w:t>
      </w:r>
      <w:r w:rsidRPr="00994C28">
        <w:rPr>
          <w:iCs/>
          <w:color w:val="000000" w:themeColor="text1"/>
        </w:rPr>
        <w:t>(2), 408-417.</w:t>
      </w:r>
    </w:p>
    <w:p w14:paraId="4343DD93" w14:textId="77777777" w:rsidR="00AD3342" w:rsidRDefault="00AD3342" w:rsidP="009E4FEF">
      <w:pPr>
        <w:spacing w:line="312" w:lineRule="auto"/>
        <w:ind w:left="720" w:right="15" w:hanging="720"/>
        <w:jc w:val="both"/>
        <w:rPr>
          <w:rFonts w:ascii="Arial" w:hAnsi="Arial" w:cs="Arial"/>
          <w:color w:val="000000" w:themeColor="text1"/>
        </w:rPr>
      </w:pPr>
      <w:r w:rsidRPr="006355D2">
        <w:rPr>
          <w:rFonts w:ascii="Arial" w:hAnsi="Arial" w:cs="Arial"/>
          <w:color w:val="000000" w:themeColor="text1"/>
        </w:rPr>
        <w:t xml:space="preserve">Shiferaw, B., Prasanna, B. M., Hellin, J., &amp; </w:t>
      </w:r>
      <w:proofErr w:type="spellStart"/>
      <w:r w:rsidRPr="006355D2">
        <w:rPr>
          <w:rFonts w:ascii="Arial" w:hAnsi="Arial" w:cs="Arial"/>
          <w:color w:val="000000" w:themeColor="text1"/>
        </w:rPr>
        <w:t>Bänziger</w:t>
      </w:r>
      <w:proofErr w:type="spellEnd"/>
      <w:r w:rsidRPr="006355D2">
        <w:rPr>
          <w:rFonts w:ascii="Arial" w:hAnsi="Arial" w:cs="Arial"/>
          <w:color w:val="000000" w:themeColor="text1"/>
        </w:rPr>
        <w:t>, M. (2011). Crops that feed the world 6. Past successes and future challenges to the role played by maize in global food security. </w:t>
      </w:r>
      <w:r w:rsidRPr="006355D2">
        <w:rPr>
          <w:rFonts w:ascii="Arial" w:hAnsi="Arial" w:cs="Arial"/>
          <w:i/>
          <w:iCs/>
          <w:color w:val="000000" w:themeColor="text1"/>
        </w:rPr>
        <w:t>Food security</w:t>
      </w:r>
      <w:r w:rsidRPr="006355D2">
        <w:rPr>
          <w:rFonts w:ascii="Arial" w:hAnsi="Arial" w:cs="Arial"/>
          <w:color w:val="000000" w:themeColor="text1"/>
        </w:rPr>
        <w:t>, </w:t>
      </w:r>
      <w:r w:rsidRPr="006355D2">
        <w:rPr>
          <w:rFonts w:ascii="Arial" w:hAnsi="Arial" w:cs="Arial"/>
          <w:i/>
          <w:iCs/>
          <w:color w:val="000000" w:themeColor="text1"/>
        </w:rPr>
        <w:t>3</w:t>
      </w:r>
      <w:r w:rsidRPr="006355D2">
        <w:rPr>
          <w:rFonts w:ascii="Arial" w:hAnsi="Arial" w:cs="Arial"/>
          <w:color w:val="000000" w:themeColor="text1"/>
        </w:rPr>
        <w:t>(3),307-327.</w:t>
      </w:r>
    </w:p>
    <w:p w14:paraId="1D983449" w14:textId="77777777" w:rsidR="00AD3342" w:rsidRDefault="00AD3342" w:rsidP="009E4FEF">
      <w:pPr>
        <w:spacing w:line="312" w:lineRule="auto"/>
        <w:ind w:left="720" w:right="15" w:hanging="720"/>
        <w:jc w:val="both"/>
        <w:rPr>
          <w:rFonts w:ascii="Arial" w:hAnsi="Arial" w:cs="Arial"/>
          <w:color w:val="000000" w:themeColor="text1"/>
        </w:rPr>
      </w:pPr>
      <w:proofErr w:type="spellStart"/>
      <w:r w:rsidRPr="006355D2">
        <w:rPr>
          <w:rFonts w:ascii="Arial" w:hAnsi="Arial" w:cs="Arial"/>
          <w:color w:val="000000" w:themeColor="text1"/>
        </w:rPr>
        <w:t>Tittonell</w:t>
      </w:r>
      <w:proofErr w:type="spellEnd"/>
      <w:r w:rsidRPr="006355D2">
        <w:rPr>
          <w:rFonts w:ascii="Arial" w:hAnsi="Arial" w:cs="Arial"/>
          <w:color w:val="000000" w:themeColor="text1"/>
        </w:rPr>
        <w:t xml:space="preserve">, P., </w:t>
      </w:r>
      <w:proofErr w:type="spellStart"/>
      <w:r w:rsidRPr="006355D2">
        <w:rPr>
          <w:rFonts w:ascii="Arial" w:hAnsi="Arial" w:cs="Arial"/>
          <w:color w:val="000000" w:themeColor="text1"/>
        </w:rPr>
        <w:t>Corbeels</w:t>
      </w:r>
      <w:proofErr w:type="spellEnd"/>
      <w:r w:rsidRPr="006355D2">
        <w:rPr>
          <w:rFonts w:ascii="Arial" w:hAnsi="Arial" w:cs="Arial"/>
          <w:color w:val="000000" w:themeColor="text1"/>
        </w:rPr>
        <w:t xml:space="preserve">, M., Van Wijk, M. T., </w:t>
      </w:r>
      <w:proofErr w:type="spellStart"/>
      <w:r w:rsidRPr="006355D2">
        <w:rPr>
          <w:rFonts w:ascii="Arial" w:hAnsi="Arial" w:cs="Arial"/>
          <w:color w:val="000000" w:themeColor="text1"/>
        </w:rPr>
        <w:t>Vanlauwe</w:t>
      </w:r>
      <w:proofErr w:type="spellEnd"/>
      <w:r w:rsidRPr="006355D2">
        <w:rPr>
          <w:rFonts w:ascii="Arial" w:hAnsi="Arial" w:cs="Arial"/>
          <w:color w:val="000000" w:themeColor="text1"/>
        </w:rPr>
        <w:t>, B., &amp; Giller, K. E. (2008). Combining organic and mineral fertilizers for integrated soil fertility management in smallholder farming systems of Kenya: Explorations using the crop</w:t>
      </w:r>
      <w:r w:rsidRPr="006355D2">
        <w:rPr>
          <w:rFonts w:ascii="Cambria Math" w:hAnsi="Cambria Math" w:cs="Cambria Math"/>
          <w:color w:val="000000" w:themeColor="text1"/>
        </w:rPr>
        <w:t>‐</w:t>
      </w:r>
      <w:r w:rsidRPr="006355D2">
        <w:rPr>
          <w:rFonts w:ascii="Arial" w:hAnsi="Arial" w:cs="Arial"/>
          <w:color w:val="000000" w:themeColor="text1"/>
        </w:rPr>
        <w:t>soil model FIELD. </w:t>
      </w:r>
      <w:r w:rsidRPr="006355D2">
        <w:rPr>
          <w:rFonts w:ascii="Arial" w:hAnsi="Arial" w:cs="Arial"/>
          <w:i/>
          <w:iCs/>
          <w:color w:val="000000" w:themeColor="text1"/>
        </w:rPr>
        <w:t>Agronomy journal</w:t>
      </w:r>
      <w:r w:rsidRPr="006355D2">
        <w:rPr>
          <w:rFonts w:ascii="Arial" w:hAnsi="Arial" w:cs="Arial"/>
          <w:color w:val="000000" w:themeColor="text1"/>
        </w:rPr>
        <w:t>, </w:t>
      </w:r>
      <w:r w:rsidRPr="006355D2">
        <w:rPr>
          <w:rFonts w:ascii="Arial" w:hAnsi="Arial" w:cs="Arial"/>
          <w:i/>
          <w:iCs/>
          <w:color w:val="000000" w:themeColor="text1"/>
        </w:rPr>
        <w:t>100</w:t>
      </w:r>
      <w:r w:rsidRPr="006355D2">
        <w:rPr>
          <w:rFonts w:ascii="Arial" w:hAnsi="Arial" w:cs="Arial"/>
          <w:color w:val="000000" w:themeColor="text1"/>
        </w:rPr>
        <w:t>(5), 1511-1526.</w:t>
      </w:r>
    </w:p>
    <w:p w14:paraId="731A8CDD" w14:textId="77777777" w:rsidR="00AD3342" w:rsidRDefault="00AD3342" w:rsidP="00AD3342">
      <w:pPr>
        <w:spacing w:line="312" w:lineRule="auto"/>
        <w:ind w:left="720" w:right="15" w:hanging="720"/>
        <w:jc w:val="both"/>
        <w:rPr>
          <w:rFonts w:ascii="Arial" w:hAnsi="Arial" w:cs="Arial"/>
          <w:color w:val="000000" w:themeColor="text1"/>
        </w:rPr>
      </w:pPr>
      <w:proofErr w:type="spellStart"/>
      <w:r w:rsidRPr="006355D2">
        <w:rPr>
          <w:rFonts w:ascii="Arial" w:hAnsi="Arial" w:cs="Arial"/>
          <w:color w:val="000000" w:themeColor="text1"/>
        </w:rPr>
        <w:t>Vanlauwe</w:t>
      </w:r>
      <w:proofErr w:type="spellEnd"/>
      <w:r w:rsidRPr="006355D2">
        <w:rPr>
          <w:rFonts w:ascii="Arial" w:hAnsi="Arial" w:cs="Arial"/>
          <w:color w:val="000000" w:themeColor="text1"/>
        </w:rPr>
        <w:t xml:space="preserve">, B., Bationo, A., </w:t>
      </w:r>
      <w:proofErr w:type="spellStart"/>
      <w:r w:rsidRPr="006355D2">
        <w:rPr>
          <w:rFonts w:ascii="Arial" w:hAnsi="Arial" w:cs="Arial"/>
          <w:color w:val="000000" w:themeColor="text1"/>
        </w:rPr>
        <w:t>Chianu</w:t>
      </w:r>
      <w:proofErr w:type="spellEnd"/>
      <w:r w:rsidRPr="006355D2">
        <w:rPr>
          <w:rFonts w:ascii="Arial" w:hAnsi="Arial" w:cs="Arial"/>
          <w:color w:val="000000" w:themeColor="text1"/>
        </w:rPr>
        <w:t xml:space="preserve">, J., Giller, K. E., Merckx, R., </w:t>
      </w:r>
      <w:proofErr w:type="spellStart"/>
      <w:r w:rsidRPr="006355D2">
        <w:rPr>
          <w:rFonts w:ascii="Arial" w:hAnsi="Arial" w:cs="Arial"/>
          <w:color w:val="000000" w:themeColor="text1"/>
        </w:rPr>
        <w:t>Mokwunye</w:t>
      </w:r>
      <w:proofErr w:type="spellEnd"/>
      <w:r w:rsidRPr="006355D2">
        <w:rPr>
          <w:rFonts w:ascii="Arial" w:hAnsi="Arial" w:cs="Arial"/>
          <w:color w:val="000000" w:themeColor="text1"/>
        </w:rPr>
        <w:t>, U., ... &amp; Sanginga, N. (2010). Integrated soil fertility management: operational definition and consequences for implementation and dissemination. </w:t>
      </w:r>
      <w:r w:rsidRPr="006355D2">
        <w:rPr>
          <w:rFonts w:ascii="Arial" w:hAnsi="Arial" w:cs="Arial"/>
          <w:i/>
          <w:iCs/>
          <w:color w:val="000000" w:themeColor="text1"/>
        </w:rPr>
        <w:t>Outlook on agriculture</w:t>
      </w:r>
      <w:r w:rsidRPr="006355D2">
        <w:rPr>
          <w:rFonts w:ascii="Arial" w:hAnsi="Arial" w:cs="Arial"/>
          <w:color w:val="000000" w:themeColor="text1"/>
        </w:rPr>
        <w:t>, </w:t>
      </w:r>
      <w:r w:rsidRPr="006355D2">
        <w:rPr>
          <w:rFonts w:ascii="Arial" w:hAnsi="Arial" w:cs="Arial"/>
          <w:i/>
          <w:iCs/>
          <w:color w:val="000000" w:themeColor="text1"/>
        </w:rPr>
        <w:t>39</w:t>
      </w:r>
      <w:r w:rsidRPr="006355D2">
        <w:rPr>
          <w:rFonts w:ascii="Arial" w:hAnsi="Arial" w:cs="Arial"/>
          <w:color w:val="000000" w:themeColor="text1"/>
        </w:rPr>
        <w:t>(1), 17-24.</w:t>
      </w:r>
    </w:p>
    <w:p w14:paraId="7E9FC0E3" w14:textId="77777777" w:rsidR="00994C28" w:rsidRPr="00994C28" w:rsidRDefault="00994C28" w:rsidP="00AD3342">
      <w:pPr>
        <w:spacing w:line="360" w:lineRule="auto"/>
        <w:ind w:left="720" w:right="15" w:hanging="720"/>
        <w:jc w:val="both"/>
        <w:rPr>
          <w:rFonts w:ascii="Arial" w:hAnsi="Arial" w:cs="Arial"/>
          <w:color w:val="000000" w:themeColor="text1"/>
        </w:rPr>
      </w:pPr>
    </w:p>
    <w:sectPr w:rsidR="00994C28" w:rsidRPr="00994C28" w:rsidSect="003A239A">
      <w:headerReference w:type="even" r:id="rId19"/>
      <w:headerReference w:type="default" r:id="rId20"/>
      <w:footerReference w:type="default" r:id="rId21"/>
      <w:headerReference w:type="first" r:id="rId22"/>
      <w:type w:val="continuous"/>
      <w:pgSz w:w="11906" w:h="16838" w:code="9"/>
      <w:pgMar w:top="1440" w:right="1440" w:bottom="1440" w:left="2261"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E4C39" w14:textId="77777777" w:rsidR="00970032" w:rsidRDefault="00970032" w:rsidP="00C37E61">
      <w:r>
        <w:separator/>
      </w:r>
    </w:p>
  </w:endnote>
  <w:endnote w:type="continuationSeparator" w:id="0">
    <w:p w14:paraId="1D2BC559" w14:textId="77777777" w:rsidR="00970032" w:rsidRDefault="0097003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29EBA" w14:textId="77777777" w:rsidR="003A239A" w:rsidRDefault="003A23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CA868" w14:textId="77777777" w:rsidR="003A239A" w:rsidRDefault="003A23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ED5C8" w14:textId="77777777" w:rsidR="003A239A" w:rsidRDefault="003A23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502C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562CD" w14:textId="77777777" w:rsidR="00970032" w:rsidRDefault="00970032" w:rsidP="00C37E61">
      <w:r>
        <w:separator/>
      </w:r>
    </w:p>
  </w:footnote>
  <w:footnote w:type="continuationSeparator" w:id="0">
    <w:p w14:paraId="60869299" w14:textId="77777777" w:rsidR="00970032" w:rsidRDefault="0097003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9360C" w14:textId="1E2CE4C7" w:rsidR="003A239A" w:rsidRDefault="00000000">
    <w:pPr>
      <w:pStyle w:val="Header"/>
    </w:pPr>
    <w:r>
      <w:rPr>
        <w:noProof/>
      </w:rPr>
      <w:pict w14:anchorId="0A313E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407485" o:spid="_x0000_s1026" type="#_x0000_t136" style="position:absolute;margin-left:0;margin-top:0;width:520.55pt;height:57.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CF9A6" w14:textId="78EB480A" w:rsidR="003A239A" w:rsidRDefault="00000000">
    <w:pPr>
      <w:pStyle w:val="Header"/>
    </w:pPr>
    <w:r>
      <w:rPr>
        <w:noProof/>
      </w:rPr>
      <w:pict w14:anchorId="4E499B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407486" o:spid="_x0000_s1027" type="#_x0000_t136" style="position:absolute;margin-left:0;margin-top:0;width:520.55pt;height:57.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33DFB" w14:textId="3C07CF36" w:rsidR="003A239A" w:rsidRDefault="00000000">
    <w:pPr>
      <w:pStyle w:val="Header"/>
    </w:pPr>
    <w:r>
      <w:rPr>
        <w:noProof/>
      </w:rPr>
      <w:pict w14:anchorId="3245D4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407484" o:spid="_x0000_s1025" type="#_x0000_t136" style="position:absolute;margin-left:0;margin-top:0;width:520.55pt;height:57.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66379" w14:textId="72C4608F" w:rsidR="003A239A" w:rsidRDefault="00000000">
    <w:pPr>
      <w:pStyle w:val="Header"/>
    </w:pPr>
    <w:r>
      <w:rPr>
        <w:noProof/>
      </w:rPr>
      <w:pict w14:anchorId="4B2558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407488" o:spid="_x0000_s1029" type="#_x0000_t136" style="position:absolute;margin-left:0;margin-top:0;width:520.55pt;height:57.8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DEB17" w14:textId="02EBACCE" w:rsidR="003A239A" w:rsidRDefault="00000000">
    <w:pPr>
      <w:pStyle w:val="Header"/>
    </w:pPr>
    <w:r>
      <w:rPr>
        <w:noProof/>
      </w:rPr>
      <w:pict w14:anchorId="09E3CA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407489" o:spid="_x0000_s1030" type="#_x0000_t136" style="position:absolute;margin-left:0;margin-top:0;width:520.55pt;height:57.8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31514" w14:textId="1710F340" w:rsidR="003A239A" w:rsidRDefault="00000000">
    <w:pPr>
      <w:pStyle w:val="Header"/>
    </w:pPr>
    <w:r>
      <w:rPr>
        <w:noProof/>
      </w:rPr>
      <w:pict w14:anchorId="2E087F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407487" o:spid="_x0000_s1028" type="#_x0000_t136" style="position:absolute;margin-left:0;margin-top:0;width:520.55pt;height:57.8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95E26"/>
    <w:multiLevelType w:val="multilevel"/>
    <w:tmpl w:val="4F5E1F3C"/>
    <w:lvl w:ilvl="0">
      <w:start w:val="1"/>
      <w:numFmt w:val="bullet"/>
      <w:lvlText w:val=""/>
      <w:lvlJc w:val="left"/>
      <w:pPr>
        <w:tabs>
          <w:tab w:val="num" w:pos="4500"/>
        </w:tabs>
        <w:ind w:left="4500" w:hanging="360"/>
      </w:pPr>
      <w:rPr>
        <w:rFonts w:ascii="Symbol" w:hAnsi="Symbol" w:hint="default"/>
        <w:sz w:val="20"/>
      </w:rPr>
    </w:lvl>
    <w:lvl w:ilvl="1" w:tentative="1">
      <w:start w:val="1"/>
      <w:numFmt w:val="bullet"/>
      <w:lvlText w:val=""/>
      <w:lvlJc w:val="left"/>
      <w:pPr>
        <w:tabs>
          <w:tab w:val="num" w:pos="5220"/>
        </w:tabs>
        <w:ind w:left="5220" w:hanging="360"/>
      </w:pPr>
      <w:rPr>
        <w:rFonts w:ascii="Symbol" w:hAnsi="Symbol" w:hint="default"/>
        <w:sz w:val="20"/>
      </w:rPr>
    </w:lvl>
    <w:lvl w:ilvl="2" w:tentative="1">
      <w:start w:val="1"/>
      <w:numFmt w:val="bullet"/>
      <w:lvlText w:val=""/>
      <w:lvlJc w:val="left"/>
      <w:pPr>
        <w:tabs>
          <w:tab w:val="num" w:pos="5940"/>
        </w:tabs>
        <w:ind w:left="5940" w:hanging="360"/>
      </w:pPr>
      <w:rPr>
        <w:rFonts w:ascii="Symbol" w:hAnsi="Symbol" w:hint="default"/>
        <w:sz w:val="20"/>
      </w:rPr>
    </w:lvl>
    <w:lvl w:ilvl="3" w:tentative="1">
      <w:start w:val="1"/>
      <w:numFmt w:val="bullet"/>
      <w:lvlText w:val=""/>
      <w:lvlJc w:val="left"/>
      <w:pPr>
        <w:tabs>
          <w:tab w:val="num" w:pos="6660"/>
        </w:tabs>
        <w:ind w:left="6660" w:hanging="360"/>
      </w:pPr>
      <w:rPr>
        <w:rFonts w:ascii="Symbol" w:hAnsi="Symbol" w:hint="default"/>
        <w:sz w:val="20"/>
      </w:rPr>
    </w:lvl>
    <w:lvl w:ilvl="4" w:tentative="1">
      <w:start w:val="1"/>
      <w:numFmt w:val="bullet"/>
      <w:lvlText w:val=""/>
      <w:lvlJc w:val="left"/>
      <w:pPr>
        <w:tabs>
          <w:tab w:val="num" w:pos="7380"/>
        </w:tabs>
        <w:ind w:left="7380" w:hanging="360"/>
      </w:pPr>
      <w:rPr>
        <w:rFonts w:ascii="Symbol" w:hAnsi="Symbol" w:hint="default"/>
        <w:sz w:val="20"/>
      </w:rPr>
    </w:lvl>
    <w:lvl w:ilvl="5" w:tentative="1">
      <w:start w:val="1"/>
      <w:numFmt w:val="bullet"/>
      <w:lvlText w:val=""/>
      <w:lvlJc w:val="left"/>
      <w:pPr>
        <w:tabs>
          <w:tab w:val="num" w:pos="8100"/>
        </w:tabs>
        <w:ind w:left="8100" w:hanging="360"/>
      </w:pPr>
      <w:rPr>
        <w:rFonts w:ascii="Symbol" w:hAnsi="Symbol" w:hint="default"/>
        <w:sz w:val="20"/>
      </w:rPr>
    </w:lvl>
    <w:lvl w:ilvl="6" w:tentative="1">
      <w:start w:val="1"/>
      <w:numFmt w:val="bullet"/>
      <w:lvlText w:val=""/>
      <w:lvlJc w:val="left"/>
      <w:pPr>
        <w:tabs>
          <w:tab w:val="num" w:pos="8820"/>
        </w:tabs>
        <w:ind w:left="8820" w:hanging="360"/>
      </w:pPr>
      <w:rPr>
        <w:rFonts w:ascii="Symbol" w:hAnsi="Symbol" w:hint="default"/>
        <w:sz w:val="20"/>
      </w:rPr>
    </w:lvl>
    <w:lvl w:ilvl="7" w:tentative="1">
      <w:start w:val="1"/>
      <w:numFmt w:val="bullet"/>
      <w:lvlText w:val=""/>
      <w:lvlJc w:val="left"/>
      <w:pPr>
        <w:tabs>
          <w:tab w:val="num" w:pos="9540"/>
        </w:tabs>
        <w:ind w:left="9540" w:hanging="360"/>
      </w:pPr>
      <w:rPr>
        <w:rFonts w:ascii="Symbol" w:hAnsi="Symbol" w:hint="default"/>
        <w:sz w:val="20"/>
      </w:rPr>
    </w:lvl>
    <w:lvl w:ilvl="8" w:tentative="1">
      <w:start w:val="1"/>
      <w:numFmt w:val="bullet"/>
      <w:lvlText w:val=""/>
      <w:lvlJc w:val="left"/>
      <w:pPr>
        <w:tabs>
          <w:tab w:val="num" w:pos="10260"/>
        </w:tabs>
        <w:ind w:left="10260" w:hanging="360"/>
      </w:pPr>
      <w:rPr>
        <w:rFonts w:ascii="Symbol" w:hAnsi="Symbol" w:hint="default"/>
        <w:sz w:val="20"/>
      </w:rPr>
    </w:lvl>
  </w:abstractNum>
  <w:abstractNum w:abstractNumId="1" w15:restartNumberingAfterBreak="0">
    <w:nsid w:val="19297C8A"/>
    <w:multiLevelType w:val="multilevel"/>
    <w:tmpl w:val="FC1C7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A161C7"/>
    <w:multiLevelType w:val="multilevel"/>
    <w:tmpl w:val="CCF43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611931"/>
    <w:multiLevelType w:val="multilevel"/>
    <w:tmpl w:val="57885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4144EE"/>
    <w:multiLevelType w:val="hybridMultilevel"/>
    <w:tmpl w:val="5896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A854F7"/>
    <w:multiLevelType w:val="multilevel"/>
    <w:tmpl w:val="79180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9D4E79"/>
    <w:multiLevelType w:val="multilevel"/>
    <w:tmpl w:val="9AA8AD98"/>
    <w:lvl w:ilvl="0">
      <w:start w:val="1"/>
      <w:numFmt w:val="bullet"/>
      <w:lvlText w:val=""/>
      <w:lvlJc w:val="left"/>
      <w:pPr>
        <w:tabs>
          <w:tab w:val="num" w:pos="5580"/>
        </w:tabs>
        <w:ind w:left="5580" w:hanging="360"/>
      </w:pPr>
      <w:rPr>
        <w:rFonts w:ascii="Symbol" w:hAnsi="Symbol" w:hint="default"/>
        <w:sz w:val="20"/>
      </w:rPr>
    </w:lvl>
    <w:lvl w:ilvl="1" w:tentative="1">
      <w:start w:val="1"/>
      <w:numFmt w:val="bullet"/>
      <w:lvlText w:val=""/>
      <w:lvlJc w:val="left"/>
      <w:pPr>
        <w:tabs>
          <w:tab w:val="num" w:pos="6300"/>
        </w:tabs>
        <w:ind w:left="6300" w:hanging="360"/>
      </w:pPr>
      <w:rPr>
        <w:rFonts w:ascii="Symbol" w:hAnsi="Symbol" w:hint="default"/>
        <w:sz w:val="20"/>
      </w:rPr>
    </w:lvl>
    <w:lvl w:ilvl="2" w:tentative="1">
      <w:start w:val="1"/>
      <w:numFmt w:val="bullet"/>
      <w:lvlText w:val=""/>
      <w:lvlJc w:val="left"/>
      <w:pPr>
        <w:tabs>
          <w:tab w:val="num" w:pos="7020"/>
        </w:tabs>
        <w:ind w:left="7020" w:hanging="360"/>
      </w:pPr>
      <w:rPr>
        <w:rFonts w:ascii="Symbol" w:hAnsi="Symbol" w:hint="default"/>
        <w:sz w:val="20"/>
      </w:rPr>
    </w:lvl>
    <w:lvl w:ilvl="3" w:tentative="1">
      <w:start w:val="1"/>
      <w:numFmt w:val="bullet"/>
      <w:lvlText w:val=""/>
      <w:lvlJc w:val="left"/>
      <w:pPr>
        <w:tabs>
          <w:tab w:val="num" w:pos="7740"/>
        </w:tabs>
        <w:ind w:left="7740" w:hanging="360"/>
      </w:pPr>
      <w:rPr>
        <w:rFonts w:ascii="Symbol" w:hAnsi="Symbol" w:hint="default"/>
        <w:sz w:val="20"/>
      </w:rPr>
    </w:lvl>
    <w:lvl w:ilvl="4" w:tentative="1">
      <w:start w:val="1"/>
      <w:numFmt w:val="bullet"/>
      <w:lvlText w:val=""/>
      <w:lvlJc w:val="left"/>
      <w:pPr>
        <w:tabs>
          <w:tab w:val="num" w:pos="8460"/>
        </w:tabs>
        <w:ind w:left="8460" w:hanging="360"/>
      </w:pPr>
      <w:rPr>
        <w:rFonts w:ascii="Symbol" w:hAnsi="Symbol" w:hint="default"/>
        <w:sz w:val="20"/>
      </w:rPr>
    </w:lvl>
    <w:lvl w:ilvl="5" w:tentative="1">
      <w:start w:val="1"/>
      <w:numFmt w:val="bullet"/>
      <w:lvlText w:val=""/>
      <w:lvlJc w:val="left"/>
      <w:pPr>
        <w:tabs>
          <w:tab w:val="num" w:pos="9180"/>
        </w:tabs>
        <w:ind w:left="9180" w:hanging="360"/>
      </w:pPr>
      <w:rPr>
        <w:rFonts w:ascii="Symbol" w:hAnsi="Symbol" w:hint="default"/>
        <w:sz w:val="20"/>
      </w:rPr>
    </w:lvl>
    <w:lvl w:ilvl="6" w:tentative="1">
      <w:start w:val="1"/>
      <w:numFmt w:val="bullet"/>
      <w:lvlText w:val=""/>
      <w:lvlJc w:val="left"/>
      <w:pPr>
        <w:tabs>
          <w:tab w:val="num" w:pos="9900"/>
        </w:tabs>
        <w:ind w:left="9900" w:hanging="360"/>
      </w:pPr>
      <w:rPr>
        <w:rFonts w:ascii="Symbol" w:hAnsi="Symbol" w:hint="default"/>
        <w:sz w:val="20"/>
      </w:rPr>
    </w:lvl>
    <w:lvl w:ilvl="7" w:tentative="1">
      <w:start w:val="1"/>
      <w:numFmt w:val="bullet"/>
      <w:lvlText w:val=""/>
      <w:lvlJc w:val="left"/>
      <w:pPr>
        <w:tabs>
          <w:tab w:val="num" w:pos="10620"/>
        </w:tabs>
        <w:ind w:left="10620" w:hanging="360"/>
      </w:pPr>
      <w:rPr>
        <w:rFonts w:ascii="Symbol" w:hAnsi="Symbol" w:hint="default"/>
        <w:sz w:val="20"/>
      </w:rPr>
    </w:lvl>
    <w:lvl w:ilvl="8" w:tentative="1">
      <w:start w:val="1"/>
      <w:numFmt w:val="bullet"/>
      <w:lvlText w:val=""/>
      <w:lvlJc w:val="left"/>
      <w:pPr>
        <w:tabs>
          <w:tab w:val="num" w:pos="11340"/>
        </w:tabs>
        <w:ind w:left="11340" w:hanging="360"/>
      </w:pPr>
      <w:rPr>
        <w:rFonts w:ascii="Symbol" w:hAnsi="Symbol" w:hint="default"/>
        <w:sz w:val="20"/>
      </w:rPr>
    </w:lvl>
  </w:abstractNum>
  <w:abstractNum w:abstractNumId="7" w15:restartNumberingAfterBreak="0">
    <w:nsid w:val="58B60EA0"/>
    <w:multiLevelType w:val="multilevel"/>
    <w:tmpl w:val="6ECC1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C00370D"/>
    <w:multiLevelType w:val="multilevel"/>
    <w:tmpl w:val="5DAE7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E971617"/>
    <w:multiLevelType w:val="multilevel"/>
    <w:tmpl w:val="58927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C833F78"/>
    <w:multiLevelType w:val="multilevel"/>
    <w:tmpl w:val="5298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12" w15:restartNumberingAfterBreak="0">
    <w:nsid w:val="7E140F19"/>
    <w:multiLevelType w:val="multilevel"/>
    <w:tmpl w:val="A8900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26843489">
    <w:abstractNumId w:val="11"/>
  </w:num>
  <w:num w:numId="2" w16cid:durableId="937054">
    <w:abstractNumId w:val="7"/>
  </w:num>
  <w:num w:numId="3" w16cid:durableId="1010765562">
    <w:abstractNumId w:val="9"/>
  </w:num>
  <w:num w:numId="4" w16cid:durableId="1741369838">
    <w:abstractNumId w:val="5"/>
  </w:num>
  <w:num w:numId="5" w16cid:durableId="1386027880">
    <w:abstractNumId w:val="4"/>
  </w:num>
  <w:num w:numId="6" w16cid:durableId="2012022627">
    <w:abstractNumId w:val="0"/>
  </w:num>
  <w:num w:numId="7" w16cid:durableId="758673400">
    <w:abstractNumId w:val="8"/>
  </w:num>
  <w:num w:numId="8" w16cid:durableId="945424947">
    <w:abstractNumId w:val="2"/>
  </w:num>
  <w:num w:numId="9" w16cid:durableId="1664091825">
    <w:abstractNumId w:val="6"/>
  </w:num>
  <w:num w:numId="10" w16cid:durableId="1166826061">
    <w:abstractNumId w:val="3"/>
  </w:num>
  <w:num w:numId="11" w16cid:durableId="2007242479">
    <w:abstractNumId w:val="12"/>
  </w:num>
  <w:num w:numId="12" w16cid:durableId="1435249710">
    <w:abstractNumId w:val="1"/>
  </w:num>
  <w:num w:numId="13" w16cid:durableId="251165128">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1517D"/>
    <w:rsid w:val="00022602"/>
    <w:rsid w:val="00030174"/>
    <w:rsid w:val="0003323C"/>
    <w:rsid w:val="0004579C"/>
    <w:rsid w:val="00085C7C"/>
    <w:rsid w:val="000A47FA"/>
    <w:rsid w:val="000A65D3"/>
    <w:rsid w:val="000B1E33"/>
    <w:rsid w:val="000C6880"/>
    <w:rsid w:val="000D689F"/>
    <w:rsid w:val="000D7D79"/>
    <w:rsid w:val="000E7B7B"/>
    <w:rsid w:val="000E7D62"/>
    <w:rsid w:val="00103357"/>
    <w:rsid w:val="00123C9F"/>
    <w:rsid w:val="00126190"/>
    <w:rsid w:val="00130F17"/>
    <w:rsid w:val="001320BF"/>
    <w:rsid w:val="00163BC4"/>
    <w:rsid w:val="00185366"/>
    <w:rsid w:val="00191062"/>
    <w:rsid w:val="00192B72"/>
    <w:rsid w:val="001A2528"/>
    <w:rsid w:val="001A29D8"/>
    <w:rsid w:val="001A3928"/>
    <w:rsid w:val="001A5CAA"/>
    <w:rsid w:val="001B0427"/>
    <w:rsid w:val="001C60E8"/>
    <w:rsid w:val="001C6A32"/>
    <w:rsid w:val="001D3A51"/>
    <w:rsid w:val="001E10D2"/>
    <w:rsid w:val="001E25B4"/>
    <w:rsid w:val="001E44FE"/>
    <w:rsid w:val="00200595"/>
    <w:rsid w:val="00204835"/>
    <w:rsid w:val="00231920"/>
    <w:rsid w:val="0023195C"/>
    <w:rsid w:val="0024282C"/>
    <w:rsid w:val="002460DC"/>
    <w:rsid w:val="00250985"/>
    <w:rsid w:val="002556F6"/>
    <w:rsid w:val="002827E8"/>
    <w:rsid w:val="00283105"/>
    <w:rsid w:val="00284C4C"/>
    <w:rsid w:val="00285B2D"/>
    <w:rsid w:val="00287E68"/>
    <w:rsid w:val="002929FC"/>
    <w:rsid w:val="00296529"/>
    <w:rsid w:val="002B1245"/>
    <w:rsid w:val="002B27FB"/>
    <w:rsid w:val="002B685A"/>
    <w:rsid w:val="002C57D2"/>
    <w:rsid w:val="002E0D56"/>
    <w:rsid w:val="00315186"/>
    <w:rsid w:val="00327A03"/>
    <w:rsid w:val="00327D93"/>
    <w:rsid w:val="0033343E"/>
    <w:rsid w:val="00336EC4"/>
    <w:rsid w:val="003512C2"/>
    <w:rsid w:val="00371FB6"/>
    <w:rsid w:val="003763C1"/>
    <w:rsid w:val="00376BBE"/>
    <w:rsid w:val="00380063"/>
    <w:rsid w:val="00380CE0"/>
    <w:rsid w:val="00383210"/>
    <w:rsid w:val="0039224F"/>
    <w:rsid w:val="003A08BD"/>
    <w:rsid w:val="003A239A"/>
    <w:rsid w:val="003A43A4"/>
    <w:rsid w:val="003A7E18"/>
    <w:rsid w:val="003C2D41"/>
    <w:rsid w:val="003C4C86"/>
    <w:rsid w:val="003C6258"/>
    <w:rsid w:val="003D21DF"/>
    <w:rsid w:val="003E2904"/>
    <w:rsid w:val="003E6120"/>
    <w:rsid w:val="003E617C"/>
    <w:rsid w:val="003F19FB"/>
    <w:rsid w:val="003F4B79"/>
    <w:rsid w:val="00401927"/>
    <w:rsid w:val="0041027F"/>
    <w:rsid w:val="00412475"/>
    <w:rsid w:val="00412C5A"/>
    <w:rsid w:val="0041376D"/>
    <w:rsid w:val="00423789"/>
    <w:rsid w:val="00440EBE"/>
    <w:rsid w:val="00440F43"/>
    <w:rsid w:val="00441B6F"/>
    <w:rsid w:val="00446221"/>
    <w:rsid w:val="00450E62"/>
    <w:rsid w:val="004539DB"/>
    <w:rsid w:val="00463FEC"/>
    <w:rsid w:val="004664C2"/>
    <w:rsid w:val="00471A80"/>
    <w:rsid w:val="00475DC5"/>
    <w:rsid w:val="00475E09"/>
    <w:rsid w:val="00495A5B"/>
    <w:rsid w:val="004B6419"/>
    <w:rsid w:val="004D10D7"/>
    <w:rsid w:val="004D305E"/>
    <w:rsid w:val="004D4277"/>
    <w:rsid w:val="004F072A"/>
    <w:rsid w:val="00502516"/>
    <w:rsid w:val="00505F06"/>
    <w:rsid w:val="00506828"/>
    <w:rsid w:val="005117F1"/>
    <w:rsid w:val="005179A3"/>
    <w:rsid w:val="0053056E"/>
    <w:rsid w:val="0054059F"/>
    <w:rsid w:val="005413AE"/>
    <w:rsid w:val="00554FDA"/>
    <w:rsid w:val="00556A03"/>
    <w:rsid w:val="00577EAB"/>
    <w:rsid w:val="005927F6"/>
    <w:rsid w:val="005A390F"/>
    <w:rsid w:val="005B1FC0"/>
    <w:rsid w:val="005C46D0"/>
    <w:rsid w:val="005C784C"/>
    <w:rsid w:val="005D17F6"/>
    <w:rsid w:val="005D6383"/>
    <w:rsid w:val="005E14CA"/>
    <w:rsid w:val="005E5539"/>
    <w:rsid w:val="005F5F3C"/>
    <w:rsid w:val="00602BF5"/>
    <w:rsid w:val="00617FDD"/>
    <w:rsid w:val="00633614"/>
    <w:rsid w:val="00633DE5"/>
    <w:rsid w:val="00633F68"/>
    <w:rsid w:val="00636EB2"/>
    <w:rsid w:val="006375B8"/>
    <w:rsid w:val="00650980"/>
    <w:rsid w:val="00657A5A"/>
    <w:rsid w:val="0066510A"/>
    <w:rsid w:val="00673F9F"/>
    <w:rsid w:val="00681DF5"/>
    <w:rsid w:val="00686953"/>
    <w:rsid w:val="0068753E"/>
    <w:rsid w:val="006875CB"/>
    <w:rsid w:val="00687DEA"/>
    <w:rsid w:val="00687E67"/>
    <w:rsid w:val="006967F7"/>
    <w:rsid w:val="006A1919"/>
    <w:rsid w:val="006A250C"/>
    <w:rsid w:val="006B21D3"/>
    <w:rsid w:val="006B57D0"/>
    <w:rsid w:val="006D30FF"/>
    <w:rsid w:val="006D6940"/>
    <w:rsid w:val="006F11EC"/>
    <w:rsid w:val="0070082C"/>
    <w:rsid w:val="00707275"/>
    <w:rsid w:val="007369E6"/>
    <w:rsid w:val="00746E59"/>
    <w:rsid w:val="00754C9A"/>
    <w:rsid w:val="0075599A"/>
    <w:rsid w:val="007617CB"/>
    <w:rsid w:val="00761D52"/>
    <w:rsid w:val="0077749E"/>
    <w:rsid w:val="00782496"/>
    <w:rsid w:val="00790ADA"/>
    <w:rsid w:val="007C49E7"/>
    <w:rsid w:val="007C6DB0"/>
    <w:rsid w:val="007D2288"/>
    <w:rsid w:val="007D77A3"/>
    <w:rsid w:val="007E088F"/>
    <w:rsid w:val="007F7B32"/>
    <w:rsid w:val="00801D01"/>
    <w:rsid w:val="00804BC2"/>
    <w:rsid w:val="0081431A"/>
    <w:rsid w:val="0083216F"/>
    <w:rsid w:val="00860000"/>
    <w:rsid w:val="00863BD3"/>
    <w:rsid w:val="008641ED"/>
    <w:rsid w:val="0086431C"/>
    <w:rsid w:val="00866D66"/>
    <w:rsid w:val="008671C6"/>
    <w:rsid w:val="00872F16"/>
    <w:rsid w:val="00875803"/>
    <w:rsid w:val="008A311A"/>
    <w:rsid w:val="008B459E"/>
    <w:rsid w:val="008B71C8"/>
    <w:rsid w:val="008E13AE"/>
    <w:rsid w:val="008E1506"/>
    <w:rsid w:val="008E5D48"/>
    <w:rsid w:val="008E710C"/>
    <w:rsid w:val="008F3F94"/>
    <w:rsid w:val="008F69D6"/>
    <w:rsid w:val="00900E71"/>
    <w:rsid w:val="00902823"/>
    <w:rsid w:val="00907112"/>
    <w:rsid w:val="00915CA6"/>
    <w:rsid w:val="0092235A"/>
    <w:rsid w:val="00927834"/>
    <w:rsid w:val="00932542"/>
    <w:rsid w:val="00941588"/>
    <w:rsid w:val="009500A6"/>
    <w:rsid w:val="00957C18"/>
    <w:rsid w:val="009659BA"/>
    <w:rsid w:val="00970032"/>
    <w:rsid w:val="009701C0"/>
    <w:rsid w:val="009812DC"/>
    <w:rsid w:val="00983040"/>
    <w:rsid w:val="00984A80"/>
    <w:rsid w:val="00994C28"/>
    <w:rsid w:val="009963A0"/>
    <w:rsid w:val="009B10A3"/>
    <w:rsid w:val="009B3FB9"/>
    <w:rsid w:val="009C2465"/>
    <w:rsid w:val="009C4C62"/>
    <w:rsid w:val="009D35A0"/>
    <w:rsid w:val="009D7EB7"/>
    <w:rsid w:val="009E048A"/>
    <w:rsid w:val="009E08E9"/>
    <w:rsid w:val="009E3DB9"/>
    <w:rsid w:val="009E4FEF"/>
    <w:rsid w:val="009E6E35"/>
    <w:rsid w:val="009F0EDA"/>
    <w:rsid w:val="009F2FE9"/>
    <w:rsid w:val="00A03B96"/>
    <w:rsid w:val="00A03D69"/>
    <w:rsid w:val="00A05B19"/>
    <w:rsid w:val="00A1134E"/>
    <w:rsid w:val="00A24E7E"/>
    <w:rsid w:val="00A258C3"/>
    <w:rsid w:val="00A347C0"/>
    <w:rsid w:val="00A51431"/>
    <w:rsid w:val="00A539AD"/>
    <w:rsid w:val="00A701AA"/>
    <w:rsid w:val="00A94063"/>
    <w:rsid w:val="00AA6219"/>
    <w:rsid w:val="00AA74E0"/>
    <w:rsid w:val="00AB703F"/>
    <w:rsid w:val="00AC6BB8"/>
    <w:rsid w:val="00AD3342"/>
    <w:rsid w:val="00AE008F"/>
    <w:rsid w:val="00AF14F0"/>
    <w:rsid w:val="00AF7BE9"/>
    <w:rsid w:val="00B01FCD"/>
    <w:rsid w:val="00B1776C"/>
    <w:rsid w:val="00B17A88"/>
    <w:rsid w:val="00B52583"/>
    <w:rsid w:val="00B52896"/>
    <w:rsid w:val="00B5305A"/>
    <w:rsid w:val="00B533C0"/>
    <w:rsid w:val="00B75A8D"/>
    <w:rsid w:val="00B940FB"/>
    <w:rsid w:val="00B95236"/>
    <w:rsid w:val="00B96BD9"/>
    <w:rsid w:val="00BA1B01"/>
    <w:rsid w:val="00BA2641"/>
    <w:rsid w:val="00BB37AA"/>
    <w:rsid w:val="00BC036C"/>
    <w:rsid w:val="00BC53A0"/>
    <w:rsid w:val="00BE1B1E"/>
    <w:rsid w:val="00BE3872"/>
    <w:rsid w:val="00BE62AD"/>
    <w:rsid w:val="00BF121F"/>
    <w:rsid w:val="00BF1F80"/>
    <w:rsid w:val="00C064F2"/>
    <w:rsid w:val="00C13684"/>
    <w:rsid w:val="00C157B5"/>
    <w:rsid w:val="00C166EF"/>
    <w:rsid w:val="00C17EB0"/>
    <w:rsid w:val="00C27F5F"/>
    <w:rsid w:val="00C30A0F"/>
    <w:rsid w:val="00C37E61"/>
    <w:rsid w:val="00C41BE4"/>
    <w:rsid w:val="00C54CE8"/>
    <w:rsid w:val="00C70F1B"/>
    <w:rsid w:val="00C71A47"/>
    <w:rsid w:val="00C7464C"/>
    <w:rsid w:val="00C85588"/>
    <w:rsid w:val="00C90B11"/>
    <w:rsid w:val="00CA6013"/>
    <w:rsid w:val="00CD6755"/>
    <w:rsid w:val="00CD6856"/>
    <w:rsid w:val="00CE0089"/>
    <w:rsid w:val="00CE69B7"/>
    <w:rsid w:val="00CE793C"/>
    <w:rsid w:val="00CF193C"/>
    <w:rsid w:val="00CF6596"/>
    <w:rsid w:val="00D173F1"/>
    <w:rsid w:val="00D55D0A"/>
    <w:rsid w:val="00D74CB0"/>
    <w:rsid w:val="00D80B85"/>
    <w:rsid w:val="00D8295D"/>
    <w:rsid w:val="00D85DCC"/>
    <w:rsid w:val="00DC2A65"/>
    <w:rsid w:val="00DC7609"/>
    <w:rsid w:val="00DE15F0"/>
    <w:rsid w:val="00DE5663"/>
    <w:rsid w:val="00DE78AA"/>
    <w:rsid w:val="00DF4B27"/>
    <w:rsid w:val="00E053D0"/>
    <w:rsid w:val="00E1129A"/>
    <w:rsid w:val="00E15994"/>
    <w:rsid w:val="00E17C20"/>
    <w:rsid w:val="00E3114E"/>
    <w:rsid w:val="00E31A70"/>
    <w:rsid w:val="00E35B02"/>
    <w:rsid w:val="00E41374"/>
    <w:rsid w:val="00E41778"/>
    <w:rsid w:val="00E66496"/>
    <w:rsid w:val="00E66B35"/>
    <w:rsid w:val="00E66E10"/>
    <w:rsid w:val="00E75E10"/>
    <w:rsid w:val="00E769F6"/>
    <w:rsid w:val="00E8407C"/>
    <w:rsid w:val="00E84F3C"/>
    <w:rsid w:val="00E9130F"/>
    <w:rsid w:val="00EA012C"/>
    <w:rsid w:val="00EB2838"/>
    <w:rsid w:val="00EC6A55"/>
    <w:rsid w:val="00ED0288"/>
    <w:rsid w:val="00ED1B2F"/>
    <w:rsid w:val="00ED617B"/>
    <w:rsid w:val="00EE52CB"/>
    <w:rsid w:val="00EF120D"/>
    <w:rsid w:val="00EF581D"/>
    <w:rsid w:val="00EF7FD8"/>
    <w:rsid w:val="00F06F59"/>
    <w:rsid w:val="00F13C58"/>
    <w:rsid w:val="00F17988"/>
    <w:rsid w:val="00F42131"/>
    <w:rsid w:val="00F435F1"/>
    <w:rsid w:val="00F469F0"/>
    <w:rsid w:val="00F53273"/>
    <w:rsid w:val="00F661BD"/>
    <w:rsid w:val="00F666E1"/>
    <w:rsid w:val="00F755E4"/>
    <w:rsid w:val="00F77D02"/>
    <w:rsid w:val="00FA1568"/>
    <w:rsid w:val="00FA409F"/>
    <w:rsid w:val="00FB3A86"/>
    <w:rsid w:val="00FD36C8"/>
    <w:rsid w:val="00FD5EB3"/>
    <w:rsid w:val="00FD7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2DD681"/>
  <w15:docId w15:val="{ACED8F7A-DF4B-403B-835B-F8CA8DFAC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617B"/>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C13684"/>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27A0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13684"/>
    <w:pPr>
      <w:keepNext/>
      <w:keepLines/>
      <w:spacing w:before="80" w:after="40" w:line="278" w:lineRule="auto"/>
      <w:outlineLvl w:val="3"/>
    </w:pPr>
    <w:rPr>
      <w:rFonts w:asciiTheme="minorHAnsi" w:eastAsiaTheme="majorEastAsia" w:hAnsiTheme="minorHAnsi" w:cstheme="majorBidi"/>
      <w:i/>
      <w:iCs/>
      <w:color w:val="365F9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13684"/>
    <w:pPr>
      <w:keepNext/>
      <w:keepLines/>
      <w:spacing w:before="80" w:after="40" w:line="278" w:lineRule="auto"/>
      <w:outlineLvl w:val="4"/>
    </w:pPr>
    <w:rPr>
      <w:rFonts w:asciiTheme="minorHAnsi" w:eastAsiaTheme="majorEastAsia" w:hAnsiTheme="minorHAnsi" w:cstheme="majorBidi"/>
      <w:color w:val="365F9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13684"/>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13684"/>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13684"/>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13684"/>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650980"/>
    <w:pPr>
      <w:spacing w:line="360" w:lineRule="auto"/>
      <w:ind w:left="720"/>
      <w:contextualSpacing/>
      <w:jc w:val="both"/>
    </w:pPr>
    <w:rPr>
      <w:rFonts w:ascii="Times New Roman" w:eastAsiaTheme="minorHAnsi" w:hAnsi="Times New Roman"/>
      <w:kern w:val="2"/>
      <w:sz w:val="24"/>
      <w:szCs w:val="24"/>
      <w14:ligatures w14:val="standardContextual"/>
    </w:rPr>
  </w:style>
  <w:style w:type="character" w:customStyle="1" w:styleId="HeaderChar">
    <w:name w:val="Header Char"/>
    <w:basedOn w:val="DefaultParagraphFont"/>
    <w:link w:val="Header"/>
    <w:uiPriority w:val="99"/>
    <w:rsid w:val="00E41778"/>
    <w:rPr>
      <w:rFonts w:ascii="Helvetica" w:hAnsi="Helvetica"/>
    </w:rPr>
  </w:style>
  <w:style w:type="character" w:customStyle="1" w:styleId="Heading3Char">
    <w:name w:val="Heading 3 Char"/>
    <w:basedOn w:val="DefaultParagraphFont"/>
    <w:link w:val="Heading3"/>
    <w:uiPriority w:val="9"/>
    <w:semiHidden/>
    <w:rsid w:val="00327A03"/>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C13684"/>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Heading4Char">
    <w:name w:val="Heading 4 Char"/>
    <w:basedOn w:val="DefaultParagraphFont"/>
    <w:link w:val="Heading4"/>
    <w:uiPriority w:val="9"/>
    <w:semiHidden/>
    <w:rsid w:val="00C13684"/>
    <w:rPr>
      <w:rFonts w:asciiTheme="minorHAnsi" w:eastAsiaTheme="majorEastAsia" w:hAnsiTheme="minorHAnsi" w:cstheme="majorBidi"/>
      <w:i/>
      <w:iCs/>
      <w:color w:val="365F91"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13684"/>
    <w:rPr>
      <w:rFonts w:asciiTheme="minorHAnsi" w:eastAsiaTheme="majorEastAsia" w:hAnsiTheme="minorHAnsi" w:cstheme="majorBidi"/>
      <w:color w:val="365F91"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13684"/>
    <w:rPr>
      <w:rFonts w:asciiTheme="minorHAnsi" w:eastAsiaTheme="majorEastAsia" w:hAnsiTheme="minorHAnsi"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13684"/>
    <w:rPr>
      <w:rFonts w:asciiTheme="minorHAnsi" w:eastAsiaTheme="majorEastAsia" w:hAnsiTheme="minorHAnsi"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13684"/>
    <w:rPr>
      <w:rFonts w:asciiTheme="minorHAnsi" w:eastAsiaTheme="majorEastAsia" w:hAnsiTheme="minorHAnsi"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13684"/>
    <w:rPr>
      <w:rFonts w:asciiTheme="minorHAnsi" w:eastAsiaTheme="majorEastAsia" w:hAnsiTheme="minorHAnsi" w:cstheme="majorBidi"/>
      <w:color w:val="272727" w:themeColor="text1" w:themeTint="D8"/>
      <w:kern w:val="2"/>
      <w:sz w:val="24"/>
      <w:szCs w:val="24"/>
      <w14:ligatures w14:val="standardContextual"/>
    </w:rPr>
  </w:style>
  <w:style w:type="character" w:customStyle="1" w:styleId="Heading1Char">
    <w:name w:val="Heading 1 Char"/>
    <w:basedOn w:val="DefaultParagraphFont"/>
    <w:link w:val="Heading1"/>
    <w:uiPriority w:val="9"/>
    <w:rsid w:val="00C13684"/>
    <w:rPr>
      <w:rFonts w:ascii="Arial" w:hAnsi="Arial"/>
      <w:b/>
      <w:kern w:val="28"/>
      <w:sz w:val="28"/>
    </w:rPr>
  </w:style>
  <w:style w:type="character" w:customStyle="1" w:styleId="TitleChar">
    <w:name w:val="Title Char"/>
    <w:basedOn w:val="DefaultParagraphFont"/>
    <w:link w:val="Title"/>
    <w:uiPriority w:val="10"/>
    <w:rsid w:val="00C13684"/>
    <w:rPr>
      <w:rFonts w:ascii="Helvetica" w:hAnsi="Helvetica"/>
      <w:b/>
      <w:kern w:val="28"/>
      <w:sz w:val="36"/>
    </w:rPr>
  </w:style>
  <w:style w:type="paragraph" w:styleId="Subtitle">
    <w:name w:val="Subtitle"/>
    <w:basedOn w:val="Normal"/>
    <w:next w:val="Normal"/>
    <w:link w:val="SubtitleChar"/>
    <w:uiPriority w:val="11"/>
    <w:qFormat/>
    <w:rsid w:val="00C1368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13684"/>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C13684"/>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13684"/>
    <w:rPr>
      <w:rFonts w:asciiTheme="minorHAnsi" w:eastAsiaTheme="minorHAnsi" w:hAnsiTheme="minorHAnsi" w:cstheme="minorBid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13684"/>
    <w:rPr>
      <w:i/>
      <w:iCs/>
      <w:color w:val="365F91" w:themeColor="accent1" w:themeShade="BF"/>
    </w:rPr>
  </w:style>
  <w:style w:type="paragraph" w:styleId="IntenseQuote">
    <w:name w:val="Intense Quote"/>
    <w:basedOn w:val="Normal"/>
    <w:next w:val="Normal"/>
    <w:link w:val="IntenseQuoteChar"/>
    <w:uiPriority w:val="30"/>
    <w:qFormat/>
    <w:rsid w:val="00C13684"/>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13684"/>
    <w:rPr>
      <w:rFonts w:asciiTheme="minorHAnsi" w:eastAsiaTheme="minorHAnsi" w:hAnsiTheme="minorHAnsi" w:cstheme="minorBidi"/>
      <w:i/>
      <w:iCs/>
      <w:color w:val="365F91" w:themeColor="accent1" w:themeShade="BF"/>
      <w:kern w:val="2"/>
      <w:sz w:val="24"/>
      <w:szCs w:val="24"/>
      <w14:ligatures w14:val="standardContextual"/>
    </w:rPr>
  </w:style>
  <w:style w:type="character" w:styleId="IntenseReference">
    <w:name w:val="Intense Reference"/>
    <w:basedOn w:val="DefaultParagraphFont"/>
    <w:uiPriority w:val="32"/>
    <w:qFormat/>
    <w:rsid w:val="00C13684"/>
    <w:rPr>
      <w:b/>
      <w:bCs/>
      <w:smallCaps/>
      <w:color w:val="365F91" w:themeColor="accent1" w:themeShade="BF"/>
      <w:spacing w:val="5"/>
    </w:rPr>
  </w:style>
  <w:style w:type="paragraph" w:customStyle="1" w:styleId="Default">
    <w:name w:val="Default"/>
    <w:rsid w:val="00C13684"/>
    <w:pPr>
      <w:autoSpaceDE w:val="0"/>
      <w:autoSpaceDN w:val="0"/>
      <w:adjustRightInd w:val="0"/>
    </w:pPr>
    <w:rPr>
      <w:rFonts w:eastAsiaTheme="minorHAnsi"/>
      <w:color w:val="000000"/>
      <w:sz w:val="24"/>
      <w:szCs w:val="24"/>
    </w:rPr>
  </w:style>
  <w:style w:type="character" w:styleId="UnresolvedMention">
    <w:name w:val="Unresolved Mention"/>
    <w:basedOn w:val="DefaultParagraphFont"/>
    <w:uiPriority w:val="99"/>
    <w:semiHidden/>
    <w:unhideWhenUsed/>
    <w:rsid w:val="00C13684"/>
    <w:rPr>
      <w:color w:val="605E5C"/>
      <w:shd w:val="clear" w:color="auto" w:fill="E1DFDD"/>
    </w:rPr>
  </w:style>
  <w:style w:type="character" w:styleId="Strong">
    <w:name w:val="Strong"/>
    <w:basedOn w:val="DefaultParagraphFont"/>
    <w:qFormat/>
    <w:rsid w:val="009701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18" Type="http://schemas.openxmlformats.org/officeDocument/2006/relationships/hyperlink" Target="https://doi.org/10.9734/ijpss/2023/v35i52816"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doi.org/10.9734/ajrcs/2025/v10i3382" TargetMode="Externa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oleObject" Target="file:///E:\PhD\Activity%202\Second%20season%20Maize%20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'Weather data'!$B$3</c:f>
              <c:strCache>
                <c:ptCount val="1"/>
                <c:pt idx="0">
                  <c:v>Rainfall (mm)</c:v>
                </c:pt>
              </c:strCache>
            </c:strRef>
          </c:tx>
          <c:spPr>
            <a:solidFill>
              <a:srgbClr val="1F497D">
                <a:lumMod val="60000"/>
                <a:lumOff val="40000"/>
              </a:srgbClr>
            </a:solidFill>
            <a:ln>
              <a:noFill/>
            </a:ln>
            <a:effectLst/>
          </c:spPr>
          <c:invertIfNegative val="0"/>
          <c:cat>
            <c:strRef>
              <c:f>'Weather data'!$A$4:$A$12</c:f>
              <c:strCache>
                <c:ptCount val="9"/>
                <c:pt idx="0">
                  <c:v>December</c:v>
                </c:pt>
                <c:pt idx="1">
                  <c:v>January</c:v>
                </c:pt>
                <c:pt idx="2">
                  <c:v>February</c:v>
                </c:pt>
                <c:pt idx="3">
                  <c:v>March</c:v>
                </c:pt>
                <c:pt idx="4">
                  <c:v>April</c:v>
                </c:pt>
                <c:pt idx="5">
                  <c:v>May</c:v>
                </c:pt>
                <c:pt idx="6">
                  <c:v>June</c:v>
                </c:pt>
                <c:pt idx="7">
                  <c:v>July</c:v>
                </c:pt>
                <c:pt idx="8">
                  <c:v>August</c:v>
                </c:pt>
              </c:strCache>
            </c:strRef>
          </c:cat>
          <c:val>
            <c:numRef>
              <c:f>'Weather data'!$B$4:$B$12</c:f>
              <c:numCache>
                <c:formatCode>General</c:formatCode>
                <c:ptCount val="9"/>
                <c:pt idx="0">
                  <c:v>15</c:v>
                </c:pt>
                <c:pt idx="1">
                  <c:v>19</c:v>
                </c:pt>
                <c:pt idx="2">
                  <c:v>3</c:v>
                </c:pt>
                <c:pt idx="3">
                  <c:v>4</c:v>
                </c:pt>
                <c:pt idx="4">
                  <c:v>56</c:v>
                </c:pt>
                <c:pt idx="5">
                  <c:v>162</c:v>
                </c:pt>
                <c:pt idx="6">
                  <c:v>166</c:v>
                </c:pt>
                <c:pt idx="7">
                  <c:v>221</c:v>
                </c:pt>
                <c:pt idx="8">
                  <c:v>276</c:v>
                </c:pt>
              </c:numCache>
            </c:numRef>
          </c:val>
          <c:extLst>
            <c:ext xmlns:c16="http://schemas.microsoft.com/office/drawing/2014/chart" uri="{C3380CC4-5D6E-409C-BE32-E72D297353CC}">
              <c16:uniqueId val="{00000000-536E-46CB-AC68-8DF89F3727FB}"/>
            </c:ext>
          </c:extLst>
        </c:ser>
        <c:dLbls>
          <c:showLegendKey val="0"/>
          <c:showVal val="0"/>
          <c:showCatName val="0"/>
          <c:showSerName val="0"/>
          <c:showPercent val="0"/>
          <c:showBubbleSize val="0"/>
        </c:dLbls>
        <c:gapWidth val="219"/>
        <c:axId val="495343440"/>
        <c:axId val="495342720"/>
      </c:barChart>
      <c:lineChart>
        <c:grouping val="standard"/>
        <c:varyColors val="0"/>
        <c:ser>
          <c:idx val="1"/>
          <c:order val="1"/>
          <c:tx>
            <c:strRef>
              <c:f>'Weather data'!$C$3</c:f>
              <c:strCache>
                <c:ptCount val="1"/>
                <c:pt idx="0">
                  <c:v>Minimum Temperature (°C)</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'Weather data'!$A$4:$A$12</c:f>
              <c:strCache>
                <c:ptCount val="9"/>
                <c:pt idx="0">
                  <c:v>December</c:v>
                </c:pt>
                <c:pt idx="1">
                  <c:v>January</c:v>
                </c:pt>
                <c:pt idx="2">
                  <c:v>February</c:v>
                </c:pt>
                <c:pt idx="3">
                  <c:v>March</c:v>
                </c:pt>
                <c:pt idx="4">
                  <c:v>April</c:v>
                </c:pt>
                <c:pt idx="5">
                  <c:v>May</c:v>
                </c:pt>
                <c:pt idx="6">
                  <c:v>June</c:v>
                </c:pt>
                <c:pt idx="7">
                  <c:v>July</c:v>
                </c:pt>
                <c:pt idx="8">
                  <c:v>August</c:v>
                </c:pt>
              </c:strCache>
            </c:strRef>
          </c:cat>
          <c:val>
            <c:numRef>
              <c:f>'Weather data'!$C$4:$C$12</c:f>
              <c:numCache>
                <c:formatCode>General</c:formatCode>
                <c:ptCount val="9"/>
                <c:pt idx="0">
                  <c:v>14</c:v>
                </c:pt>
                <c:pt idx="1">
                  <c:v>14</c:v>
                </c:pt>
                <c:pt idx="2">
                  <c:v>16</c:v>
                </c:pt>
                <c:pt idx="3">
                  <c:v>21</c:v>
                </c:pt>
                <c:pt idx="4">
                  <c:v>25</c:v>
                </c:pt>
                <c:pt idx="5">
                  <c:v>25</c:v>
                </c:pt>
                <c:pt idx="6">
                  <c:v>24</c:v>
                </c:pt>
                <c:pt idx="7">
                  <c:v>24</c:v>
                </c:pt>
                <c:pt idx="8">
                  <c:v>25</c:v>
                </c:pt>
              </c:numCache>
            </c:numRef>
          </c:val>
          <c:smooth val="0"/>
          <c:extLst>
            <c:ext xmlns:c16="http://schemas.microsoft.com/office/drawing/2014/chart" uri="{C3380CC4-5D6E-409C-BE32-E72D297353CC}">
              <c16:uniqueId val="{00000001-536E-46CB-AC68-8DF89F3727FB}"/>
            </c:ext>
          </c:extLst>
        </c:ser>
        <c:ser>
          <c:idx val="2"/>
          <c:order val="2"/>
          <c:tx>
            <c:strRef>
              <c:f>'Weather data'!$D$3</c:f>
              <c:strCache>
                <c:ptCount val="1"/>
                <c:pt idx="0">
                  <c:v>Maximum Temperature (°C)</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'Weather data'!$A$4:$A$12</c:f>
              <c:strCache>
                <c:ptCount val="9"/>
                <c:pt idx="0">
                  <c:v>December</c:v>
                </c:pt>
                <c:pt idx="1">
                  <c:v>January</c:v>
                </c:pt>
                <c:pt idx="2">
                  <c:v>February</c:v>
                </c:pt>
                <c:pt idx="3">
                  <c:v>March</c:v>
                </c:pt>
                <c:pt idx="4">
                  <c:v>April</c:v>
                </c:pt>
                <c:pt idx="5">
                  <c:v>May</c:v>
                </c:pt>
                <c:pt idx="6">
                  <c:v>June</c:v>
                </c:pt>
                <c:pt idx="7">
                  <c:v>July</c:v>
                </c:pt>
                <c:pt idx="8">
                  <c:v>August</c:v>
                </c:pt>
              </c:strCache>
            </c:strRef>
          </c:cat>
          <c:val>
            <c:numRef>
              <c:f>'Weather data'!$D$4:$D$12</c:f>
              <c:numCache>
                <c:formatCode>General</c:formatCode>
                <c:ptCount val="9"/>
                <c:pt idx="0">
                  <c:v>29</c:v>
                </c:pt>
                <c:pt idx="1">
                  <c:v>30</c:v>
                </c:pt>
                <c:pt idx="2">
                  <c:v>33</c:v>
                </c:pt>
                <c:pt idx="3">
                  <c:v>36</c:v>
                </c:pt>
                <c:pt idx="4">
                  <c:v>38</c:v>
                </c:pt>
                <c:pt idx="5">
                  <c:v>35</c:v>
                </c:pt>
                <c:pt idx="6">
                  <c:v>31</c:v>
                </c:pt>
                <c:pt idx="7">
                  <c:v>31</c:v>
                </c:pt>
                <c:pt idx="8">
                  <c:v>31</c:v>
                </c:pt>
              </c:numCache>
            </c:numRef>
          </c:val>
          <c:smooth val="0"/>
          <c:extLst>
            <c:ext xmlns:c16="http://schemas.microsoft.com/office/drawing/2014/chart" uri="{C3380CC4-5D6E-409C-BE32-E72D297353CC}">
              <c16:uniqueId val="{00000002-536E-46CB-AC68-8DF89F3727FB}"/>
            </c:ext>
          </c:extLst>
        </c:ser>
        <c:dLbls>
          <c:showLegendKey val="0"/>
          <c:showVal val="0"/>
          <c:showCatName val="0"/>
          <c:showSerName val="0"/>
          <c:showPercent val="0"/>
          <c:showBubbleSize val="0"/>
        </c:dLbls>
        <c:marker val="1"/>
        <c:smooth val="0"/>
        <c:axId val="504304760"/>
        <c:axId val="504305840"/>
      </c:lineChart>
      <c:catAx>
        <c:axId val="504304760"/>
        <c:scaling>
          <c:orientation val="minMax"/>
        </c:scaling>
        <c:delete val="0"/>
        <c:axPos val="b"/>
        <c:title>
          <c:tx>
            <c:rich>
              <a:bodyPr rot="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r>
                  <a:rPr lang="en-US" b="1"/>
                  <a:t>Months</a:t>
                </a:r>
              </a:p>
            </c:rich>
          </c:tx>
          <c:overlay val="0"/>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04305840"/>
        <c:crosses val="autoZero"/>
        <c:auto val="1"/>
        <c:lblAlgn val="ctr"/>
        <c:lblOffset val="100"/>
        <c:noMultiLvlLbl val="0"/>
      </c:catAx>
      <c:valAx>
        <c:axId val="504305840"/>
        <c:scaling>
          <c:orientation val="minMax"/>
          <c:min val="5"/>
        </c:scaling>
        <c:delete val="0"/>
        <c:axPos val="l"/>
        <c:title>
          <c:tx>
            <c:rich>
              <a:bodyPr rot="-540000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r>
                  <a:rPr lang="en-US" b="1"/>
                  <a:t>Temperature (°C)</a:t>
                </a:r>
              </a:p>
            </c:rich>
          </c:tx>
          <c:layout>
            <c:manualLayout>
              <c:xMode val="edge"/>
              <c:yMode val="edge"/>
              <c:x val="1.3888888888888888E-2"/>
              <c:y val="0.24408100029163021"/>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04304760"/>
        <c:crosses val="autoZero"/>
        <c:crossBetween val="between"/>
      </c:valAx>
      <c:valAx>
        <c:axId val="495342720"/>
        <c:scaling>
          <c:orientation val="minMax"/>
          <c:min val="50"/>
        </c:scaling>
        <c:delete val="0"/>
        <c:axPos val="r"/>
        <c:title>
          <c:tx>
            <c:rich>
              <a:bodyPr rot="-540000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r>
                  <a:rPr lang="en-US" b="1"/>
                  <a:t>Rainfall (mm)</a:t>
                </a:r>
              </a:p>
            </c:rich>
          </c:tx>
          <c:overlay val="0"/>
          <c:spPr>
            <a:noFill/>
            <a:ln>
              <a:noFill/>
            </a:ln>
            <a:effectLst/>
          </c:spPr>
          <c:txPr>
            <a:bodyPr rot="-540000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95343440"/>
        <c:crosses val="max"/>
        <c:crossBetween val="between"/>
      </c:valAx>
      <c:catAx>
        <c:axId val="495343440"/>
        <c:scaling>
          <c:orientation val="minMax"/>
        </c:scaling>
        <c:delete val="1"/>
        <c:axPos val="b"/>
        <c:numFmt formatCode="General" sourceLinked="1"/>
        <c:majorTickMark val="out"/>
        <c:minorTickMark val="none"/>
        <c:tickLblPos val="nextTo"/>
        <c:crossAx val="495342720"/>
        <c:crosses val="autoZero"/>
        <c:auto val="1"/>
        <c:lblAlgn val="ctr"/>
        <c:lblOffset val="100"/>
        <c:noMultiLvlLbl val="0"/>
      </c:catAx>
      <c:spPr>
        <a:noFill/>
        <a:ln>
          <a:noFill/>
        </a:ln>
        <a:effectLst/>
      </c:spPr>
    </c:plotArea>
    <c:legend>
      <c:legendPos val="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solidFill>
            <a:schemeClr val="tx1"/>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0"/>
              <c:layout>
                <c:manualLayout>
                  <c:x val="-2.7777777777777779E-3"/>
                  <c:y val="-4.1666666666666581E-2"/>
                </c:manualLayout>
              </c:layout>
              <c:tx>
                <c:rich>
                  <a:bodyPr/>
                  <a:lstStyle/>
                  <a:p>
                    <a:fld id="{3F15490C-5918-4A8C-9403-C5D1FBD10D8B}"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91CE-4CF8-90D1-92B7B6155DFD}"/>
                </c:ext>
              </c:extLst>
            </c:dLbl>
            <c:dLbl>
              <c:idx val="1"/>
              <c:layout>
                <c:manualLayout>
                  <c:x val="0"/>
                  <c:y val="-4.1666666666666664E-2"/>
                </c:manualLayout>
              </c:layout>
              <c:tx>
                <c:rich>
                  <a:bodyPr/>
                  <a:lstStyle/>
                  <a:p>
                    <a:fld id="{BABDA270-F03F-4E3F-B320-5BD268D8A7CD}"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91CE-4CF8-90D1-92B7B6155DFD}"/>
                </c:ext>
              </c:extLst>
            </c:dLbl>
            <c:dLbl>
              <c:idx val="2"/>
              <c:layout>
                <c:manualLayout>
                  <c:x val="2.7777777777777779E-3"/>
                  <c:y val="-3.2407407407407399E-2"/>
                </c:manualLayout>
              </c:layout>
              <c:tx>
                <c:rich>
                  <a:bodyPr/>
                  <a:lstStyle/>
                  <a:p>
                    <a:fld id="{09D69429-B9AC-402C-8237-3ED8A72AB3E8}"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91CE-4CF8-90D1-92B7B6155DFD}"/>
                </c:ext>
              </c:extLst>
            </c:dLbl>
            <c:dLbl>
              <c:idx val="3"/>
              <c:layout>
                <c:manualLayout>
                  <c:x val="0"/>
                  <c:y val="-1.3888888888888888E-2"/>
                </c:manualLayout>
              </c:layout>
              <c:tx>
                <c:rich>
                  <a:bodyPr/>
                  <a:lstStyle/>
                  <a:p>
                    <a:fld id="{8F53FDC4-8422-470A-A928-635007A4F08F}"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91CE-4CF8-90D1-92B7B6155DFD}"/>
                </c:ext>
              </c:extLst>
            </c:dLbl>
            <c:dLbl>
              <c:idx val="4"/>
              <c:layout>
                <c:manualLayout>
                  <c:x val="0"/>
                  <c:y val="-1.8518518518518563E-2"/>
                </c:manualLayout>
              </c:layout>
              <c:tx>
                <c:rich>
                  <a:bodyPr/>
                  <a:lstStyle/>
                  <a:p>
                    <a:fld id="{E29F1E65-C9CC-4028-B0CB-AF596A0D76CD}"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91CE-4CF8-90D1-92B7B6155DFD}"/>
                </c:ext>
              </c:extLst>
            </c:dLbl>
            <c:dLbl>
              <c:idx val="5"/>
              <c:layout>
                <c:manualLayout>
                  <c:x val="0"/>
                  <c:y val="-4.6296296296296294E-3"/>
                </c:manualLayout>
              </c:layout>
              <c:tx>
                <c:rich>
                  <a:bodyPr/>
                  <a:lstStyle/>
                  <a:p>
                    <a:fld id="{701400F8-40E8-49F1-AAA2-0F99A7543A3F}"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91CE-4CF8-90D1-92B7B6155DFD}"/>
                </c:ext>
              </c:extLst>
            </c:dLbl>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both"/>
            <c:errValType val="cust"/>
            <c:noEndCap val="0"/>
            <c:plus>
              <c:numRef>
                <c:f>'Data&amp;Fig'!$AY$18:$AY$23</c:f>
                <c:numCache>
                  <c:formatCode>General</c:formatCode>
                  <c:ptCount val="6"/>
                  <c:pt idx="0">
                    <c:v>469.69015569126458</c:v>
                  </c:pt>
                  <c:pt idx="1">
                    <c:v>635.38084690077915</c:v>
                  </c:pt>
                  <c:pt idx="2">
                    <c:v>485.44438431511367</c:v>
                  </c:pt>
                  <c:pt idx="3">
                    <c:v>266.78736822202615</c:v>
                  </c:pt>
                  <c:pt idx="4">
                    <c:v>230.26493095194044</c:v>
                  </c:pt>
                  <c:pt idx="5">
                    <c:v>225.66661322494923</c:v>
                  </c:pt>
                </c:numCache>
              </c:numRef>
            </c:plus>
            <c:minus>
              <c:numRef>
                <c:f>'Data&amp;Fig'!$AY$18:$AY$23</c:f>
                <c:numCache>
                  <c:formatCode>General</c:formatCode>
                  <c:ptCount val="6"/>
                  <c:pt idx="0">
                    <c:v>469.69015569126458</c:v>
                  </c:pt>
                  <c:pt idx="1">
                    <c:v>635.38084690077915</c:v>
                  </c:pt>
                  <c:pt idx="2">
                    <c:v>485.44438431511367</c:v>
                  </c:pt>
                  <c:pt idx="3">
                    <c:v>266.78736822202615</c:v>
                  </c:pt>
                  <c:pt idx="4">
                    <c:v>230.26493095194044</c:v>
                  </c:pt>
                  <c:pt idx="5">
                    <c:v>225.66661322494923</c:v>
                  </c:pt>
                </c:numCache>
              </c:numRef>
            </c:minus>
            <c:spPr>
              <a:noFill/>
              <a:ln w="9525" cap="flat" cmpd="sng" algn="ctr">
                <a:solidFill>
                  <a:schemeClr val="tx1">
                    <a:lumMod val="65000"/>
                    <a:lumOff val="35000"/>
                  </a:schemeClr>
                </a:solidFill>
                <a:round/>
              </a:ln>
              <a:effectLst/>
            </c:spPr>
          </c:errBars>
          <c:cat>
            <c:strRef>
              <c:f>'Data&amp;Fig'!$AV$18:$AV$23</c:f>
              <c:strCache>
                <c:ptCount val="6"/>
                <c:pt idx="0">
                  <c:v>T1</c:v>
                </c:pt>
                <c:pt idx="1">
                  <c:v>T2</c:v>
                </c:pt>
                <c:pt idx="2">
                  <c:v>T3</c:v>
                </c:pt>
                <c:pt idx="3">
                  <c:v>T4</c:v>
                </c:pt>
                <c:pt idx="4">
                  <c:v>T5</c:v>
                </c:pt>
                <c:pt idx="5">
                  <c:v>T6</c:v>
                </c:pt>
              </c:strCache>
            </c:strRef>
          </c:cat>
          <c:val>
            <c:numRef>
              <c:f>'Data&amp;Fig'!$AW$18:$AW$23</c:f>
              <c:numCache>
                <c:formatCode>0.00</c:formatCode>
                <c:ptCount val="6"/>
                <c:pt idx="0">
                  <c:v>2753.6463140198825</c:v>
                </c:pt>
                <c:pt idx="1">
                  <c:v>4464.4859482480415</c:v>
                </c:pt>
                <c:pt idx="2">
                  <c:v>6752.9946472973115</c:v>
                </c:pt>
                <c:pt idx="3">
                  <c:v>5960.3996449386486</c:v>
                </c:pt>
                <c:pt idx="4">
                  <c:v>5320.8122506391783</c:v>
                </c:pt>
                <c:pt idx="5">
                  <c:v>6730.9346469450102</c:v>
                </c:pt>
              </c:numCache>
            </c:numRef>
          </c:val>
          <c:extLst>
            <c:ext xmlns:c15="http://schemas.microsoft.com/office/drawing/2012/chart" uri="{02D57815-91ED-43cb-92C2-25804820EDAC}">
              <c15:datalabelsRange>
                <c15:f>'Data&amp;Fig'!$AX$18:$AX$23</c15:f>
                <c15:dlblRangeCache>
                  <c:ptCount val="6"/>
                  <c:pt idx="0">
                    <c:v>d</c:v>
                  </c:pt>
                  <c:pt idx="1">
                    <c:v>c</c:v>
                  </c:pt>
                  <c:pt idx="2">
                    <c:v>a</c:v>
                  </c:pt>
                  <c:pt idx="3">
                    <c:v>b</c:v>
                  </c:pt>
                  <c:pt idx="4">
                    <c:v>b</c:v>
                  </c:pt>
                  <c:pt idx="5">
                    <c:v>a</c:v>
                  </c:pt>
                </c15:dlblRangeCache>
              </c15:datalabelsRange>
            </c:ext>
            <c:ext xmlns:c16="http://schemas.microsoft.com/office/drawing/2014/chart" uri="{C3380CC4-5D6E-409C-BE32-E72D297353CC}">
              <c16:uniqueId val="{00000006-91CE-4CF8-90D1-92B7B6155DFD}"/>
            </c:ext>
          </c:extLst>
        </c:ser>
        <c:dLbls>
          <c:showLegendKey val="0"/>
          <c:showVal val="1"/>
          <c:showCatName val="0"/>
          <c:showSerName val="0"/>
          <c:showPercent val="0"/>
          <c:showBubbleSize val="0"/>
        </c:dLbls>
        <c:gapWidth val="219"/>
        <c:overlap val="-27"/>
        <c:axId val="515206112"/>
        <c:axId val="515203952"/>
      </c:barChart>
      <c:catAx>
        <c:axId val="515206112"/>
        <c:scaling>
          <c:orientation val="minMax"/>
        </c:scaling>
        <c:delete val="0"/>
        <c:axPos val="b"/>
        <c:title>
          <c:tx>
            <c:rich>
              <a:bodyPr rot="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r>
                  <a:rPr lang="en-US" b="1"/>
                  <a:t>Treatments</a:t>
                </a:r>
              </a:p>
            </c:rich>
          </c:tx>
          <c:layout>
            <c:manualLayout>
              <c:xMode val="edge"/>
              <c:yMode val="edge"/>
              <c:x val="0.46659601924759403"/>
              <c:y val="0.89719889180519097"/>
            </c:manualLayout>
          </c:layout>
          <c:overlay val="0"/>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15203952"/>
        <c:crosses val="autoZero"/>
        <c:auto val="1"/>
        <c:lblAlgn val="ctr"/>
        <c:lblOffset val="100"/>
        <c:noMultiLvlLbl val="0"/>
      </c:catAx>
      <c:valAx>
        <c:axId val="515203952"/>
        <c:scaling>
          <c:orientation val="minMax"/>
          <c:min val="1000"/>
        </c:scaling>
        <c:delete val="0"/>
        <c:axPos val="l"/>
        <c:title>
          <c:tx>
            <c:rich>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r>
                  <a:rPr lang="en-US" b="1"/>
                  <a:t>Yield (kg ha</a:t>
                </a:r>
                <a:r>
                  <a:rPr lang="en-US" b="1" baseline="30000"/>
                  <a:t>-1</a:t>
                </a:r>
                <a:r>
                  <a:rPr lang="en-US" b="1"/>
                  <a:t>)</a:t>
                </a:r>
              </a:p>
            </c:rich>
          </c:tx>
          <c:layout>
            <c:manualLayout>
              <c:xMode val="edge"/>
              <c:yMode val="edge"/>
              <c:x val="8.3333333333333332E-3"/>
              <c:y val="0.22827537182852142"/>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0" sourceLinked="0"/>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1520611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12700" cap="flat" cmpd="sng" algn="ctr">
      <a:noFill/>
      <a:round/>
    </a:ln>
    <a:effectLst/>
  </c:spPr>
  <c:txPr>
    <a:bodyPr/>
    <a:lstStyle/>
    <a:p>
      <a:pPr>
        <a:defRPr sz="8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dLbl>
              <c:idx val="0"/>
              <c:tx>
                <c:rich>
                  <a:bodyPr/>
                  <a:lstStyle/>
                  <a:p>
                    <a:fld id="{346A7799-C6B4-4F12-82F4-A169E92AF345}"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D5DF-40A7-873D-D50E4338DA70}"/>
                </c:ext>
              </c:extLst>
            </c:dLbl>
            <c:dLbl>
              <c:idx val="1"/>
              <c:tx>
                <c:rich>
                  <a:bodyPr/>
                  <a:lstStyle/>
                  <a:p>
                    <a:fld id="{A7C2A7F6-D9BF-4C4A-9241-EF750A234599}"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D5DF-40A7-873D-D50E4338DA70}"/>
                </c:ext>
              </c:extLst>
            </c:dLbl>
            <c:dLbl>
              <c:idx val="2"/>
              <c:tx>
                <c:rich>
                  <a:bodyPr/>
                  <a:lstStyle/>
                  <a:p>
                    <a:fld id="{830C116C-D5A4-48A5-A7B1-1B6DE788935B}"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D5DF-40A7-873D-D50E4338DA70}"/>
                </c:ext>
              </c:extLst>
            </c:dLbl>
            <c:dLbl>
              <c:idx val="3"/>
              <c:tx>
                <c:rich>
                  <a:bodyPr/>
                  <a:lstStyle/>
                  <a:p>
                    <a:fld id="{E5192AE7-89AC-4791-BFEC-2307F5DD31C6}"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D5DF-40A7-873D-D50E4338DA70}"/>
                </c:ext>
              </c:extLst>
            </c:dLbl>
            <c:dLbl>
              <c:idx val="4"/>
              <c:tx>
                <c:rich>
                  <a:bodyPr/>
                  <a:lstStyle/>
                  <a:p>
                    <a:fld id="{7C6AA3B3-DF73-4508-97B5-5EE9BF56790A}"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D5DF-40A7-873D-D50E4338DA70}"/>
                </c:ext>
              </c:extLst>
            </c:dLbl>
            <c:dLbl>
              <c:idx val="5"/>
              <c:tx>
                <c:rich>
                  <a:bodyPr/>
                  <a:lstStyle/>
                  <a:p>
                    <a:fld id="{D55DFB87-5078-4A52-8B42-80CC45E6114A}"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D5DF-40A7-873D-D50E4338DA70}"/>
                </c:ext>
              </c:extLst>
            </c:dLbl>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both"/>
            <c:errValType val="cust"/>
            <c:noEndCap val="0"/>
            <c:plus>
              <c:numRef>
                <c:f>'Data &amp; Fig'!$AY$4:$AY$9</c:f>
                <c:numCache>
                  <c:formatCode>General</c:formatCode>
                  <c:ptCount val="6"/>
                  <c:pt idx="0">
                    <c:v>39.98331532072639</c:v>
                  </c:pt>
                  <c:pt idx="1">
                    <c:v>49.578012008897403</c:v>
                  </c:pt>
                  <c:pt idx="2">
                    <c:v>95.02961545457913</c:v>
                  </c:pt>
                  <c:pt idx="3">
                    <c:v>57.644611516231336</c:v>
                  </c:pt>
                  <c:pt idx="4">
                    <c:v>64.436546284586584</c:v>
                  </c:pt>
                  <c:pt idx="5">
                    <c:v>94.273900261151681</c:v>
                  </c:pt>
                </c:numCache>
              </c:numRef>
            </c:plus>
            <c:minus>
              <c:numRef>
                <c:f>'Data &amp; Fig'!$AY$4:$AY$9</c:f>
                <c:numCache>
                  <c:formatCode>General</c:formatCode>
                  <c:ptCount val="6"/>
                  <c:pt idx="0">
                    <c:v>39.98331532072639</c:v>
                  </c:pt>
                  <c:pt idx="1">
                    <c:v>49.578012008897403</c:v>
                  </c:pt>
                  <c:pt idx="2">
                    <c:v>95.02961545457913</c:v>
                  </c:pt>
                  <c:pt idx="3">
                    <c:v>57.644611516231336</c:v>
                  </c:pt>
                  <c:pt idx="4">
                    <c:v>64.436546284586584</c:v>
                  </c:pt>
                  <c:pt idx="5">
                    <c:v>94.273900261151681</c:v>
                  </c:pt>
                </c:numCache>
              </c:numRef>
            </c:minus>
            <c:spPr>
              <a:noFill/>
              <a:ln w="9525" cap="flat" cmpd="sng" algn="ctr">
                <a:solidFill>
                  <a:schemeClr val="tx1">
                    <a:lumMod val="65000"/>
                    <a:lumOff val="35000"/>
                  </a:schemeClr>
                </a:solidFill>
                <a:round/>
              </a:ln>
              <a:effectLst/>
            </c:spPr>
          </c:errBars>
          <c:cat>
            <c:strRef>
              <c:f>'Data &amp; Fig'!$AV$4:$AV$9</c:f>
              <c:strCache>
                <c:ptCount val="6"/>
                <c:pt idx="0">
                  <c:v>T1</c:v>
                </c:pt>
                <c:pt idx="1">
                  <c:v>T2</c:v>
                </c:pt>
                <c:pt idx="2">
                  <c:v>T3</c:v>
                </c:pt>
                <c:pt idx="3">
                  <c:v>T4</c:v>
                </c:pt>
                <c:pt idx="4">
                  <c:v>T5</c:v>
                </c:pt>
                <c:pt idx="5">
                  <c:v>T6</c:v>
                </c:pt>
              </c:strCache>
            </c:strRef>
          </c:cat>
          <c:val>
            <c:numRef>
              <c:f>'Data &amp; Fig'!$AW$4:$AW$9</c:f>
              <c:numCache>
                <c:formatCode>General</c:formatCode>
                <c:ptCount val="6"/>
                <c:pt idx="0">
                  <c:v>1699.2</c:v>
                </c:pt>
                <c:pt idx="1">
                  <c:v>2039.6</c:v>
                </c:pt>
                <c:pt idx="2" formatCode="0.00">
                  <c:v>4473.0824119820782</c:v>
                </c:pt>
                <c:pt idx="3" formatCode="0.00">
                  <c:v>4419.1319902093965</c:v>
                </c:pt>
                <c:pt idx="4" formatCode="0.00">
                  <c:v>4615.1718404270177</c:v>
                </c:pt>
                <c:pt idx="5" formatCode="0.00">
                  <c:v>4707.8662953269504</c:v>
                </c:pt>
              </c:numCache>
            </c:numRef>
          </c:val>
          <c:extLst>
            <c:ext xmlns:c15="http://schemas.microsoft.com/office/drawing/2012/chart" uri="{02D57815-91ED-43cb-92C2-25804820EDAC}">
              <c15:datalabelsRange>
                <c15:f>'Data &amp; Fig'!$AX$4:$AX$9</c15:f>
                <c15:dlblRangeCache>
                  <c:ptCount val="6"/>
                  <c:pt idx="0">
                    <c:v>d</c:v>
                  </c:pt>
                  <c:pt idx="1">
                    <c:v>c</c:v>
                  </c:pt>
                  <c:pt idx="2">
                    <c:v>b</c:v>
                  </c:pt>
                  <c:pt idx="3">
                    <c:v>b</c:v>
                  </c:pt>
                  <c:pt idx="4">
                    <c:v>a</c:v>
                  </c:pt>
                  <c:pt idx="5">
                    <c:v>a</c:v>
                  </c:pt>
                </c15:dlblRangeCache>
              </c15:datalabelsRange>
            </c:ext>
            <c:ext xmlns:c16="http://schemas.microsoft.com/office/drawing/2014/chart" uri="{C3380CC4-5D6E-409C-BE32-E72D297353CC}">
              <c16:uniqueId val="{00000006-D5DF-40A7-873D-D50E4338DA70}"/>
            </c:ext>
          </c:extLst>
        </c:ser>
        <c:dLbls>
          <c:showLegendKey val="0"/>
          <c:showVal val="1"/>
          <c:showCatName val="0"/>
          <c:showSerName val="0"/>
          <c:showPercent val="0"/>
          <c:showBubbleSize val="0"/>
        </c:dLbls>
        <c:gapWidth val="219"/>
        <c:overlap val="-27"/>
        <c:axId val="389532880"/>
        <c:axId val="403821168"/>
      </c:barChart>
      <c:catAx>
        <c:axId val="389532880"/>
        <c:scaling>
          <c:orientation val="minMax"/>
        </c:scaling>
        <c:delete val="0"/>
        <c:axPos val="b"/>
        <c:title>
          <c:tx>
            <c:rich>
              <a:bodyPr rot="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r>
                  <a:rPr lang="en-US" b="1"/>
                  <a:t>Treatments</a:t>
                </a:r>
              </a:p>
            </c:rich>
          </c:tx>
          <c:overlay val="0"/>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03821168"/>
        <c:crosses val="autoZero"/>
        <c:auto val="1"/>
        <c:lblAlgn val="ctr"/>
        <c:lblOffset val="100"/>
        <c:noMultiLvlLbl val="0"/>
      </c:catAx>
      <c:valAx>
        <c:axId val="403821168"/>
        <c:scaling>
          <c:orientation val="minMax"/>
          <c:min val="1000"/>
        </c:scaling>
        <c:delete val="0"/>
        <c:axPos val="l"/>
        <c:title>
          <c:tx>
            <c:rich>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r>
                  <a:rPr lang="en-US" b="1"/>
                  <a:t>Yield (kg ha</a:t>
                </a:r>
                <a:r>
                  <a:rPr lang="en-US" b="1" baseline="30000"/>
                  <a:t>-1</a:t>
                </a:r>
                <a:r>
                  <a:rPr lang="en-US" b="1"/>
                  <a:t>)</a:t>
                </a:r>
              </a:p>
            </c:rich>
          </c:tx>
          <c:layout>
            <c:manualLayout>
              <c:xMode val="edge"/>
              <c:yMode val="edge"/>
              <c:x val="1.3888888888888888E-2"/>
              <c:y val="0.26903142315543888"/>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0" sourceLinked="0"/>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38953288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800">
          <a:solidFill>
            <a:schemeClr val="tx1"/>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1C4BA-CD64-481D-9E8C-8E5A34C0F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617</TotalTime>
  <Pages>13</Pages>
  <Words>5660</Words>
  <Characters>32262</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37847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Editor-90</cp:lastModifiedBy>
  <cp:revision>68</cp:revision>
  <cp:lastPrinted>2025-09-07T15:03:00Z</cp:lastPrinted>
  <dcterms:created xsi:type="dcterms:W3CDTF">2024-10-22T07:57:00Z</dcterms:created>
  <dcterms:modified xsi:type="dcterms:W3CDTF">2025-09-27T07:58:00Z</dcterms:modified>
</cp:coreProperties>
</file>