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F3349" w14:textId="47B042F3" w:rsidR="005C6F5F" w:rsidRPr="00260435" w:rsidRDefault="002A4BE1" w:rsidP="005C6F5F">
      <w:pPr>
        <w:spacing w:line="360" w:lineRule="auto"/>
        <w:jc w:val="center"/>
        <w:rPr>
          <w:rFonts w:ascii="Arial" w:hAnsi="Arial" w:cs="Arial"/>
          <w:b/>
          <w:bCs/>
          <w:color w:val="000000" w:themeColor="text1"/>
          <w:sz w:val="36"/>
          <w:szCs w:val="36"/>
        </w:rPr>
      </w:pPr>
      <w:r w:rsidRPr="00260435">
        <w:rPr>
          <w:rFonts w:ascii="Arial" w:eastAsiaTheme="minorHAnsi" w:hAnsi="Arial" w:cs="Arial" w:hint="eastAsia"/>
          <w:b/>
          <w:bCs/>
          <w:color w:val="000000" w:themeColor="text1"/>
          <w:sz w:val="36"/>
          <w:szCs w:val="36"/>
        </w:rPr>
        <w:t>Determinants of Electric Vehicle Adoption in Myanmar</w:t>
      </w:r>
    </w:p>
    <w:p w14:paraId="3D6B5C2C" w14:textId="77777777" w:rsidR="00630717" w:rsidRPr="00260435" w:rsidRDefault="00630717" w:rsidP="00630717">
      <w:pPr>
        <w:spacing w:line="360" w:lineRule="auto"/>
        <w:jc w:val="right"/>
        <w:rPr>
          <w:rFonts w:ascii="Arial" w:hAnsi="Arial" w:cs="Arial"/>
          <w:b/>
          <w:color w:val="000000" w:themeColor="text1"/>
        </w:rPr>
      </w:pPr>
    </w:p>
    <w:p w14:paraId="44B1530B" w14:textId="77777777" w:rsidR="00A43C12" w:rsidRPr="00260435" w:rsidRDefault="00A43C12" w:rsidP="00415E7D">
      <w:pPr>
        <w:spacing w:line="276" w:lineRule="auto"/>
        <w:jc w:val="right"/>
        <w:rPr>
          <w:rFonts w:ascii="Arial" w:hAnsi="Arial" w:cs="Arial"/>
          <w:b/>
          <w:color w:val="000000" w:themeColor="text1"/>
          <w:sz w:val="20"/>
          <w:szCs w:val="20"/>
        </w:rPr>
      </w:pPr>
    </w:p>
    <w:p w14:paraId="67BF32D2" w14:textId="77777777" w:rsidR="000773AF" w:rsidRPr="00260435" w:rsidRDefault="000773AF" w:rsidP="00FA52B7">
      <w:pPr>
        <w:spacing w:line="360" w:lineRule="auto"/>
        <w:jc w:val="both"/>
        <w:rPr>
          <w:rFonts w:ascii="Arial" w:hAnsi="Arial" w:cs="Arial"/>
          <w:b/>
          <w:bCs/>
          <w:color w:val="000000" w:themeColor="text1"/>
          <w:sz w:val="22"/>
          <w:szCs w:val="22"/>
        </w:rPr>
      </w:pPr>
    </w:p>
    <w:p w14:paraId="061F6FD1" w14:textId="18FB1197" w:rsidR="00FA52B7" w:rsidRPr="00260435" w:rsidRDefault="008C2B05" w:rsidP="00FA52B7">
      <w:pPr>
        <w:spacing w:line="360" w:lineRule="auto"/>
        <w:jc w:val="both"/>
        <w:rPr>
          <w:rFonts w:ascii="Arial" w:hAnsi="Arial" w:cs="Arial"/>
          <w:b/>
          <w:bCs/>
          <w:color w:val="000000" w:themeColor="text1"/>
          <w:sz w:val="22"/>
          <w:szCs w:val="22"/>
        </w:rPr>
      </w:pPr>
      <w:r w:rsidRPr="00260435">
        <w:rPr>
          <w:rFonts w:ascii="Arial" w:hAnsi="Arial" w:cs="Arial"/>
          <w:b/>
          <w:bCs/>
          <w:color w:val="000000" w:themeColor="text1"/>
          <w:sz w:val="22"/>
          <w:szCs w:val="22"/>
        </w:rPr>
        <w:t>ABSTRACT</w:t>
      </w:r>
    </w:p>
    <w:p w14:paraId="09E21B1F" w14:textId="6D228CF9" w:rsidR="000773AF" w:rsidRPr="00260435" w:rsidRDefault="00747A23" w:rsidP="000773AF">
      <w:pPr>
        <w:pStyle w:val="NormalWeb"/>
        <w:pBdr>
          <w:top w:val="single" w:sz="2" w:space="0" w:color="auto"/>
          <w:left w:val="single" w:sz="2" w:space="0" w:color="auto"/>
          <w:bottom w:val="single" w:sz="2" w:space="0" w:color="auto"/>
          <w:right w:val="single" w:sz="2" w:space="0" w:color="auto"/>
        </w:pBd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shd w:val="clear" w:color="auto" w:fill="FFFFFF"/>
        </w:rPr>
        <w:t>This</w:t>
      </w:r>
      <w:r w:rsidR="00BF5A28" w:rsidRPr="00260435">
        <w:rPr>
          <w:rFonts w:ascii="Arial" w:hAnsi="Arial" w:cs="Arial"/>
          <w:color w:val="000000" w:themeColor="text1"/>
          <w:sz w:val="20"/>
          <w:szCs w:val="20"/>
          <w:shd w:val="clear" w:color="auto" w:fill="FFFFFF"/>
        </w:rPr>
        <w:t xml:space="preserve"> study investigates the </w:t>
      </w:r>
      <w:r w:rsidR="000773AF" w:rsidRPr="00260435">
        <w:rPr>
          <w:rFonts w:ascii="Arial" w:hAnsi="Arial" w:cs="Arial"/>
          <w:color w:val="000000" w:themeColor="text1"/>
          <w:sz w:val="20"/>
          <w:szCs w:val="20"/>
          <w:shd w:val="clear" w:color="auto" w:fill="FFFFFF"/>
        </w:rPr>
        <w:t>determinants</w:t>
      </w:r>
      <w:r w:rsidRPr="00260435">
        <w:rPr>
          <w:rFonts w:ascii="Arial" w:hAnsi="Arial" w:cs="Arial"/>
          <w:color w:val="000000" w:themeColor="text1"/>
          <w:sz w:val="20"/>
          <w:szCs w:val="20"/>
          <w:shd w:val="clear" w:color="auto" w:fill="FFFFFF"/>
        </w:rPr>
        <w:t xml:space="preserve"> </w:t>
      </w:r>
      <w:r w:rsidR="00BF5A28" w:rsidRPr="00260435">
        <w:rPr>
          <w:rFonts w:ascii="Arial" w:hAnsi="Arial" w:cs="Arial"/>
          <w:color w:val="000000" w:themeColor="text1"/>
          <w:sz w:val="20"/>
          <w:szCs w:val="20"/>
          <w:shd w:val="clear" w:color="auto" w:fill="FFFFFF"/>
        </w:rPr>
        <w:t xml:space="preserve">of </w:t>
      </w:r>
      <w:r w:rsidRPr="00260435">
        <w:rPr>
          <w:rFonts w:ascii="Arial" w:hAnsi="Arial" w:cs="Arial"/>
          <w:color w:val="000000" w:themeColor="text1"/>
          <w:sz w:val="20"/>
          <w:szCs w:val="20"/>
          <w:shd w:val="clear" w:color="auto" w:fill="FFFFFF"/>
        </w:rPr>
        <w:t>electric vehicle (EV) adoption in Myanmar and identifies public preferences for policy actions that could enhance uptake. Specifically, it examines the role of government incentives, public awareness, and charging infrastructu</w:t>
      </w:r>
      <w:r w:rsidR="00F667E5" w:rsidRPr="00260435">
        <w:rPr>
          <w:rFonts w:ascii="Arial" w:hAnsi="Arial" w:cs="Arial"/>
          <w:color w:val="000000" w:themeColor="text1"/>
          <w:sz w:val="20"/>
          <w:szCs w:val="20"/>
          <w:shd w:val="clear" w:color="auto" w:fill="FFFFFF"/>
        </w:rPr>
        <w:t xml:space="preserve">re in shaping adoption behavior </w:t>
      </w:r>
      <w:r w:rsidRPr="00260435">
        <w:rPr>
          <w:rFonts w:ascii="Arial" w:hAnsi="Arial" w:cs="Arial"/>
          <w:color w:val="000000" w:themeColor="text1"/>
          <w:sz w:val="20"/>
          <w:szCs w:val="20"/>
          <w:shd w:val="clear" w:color="auto" w:fill="FFFFFF"/>
        </w:rPr>
        <w:t>factors that are central to sustainable mobility and the global energy transition. Myanmar’s EV policy and energy transition initiatives began in the 2022 fiscal year, and this research was conducted in 2024 in the urban centers</w:t>
      </w:r>
      <w:r w:rsidR="000773AF" w:rsidRPr="00260435">
        <w:rPr>
          <w:rFonts w:ascii="Arial" w:hAnsi="Arial" w:cs="Arial"/>
          <w:color w:val="000000" w:themeColor="text1"/>
          <w:sz w:val="20"/>
          <w:szCs w:val="20"/>
          <w:shd w:val="clear" w:color="auto" w:fill="FFFFFF"/>
        </w:rPr>
        <w:t xml:space="preserve"> of Yangon, Mandalay, and Nay </w:t>
      </w:r>
      <w:proofErr w:type="spellStart"/>
      <w:r w:rsidR="000773AF" w:rsidRPr="00260435">
        <w:rPr>
          <w:rFonts w:ascii="Arial" w:hAnsi="Arial" w:cs="Arial"/>
          <w:color w:val="000000" w:themeColor="text1"/>
          <w:sz w:val="20"/>
          <w:szCs w:val="20"/>
          <w:shd w:val="clear" w:color="auto" w:fill="FFFFFF"/>
        </w:rPr>
        <w:t>Pyi</w:t>
      </w:r>
      <w:proofErr w:type="spellEnd"/>
      <w:r w:rsidR="000773AF" w:rsidRPr="00260435">
        <w:rPr>
          <w:rFonts w:ascii="Arial" w:hAnsi="Arial" w:cs="Arial"/>
          <w:color w:val="000000" w:themeColor="text1"/>
          <w:sz w:val="20"/>
          <w:szCs w:val="20"/>
          <w:shd w:val="clear" w:color="auto" w:fill="FFFFFF"/>
        </w:rPr>
        <w:t xml:space="preserve"> Taw. The study is motivated by the slow pace of EV adoption in Myanmar, largely due to limited infrastructure only 73 public charging stations (around 200 plugs) and approximately 6,000 imported EVs nationwide by FY2025 as well as low public awareness and limited support from regional governments. In line with other emerging markets, Myanmar’s adoption challenges stem from infrastructural, informational, and behavioral constraints. Using a survey-based approach, the study explores the determinants of adoption and public preferences for policy interventions. Results show that satisfaction with charging infrastructure and awareness of government incentives significantly encourage adoption, while</w:t>
      </w:r>
      <w:r w:rsidR="000773AF" w:rsidRPr="00260435">
        <w:rPr>
          <w:rFonts w:ascii="Arial" w:hAnsi="Arial" w:cs="Arial"/>
          <w:color w:val="000000" w:themeColor="text1"/>
          <w:sz w:val="20"/>
          <w:szCs w:val="20"/>
        </w:rPr>
        <w:t xml:space="preserve"> concerns about charging times act as barriers. Most respondents indicated a preference for expanding the number of public charging stations over financial incentives, highlighting infrastructure availability as the most pressing need</w:t>
      </w:r>
      <w:r w:rsidR="001319C9" w:rsidRPr="00260435">
        <w:rPr>
          <w:rFonts w:ascii="Arial" w:hAnsi="Arial" w:cs="Arial"/>
          <w:color w:val="000000" w:themeColor="text1"/>
          <w:sz w:val="20"/>
          <w:szCs w:val="20"/>
        </w:rPr>
        <w:t xml:space="preserve"> and widespread income constraints that restrict access to EVs for lower- and middle-income </w:t>
      </w:r>
      <w:r w:rsidR="000A01CB" w:rsidRPr="00260435">
        <w:rPr>
          <w:rFonts w:ascii="Arial" w:hAnsi="Arial" w:cs="Arial"/>
          <w:color w:val="000000" w:themeColor="text1"/>
          <w:sz w:val="20"/>
          <w:szCs w:val="20"/>
        </w:rPr>
        <w:t>households. This</w:t>
      </w:r>
      <w:r w:rsidR="000773AF" w:rsidRPr="00260435">
        <w:rPr>
          <w:rFonts w:ascii="Arial" w:hAnsi="Arial" w:cs="Arial"/>
          <w:color w:val="000000" w:themeColor="text1"/>
          <w:sz w:val="20"/>
          <w:szCs w:val="20"/>
        </w:rPr>
        <w:t xml:space="preserve"> study contributes to the literature by providing practical implications for government planning, infrastructure development, and awareness programs. More importantly, it contributes to Myanmar by offering empirical evidence to guide national EV policy and accelerate an inclusive energy transition tailored to the country’s economic realities and infrastructural constraints.</w:t>
      </w:r>
    </w:p>
    <w:p w14:paraId="67A038C9" w14:textId="064DF579" w:rsidR="005C6F5F" w:rsidRPr="00260435" w:rsidRDefault="00AA0049" w:rsidP="00FA79BB">
      <w:pPr>
        <w:spacing w:line="276" w:lineRule="auto"/>
        <w:ind w:left="1080" w:hanging="1080"/>
        <w:jc w:val="both"/>
        <w:rPr>
          <w:rFonts w:ascii="Arial" w:hAnsi="Arial" w:cs="Arial"/>
          <w:i/>
          <w:color w:val="000000" w:themeColor="text1"/>
          <w:sz w:val="20"/>
          <w:szCs w:val="20"/>
        </w:rPr>
      </w:pPr>
      <w:r w:rsidRPr="00260435">
        <w:rPr>
          <w:rFonts w:ascii="Arial" w:hAnsi="Arial" w:cs="Arial"/>
          <w:b/>
          <w:bCs/>
          <w:i/>
          <w:color w:val="000000" w:themeColor="text1"/>
          <w:sz w:val="20"/>
          <w:szCs w:val="20"/>
        </w:rPr>
        <w:t>Keywords:</w:t>
      </w:r>
      <w:r w:rsidRPr="00260435">
        <w:rPr>
          <w:rFonts w:ascii="Arial" w:hAnsi="Arial" w:cs="Arial"/>
          <w:i/>
          <w:color w:val="000000" w:themeColor="text1"/>
          <w:sz w:val="20"/>
          <w:szCs w:val="20"/>
        </w:rPr>
        <w:t xml:space="preserve"> Electric vehicle adoption, charging infrastructure, government incen</w:t>
      </w:r>
      <w:r w:rsidR="005D73F7" w:rsidRPr="00260435">
        <w:rPr>
          <w:rFonts w:ascii="Arial" w:hAnsi="Arial" w:cs="Arial"/>
          <w:i/>
          <w:color w:val="000000" w:themeColor="text1"/>
          <w:sz w:val="20"/>
          <w:szCs w:val="20"/>
        </w:rPr>
        <w:t xml:space="preserve">tives, policy </w:t>
      </w:r>
      <w:proofErr w:type="gramStart"/>
      <w:r w:rsidR="005D73F7" w:rsidRPr="00260435">
        <w:rPr>
          <w:rFonts w:ascii="Arial" w:hAnsi="Arial" w:cs="Arial"/>
          <w:i/>
          <w:color w:val="000000" w:themeColor="text1"/>
          <w:sz w:val="20"/>
          <w:szCs w:val="20"/>
        </w:rPr>
        <w:t xml:space="preserve">measures, </w:t>
      </w:r>
      <w:r w:rsidR="007E6971" w:rsidRPr="00260435">
        <w:rPr>
          <w:rFonts w:ascii="Arial" w:hAnsi="Arial" w:cs="Arial"/>
          <w:i/>
          <w:color w:val="000000" w:themeColor="text1"/>
          <w:sz w:val="20"/>
          <w:szCs w:val="20"/>
        </w:rPr>
        <w:t xml:space="preserve"> </w:t>
      </w:r>
      <w:r w:rsidR="005D73F7" w:rsidRPr="00260435">
        <w:rPr>
          <w:rFonts w:ascii="Arial" w:hAnsi="Arial" w:cs="Arial"/>
          <w:i/>
          <w:color w:val="000000" w:themeColor="text1"/>
          <w:sz w:val="20"/>
          <w:szCs w:val="20"/>
        </w:rPr>
        <w:t>Myanmar</w:t>
      </w:r>
      <w:proofErr w:type="gramEnd"/>
      <w:r w:rsidRPr="00260435">
        <w:rPr>
          <w:rFonts w:ascii="Arial" w:hAnsi="Arial" w:cs="Arial"/>
          <w:i/>
          <w:color w:val="000000" w:themeColor="text1"/>
          <w:sz w:val="20"/>
          <w:szCs w:val="20"/>
        </w:rPr>
        <w:t xml:space="preserve"> </w:t>
      </w:r>
      <w:r w:rsidR="005D73F7" w:rsidRPr="00260435">
        <w:rPr>
          <w:rFonts w:ascii="Arial" w:hAnsi="Arial" w:cs="Arial"/>
          <w:i/>
          <w:color w:val="000000" w:themeColor="text1"/>
          <w:sz w:val="20"/>
          <w:szCs w:val="20"/>
        </w:rPr>
        <w:t xml:space="preserve">, </w:t>
      </w:r>
      <w:r w:rsidRPr="00260435">
        <w:rPr>
          <w:rFonts w:ascii="Arial" w:hAnsi="Arial" w:cs="Arial"/>
          <w:i/>
          <w:color w:val="000000" w:themeColor="text1"/>
          <w:sz w:val="20"/>
          <w:szCs w:val="20"/>
        </w:rPr>
        <w:t>energy transition</w:t>
      </w:r>
      <w:r w:rsidR="00CC6EB8" w:rsidRPr="00260435">
        <w:rPr>
          <w:rFonts w:ascii="Arial" w:hAnsi="Arial" w:cs="Arial"/>
          <w:i/>
          <w:color w:val="000000" w:themeColor="text1"/>
          <w:sz w:val="20"/>
          <w:szCs w:val="20"/>
        </w:rPr>
        <w:t>.</w:t>
      </w:r>
    </w:p>
    <w:p w14:paraId="5CFB1635" w14:textId="77777777" w:rsidR="009E2771" w:rsidRPr="00260435" w:rsidRDefault="009E2771" w:rsidP="007E6971">
      <w:pPr>
        <w:spacing w:line="276" w:lineRule="auto"/>
        <w:jc w:val="both"/>
        <w:rPr>
          <w:rFonts w:ascii="Arial" w:hAnsi="Arial" w:cs="Arial"/>
          <w:i/>
          <w:color w:val="000000" w:themeColor="text1"/>
          <w:sz w:val="20"/>
          <w:szCs w:val="20"/>
        </w:rPr>
      </w:pPr>
    </w:p>
    <w:p w14:paraId="2D04DDF3" w14:textId="77777777"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1. Introduction</w:t>
      </w:r>
    </w:p>
    <w:p w14:paraId="7A9A86C1" w14:textId="29C6B0B1" w:rsidR="004E4EA0" w:rsidRPr="00260435" w:rsidRDefault="00B1783E" w:rsidP="006E08A0">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Electric vehicles (EVs) are automobiles powered by electric energy rather than conventional fossil fuels such as gasoline or diesel</w:t>
      </w:r>
      <w:r w:rsidR="004A3019" w:rsidRPr="00260435">
        <w:rPr>
          <w:rFonts w:ascii="Arial" w:hAnsi="Arial" w:cs="Arial"/>
          <w:color w:val="000000" w:themeColor="text1"/>
          <w:sz w:val="20"/>
          <w:szCs w:val="20"/>
        </w:rPr>
        <w:t xml:space="preserve">. </w:t>
      </w:r>
      <w:r w:rsidR="002A2915" w:rsidRPr="00260435">
        <w:rPr>
          <w:rFonts w:ascii="Arial" w:hAnsi="Arial" w:cs="Arial"/>
          <w:color w:val="000000" w:themeColor="text1"/>
          <w:sz w:val="20"/>
          <w:szCs w:val="20"/>
        </w:rPr>
        <w:t>EVs have been recognized as having the potential to substantially reduce reliance on fossil fuels, CO</w:t>
      </w:r>
      <w:r w:rsidR="002A2915" w:rsidRPr="00260435">
        <w:rPr>
          <w:rFonts w:ascii="Arial" w:hAnsi="Arial" w:cs="Arial"/>
          <w:color w:val="000000" w:themeColor="text1"/>
          <w:sz w:val="20"/>
          <w:szCs w:val="20"/>
          <w:vertAlign w:val="subscript"/>
        </w:rPr>
        <w:t>2</w:t>
      </w:r>
      <w:r w:rsidR="002A2915" w:rsidRPr="00260435">
        <w:rPr>
          <w:rFonts w:ascii="Arial" w:hAnsi="Arial" w:cs="Arial"/>
          <w:color w:val="000000" w:themeColor="text1"/>
          <w:sz w:val="20"/>
          <w:szCs w:val="20"/>
        </w:rPr>
        <w:t> emissions and various environmental concerns</w:t>
      </w:r>
      <w:r w:rsidR="002A2915" w:rsidRPr="00260435">
        <w:rPr>
          <w:rFonts w:ascii="Georgia" w:hAnsi="Georgia"/>
          <w:color w:val="000000" w:themeColor="text1"/>
        </w:rPr>
        <w:t xml:space="preserve"> </w:t>
      </w:r>
      <w:r w:rsidR="002A2915" w:rsidRPr="00260435">
        <w:rPr>
          <w:rFonts w:ascii="Arial" w:hAnsi="Arial" w:cs="Arial"/>
          <w:color w:val="000000" w:themeColor="text1"/>
          <w:sz w:val="20"/>
          <w:szCs w:val="20"/>
        </w:rPr>
        <w:t>[M. </w:t>
      </w:r>
      <w:proofErr w:type="spellStart"/>
      <w:r w:rsidR="002A2915" w:rsidRPr="00260435">
        <w:rPr>
          <w:rFonts w:ascii="Arial" w:hAnsi="Arial" w:cs="Arial"/>
          <w:color w:val="000000" w:themeColor="text1"/>
          <w:sz w:val="20"/>
          <w:szCs w:val="20"/>
        </w:rPr>
        <w:t>Shamshirband</w:t>
      </w:r>
      <w:proofErr w:type="spellEnd"/>
      <w:r w:rsidR="002A2915" w:rsidRPr="00260435">
        <w:rPr>
          <w:rFonts w:ascii="Arial" w:hAnsi="Arial" w:cs="Arial"/>
          <w:color w:val="000000" w:themeColor="text1"/>
          <w:sz w:val="20"/>
          <w:szCs w:val="20"/>
        </w:rPr>
        <w:t xml:space="preserve">, J. Salehi, F.S. Gazijahani,2018]. </w:t>
      </w:r>
      <w:r w:rsidRPr="00260435">
        <w:rPr>
          <w:rFonts w:ascii="Arial" w:hAnsi="Arial" w:cs="Arial"/>
          <w:color w:val="000000" w:themeColor="text1"/>
          <w:sz w:val="20"/>
          <w:szCs w:val="20"/>
        </w:rPr>
        <w:t xml:space="preserve">Replacing traditional automobiles with ones powered by other sources of energy may be viewed as a potentially fruitful alternative </w:t>
      </w:r>
      <w:r w:rsidR="002A2774" w:rsidRPr="00260435">
        <w:rPr>
          <w:rFonts w:ascii="Arial" w:hAnsi="Arial" w:cs="Arial"/>
          <w:color w:val="000000" w:themeColor="text1"/>
          <w:sz w:val="20"/>
          <w:szCs w:val="20"/>
        </w:rPr>
        <w:t xml:space="preserve">in energy sector </w:t>
      </w:r>
      <w:r w:rsidRPr="00260435">
        <w:rPr>
          <w:rFonts w:ascii="Arial" w:hAnsi="Arial" w:cs="Arial"/>
          <w:color w:val="000000" w:themeColor="text1"/>
          <w:sz w:val="20"/>
          <w:szCs w:val="20"/>
        </w:rPr>
        <w:t>(Tu &amp; Yang, 2019)</w:t>
      </w:r>
      <w:r w:rsidR="002A2774" w:rsidRPr="00260435">
        <w:rPr>
          <w:rFonts w:ascii="Arial" w:hAnsi="Arial" w:cs="Arial"/>
          <w:color w:val="000000" w:themeColor="text1"/>
          <w:sz w:val="20"/>
          <w:szCs w:val="20"/>
        </w:rPr>
        <w:t>.</w:t>
      </w:r>
      <w:r w:rsidR="005F76CB" w:rsidRPr="00260435">
        <w:rPr>
          <w:rFonts w:ascii="Arial" w:hAnsi="Arial" w:cs="Arial"/>
          <w:color w:val="000000" w:themeColor="text1"/>
          <w:sz w:val="20"/>
          <w:szCs w:val="20"/>
        </w:rPr>
        <w:t xml:space="preserve"> </w:t>
      </w:r>
      <w:r w:rsidR="00D52926" w:rsidRPr="00260435">
        <w:rPr>
          <w:rFonts w:ascii="Arial" w:hAnsi="Arial" w:cs="Arial"/>
          <w:color w:val="000000" w:themeColor="text1"/>
          <w:sz w:val="20"/>
          <w:szCs w:val="20"/>
        </w:rPr>
        <w:t>Electric vehicles (EVs) have ability to connect to the power grid, which allows for a significant reduction in, or entire elimination of, the ne</w:t>
      </w:r>
      <w:r w:rsidR="002A10CF" w:rsidRPr="00260435">
        <w:rPr>
          <w:rFonts w:ascii="Arial" w:hAnsi="Arial" w:cs="Arial"/>
          <w:color w:val="000000" w:themeColor="text1"/>
          <w:sz w:val="20"/>
          <w:szCs w:val="20"/>
        </w:rPr>
        <w:t>cessity</w:t>
      </w:r>
      <w:r w:rsidR="00D52926" w:rsidRPr="00260435">
        <w:rPr>
          <w:rFonts w:ascii="Arial" w:hAnsi="Arial" w:cs="Arial"/>
          <w:color w:val="000000" w:themeColor="text1"/>
          <w:sz w:val="20"/>
          <w:szCs w:val="20"/>
        </w:rPr>
        <w:t xml:space="preserve"> for traditional fuels </w:t>
      </w:r>
      <w:r w:rsidR="002A10CF" w:rsidRPr="00260435">
        <w:rPr>
          <w:rFonts w:ascii="Arial" w:hAnsi="Arial" w:cs="Arial"/>
          <w:color w:val="000000" w:themeColor="text1"/>
          <w:sz w:val="20"/>
          <w:szCs w:val="20"/>
        </w:rPr>
        <w:t>called</w:t>
      </w:r>
      <w:r w:rsidR="00D52926" w:rsidRPr="00260435">
        <w:rPr>
          <w:rFonts w:ascii="Arial" w:hAnsi="Arial" w:cs="Arial"/>
          <w:color w:val="000000" w:themeColor="text1"/>
          <w:sz w:val="20"/>
          <w:szCs w:val="20"/>
        </w:rPr>
        <w:t xml:space="preserve"> gasoline or diesel within the vehicle itself (</w:t>
      </w:r>
      <w:proofErr w:type="spellStart"/>
      <w:r w:rsidR="00D52926" w:rsidRPr="00260435">
        <w:rPr>
          <w:rFonts w:ascii="Arial" w:hAnsi="Arial" w:cs="Arial"/>
          <w:color w:val="000000" w:themeColor="text1"/>
          <w:sz w:val="20"/>
          <w:szCs w:val="20"/>
        </w:rPr>
        <w:t>Toolib</w:t>
      </w:r>
      <w:proofErr w:type="spellEnd"/>
      <w:r w:rsidR="00D52926" w:rsidRPr="00260435">
        <w:rPr>
          <w:rFonts w:ascii="Arial" w:hAnsi="Arial" w:cs="Arial"/>
          <w:color w:val="000000" w:themeColor="text1"/>
          <w:sz w:val="20"/>
          <w:szCs w:val="20"/>
        </w:rPr>
        <w:t xml:space="preserve"> et al. 2023). </w:t>
      </w:r>
      <w:r w:rsidR="00C45422" w:rsidRPr="00260435">
        <w:rPr>
          <w:rFonts w:ascii="Arial" w:hAnsi="Arial" w:cs="Arial"/>
          <w:color w:val="000000" w:themeColor="text1"/>
          <w:sz w:val="20"/>
          <w:szCs w:val="20"/>
          <w:shd w:val="clear" w:color="auto" w:fill="FFFFFF"/>
        </w:rPr>
        <w:t>Many internal combustion-engine vehicle users still believe that EV charging stations are not widely available in many regions, especially in developing countries. The limited number of charging stations together with the limited capacity of batteries in EVs has caused the issue of “range stress” or “range anxiety” [</w:t>
      </w:r>
      <w:proofErr w:type="spellStart"/>
      <w:r w:rsidR="00C45422" w:rsidRPr="00260435">
        <w:rPr>
          <w:rFonts w:ascii="Arial" w:hAnsi="Arial" w:cs="Arial"/>
          <w:color w:val="000000" w:themeColor="text1"/>
          <w:sz w:val="20"/>
          <w:szCs w:val="20"/>
        </w:rPr>
        <w:t>Melliger</w:t>
      </w:r>
      <w:proofErr w:type="spellEnd"/>
      <w:r w:rsidR="00C45422" w:rsidRPr="00260435">
        <w:rPr>
          <w:rFonts w:ascii="Arial" w:hAnsi="Arial" w:cs="Arial"/>
          <w:color w:val="000000" w:themeColor="text1"/>
          <w:sz w:val="20"/>
          <w:szCs w:val="20"/>
        </w:rPr>
        <w:t>, M.A.; van Vliet, O.P.R, 2018</w:t>
      </w:r>
      <w:r w:rsidR="00C45422" w:rsidRPr="00260435">
        <w:rPr>
          <w:rFonts w:ascii="Arial" w:hAnsi="Arial" w:cs="Arial"/>
          <w:color w:val="000000" w:themeColor="text1"/>
          <w:sz w:val="20"/>
          <w:szCs w:val="20"/>
          <w:shd w:val="clear" w:color="auto" w:fill="FFFFFF"/>
        </w:rPr>
        <w:t>]</w:t>
      </w:r>
      <w:r w:rsidR="000430EF" w:rsidRPr="00260435">
        <w:rPr>
          <w:rFonts w:ascii="Arial" w:hAnsi="Arial" w:cs="Arial"/>
          <w:color w:val="000000" w:themeColor="text1"/>
          <w:sz w:val="20"/>
          <w:szCs w:val="20"/>
          <w:shd w:val="clear" w:color="auto" w:fill="FFFFFF"/>
        </w:rPr>
        <w:t>. In this research</w:t>
      </w:r>
      <w:r w:rsidR="00AD578C" w:rsidRPr="00260435">
        <w:rPr>
          <w:rFonts w:ascii="Arial" w:hAnsi="Arial" w:cs="Arial"/>
          <w:color w:val="000000" w:themeColor="text1"/>
          <w:sz w:val="20"/>
          <w:szCs w:val="20"/>
          <w:shd w:val="clear" w:color="auto" w:fill="FFFFFF"/>
        </w:rPr>
        <w:t>,</w:t>
      </w:r>
      <w:r w:rsidR="000430EF" w:rsidRPr="00260435">
        <w:rPr>
          <w:rFonts w:ascii="Arial" w:hAnsi="Arial" w:cs="Arial"/>
          <w:color w:val="000000" w:themeColor="text1"/>
          <w:sz w:val="20"/>
          <w:szCs w:val="20"/>
          <w:shd w:val="clear" w:color="auto" w:fill="FFFFFF"/>
        </w:rPr>
        <w:t xml:space="preserve"> one of the </w:t>
      </w:r>
      <w:proofErr w:type="gramStart"/>
      <w:r w:rsidR="000430EF" w:rsidRPr="00260435">
        <w:rPr>
          <w:rFonts w:ascii="Arial" w:hAnsi="Arial" w:cs="Arial"/>
          <w:color w:val="000000" w:themeColor="text1"/>
          <w:sz w:val="20"/>
          <w:szCs w:val="20"/>
          <w:shd w:val="clear" w:color="auto" w:fill="FFFFFF"/>
        </w:rPr>
        <w:t>objective</w:t>
      </w:r>
      <w:proofErr w:type="gramEnd"/>
      <w:r w:rsidR="000430EF" w:rsidRPr="00260435">
        <w:rPr>
          <w:rFonts w:ascii="Arial" w:hAnsi="Arial" w:cs="Arial"/>
          <w:color w:val="000000" w:themeColor="text1"/>
          <w:sz w:val="20"/>
          <w:szCs w:val="20"/>
          <w:shd w:val="clear" w:color="auto" w:fill="FFFFFF"/>
        </w:rPr>
        <w:t xml:space="preserve"> is </w:t>
      </w:r>
      <w:r w:rsidR="000430EF" w:rsidRPr="00260435">
        <w:rPr>
          <w:rFonts w:ascii="Arial" w:hAnsi="Arial" w:cs="Arial"/>
          <w:color w:val="000000" w:themeColor="text1"/>
          <w:sz w:val="20"/>
          <w:szCs w:val="20"/>
        </w:rPr>
        <w:t>to</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encourage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automotive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companies</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to</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make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a</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faster</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transition</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from</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ICE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to</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EV technology,</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many</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countries</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have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set</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national</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goals</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to</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increase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the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EV</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market</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share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as well</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as</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to</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ban</w:t>
      </w:r>
      <w:r w:rsidR="000430EF" w:rsidRPr="00260435">
        <w:rPr>
          <w:rStyle w:val="a"/>
          <w:rFonts w:ascii="Arial" w:eastAsiaTheme="majorEastAsia" w:hAnsi="Arial" w:cs="Arial"/>
          <w:color w:val="000000" w:themeColor="text1"/>
          <w:sz w:val="20"/>
          <w:szCs w:val="20"/>
        </w:rPr>
        <w:t xml:space="preserve"> </w:t>
      </w:r>
      <w:r w:rsidR="004E4EA0" w:rsidRPr="00260435">
        <w:rPr>
          <w:rFonts w:ascii="Arial" w:hAnsi="Arial" w:cs="Arial"/>
          <w:color w:val="000000" w:themeColor="text1"/>
          <w:sz w:val="20"/>
          <w:szCs w:val="20"/>
        </w:rPr>
        <w:t>ICE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in</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the</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next</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decades</w:t>
      </w:r>
      <w:r w:rsidR="000430EF" w:rsidRPr="00260435">
        <w:rPr>
          <w:rStyle w:val="a"/>
          <w:rFonts w:ascii="Arial" w:eastAsiaTheme="majorEastAsia" w:hAnsi="Arial" w:cs="Arial"/>
          <w:color w:val="000000" w:themeColor="text1"/>
          <w:sz w:val="20"/>
          <w:szCs w:val="20"/>
        </w:rPr>
        <w:t xml:space="preserve"> </w:t>
      </w:r>
      <w:r w:rsidR="000430EF" w:rsidRPr="00260435">
        <w:rPr>
          <w:rFonts w:ascii="Arial" w:hAnsi="Arial" w:cs="Arial"/>
          <w:color w:val="000000" w:themeColor="text1"/>
          <w:sz w:val="20"/>
          <w:szCs w:val="20"/>
        </w:rPr>
        <w:t>[I</w:t>
      </w:r>
      <w:r w:rsidR="003E7B05" w:rsidRPr="00260435">
        <w:rPr>
          <w:rFonts w:ascii="Arial" w:hAnsi="Arial" w:cs="Arial"/>
          <w:color w:val="000000" w:themeColor="text1"/>
          <w:sz w:val="20"/>
          <w:szCs w:val="20"/>
          <w:shd w:val="clear" w:color="auto" w:fill="FFFFFF"/>
        </w:rPr>
        <w:t>EA</w:t>
      </w:r>
      <w:r w:rsidR="000430EF" w:rsidRPr="00260435">
        <w:rPr>
          <w:rStyle w:val="a"/>
          <w:rFonts w:ascii="Arial" w:eastAsiaTheme="majorEastAsia" w:hAnsi="Arial" w:cs="Arial"/>
          <w:color w:val="000000" w:themeColor="text1"/>
          <w:sz w:val="20"/>
          <w:szCs w:val="20"/>
          <w:shd w:val="clear" w:color="auto" w:fill="FFFFFF"/>
        </w:rPr>
        <w:t xml:space="preserve"> </w:t>
      </w:r>
      <w:r w:rsidR="000430EF" w:rsidRPr="00260435">
        <w:rPr>
          <w:rStyle w:val="ff1"/>
          <w:rFonts w:ascii="Arial" w:eastAsiaTheme="majorEastAsia" w:hAnsi="Arial" w:cs="Arial"/>
          <w:color w:val="000000" w:themeColor="text1"/>
          <w:sz w:val="20"/>
          <w:szCs w:val="20"/>
          <w:shd w:val="clear" w:color="auto" w:fill="FFFFFF"/>
        </w:rPr>
        <w:t>Global</w:t>
      </w:r>
      <w:r w:rsidR="000430EF" w:rsidRPr="00260435">
        <w:rPr>
          <w:rStyle w:val="a"/>
          <w:rFonts w:ascii="Arial" w:eastAsiaTheme="majorEastAsia" w:hAnsi="Arial" w:cs="Arial"/>
          <w:color w:val="000000" w:themeColor="text1"/>
          <w:sz w:val="20"/>
          <w:szCs w:val="20"/>
          <w:shd w:val="clear" w:color="auto" w:fill="FFFFFF"/>
        </w:rPr>
        <w:t xml:space="preserve"> </w:t>
      </w:r>
      <w:r w:rsidR="000430EF" w:rsidRPr="00260435">
        <w:rPr>
          <w:rStyle w:val="ff1"/>
          <w:rFonts w:ascii="Arial" w:eastAsiaTheme="majorEastAsia" w:hAnsi="Arial" w:cs="Arial"/>
          <w:color w:val="000000" w:themeColor="text1"/>
          <w:sz w:val="20"/>
          <w:szCs w:val="20"/>
          <w:shd w:val="clear" w:color="auto" w:fill="FFFFFF"/>
        </w:rPr>
        <w:t>EV</w:t>
      </w:r>
      <w:r w:rsidR="000430EF" w:rsidRPr="00260435">
        <w:rPr>
          <w:rStyle w:val="a"/>
          <w:rFonts w:ascii="Arial" w:eastAsiaTheme="majorEastAsia" w:hAnsi="Arial" w:cs="Arial"/>
          <w:color w:val="000000" w:themeColor="text1"/>
          <w:sz w:val="20"/>
          <w:szCs w:val="20"/>
          <w:shd w:val="clear" w:color="auto" w:fill="FFFFFF"/>
        </w:rPr>
        <w:t xml:space="preserve"> </w:t>
      </w:r>
      <w:r w:rsidR="000430EF" w:rsidRPr="00260435">
        <w:rPr>
          <w:rStyle w:val="ff1"/>
          <w:rFonts w:ascii="Arial" w:eastAsiaTheme="majorEastAsia" w:hAnsi="Arial" w:cs="Arial"/>
          <w:color w:val="000000" w:themeColor="text1"/>
          <w:sz w:val="20"/>
          <w:szCs w:val="20"/>
          <w:shd w:val="clear" w:color="auto" w:fill="FFFFFF"/>
        </w:rPr>
        <w:t>Outlook</w:t>
      </w:r>
      <w:r w:rsidR="000430EF" w:rsidRPr="00260435">
        <w:rPr>
          <w:rStyle w:val="a"/>
          <w:rFonts w:ascii="Arial" w:eastAsiaTheme="majorEastAsia" w:hAnsi="Arial" w:cs="Arial"/>
          <w:color w:val="000000" w:themeColor="text1"/>
          <w:sz w:val="20"/>
          <w:szCs w:val="20"/>
          <w:shd w:val="clear" w:color="auto" w:fill="FFFFFF"/>
        </w:rPr>
        <w:t xml:space="preserve"> </w:t>
      </w:r>
      <w:r w:rsidR="000430EF" w:rsidRPr="00260435">
        <w:rPr>
          <w:rStyle w:val="ff1"/>
          <w:rFonts w:ascii="Arial" w:eastAsiaTheme="majorEastAsia" w:hAnsi="Arial" w:cs="Arial"/>
          <w:color w:val="000000" w:themeColor="text1"/>
          <w:sz w:val="20"/>
          <w:szCs w:val="20"/>
          <w:shd w:val="clear" w:color="auto" w:fill="FFFFFF"/>
        </w:rPr>
        <w:t>202</w:t>
      </w:r>
      <w:r w:rsidR="00DF7A66" w:rsidRPr="00260435">
        <w:rPr>
          <w:rStyle w:val="ff1"/>
          <w:rFonts w:ascii="Arial" w:eastAsiaTheme="majorEastAsia" w:hAnsi="Arial" w:cs="Arial"/>
          <w:color w:val="000000" w:themeColor="text1"/>
          <w:sz w:val="20"/>
          <w:szCs w:val="20"/>
          <w:shd w:val="clear" w:color="auto" w:fill="FFFFFF"/>
        </w:rPr>
        <w:t>5</w:t>
      </w:r>
      <w:r w:rsidR="000430EF" w:rsidRPr="00260435">
        <w:rPr>
          <w:rFonts w:ascii="Arial" w:hAnsi="Arial" w:cs="Arial"/>
          <w:color w:val="000000" w:themeColor="text1"/>
          <w:sz w:val="20"/>
          <w:szCs w:val="20"/>
        </w:rPr>
        <w:t>].</w:t>
      </w:r>
      <w:r w:rsidR="004A287A" w:rsidRPr="00260435">
        <w:rPr>
          <w:rFonts w:ascii="Arial" w:hAnsi="Arial" w:cs="Arial"/>
          <w:color w:val="000000" w:themeColor="text1"/>
          <w:sz w:val="20"/>
          <w:szCs w:val="20"/>
        </w:rPr>
        <w:t xml:space="preserve"> </w:t>
      </w:r>
      <w:r w:rsidR="00AD578C" w:rsidRPr="00260435">
        <w:rPr>
          <w:rFonts w:ascii="Arial" w:hAnsi="Arial" w:cs="Arial"/>
          <w:color w:val="000000" w:themeColor="text1"/>
          <w:sz w:val="20"/>
          <w:szCs w:val="20"/>
        </w:rPr>
        <w:t>In fact</w:t>
      </w:r>
      <w:r w:rsidR="00D0139E" w:rsidRPr="00260435">
        <w:rPr>
          <w:rFonts w:ascii="Arial" w:hAnsi="Arial" w:cs="Arial"/>
          <w:color w:val="000000" w:themeColor="text1"/>
          <w:sz w:val="20"/>
          <w:szCs w:val="20"/>
        </w:rPr>
        <w:t>,</w:t>
      </w:r>
      <w:r w:rsidR="00F667E5" w:rsidRPr="00260435">
        <w:rPr>
          <w:rFonts w:ascii="Arial" w:hAnsi="Arial" w:cs="Arial"/>
          <w:color w:val="000000" w:themeColor="text1"/>
          <w:sz w:val="20"/>
          <w:szCs w:val="20"/>
        </w:rPr>
        <w:t xml:space="preserve"> </w:t>
      </w:r>
      <w:r w:rsidR="00D0139E" w:rsidRPr="00260435">
        <w:rPr>
          <w:rFonts w:ascii="Arial" w:hAnsi="Arial" w:cs="Arial"/>
          <w:color w:val="000000" w:themeColor="text1"/>
          <w:sz w:val="20"/>
          <w:szCs w:val="20"/>
        </w:rPr>
        <w:t xml:space="preserve">Myanmar does not have specific, listed sustainable development goals (SDGs) focused </w:t>
      </w:r>
      <w:r w:rsidR="00D0139E" w:rsidRPr="00260435">
        <w:rPr>
          <w:rFonts w:ascii="Arial" w:hAnsi="Arial" w:cs="Arial"/>
          <w:color w:val="000000" w:themeColor="text1"/>
          <w:sz w:val="20"/>
          <w:szCs w:val="20"/>
        </w:rPr>
        <w:lastRenderedPageBreak/>
        <w:t xml:space="preserve">solely on </w:t>
      </w:r>
      <w:r w:rsidR="00AD578C" w:rsidRPr="00260435">
        <w:rPr>
          <w:rFonts w:ascii="Arial" w:hAnsi="Arial" w:cs="Arial"/>
          <w:color w:val="000000" w:themeColor="text1"/>
          <w:sz w:val="20"/>
          <w:szCs w:val="20"/>
        </w:rPr>
        <w:t>EVs</w:t>
      </w:r>
      <w:r w:rsidR="00D0139E" w:rsidRPr="00260435">
        <w:rPr>
          <w:rFonts w:ascii="Arial" w:hAnsi="Arial" w:cs="Arial"/>
          <w:color w:val="000000" w:themeColor="text1"/>
          <w:sz w:val="20"/>
          <w:szCs w:val="20"/>
        </w:rPr>
        <w:t>; instead, its approach to EV adoption is integrated into broader goals like Sustainable Development Goal 7 (Affordable and Clean Energy), which aims to increase access to clean and efficient energy, and it related Goal 13 (Climate Action), which focuses on climate change mitigation and adaptation that prioritizes job creation and private sector-led growth, which would support the necessary infrastructure and economic</w:t>
      </w:r>
      <w:r w:rsidR="00604E8D" w:rsidRPr="00260435">
        <w:rPr>
          <w:rFonts w:ascii="Arial" w:hAnsi="Arial" w:cs="Arial"/>
          <w:color w:val="000000" w:themeColor="text1"/>
          <w:sz w:val="20"/>
          <w:szCs w:val="20"/>
        </w:rPr>
        <w:t xml:space="preserve"> framework for an EV transition[</w:t>
      </w:r>
      <w:r w:rsidR="00D0139E" w:rsidRPr="00260435">
        <w:rPr>
          <w:rFonts w:ascii="Arial" w:hAnsi="Arial" w:cs="Arial"/>
          <w:color w:val="000000" w:themeColor="text1"/>
          <w:sz w:val="20"/>
          <w:szCs w:val="20"/>
        </w:rPr>
        <w:t>Myanmar Sustainable Devel</w:t>
      </w:r>
      <w:r w:rsidR="00604E8D" w:rsidRPr="00260435">
        <w:rPr>
          <w:rFonts w:ascii="Arial" w:hAnsi="Arial" w:cs="Arial"/>
          <w:color w:val="000000" w:themeColor="text1"/>
          <w:sz w:val="20"/>
          <w:szCs w:val="20"/>
        </w:rPr>
        <w:t>opment Plan(2018 – 2030)]</w:t>
      </w:r>
      <w:r w:rsidR="00D0139E" w:rsidRPr="00260435">
        <w:rPr>
          <w:rFonts w:ascii="Arial" w:hAnsi="Arial" w:cs="Arial"/>
          <w:color w:val="000000" w:themeColor="text1"/>
          <w:sz w:val="20"/>
          <w:szCs w:val="20"/>
          <w:shd w:val="clear" w:color="auto" w:fill="FFFFFF"/>
        </w:rPr>
        <w:t> </w:t>
      </w:r>
    </w:p>
    <w:p w14:paraId="2EC3895F" w14:textId="6A8D9B8B" w:rsidR="005C6F5F" w:rsidRPr="00260435" w:rsidRDefault="004E4EA0" w:rsidP="00DA472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As of </w:t>
      </w:r>
      <w:r w:rsidR="00AD578C" w:rsidRPr="00260435">
        <w:rPr>
          <w:rFonts w:ascii="Arial" w:hAnsi="Arial" w:cs="Arial"/>
          <w:color w:val="000000" w:themeColor="text1"/>
          <w:sz w:val="20"/>
          <w:szCs w:val="20"/>
        </w:rPr>
        <w:t>Jan</w:t>
      </w:r>
      <w:r w:rsidRPr="00260435">
        <w:rPr>
          <w:rFonts w:ascii="Arial" w:hAnsi="Arial" w:cs="Arial"/>
          <w:color w:val="000000" w:themeColor="text1"/>
          <w:sz w:val="20"/>
          <w:szCs w:val="20"/>
        </w:rPr>
        <w:t xml:space="preserve"> 20</w:t>
      </w:r>
      <w:r w:rsidR="00AD578C" w:rsidRPr="00260435">
        <w:rPr>
          <w:rFonts w:ascii="Arial" w:hAnsi="Arial" w:cs="Arial"/>
          <w:color w:val="000000" w:themeColor="text1"/>
          <w:sz w:val="20"/>
          <w:szCs w:val="20"/>
        </w:rPr>
        <w:t>25</w:t>
      </w:r>
      <w:r w:rsidRPr="00260435">
        <w:rPr>
          <w:rFonts w:ascii="Arial" w:hAnsi="Arial" w:cs="Arial"/>
          <w:color w:val="000000" w:themeColor="text1"/>
          <w:sz w:val="20"/>
          <w:szCs w:val="20"/>
        </w:rPr>
        <w:t xml:space="preserve">, there were roughly </w:t>
      </w:r>
      <w:r w:rsidR="007E16BD" w:rsidRPr="00260435">
        <w:rPr>
          <w:rFonts w:ascii="Arial" w:hAnsi="Arial" w:cs="Arial"/>
          <w:color w:val="000000" w:themeColor="text1"/>
          <w:sz w:val="20"/>
          <w:szCs w:val="20"/>
        </w:rPr>
        <w:t>6166 EVs ,3 EV bus and 22 electric light truck</w:t>
      </w:r>
      <w:r w:rsidRPr="00260435">
        <w:rPr>
          <w:rFonts w:ascii="Arial" w:hAnsi="Arial" w:cs="Arial"/>
          <w:color w:val="000000" w:themeColor="text1"/>
          <w:sz w:val="20"/>
          <w:szCs w:val="20"/>
        </w:rPr>
        <w:t xml:space="preserve"> vehicles in Myanmar that could be charged with electricity in which most of them are in Yangon and other populated </w:t>
      </w:r>
      <w:proofErr w:type="gramStart"/>
      <w:r w:rsidRPr="00260435">
        <w:rPr>
          <w:rFonts w:ascii="Arial" w:hAnsi="Arial" w:cs="Arial"/>
          <w:color w:val="000000" w:themeColor="text1"/>
          <w:sz w:val="20"/>
          <w:szCs w:val="20"/>
        </w:rPr>
        <w:t>cities.</w:t>
      </w:r>
      <w:r w:rsidR="00604E8D" w:rsidRPr="00260435">
        <w:rPr>
          <w:rFonts w:ascii="Arial" w:hAnsi="Arial" w:cs="Arial"/>
          <w:color w:val="000000" w:themeColor="text1"/>
          <w:sz w:val="20"/>
          <w:szCs w:val="20"/>
        </w:rPr>
        <w:t>[</w:t>
      </w:r>
      <w:proofErr w:type="gramEnd"/>
      <w:r w:rsidR="00EC7405" w:rsidRPr="00260435">
        <w:rPr>
          <w:rFonts w:ascii="Arial" w:hAnsi="Arial" w:cs="Arial"/>
          <w:color w:val="000000" w:themeColor="text1"/>
          <w:sz w:val="20"/>
          <w:szCs w:val="20"/>
        </w:rPr>
        <w:t xml:space="preserve">The global New light of Myanmar 2025,Jan14] </w:t>
      </w:r>
      <w:r w:rsidRPr="00260435">
        <w:rPr>
          <w:rFonts w:ascii="Arial" w:hAnsi="Arial" w:cs="Arial"/>
          <w:color w:val="000000" w:themeColor="text1"/>
          <w:sz w:val="20"/>
          <w:szCs w:val="20"/>
        </w:rPr>
        <w:t xml:space="preserve">However, sales rates are still well below the neighboring countries because of EV purchasing price is too double high by imported companies and limited permit from government. Also, charging station investor are watching the number of EV car on the road and delaying for new charging station </w:t>
      </w:r>
      <w:r w:rsidR="000A01CB" w:rsidRPr="00260435">
        <w:rPr>
          <w:rFonts w:ascii="Arial" w:hAnsi="Arial" w:cs="Arial"/>
          <w:color w:val="000000" w:themeColor="text1"/>
          <w:sz w:val="20"/>
          <w:szCs w:val="20"/>
        </w:rPr>
        <w:t>infrastructure</w:t>
      </w:r>
      <w:r w:rsidR="000A01CB" w:rsidRPr="00260435">
        <w:rPr>
          <w:rFonts w:ascii="Arial" w:hAnsi="Arial" w:cs="Arial"/>
          <w:color w:val="000000" w:themeColor="text1"/>
          <w:sz w:val="20"/>
          <w:szCs w:val="20"/>
          <w:shd w:val="clear" w:color="auto" w:fill="FFFFFF"/>
        </w:rPr>
        <w:t>,</w:t>
      </w:r>
      <w:r w:rsidR="000A01CB" w:rsidRPr="00260435">
        <w:rPr>
          <w:rFonts w:ascii="Arial" w:hAnsi="Arial" w:cs="Arial"/>
          <w:color w:val="000000" w:themeColor="text1"/>
          <w:sz w:val="20"/>
          <w:szCs w:val="20"/>
        </w:rPr>
        <w:t xml:space="preserve"> Everyone</w:t>
      </w:r>
      <w:r w:rsidR="004A287A" w:rsidRPr="00260435">
        <w:rPr>
          <w:rFonts w:ascii="Arial" w:hAnsi="Arial" w:cs="Arial"/>
          <w:color w:val="000000" w:themeColor="text1"/>
          <w:sz w:val="20"/>
          <w:szCs w:val="20"/>
        </w:rPr>
        <w:t xml:space="preserve"> can find and access reliable public </w:t>
      </w:r>
      <w:r w:rsidR="000A01CB" w:rsidRPr="00260435">
        <w:rPr>
          <w:rFonts w:ascii="Arial" w:hAnsi="Arial" w:cs="Arial"/>
          <w:color w:val="000000" w:themeColor="text1"/>
          <w:sz w:val="20"/>
          <w:szCs w:val="20"/>
        </w:rPr>
        <w:t>charge points</w:t>
      </w:r>
      <w:r w:rsidR="004A287A" w:rsidRPr="00260435">
        <w:rPr>
          <w:rFonts w:ascii="Arial" w:hAnsi="Arial" w:cs="Arial"/>
          <w:color w:val="000000" w:themeColor="text1"/>
          <w:sz w:val="20"/>
          <w:szCs w:val="20"/>
        </w:rPr>
        <w:t xml:space="preserve"> </w:t>
      </w:r>
      <w:r w:rsidR="00E33A61" w:rsidRPr="00260435">
        <w:rPr>
          <w:rFonts w:ascii="Arial" w:hAnsi="Arial" w:cs="Arial"/>
          <w:color w:val="000000" w:themeColor="text1"/>
          <w:sz w:val="20"/>
          <w:szCs w:val="20"/>
        </w:rPr>
        <w:t xml:space="preserve">wherever they live </w:t>
      </w:r>
      <w:r w:rsidR="004A287A" w:rsidRPr="00260435">
        <w:rPr>
          <w:rFonts w:ascii="Arial" w:hAnsi="Arial" w:cs="Arial"/>
          <w:color w:val="000000" w:themeColor="text1"/>
          <w:sz w:val="20"/>
          <w:szCs w:val="20"/>
        </w:rPr>
        <w:t xml:space="preserve"> be that city </w:t>
      </w:r>
      <w:r w:rsidR="000A01CB" w:rsidRPr="00260435">
        <w:rPr>
          <w:rFonts w:ascii="Arial" w:hAnsi="Arial" w:cs="Arial"/>
          <w:color w:val="000000" w:themeColor="text1"/>
          <w:sz w:val="20"/>
          <w:szCs w:val="20"/>
        </w:rPr>
        <w:t>center</w:t>
      </w:r>
      <w:r w:rsidR="004A287A" w:rsidRPr="00260435">
        <w:rPr>
          <w:rFonts w:ascii="Arial" w:hAnsi="Arial" w:cs="Arial"/>
          <w:color w:val="000000" w:themeColor="text1"/>
          <w:sz w:val="20"/>
          <w:szCs w:val="20"/>
        </w:rPr>
        <w:t xml:space="preserve"> or rural village, urban flat or suburban house, in the north, south, east or west of the country. Charging opportunities will not be limited by income or </w:t>
      </w:r>
      <w:r w:rsidR="00E33A61" w:rsidRPr="00260435">
        <w:rPr>
          <w:rFonts w:ascii="Arial" w:hAnsi="Arial" w:cs="Arial"/>
          <w:color w:val="000000" w:themeColor="text1"/>
          <w:sz w:val="20"/>
          <w:szCs w:val="20"/>
        </w:rPr>
        <w:t>location[</w:t>
      </w:r>
      <w:proofErr w:type="spellStart"/>
      <w:r w:rsidR="00DA472B" w:rsidRPr="00260435">
        <w:rPr>
          <w:rFonts w:ascii="Arial" w:hAnsi="Arial" w:cs="Arial"/>
          <w:color w:val="000000" w:themeColor="text1"/>
          <w:sz w:val="20"/>
          <w:szCs w:val="20"/>
        </w:rPr>
        <w:t>UK,E</w:t>
      </w:r>
      <w:r w:rsidR="00E33A61" w:rsidRPr="00260435">
        <w:rPr>
          <w:rFonts w:ascii="Arial" w:hAnsi="Arial" w:cs="Arial"/>
          <w:color w:val="000000" w:themeColor="text1"/>
          <w:sz w:val="20"/>
          <w:szCs w:val="20"/>
        </w:rPr>
        <w:t>lectric</w:t>
      </w:r>
      <w:proofErr w:type="spellEnd"/>
      <w:r w:rsidR="00E33A61" w:rsidRPr="00260435">
        <w:rPr>
          <w:rFonts w:ascii="Arial" w:hAnsi="Arial" w:cs="Arial"/>
          <w:color w:val="000000" w:themeColor="text1"/>
          <w:sz w:val="20"/>
          <w:szCs w:val="20"/>
        </w:rPr>
        <w:t xml:space="preserve"> vehicle infrastructure strategy,2022]</w:t>
      </w:r>
      <w:r w:rsidR="00DA472B" w:rsidRPr="00260435">
        <w:rPr>
          <w:rFonts w:ascii="Arial" w:hAnsi="Arial" w:cs="Arial"/>
          <w:color w:val="000000" w:themeColor="text1"/>
          <w:sz w:val="20"/>
          <w:szCs w:val="20"/>
        </w:rPr>
        <w:t xml:space="preserve"> </w:t>
      </w:r>
      <w:r w:rsidR="000A3751" w:rsidRPr="00260435">
        <w:rPr>
          <w:rFonts w:ascii="Arial" w:hAnsi="Arial" w:cs="Arial"/>
          <w:color w:val="000000" w:themeColor="text1"/>
          <w:sz w:val="20"/>
          <w:szCs w:val="20"/>
        </w:rPr>
        <w:t xml:space="preserve">A fully-inclusive EV charging infrastructure network will work for everyone, regardless of </w:t>
      </w:r>
      <w:r w:rsidR="000A01CB" w:rsidRPr="00260435">
        <w:rPr>
          <w:rFonts w:ascii="Arial" w:hAnsi="Arial" w:cs="Arial"/>
          <w:color w:val="000000" w:themeColor="text1"/>
          <w:sz w:val="20"/>
          <w:szCs w:val="20"/>
        </w:rPr>
        <w:t>age, health</w:t>
      </w:r>
      <w:r w:rsidR="000A3751" w:rsidRPr="00260435">
        <w:rPr>
          <w:rFonts w:ascii="Arial" w:hAnsi="Arial" w:cs="Arial"/>
          <w:color w:val="000000" w:themeColor="text1"/>
          <w:sz w:val="20"/>
          <w:szCs w:val="20"/>
        </w:rPr>
        <w:t>, income, or other needs. This will ensure a fair and equitable tra</w:t>
      </w:r>
      <w:r w:rsidR="00604E8D" w:rsidRPr="00260435">
        <w:rPr>
          <w:rFonts w:ascii="Arial" w:hAnsi="Arial" w:cs="Arial"/>
          <w:color w:val="000000" w:themeColor="text1"/>
          <w:sz w:val="20"/>
          <w:szCs w:val="20"/>
        </w:rPr>
        <w:t xml:space="preserve">nsition to large-scale EV </w:t>
      </w:r>
      <w:proofErr w:type="gramStart"/>
      <w:r w:rsidR="00604E8D" w:rsidRPr="00260435">
        <w:rPr>
          <w:rFonts w:ascii="Arial" w:hAnsi="Arial" w:cs="Arial"/>
          <w:color w:val="000000" w:themeColor="text1"/>
          <w:sz w:val="20"/>
          <w:szCs w:val="20"/>
        </w:rPr>
        <w:t>use.[</w:t>
      </w:r>
      <w:proofErr w:type="gramEnd"/>
      <w:r w:rsidR="00473A65" w:rsidRPr="00260435">
        <w:rPr>
          <w:rFonts w:ascii="Arial" w:hAnsi="Arial" w:cs="Arial"/>
          <w:color w:val="000000" w:themeColor="text1"/>
          <w:sz w:val="20"/>
          <w:szCs w:val="20"/>
        </w:rPr>
        <w:t xml:space="preserve">An </w:t>
      </w:r>
      <w:proofErr w:type="spellStart"/>
      <w:r w:rsidR="00473A65" w:rsidRPr="00260435">
        <w:rPr>
          <w:rFonts w:ascii="Arial" w:hAnsi="Arial" w:cs="Arial"/>
          <w:color w:val="000000" w:themeColor="text1"/>
          <w:sz w:val="20"/>
          <w:szCs w:val="20"/>
        </w:rPr>
        <w:t>Roinn</w:t>
      </w:r>
      <w:proofErr w:type="spellEnd"/>
      <w:r w:rsidR="00473A65" w:rsidRPr="00260435">
        <w:rPr>
          <w:rFonts w:ascii="Arial" w:hAnsi="Arial" w:cs="Arial"/>
          <w:color w:val="000000" w:themeColor="text1"/>
          <w:sz w:val="20"/>
          <w:szCs w:val="20"/>
        </w:rPr>
        <w:t xml:space="preserve"> </w:t>
      </w:r>
      <w:proofErr w:type="spellStart"/>
      <w:r w:rsidR="00473A65" w:rsidRPr="00260435">
        <w:rPr>
          <w:rFonts w:ascii="Arial" w:hAnsi="Arial" w:cs="Arial"/>
          <w:color w:val="000000" w:themeColor="text1"/>
          <w:sz w:val="20"/>
          <w:szCs w:val="20"/>
        </w:rPr>
        <w:t>Iompair</w:t>
      </w:r>
      <w:proofErr w:type="spellEnd"/>
      <w:r w:rsidR="00473A65" w:rsidRPr="00260435">
        <w:rPr>
          <w:rFonts w:ascii="Arial" w:hAnsi="Arial" w:cs="Arial"/>
          <w:color w:val="000000" w:themeColor="text1"/>
          <w:sz w:val="20"/>
          <w:szCs w:val="20"/>
        </w:rPr>
        <w:t xml:space="preserve"> 2025] </w:t>
      </w:r>
      <w:r w:rsidR="000A3751" w:rsidRPr="00260435">
        <w:rPr>
          <w:rFonts w:ascii="Arial" w:hAnsi="Arial" w:cs="Arial"/>
          <w:color w:val="000000" w:themeColor="text1"/>
          <w:sz w:val="20"/>
          <w:szCs w:val="20"/>
        </w:rPr>
        <w:t xml:space="preserve"> </w:t>
      </w:r>
      <w:r w:rsidRPr="00260435">
        <w:rPr>
          <w:rFonts w:ascii="Arial" w:hAnsi="Arial" w:cs="Arial"/>
          <w:color w:val="000000" w:themeColor="text1"/>
          <w:sz w:val="20"/>
          <w:szCs w:val="20"/>
        </w:rPr>
        <w:t>The Myanmar government is beginning to place greater emphasis on expanding the country's charging infrastructure, recognizing it as a critical factor in boosting EV adoption.</w:t>
      </w:r>
    </w:p>
    <w:p w14:paraId="422ED0E5" w14:textId="6DBDC188" w:rsidR="005C6F5F" w:rsidRPr="00260435" w:rsidRDefault="00CA0DE3" w:rsidP="00D0139E">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Emerging markets encounter unique challenges that set them apart from developed countries. </w:t>
      </w:r>
      <w:r w:rsidR="005C6F5F" w:rsidRPr="00260435">
        <w:rPr>
          <w:rFonts w:ascii="Arial" w:hAnsi="Arial" w:cs="Arial"/>
          <w:color w:val="000000" w:themeColor="text1"/>
          <w:sz w:val="20"/>
          <w:szCs w:val="20"/>
        </w:rPr>
        <w:t>While EV adoption in regions like Europe and East Asia is often driven by environmental concerns and technological confidence, consumers in Myanmar are more influenced by practical factors such as the availability of charging stations, conve</w:t>
      </w:r>
      <w:r w:rsidR="000A7217" w:rsidRPr="00260435">
        <w:rPr>
          <w:rFonts w:ascii="Arial" w:hAnsi="Arial" w:cs="Arial"/>
          <w:color w:val="000000" w:themeColor="text1"/>
          <w:sz w:val="20"/>
          <w:szCs w:val="20"/>
        </w:rPr>
        <w:t>nience, econ</w:t>
      </w:r>
      <w:r w:rsidR="00D0139E" w:rsidRPr="00260435">
        <w:rPr>
          <w:rFonts w:ascii="Arial" w:hAnsi="Arial" w:cs="Arial"/>
          <w:color w:val="000000" w:themeColor="text1"/>
          <w:sz w:val="20"/>
          <w:szCs w:val="20"/>
        </w:rPr>
        <w:t>omi</w:t>
      </w:r>
      <w:r w:rsidR="00C8052F" w:rsidRPr="00260435">
        <w:rPr>
          <w:rFonts w:ascii="Arial" w:hAnsi="Arial" w:cs="Arial"/>
          <w:color w:val="000000" w:themeColor="text1"/>
          <w:sz w:val="20"/>
          <w:szCs w:val="20"/>
        </w:rPr>
        <w:t xml:space="preserve">c incentives and limited </w:t>
      </w:r>
      <w:r w:rsidR="000A01CB" w:rsidRPr="00260435">
        <w:rPr>
          <w:rFonts w:ascii="Arial" w:hAnsi="Arial" w:cs="Arial"/>
          <w:color w:val="000000" w:themeColor="text1"/>
          <w:sz w:val="20"/>
          <w:szCs w:val="20"/>
        </w:rPr>
        <w:t>permit. Therefore</w:t>
      </w:r>
      <w:r w:rsidR="005C6F5F" w:rsidRPr="00260435">
        <w:rPr>
          <w:rFonts w:ascii="Arial" w:hAnsi="Arial" w:cs="Arial"/>
          <w:color w:val="000000" w:themeColor="text1"/>
          <w:sz w:val="20"/>
          <w:szCs w:val="20"/>
        </w:rPr>
        <w:t xml:space="preserve">, policies that work in other regions cannot be directly transplanted; they must consider local infrastructure constraints, awareness levels, and behavioral </w:t>
      </w:r>
      <w:r w:rsidR="00C8052F" w:rsidRPr="00260435">
        <w:rPr>
          <w:rFonts w:ascii="Arial" w:hAnsi="Arial" w:cs="Arial"/>
          <w:color w:val="000000" w:themeColor="text1"/>
          <w:sz w:val="20"/>
          <w:szCs w:val="20"/>
        </w:rPr>
        <w:t>patterns. This</w:t>
      </w:r>
      <w:r w:rsidR="005C6F5F" w:rsidRPr="00260435">
        <w:rPr>
          <w:rFonts w:ascii="Arial" w:hAnsi="Arial" w:cs="Arial"/>
          <w:color w:val="000000" w:themeColor="text1"/>
          <w:sz w:val="20"/>
          <w:szCs w:val="20"/>
        </w:rPr>
        <w:t xml:space="preserve"> study seeks to examine the factors </w:t>
      </w:r>
      <w:r w:rsidR="00D0139E" w:rsidRPr="00260435">
        <w:rPr>
          <w:rFonts w:ascii="Arial" w:eastAsiaTheme="minorHAnsi" w:hAnsi="Arial" w:cs="Arial"/>
          <w:bCs/>
          <w:color w:val="000000" w:themeColor="text1"/>
          <w:sz w:val="20"/>
          <w:szCs w:val="20"/>
        </w:rPr>
        <w:t xml:space="preserve">Determinants of Electric Vehicle Adoption in Myanmar </w:t>
      </w:r>
      <w:r w:rsidR="005C6F5F" w:rsidRPr="00260435">
        <w:rPr>
          <w:rFonts w:ascii="Arial" w:hAnsi="Arial" w:cs="Arial"/>
          <w:color w:val="000000" w:themeColor="text1"/>
          <w:sz w:val="20"/>
          <w:szCs w:val="20"/>
        </w:rPr>
        <w:t>by assessing user perceptions, charging behaviors, and policy preferences. It also evaluates the effectiveness of government incentives and explores the public’s desired level of infrastructure development. By combining descriptive, cross-tabulation, and regression analyses, the study provides actionable insights for policymakers and private sector actors aiming to accelerate EV adoption in emerging economies.</w:t>
      </w:r>
    </w:p>
    <w:p w14:paraId="1EC191AA" w14:textId="77777777" w:rsidR="005C6F5F" w:rsidRPr="00260435" w:rsidRDefault="005C6F5F" w:rsidP="00FA79BB">
      <w:pPr>
        <w:jc w:val="both"/>
        <w:rPr>
          <w:rFonts w:ascii="Arial" w:hAnsi="Arial" w:cs="Arial"/>
          <w:b/>
          <w:bCs/>
          <w:color w:val="000000" w:themeColor="text1"/>
          <w:sz w:val="20"/>
          <w:szCs w:val="20"/>
        </w:rPr>
      </w:pPr>
    </w:p>
    <w:p w14:paraId="204BD8E5" w14:textId="2A15BB5C" w:rsidR="005C6F5F" w:rsidRPr="00260435" w:rsidRDefault="005C6F5F" w:rsidP="008B3F1A">
      <w:pPr>
        <w:jc w:val="both"/>
        <w:rPr>
          <w:rFonts w:ascii="Arial" w:hAnsi="Arial" w:cs="Arial"/>
          <w:b/>
          <w:color w:val="000000" w:themeColor="text1"/>
          <w:sz w:val="22"/>
          <w:szCs w:val="22"/>
        </w:rPr>
      </w:pPr>
      <w:r w:rsidRPr="00260435">
        <w:rPr>
          <w:rFonts w:ascii="Arial" w:hAnsi="Arial" w:cs="Arial"/>
          <w:b/>
          <w:color w:val="000000" w:themeColor="text1"/>
          <w:sz w:val="22"/>
          <w:szCs w:val="22"/>
        </w:rPr>
        <w:t>2. Literature Review</w:t>
      </w:r>
    </w:p>
    <w:p w14:paraId="69C939F4" w14:textId="41885E78" w:rsidR="000430EF" w:rsidRPr="00260435" w:rsidRDefault="000F2B55" w:rsidP="00D06486">
      <w:pPr>
        <w:shd w:val="clear" w:color="auto" w:fill="FFFFFF"/>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Because EVs were introduced to the broader consumer market only recently in 2010 (not including their temporary commercialization in the 1990s), there </w:t>
      </w:r>
      <w:r w:rsidR="002A381B" w:rsidRPr="00260435">
        <w:rPr>
          <w:rFonts w:ascii="Arial" w:hAnsi="Arial" w:cs="Arial"/>
          <w:color w:val="000000" w:themeColor="text1"/>
          <w:sz w:val="20"/>
          <w:szCs w:val="20"/>
        </w:rPr>
        <w:t>has</w:t>
      </w:r>
      <w:r w:rsidRPr="00260435">
        <w:rPr>
          <w:rFonts w:ascii="Arial" w:hAnsi="Arial" w:cs="Arial"/>
          <w:color w:val="000000" w:themeColor="text1"/>
          <w:sz w:val="20"/>
          <w:szCs w:val="20"/>
        </w:rPr>
        <w:t xml:space="preserve"> little research </w:t>
      </w:r>
      <w:r w:rsidR="002A381B" w:rsidRPr="00260435">
        <w:rPr>
          <w:rFonts w:ascii="Arial" w:hAnsi="Arial" w:cs="Arial"/>
          <w:color w:val="000000" w:themeColor="text1"/>
          <w:sz w:val="20"/>
          <w:szCs w:val="20"/>
        </w:rPr>
        <w:t xml:space="preserve">papers </w:t>
      </w:r>
      <w:r w:rsidRPr="00260435">
        <w:rPr>
          <w:rFonts w:ascii="Arial" w:hAnsi="Arial" w:cs="Arial"/>
          <w:color w:val="000000" w:themeColor="text1"/>
          <w:sz w:val="20"/>
          <w:szCs w:val="20"/>
        </w:rPr>
        <w:t>that uses empirical data to analyze factors which affect adoption rates. Thus, much of our knowledge about such contributing elements comes from stated preference studies. However, because of a phenomenon known as the “attitude–action gap”, there is the concern that information from consumer surveys may have little relation to the pur</w:t>
      </w:r>
      <w:r w:rsidR="00604E8D" w:rsidRPr="00260435">
        <w:rPr>
          <w:rFonts w:ascii="Arial" w:hAnsi="Arial" w:cs="Arial"/>
          <w:color w:val="000000" w:themeColor="text1"/>
          <w:sz w:val="20"/>
          <w:szCs w:val="20"/>
        </w:rPr>
        <w:t>chase of low-emission vehicles [Lane and Potter, 2007]</w:t>
      </w:r>
      <w:r w:rsidRPr="00260435">
        <w:rPr>
          <w:rFonts w:ascii="Arial" w:hAnsi="Arial" w:cs="Arial"/>
          <w:color w:val="000000" w:themeColor="text1"/>
          <w:sz w:val="20"/>
          <w:szCs w:val="20"/>
        </w:rPr>
        <w:t>.</w:t>
      </w:r>
      <w:r w:rsidR="002A381B" w:rsidRPr="00260435">
        <w:rPr>
          <w:rFonts w:ascii="Arial" w:hAnsi="Arial" w:cs="Arial"/>
          <w:color w:val="000000" w:themeColor="text1"/>
          <w:sz w:val="20"/>
          <w:szCs w:val="20"/>
        </w:rPr>
        <w:t xml:space="preserve"> </w:t>
      </w:r>
      <w:r w:rsidR="00CC7EE9" w:rsidRPr="00260435">
        <w:rPr>
          <w:rFonts w:ascii="Arial" w:hAnsi="Arial" w:cs="Arial"/>
          <w:color w:val="000000" w:themeColor="text1"/>
          <w:sz w:val="20"/>
          <w:szCs w:val="20"/>
        </w:rPr>
        <w:t>E</w:t>
      </w:r>
      <w:r w:rsidR="00BD6424" w:rsidRPr="00260435">
        <w:rPr>
          <w:rFonts w:ascii="Arial" w:hAnsi="Arial" w:cs="Arial"/>
          <w:color w:val="000000" w:themeColor="text1"/>
          <w:sz w:val="20"/>
          <w:szCs w:val="20"/>
        </w:rPr>
        <w:t xml:space="preserve">lectric </w:t>
      </w:r>
      <w:r w:rsidR="00CC7EE9" w:rsidRPr="00260435">
        <w:rPr>
          <w:rFonts w:ascii="Arial" w:hAnsi="Arial" w:cs="Arial"/>
          <w:color w:val="000000" w:themeColor="text1"/>
          <w:sz w:val="20"/>
          <w:szCs w:val="20"/>
        </w:rPr>
        <w:t xml:space="preserve">bus </w:t>
      </w:r>
      <w:r w:rsidR="00BD6424" w:rsidRPr="00260435">
        <w:rPr>
          <w:rFonts w:ascii="Arial" w:hAnsi="Arial" w:cs="Arial"/>
          <w:color w:val="000000" w:themeColor="text1"/>
          <w:sz w:val="20"/>
          <w:szCs w:val="20"/>
        </w:rPr>
        <w:t>heavy-duty vehicles (HDVs) will have to use the same charging equipment as L</w:t>
      </w:r>
      <w:r w:rsidR="00F11159" w:rsidRPr="00260435">
        <w:rPr>
          <w:rFonts w:ascii="Arial" w:hAnsi="Arial" w:cs="Arial"/>
          <w:color w:val="000000" w:themeColor="text1"/>
          <w:sz w:val="20"/>
          <w:szCs w:val="20"/>
        </w:rPr>
        <w:t xml:space="preserve">ight </w:t>
      </w:r>
      <w:r w:rsidR="00BD6424" w:rsidRPr="00260435">
        <w:rPr>
          <w:rFonts w:ascii="Arial" w:hAnsi="Arial" w:cs="Arial"/>
          <w:color w:val="000000" w:themeColor="text1"/>
          <w:sz w:val="20"/>
          <w:szCs w:val="20"/>
        </w:rPr>
        <w:t>D</w:t>
      </w:r>
      <w:r w:rsidR="00F11159" w:rsidRPr="00260435">
        <w:rPr>
          <w:rFonts w:ascii="Arial" w:hAnsi="Arial" w:cs="Arial"/>
          <w:color w:val="000000" w:themeColor="text1"/>
          <w:sz w:val="20"/>
          <w:szCs w:val="20"/>
        </w:rPr>
        <w:t xml:space="preserve">uty </w:t>
      </w:r>
      <w:r w:rsidR="00BD6424" w:rsidRPr="00260435">
        <w:rPr>
          <w:rFonts w:ascii="Arial" w:hAnsi="Arial" w:cs="Arial"/>
          <w:color w:val="000000" w:themeColor="text1"/>
          <w:sz w:val="20"/>
          <w:szCs w:val="20"/>
        </w:rPr>
        <w:t>V</w:t>
      </w:r>
      <w:r w:rsidR="00F11159" w:rsidRPr="00260435">
        <w:rPr>
          <w:rFonts w:ascii="Arial" w:hAnsi="Arial" w:cs="Arial"/>
          <w:color w:val="000000" w:themeColor="text1"/>
          <w:sz w:val="20"/>
          <w:szCs w:val="20"/>
        </w:rPr>
        <w:t>ehicle</w:t>
      </w:r>
      <w:r w:rsidR="00BD6424" w:rsidRPr="00260435">
        <w:rPr>
          <w:rFonts w:ascii="Arial" w:hAnsi="Arial" w:cs="Arial"/>
          <w:color w:val="000000" w:themeColor="text1"/>
          <w:sz w:val="20"/>
          <w:szCs w:val="20"/>
        </w:rPr>
        <w:t xml:space="preserve">s, although different charging station configurations may be needed to accommodate the HDVs, given their larger size. In addition, as the batteries of HDVs are larger and therefore take longer to replenish, </w:t>
      </w:r>
      <w:r w:rsidR="000A01CB" w:rsidRPr="00260435">
        <w:rPr>
          <w:rFonts w:ascii="Arial" w:hAnsi="Arial" w:cs="Arial"/>
          <w:color w:val="000000" w:themeColor="text1"/>
          <w:sz w:val="20"/>
          <w:szCs w:val="20"/>
        </w:rPr>
        <w:t>higher-powered</w:t>
      </w:r>
      <w:r w:rsidR="00BD6424" w:rsidRPr="00260435">
        <w:rPr>
          <w:rFonts w:ascii="Arial" w:hAnsi="Arial" w:cs="Arial"/>
          <w:color w:val="000000" w:themeColor="text1"/>
          <w:sz w:val="20"/>
          <w:szCs w:val="20"/>
        </w:rPr>
        <w:t xml:space="preserve"> chargers are needed to </w:t>
      </w:r>
      <w:r w:rsidR="000A01CB" w:rsidRPr="00260435">
        <w:rPr>
          <w:rFonts w:ascii="Arial" w:hAnsi="Arial" w:cs="Arial"/>
          <w:color w:val="000000" w:themeColor="text1"/>
          <w:sz w:val="20"/>
          <w:szCs w:val="20"/>
        </w:rPr>
        <w:t>minimize</w:t>
      </w:r>
      <w:r w:rsidR="00BD6424" w:rsidRPr="00260435">
        <w:rPr>
          <w:rFonts w:ascii="Arial" w:hAnsi="Arial" w:cs="Arial"/>
          <w:color w:val="000000" w:themeColor="text1"/>
          <w:sz w:val="20"/>
          <w:szCs w:val="20"/>
        </w:rPr>
        <w:t xml:space="preserve"> disruptions to regular operations</w:t>
      </w:r>
      <w:r w:rsidR="00CC7EE9" w:rsidRPr="00260435">
        <w:rPr>
          <w:rFonts w:ascii="Arial" w:hAnsi="Arial" w:cs="Arial"/>
          <w:color w:val="000000" w:themeColor="text1"/>
          <w:sz w:val="20"/>
          <w:szCs w:val="20"/>
        </w:rPr>
        <w:t xml:space="preserve">, that kinds of </w:t>
      </w:r>
      <w:r w:rsidR="000A01CB" w:rsidRPr="00260435">
        <w:rPr>
          <w:rFonts w:ascii="Arial" w:hAnsi="Arial" w:cs="Arial"/>
          <w:color w:val="000000" w:themeColor="text1"/>
          <w:sz w:val="20"/>
          <w:szCs w:val="20"/>
        </w:rPr>
        <w:t>charger</w:t>
      </w:r>
      <w:r w:rsidR="00CC7EE9" w:rsidRPr="00260435">
        <w:rPr>
          <w:rFonts w:ascii="Arial" w:hAnsi="Arial" w:cs="Arial"/>
          <w:color w:val="000000" w:themeColor="text1"/>
          <w:sz w:val="20"/>
          <w:szCs w:val="20"/>
        </w:rPr>
        <w:t xml:space="preserve"> point have totally 3 Station in Myanmar in Aug 2025</w:t>
      </w:r>
      <w:r w:rsidR="00C8052F" w:rsidRPr="00260435">
        <w:rPr>
          <w:rFonts w:ascii="Arial" w:hAnsi="Arial" w:cs="Arial"/>
          <w:color w:val="000000" w:themeColor="text1"/>
          <w:sz w:val="20"/>
          <w:szCs w:val="20"/>
        </w:rPr>
        <w:t>FY</w:t>
      </w:r>
      <w:r w:rsidR="00CC7EE9" w:rsidRPr="00260435">
        <w:rPr>
          <w:rFonts w:ascii="Arial" w:hAnsi="Arial" w:cs="Arial"/>
          <w:color w:val="000000" w:themeColor="text1"/>
          <w:sz w:val="20"/>
          <w:szCs w:val="20"/>
        </w:rPr>
        <w:t>.</w:t>
      </w:r>
      <w:r w:rsidR="00A03B8B" w:rsidRPr="00260435">
        <w:rPr>
          <w:rFonts w:ascii="Arial" w:hAnsi="Arial" w:cs="Arial"/>
          <w:color w:val="000000" w:themeColor="text1"/>
          <w:sz w:val="20"/>
          <w:szCs w:val="20"/>
          <w:shd w:val="clear" w:color="auto" w:fill="FFFFFF"/>
        </w:rPr>
        <w:t xml:space="preserve"> Even home charging remains the most popular way to charge for EV owners. However, more public chargers are needed to support mass adoption of EVs among segments of the population without access to home </w:t>
      </w:r>
      <w:proofErr w:type="gramStart"/>
      <w:r w:rsidR="00A03B8B" w:rsidRPr="00260435">
        <w:rPr>
          <w:rFonts w:ascii="Arial" w:hAnsi="Arial" w:cs="Arial"/>
          <w:color w:val="000000" w:themeColor="text1"/>
          <w:sz w:val="20"/>
          <w:szCs w:val="20"/>
          <w:shd w:val="clear" w:color="auto" w:fill="FFFFFF"/>
        </w:rPr>
        <w:t>chargers[</w:t>
      </w:r>
      <w:proofErr w:type="gramEnd"/>
      <w:r w:rsidR="003E7B05" w:rsidRPr="00260435">
        <w:rPr>
          <w:rFonts w:ascii="Arial" w:hAnsi="Arial" w:cs="Arial"/>
          <w:color w:val="000000" w:themeColor="text1"/>
          <w:sz w:val="20"/>
          <w:szCs w:val="20"/>
          <w:shd w:val="clear" w:color="auto" w:fill="FFFFFF"/>
        </w:rPr>
        <w:t xml:space="preserve">IEA </w:t>
      </w:r>
      <w:r w:rsidR="008C05F5" w:rsidRPr="00260435">
        <w:rPr>
          <w:rFonts w:ascii="Arial" w:hAnsi="Arial" w:cs="Arial"/>
          <w:color w:val="000000" w:themeColor="text1"/>
          <w:sz w:val="20"/>
          <w:szCs w:val="20"/>
        </w:rPr>
        <w:t>Global EV Outlook 2025]</w:t>
      </w:r>
      <w:r w:rsidR="00A03B8B" w:rsidRPr="00260435">
        <w:rPr>
          <w:rFonts w:ascii="Arial" w:hAnsi="Arial" w:cs="Arial"/>
          <w:color w:val="000000" w:themeColor="text1"/>
          <w:sz w:val="20"/>
          <w:szCs w:val="20"/>
          <w:shd w:val="clear" w:color="auto" w:fill="FFFFFF"/>
        </w:rPr>
        <w:t>.</w:t>
      </w:r>
      <w:r w:rsidR="00A03B8B" w:rsidRPr="00260435">
        <w:rPr>
          <w:rFonts w:ascii="Arial" w:hAnsi="Arial" w:cs="Arial"/>
          <w:color w:val="000000" w:themeColor="text1"/>
          <w:sz w:val="20"/>
          <w:szCs w:val="20"/>
        </w:rPr>
        <w:t xml:space="preserve"> </w:t>
      </w:r>
      <w:r w:rsidR="005C6F5F" w:rsidRPr="00260435">
        <w:rPr>
          <w:rFonts w:ascii="Arial" w:hAnsi="Arial" w:cs="Arial"/>
          <w:color w:val="000000" w:themeColor="text1"/>
          <w:sz w:val="20"/>
          <w:szCs w:val="20"/>
        </w:rPr>
        <w:t xml:space="preserve">Previous research indicates that EV adoption is influenced by a combination of infrastructural, financial, informational, and behavioral factors. Satisfaction with charging infrastructure has been consistently identified as a primary determinant of </w:t>
      </w:r>
      <w:proofErr w:type="gramStart"/>
      <w:r w:rsidR="005C6F5F" w:rsidRPr="00260435">
        <w:rPr>
          <w:rFonts w:ascii="Arial" w:hAnsi="Arial" w:cs="Arial"/>
          <w:color w:val="000000" w:themeColor="text1"/>
          <w:sz w:val="20"/>
          <w:szCs w:val="20"/>
        </w:rPr>
        <w:t>adoption</w:t>
      </w:r>
      <w:r w:rsidR="00604E8D" w:rsidRPr="00260435">
        <w:rPr>
          <w:rFonts w:ascii="Arial" w:hAnsi="Arial" w:cs="Arial"/>
          <w:color w:val="000000" w:themeColor="text1"/>
          <w:sz w:val="20"/>
          <w:szCs w:val="20"/>
        </w:rPr>
        <w:t>[</w:t>
      </w:r>
      <w:proofErr w:type="gramEnd"/>
      <w:r w:rsidR="00604E8D" w:rsidRPr="00260435">
        <w:rPr>
          <w:rFonts w:ascii="Arial" w:hAnsi="Arial" w:cs="Arial"/>
          <w:color w:val="000000" w:themeColor="text1"/>
          <w:sz w:val="20"/>
          <w:szCs w:val="20"/>
        </w:rPr>
        <w:t>Bakker et al. 2020]</w:t>
      </w:r>
      <w:r w:rsidR="005C6F5F" w:rsidRPr="00260435">
        <w:rPr>
          <w:rFonts w:ascii="Arial" w:hAnsi="Arial" w:cs="Arial"/>
          <w:color w:val="000000" w:themeColor="text1"/>
          <w:sz w:val="20"/>
          <w:szCs w:val="20"/>
        </w:rPr>
        <w:t xml:space="preserve">. </w:t>
      </w:r>
    </w:p>
    <w:p w14:paraId="7B32F71F" w14:textId="0E890DB5" w:rsidR="005C6F5F" w:rsidRPr="00260435" w:rsidRDefault="005C6F5F" w:rsidP="00473A65">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Awareness and clarity of these incentives are critical; even well-designed policies fail to achieve impact if consumers are uninformed. Educational campaigns and </w:t>
      </w:r>
      <w:r w:rsidRPr="00260435">
        <w:rPr>
          <w:rFonts w:ascii="Arial" w:hAnsi="Arial" w:cs="Arial"/>
          <w:color w:val="000000" w:themeColor="text1"/>
          <w:sz w:val="20"/>
          <w:szCs w:val="20"/>
        </w:rPr>
        <w:lastRenderedPageBreak/>
        <w:t>public awareness initiatives can enhance adoption by bridging the information gap, particularly among higher-educated segments who may scrutinize policy effectiveness.</w:t>
      </w:r>
    </w:p>
    <w:p w14:paraId="6D3F5B71" w14:textId="198B4A20"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Behavioral factors, such as occupational constraints and lifestyle patterns, also shape adoption decisions. Studies have shown that flexible charging schedules and off-peak incentives can mitigate perceived inconvenience and increase uptake</w:t>
      </w:r>
      <w:r w:rsidR="003067B4" w:rsidRPr="00260435">
        <w:rPr>
          <w:rFonts w:ascii="Arial" w:hAnsi="Arial" w:cs="Arial"/>
          <w:color w:val="000000" w:themeColor="text1"/>
          <w:sz w:val="20"/>
          <w:szCs w:val="20"/>
        </w:rPr>
        <w:t xml:space="preserve"> </w:t>
      </w:r>
      <w:r w:rsidR="00604E8D" w:rsidRPr="00260435">
        <w:rPr>
          <w:rFonts w:ascii="Arial" w:hAnsi="Arial" w:cs="Arial"/>
          <w:color w:val="000000" w:themeColor="text1"/>
          <w:sz w:val="20"/>
          <w:szCs w:val="20"/>
        </w:rPr>
        <w:t>[</w:t>
      </w:r>
      <w:r w:rsidR="00C8052F" w:rsidRPr="00260435">
        <w:rPr>
          <w:rFonts w:ascii="Arial" w:hAnsi="Arial" w:cs="Arial"/>
          <w:bCs/>
          <w:color w:val="000000" w:themeColor="text1"/>
          <w:kern w:val="36"/>
          <w:sz w:val="20"/>
          <w:szCs w:val="20"/>
        </w:rPr>
        <w:t>Aviv </w:t>
      </w:r>
      <w:proofErr w:type="gramStart"/>
      <w:r w:rsidR="00C8052F" w:rsidRPr="00260435">
        <w:rPr>
          <w:rFonts w:ascii="Arial" w:hAnsi="Arial" w:cs="Arial"/>
          <w:bCs/>
          <w:color w:val="000000" w:themeColor="text1"/>
          <w:kern w:val="36"/>
          <w:sz w:val="20"/>
          <w:szCs w:val="20"/>
        </w:rPr>
        <w:t>Steren ,</w:t>
      </w:r>
      <w:proofErr w:type="gramEnd"/>
      <w:r w:rsidR="00C8052F" w:rsidRPr="00260435">
        <w:rPr>
          <w:rFonts w:ascii="Arial" w:hAnsi="Arial" w:cs="Arial"/>
          <w:bCs/>
          <w:color w:val="000000" w:themeColor="text1"/>
          <w:kern w:val="36"/>
          <w:sz w:val="20"/>
          <w:szCs w:val="20"/>
        </w:rPr>
        <w:t> Yael Parag , </w:t>
      </w:r>
      <w:r w:rsidR="00604E8D" w:rsidRPr="00260435">
        <w:rPr>
          <w:rFonts w:ascii="Arial" w:hAnsi="Arial" w:cs="Arial"/>
          <w:bCs/>
          <w:color w:val="000000" w:themeColor="text1"/>
          <w:kern w:val="36"/>
          <w:sz w:val="20"/>
          <w:szCs w:val="20"/>
        </w:rPr>
        <w:t xml:space="preserve"> Shiri Zemah-Shamir </w:t>
      </w:r>
      <w:r w:rsidR="00C8052F" w:rsidRPr="00260435">
        <w:rPr>
          <w:rFonts w:ascii="Arial" w:hAnsi="Arial" w:cs="Arial"/>
          <w:bCs/>
          <w:color w:val="000000" w:themeColor="text1"/>
          <w:kern w:val="36"/>
          <w:sz w:val="20"/>
          <w:szCs w:val="20"/>
        </w:rPr>
        <w:t>2025</w:t>
      </w:r>
      <w:r w:rsidR="00604E8D" w:rsidRPr="00260435">
        <w:rPr>
          <w:rFonts w:ascii="Arial" w:hAnsi="Arial" w:cs="Arial"/>
          <w:color w:val="000000" w:themeColor="text1"/>
          <w:sz w:val="20"/>
          <w:szCs w:val="20"/>
        </w:rPr>
        <w:t>]</w:t>
      </w:r>
      <w:r w:rsidRPr="00260435">
        <w:rPr>
          <w:rFonts w:ascii="Arial" w:hAnsi="Arial" w:cs="Arial"/>
          <w:color w:val="000000" w:themeColor="text1"/>
          <w:sz w:val="20"/>
          <w:szCs w:val="20"/>
        </w:rPr>
        <w:t>. Moreover, user preferences for public charging stations over home-based solutions highlight the importance of location and accessibility in policy planning.</w:t>
      </w:r>
      <w:r w:rsidR="00EF3C01" w:rsidRPr="00260435">
        <w:rPr>
          <w:rFonts w:ascii="Arial" w:hAnsi="Arial" w:cs="Arial"/>
          <w:color w:val="000000" w:themeColor="text1"/>
          <w:sz w:val="20"/>
          <w:szCs w:val="20"/>
        </w:rPr>
        <w:t xml:space="preserve"> Enhancing the benefits of using EVs was identified as an approach that might boost their appeal. Among these benefits are free and priority parking, a decrease in the cost of charging, and access to special lanes such as bus an</w:t>
      </w:r>
      <w:r w:rsidR="00604E8D" w:rsidRPr="00260435">
        <w:rPr>
          <w:rFonts w:ascii="Arial" w:hAnsi="Arial" w:cs="Arial"/>
          <w:color w:val="000000" w:themeColor="text1"/>
          <w:sz w:val="20"/>
          <w:szCs w:val="20"/>
        </w:rPr>
        <w:t>d high occupancy vehicle lanes[</w:t>
      </w:r>
      <w:r w:rsidR="00EF3C01" w:rsidRPr="00260435">
        <w:rPr>
          <w:rFonts w:ascii="Arial" w:hAnsi="Arial" w:cs="Arial"/>
          <w:color w:val="000000" w:themeColor="text1"/>
          <w:sz w:val="20"/>
          <w:szCs w:val="20"/>
        </w:rPr>
        <w:t>Melton</w:t>
      </w:r>
      <w:r w:rsidR="00604E8D" w:rsidRPr="00260435">
        <w:rPr>
          <w:rFonts w:ascii="Arial" w:hAnsi="Arial" w:cs="Arial"/>
          <w:color w:val="000000" w:themeColor="text1"/>
          <w:sz w:val="20"/>
          <w:szCs w:val="20"/>
        </w:rPr>
        <w:t xml:space="preserve"> et al., 2017; Khan et al. 2022]</w:t>
      </w:r>
      <w:r w:rsidR="00EF3C01" w:rsidRPr="00260435">
        <w:rPr>
          <w:rFonts w:ascii="Arial" w:hAnsi="Arial" w:cs="Arial"/>
          <w:color w:val="000000" w:themeColor="text1"/>
          <w:sz w:val="20"/>
          <w:szCs w:val="20"/>
        </w:rPr>
        <w:t>.</w:t>
      </w:r>
    </w:p>
    <w:p w14:paraId="51D43CEB" w14:textId="2C8A0B51" w:rsidR="00CC09F3" w:rsidRPr="00260435" w:rsidRDefault="00223293" w:rsidP="00223293">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However, countries face several challenges that stand in the way of EV adoption in Southeast Asia. The policy review and other studies cite the concerns of consumers and businesses in the region called Lack of public charging infrastructure, high cost of ownership, safety, driving range, and operation and maintenance of EVs, and energy sources and reliabili</w:t>
      </w:r>
      <w:r w:rsidR="00604E8D" w:rsidRPr="00260435">
        <w:rPr>
          <w:rFonts w:ascii="Arial" w:hAnsi="Arial" w:cs="Arial"/>
          <w:color w:val="000000" w:themeColor="text1"/>
          <w:sz w:val="20"/>
          <w:szCs w:val="20"/>
        </w:rPr>
        <w:t xml:space="preserve">ty of power </w:t>
      </w:r>
      <w:proofErr w:type="gramStart"/>
      <w:r w:rsidR="00604E8D" w:rsidRPr="00260435">
        <w:rPr>
          <w:rFonts w:ascii="Arial" w:hAnsi="Arial" w:cs="Arial"/>
          <w:color w:val="000000" w:themeColor="text1"/>
          <w:sz w:val="20"/>
          <w:szCs w:val="20"/>
        </w:rPr>
        <w:t>supply[</w:t>
      </w:r>
      <w:proofErr w:type="gramEnd"/>
      <w:r w:rsidR="00450346" w:rsidRPr="00260435">
        <w:rPr>
          <w:rFonts w:ascii="Arial" w:hAnsi="Arial" w:cs="Arial"/>
          <w:color w:val="000000" w:themeColor="text1"/>
          <w:sz w:val="20"/>
          <w:szCs w:val="20"/>
        </w:rPr>
        <w:t>Automotive Policy 2019</w:t>
      </w:r>
      <w:r w:rsidR="00604E8D" w:rsidRPr="00260435">
        <w:rPr>
          <w:rFonts w:ascii="Arial" w:hAnsi="Arial" w:cs="Arial"/>
          <w:color w:val="000000" w:themeColor="text1"/>
          <w:sz w:val="20"/>
          <w:szCs w:val="20"/>
        </w:rPr>
        <w:t>].</w:t>
      </w:r>
      <w:r w:rsidRPr="00260435">
        <w:rPr>
          <w:rFonts w:ascii="Arial" w:hAnsi="Arial" w:cs="Arial"/>
          <w:color w:val="000000" w:themeColor="text1"/>
          <w:sz w:val="20"/>
          <w:szCs w:val="20"/>
        </w:rPr>
        <w:t xml:space="preserve"> </w:t>
      </w:r>
    </w:p>
    <w:p w14:paraId="7A10C56F" w14:textId="60E7FA29" w:rsidR="00B70125" w:rsidRPr="00260435" w:rsidRDefault="00CC09F3" w:rsidP="00C8052F">
      <w:pPr>
        <w:pStyle w:val="Heading2"/>
        <w:shd w:val="clear" w:color="auto" w:fill="FFFFFF"/>
        <w:spacing w:before="0" w:line="240" w:lineRule="auto"/>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Domestically, these global developments have resulted in widespread fuel shortages in Myanmar’s urban centers, such as Yangon and Mandalay. Citizens face prolonged queues at fuel stations, and logistical challenges have worsened owing to the li</w:t>
      </w:r>
      <w:r w:rsidR="00604E8D" w:rsidRPr="00260435">
        <w:rPr>
          <w:rFonts w:ascii="Arial" w:hAnsi="Arial" w:cs="Arial"/>
          <w:color w:val="000000" w:themeColor="text1"/>
          <w:sz w:val="20"/>
          <w:szCs w:val="20"/>
        </w:rPr>
        <w:t xml:space="preserve">mited availability of </w:t>
      </w:r>
      <w:proofErr w:type="gramStart"/>
      <w:r w:rsidR="00604E8D" w:rsidRPr="00260435">
        <w:rPr>
          <w:rFonts w:ascii="Arial" w:hAnsi="Arial" w:cs="Arial"/>
          <w:color w:val="000000" w:themeColor="text1"/>
          <w:sz w:val="20"/>
          <w:szCs w:val="20"/>
        </w:rPr>
        <w:t>petroleum[</w:t>
      </w:r>
      <w:proofErr w:type="gramEnd"/>
      <w:r w:rsidR="00604E8D" w:rsidRPr="00260435">
        <w:rPr>
          <w:rFonts w:ascii="Arial" w:hAnsi="Arial" w:cs="Arial"/>
          <w:color w:val="000000" w:themeColor="text1"/>
          <w:sz w:val="20"/>
          <w:szCs w:val="20"/>
        </w:rPr>
        <w:t>World Bank,2025]</w:t>
      </w:r>
      <w:r w:rsidRPr="00260435">
        <w:rPr>
          <w:rFonts w:ascii="Arial" w:hAnsi="Arial" w:cs="Arial"/>
          <w:color w:val="000000" w:themeColor="text1"/>
          <w:sz w:val="20"/>
          <w:szCs w:val="20"/>
        </w:rPr>
        <w:t xml:space="preserve">. </w:t>
      </w:r>
      <w:r w:rsidR="005C6F5F" w:rsidRPr="00260435">
        <w:rPr>
          <w:rFonts w:ascii="Arial" w:hAnsi="Arial" w:cs="Arial"/>
          <w:color w:val="000000" w:themeColor="text1"/>
          <w:sz w:val="20"/>
          <w:szCs w:val="20"/>
        </w:rPr>
        <w:t>Therefore, understanding the local context, ranging from urban versus suburban accessibility to education-level differences in policy awareness, is essential for effective policy design. This study builds on these insights by combining survey data with statistical analyses to identify the most influential factors and preferred policy measures for EV adoption.</w:t>
      </w:r>
      <w:r w:rsidR="00B70125" w:rsidRPr="00260435">
        <w:rPr>
          <w:rFonts w:ascii="Arial" w:hAnsi="Arial" w:cs="Arial"/>
          <w:color w:val="000000" w:themeColor="text1"/>
          <w:sz w:val="20"/>
          <w:szCs w:val="20"/>
        </w:rPr>
        <w:t xml:space="preserve"> Additionally, the absence of clear regulations and standards for EV charging stations creates uncertainty for investors and operator</w:t>
      </w:r>
      <w:r w:rsidR="00604E8D" w:rsidRPr="00260435">
        <w:rPr>
          <w:rFonts w:ascii="Arial" w:hAnsi="Arial" w:cs="Arial"/>
          <w:color w:val="000000" w:themeColor="text1"/>
          <w:sz w:val="20"/>
          <w:szCs w:val="20"/>
        </w:rPr>
        <w:t>s looking to enter the market.[</w:t>
      </w:r>
      <w:hyperlink r:id="rId8" w:history="1">
        <w:r w:rsidR="00B70125" w:rsidRPr="00260435">
          <w:rPr>
            <w:rFonts w:ascii="Arial" w:hAnsi="Arial" w:cs="Arial"/>
            <w:color w:val="000000" w:themeColor="text1"/>
            <w:sz w:val="20"/>
            <w:szCs w:val="20"/>
          </w:rPr>
          <w:t>Bhawna Singh</w:t>
        </w:r>
      </w:hyperlink>
      <w:r w:rsidR="00B70125" w:rsidRPr="00260435">
        <w:rPr>
          <w:rFonts w:ascii="Arial" w:hAnsi="Arial" w:cs="Arial"/>
          <w:color w:val="000000" w:themeColor="text1"/>
          <w:sz w:val="20"/>
          <w:szCs w:val="20"/>
        </w:rPr>
        <w:t>, Myanmar EV Charging Station Market,2025-2031]</w:t>
      </w:r>
    </w:p>
    <w:p w14:paraId="32A3EF91" w14:textId="1B395876" w:rsidR="005C6F5F" w:rsidRPr="00260435" w:rsidRDefault="005C6F5F" w:rsidP="00223293">
      <w:pPr>
        <w:ind w:firstLine="720"/>
        <w:jc w:val="both"/>
        <w:rPr>
          <w:rFonts w:ascii="Arial" w:hAnsi="Arial" w:cs="Arial"/>
          <w:color w:val="000000" w:themeColor="text1"/>
          <w:sz w:val="20"/>
          <w:szCs w:val="20"/>
        </w:rPr>
      </w:pPr>
    </w:p>
    <w:p w14:paraId="6B7EFBCB" w14:textId="77777777"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3. Methodology</w:t>
      </w:r>
    </w:p>
    <w:p w14:paraId="018E8633" w14:textId="57F64664" w:rsidR="005C6F5F" w:rsidRPr="00260435" w:rsidRDefault="00FA0C79"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Research </w:t>
      </w:r>
      <w:r w:rsidRPr="00260435">
        <w:rPr>
          <w:rFonts w:ascii="Arial" w:eastAsiaTheme="minorHAnsi" w:hAnsi="Arial" w:cs="Arial"/>
          <w:color w:val="000000" w:themeColor="text1"/>
          <w:sz w:val="20"/>
          <w:szCs w:val="20"/>
        </w:rPr>
        <w:t xml:space="preserve"> was found Department of Electric Power transmission and System Control, Ministry of Electric Power (MOEP) and </w:t>
      </w:r>
      <w:r w:rsidRPr="00260435">
        <w:rPr>
          <w:rFonts w:ascii="Arial" w:hAnsi="Arial" w:cs="Arial"/>
          <w:color w:val="000000" w:themeColor="text1"/>
          <w:sz w:val="20"/>
          <w:szCs w:val="20"/>
        </w:rPr>
        <w:t xml:space="preserve">International Leadership College, Nay </w:t>
      </w:r>
      <w:proofErr w:type="spellStart"/>
      <w:r w:rsidRPr="00260435">
        <w:rPr>
          <w:rFonts w:ascii="Arial" w:hAnsi="Arial" w:cs="Arial"/>
          <w:color w:val="000000" w:themeColor="text1"/>
          <w:sz w:val="20"/>
          <w:szCs w:val="20"/>
        </w:rPr>
        <w:t>Pyi</w:t>
      </w:r>
      <w:proofErr w:type="spellEnd"/>
      <w:r w:rsidRPr="00260435">
        <w:rPr>
          <w:rFonts w:ascii="Arial" w:hAnsi="Arial" w:cs="Arial"/>
          <w:color w:val="000000" w:themeColor="text1"/>
          <w:sz w:val="20"/>
          <w:szCs w:val="20"/>
        </w:rPr>
        <w:t xml:space="preserve"> Taw, Myanmar</w:t>
      </w:r>
      <w:r w:rsidRPr="00260435">
        <w:rPr>
          <w:rFonts w:ascii="Arial" w:eastAsiaTheme="minorHAnsi" w:hAnsi="Arial" w:cs="Arial"/>
          <w:color w:val="000000" w:themeColor="text1"/>
          <w:sz w:val="20"/>
          <w:szCs w:val="20"/>
        </w:rPr>
        <w:t>, between June 2023</w:t>
      </w:r>
      <w:r w:rsidR="00C8052F" w:rsidRPr="00260435">
        <w:rPr>
          <w:rFonts w:ascii="Arial" w:eastAsiaTheme="minorHAnsi" w:hAnsi="Arial" w:cs="Arial"/>
          <w:color w:val="000000" w:themeColor="text1"/>
          <w:sz w:val="20"/>
          <w:szCs w:val="20"/>
        </w:rPr>
        <w:t>FY</w:t>
      </w:r>
      <w:r w:rsidRPr="00260435">
        <w:rPr>
          <w:rFonts w:ascii="Arial" w:eastAsiaTheme="minorHAnsi" w:hAnsi="Arial" w:cs="Arial"/>
          <w:color w:val="000000" w:themeColor="text1"/>
          <w:sz w:val="20"/>
          <w:szCs w:val="20"/>
        </w:rPr>
        <w:t xml:space="preserve"> and October 2025</w:t>
      </w:r>
      <w:r w:rsidR="00C8052F" w:rsidRPr="00260435">
        <w:rPr>
          <w:rFonts w:ascii="Arial" w:eastAsiaTheme="minorHAnsi" w:hAnsi="Arial" w:cs="Arial"/>
          <w:color w:val="000000" w:themeColor="text1"/>
          <w:sz w:val="20"/>
          <w:szCs w:val="20"/>
        </w:rPr>
        <w:t>FY</w:t>
      </w:r>
      <w:r w:rsidRPr="00260435">
        <w:rPr>
          <w:rFonts w:ascii="Arial" w:eastAsiaTheme="minorHAnsi" w:hAnsi="Arial" w:cs="Arial"/>
          <w:color w:val="000000" w:themeColor="text1"/>
          <w:sz w:val="20"/>
          <w:szCs w:val="20"/>
        </w:rPr>
        <w:t>.</w:t>
      </w:r>
      <w:r w:rsidRPr="00260435">
        <w:rPr>
          <w:rFonts w:ascii="Arial" w:hAnsi="Arial" w:cs="Arial"/>
          <w:color w:val="000000" w:themeColor="text1"/>
          <w:sz w:val="20"/>
          <w:szCs w:val="20"/>
        </w:rPr>
        <w:t>The study was conducted by a structured survey with 150 respondents</w:t>
      </w:r>
      <w:r w:rsidR="00464DB4" w:rsidRPr="00260435">
        <w:rPr>
          <w:rFonts w:ascii="Arial" w:hAnsi="Arial" w:cs="Arial"/>
          <w:color w:val="000000" w:themeColor="text1"/>
          <w:sz w:val="20"/>
          <w:szCs w:val="20"/>
        </w:rPr>
        <w:t xml:space="preserve"> in Dec 2024FY</w:t>
      </w:r>
      <w:r w:rsidRPr="00260435">
        <w:rPr>
          <w:rFonts w:ascii="Arial" w:hAnsi="Arial" w:cs="Arial"/>
          <w:color w:val="000000" w:themeColor="text1"/>
          <w:sz w:val="20"/>
          <w:szCs w:val="20"/>
        </w:rPr>
        <w:t xml:space="preserve">, focusing on demographics, charging habits, views on government incentives, and preferences for policy. </w:t>
      </w:r>
      <w:r w:rsidRPr="00260435">
        <w:rPr>
          <w:rFonts w:ascii="Arial" w:hAnsi="Arial" w:cs="Arial"/>
          <w:color w:val="000000" w:themeColor="text1"/>
          <w:sz w:val="20"/>
          <w:szCs w:val="20"/>
          <w:lang w:bidi="my-MM"/>
        </w:rPr>
        <w:t>The participants were chosen by sampling method through community networks, charging stations, public parking lots, and online-based user forums.</w:t>
      </w:r>
      <w:r w:rsidRPr="00260435">
        <w:rPr>
          <w:rFonts w:ascii="Arial" w:hAnsi="Arial" w:cs="Arial"/>
          <w:color w:val="000000" w:themeColor="text1"/>
          <w:sz w:val="20"/>
          <w:szCs w:val="20"/>
        </w:rPr>
        <w:t xml:space="preserve"> Data were analyzed using IBM SPSS Statistics, employing descriptive statistics, cross-tabulations, Chi-square tests, and multiple linear regression analyses to identify behavioral EV trends and adoption drivers. </w:t>
      </w:r>
      <w:r w:rsidR="000C7C40" w:rsidRPr="00260435">
        <w:rPr>
          <w:rFonts w:ascii="Arial" w:hAnsi="Arial" w:cs="Arial"/>
          <w:color w:val="000000" w:themeColor="text1"/>
          <w:sz w:val="20"/>
          <w:szCs w:val="20"/>
        </w:rPr>
        <w:t>Almost r</w:t>
      </w:r>
      <w:r w:rsidR="005C6F5F" w:rsidRPr="00260435">
        <w:rPr>
          <w:rFonts w:ascii="Arial" w:hAnsi="Arial" w:cs="Arial"/>
          <w:color w:val="000000" w:themeColor="text1"/>
          <w:sz w:val="20"/>
          <w:szCs w:val="20"/>
        </w:rPr>
        <w:t xml:space="preserve">espondents were </w:t>
      </w:r>
      <w:r w:rsidR="000C7C40" w:rsidRPr="00260435">
        <w:rPr>
          <w:rFonts w:ascii="Arial" w:hAnsi="Arial" w:cs="Arial"/>
          <w:color w:val="000000" w:themeColor="text1"/>
          <w:sz w:val="20"/>
          <w:szCs w:val="20"/>
        </w:rPr>
        <w:t xml:space="preserve">Urban cities because 98% of charging station are placed in 3 cities and residents </w:t>
      </w:r>
      <w:r w:rsidR="005C6F5F" w:rsidRPr="00260435">
        <w:rPr>
          <w:rFonts w:ascii="Arial" w:hAnsi="Arial" w:cs="Arial"/>
          <w:color w:val="000000" w:themeColor="text1"/>
          <w:sz w:val="20"/>
          <w:szCs w:val="20"/>
        </w:rPr>
        <w:t>also asked about the desired number of charging stations in their area.</w:t>
      </w:r>
      <w:r w:rsidR="00972729" w:rsidRPr="00260435">
        <w:rPr>
          <w:rFonts w:ascii="Segoe UI" w:hAnsi="Segoe UI" w:cs="Segoe UI"/>
          <w:color w:val="000000" w:themeColor="text1"/>
          <w:shd w:val="clear" w:color="auto" w:fill="FFFFFF"/>
        </w:rPr>
        <w:t xml:space="preserve"> </w:t>
      </w:r>
      <w:r w:rsidR="00972729" w:rsidRPr="00260435">
        <w:rPr>
          <w:rFonts w:ascii="Arial" w:hAnsi="Arial" w:cs="Arial"/>
          <w:color w:val="000000" w:themeColor="text1"/>
          <w:sz w:val="20"/>
          <w:szCs w:val="20"/>
        </w:rPr>
        <w:t>To examine the socioeconomic background of respondents, monthly income levels were collected as part of the structured survey administered to EV users in urban Myanmar. The income distribution was categorized into six ranges to identify affordability patterns and potential disparities in EV adoption. This classification enabled the study to assess how financial capacity influences adoption behavior and inclusivity within the EV market.</w:t>
      </w:r>
    </w:p>
    <w:p w14:paraId="4A9FF7EB" w14:textId="77777777" w:rsidR="00726861" w:rsidRPr="00260435" w:rsidRDefault="00726861" w:rsidP="00FA79BB">
      <w:pPr>
        <w:jc w:val="both"/>
        <w:rPr>
          <w:rFonts w:ascii="Arial" w:hAnsi="Arial" w:cs="Arial"/>
          <w:b/>
          <w:bCs/>
          <w:color w:val="000000" w:themeColor="text1"/>
          <w:sz w:val="20"/>
          <w:szCs w:val="20"/>
        </w:rPr>
      </w:pPr>
    </w:p>
    <w:p w14:paraId="54ED88AF" w14:textId="3A034477"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3.1</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Sampling and Data Collection</w:t>
      </w:r>
    </w:p>
    <w:p w14:paraId="53BEF1EC" w14:textId="44725654"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The survey employed purposive sampling targeting both urban and suburban residents with potential interest in EV adoption. Urban respondents represented the majority (n = 142), while suburban participants numbered eight (n = 8). Data was collected through face-to-face interviews and online surveys to ensure coverage of different occupational and educational groups.</w:t>
      </w:r>
    </w:p>
    <w:p w14:paraId="75F6E190" w14:textId="77777777" w:rsidR="00726861" w:rsidRPr="00260435" w:rsidRDefault="00726861" w:rsidP="00FA79BB">
      <w:pPr>
        <w:jc w:val="both"/>
        <w:rPr>
          <w:rFonts w:ascii="Arial" w:hAnsi="Arial" w:cs="Arial"/>
          <w:b/>
          <w:bCs/>
          <w:color w:val="000000" w:themeColor="text1"/>
          <w:sz w:val="20"/>
          <w:szCs w:val="20"/>
        </w:rPr>
      </w:pPr>
    </w:p>
    <w:p w14:paraId="63AFBFB2" w14:textId="471CE17D"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3.2</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Measures and Statistical Analysis</w:t>
      </w:r>
    </w:p>
    <w:p w14:paraId="5F53C8B2" w14:textId="79AEF8E6"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Dependent variables included respondents stated likelihood of adopting an EV within the next five years, measured on a 5-point Likert scale. Independent variables </w:t>
      </w:r>
      <w:r w:rsidRPr="00260435">
        <w:rPr>
          <w:rFonts w:ascii="Arial" w:hAnsi="Arial" w:cs="Arial"/>
          <w:color w:val="000000" w:themeColor="text1"/>
          <w:sz w:val="20"/>
          <w:szCs w:val="20"/>
        </w:rPr>
        <w:lastRenderedPageBreak/>
        <w:t xml:space="preserve">included satisfaction with charging infrastructure, awareness of government incentives, and concern over charging time. </w:t>
      </w:r>
      <w:r w:rsidR="00687615" w:rsidRPr="00260435">
        <w:rPr>
          <w:rFonts w:ascii="Arial" w:hAnsi="Arial" w:cs="Arial"/>
          <w:color w:val="000000" w:themeColor="text1"/>
          <w:sz w:val="20"/>
          <w:szCs w:val="20"/>
        </w:rPr>
        <w:t xml:space="preserve">Data was analyzed using SPSS (Version 23) to compute descriptive statistics, cross-tabulations, Chi-square tests, and multiple linear regression analyses. </w:t>
      </w:r>
      <w:r w:rsidRPr="00260435">
        <w:rPr>
          <w:rFonts w:ascii="Arial" w:hAnsi="Arial" w:cs="Arial"/>
          <w:color w:val="000000" w:themeColor="text1"/>
          <w:sz w:val="20"/>
          <w:szCs w:val="20"/>
        </w:rPr>
        <w:t>Chi-square tests were employed to evaluate associations between categorical variables, including education level and policy perception, as well as residential location and desired charging station density.</w:t>
      </w:r>
    </w:p>
    <w:p w14:paraId="6CD5D97F" w14:textId="77777777" w:rsidR="005C6F5F" w:rsidRPr="00260435" w:rsidRDefault="005C6F5F" w:rsidP="00FA79BB">
      <w:pPr>
        <w:ind w:firstLine="720"/>
        <w:jc w:val="both"/>
        <w:rPr>
          <w:rFonts w:ascii="Arial" w:hAnsi="Arial" w:cs="Arial"/>
          <w:color w:val="000000" w:themeColor="text1"/>
          <w:sz w:val="20"/>
          <w:szCs w:val="20"/>
        </w:rPr>
      </w:pPr>
    </w:p>
    <w:p w14:paraId="0CF656D1" w14:textId="585CB6BE"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 Results and Discussion</w:t>
      </w:r>
    </w:p>
    <w:p w14:paraId="3E64086C" w14:textId="3F8E09DB" w:rsidR="005C6F5F" w:rsidRPr="00260435" w:rsidRDefault="005C6F5F" w:rsidP="00FA79BB">
      <w:pPr>
        <w:jc w:val="both"/>
        <w:rPr>
          <w:rFonts w:ascii="Arial" w:hAnsi="Arial" w:cs="Arial"/>
          <w:b/>
          <w:bCs/>
          <w:color w:val="000000" w:themeColor="text1"/>
          <w:sz w:val="20"/>
          <w:szCs w:val="20"/>
        </w:rPr>
      </w:pPr>
      <w:r w:rsidRPr="00260435">
        <w:rPr>
          <w:rFonts w:ascii="Arial" w:hAnsi="Arial" w:cs="Arial"/>
          <w:b/>
          <w:bCs/>
          <w:color w:val="000000" w:themeColor="text1"/>
          <w:sz w:val="22"/>
          <w:szCs w:val="22"/>
        </w:rPr>
        <w:t>4.1</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Demographics</w:t>
      </w:r>
    </w:p>
    <w:p w14:paraId="1EA3F56C" w14:textId="65788BB9"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The respondent profile indicated diversity in educational attainment and occupation, providing a representative sample of potential EV users in Myanmar. Educational levels ranged from secondary education to doctorate degrees, with the largest </w:t>
      </w:r>
      <w:r w:rsidR="00F826BE" w:rsidRPr="00260435">
        <w:rPr>
          <w:rFonts w:ascii="Arial" w:hAnsi="Arial" w:cs="Arial"/>
          <w:color w:val="000000" w:themeColor="text1"/>
          <w:sz w:val="20"/>
          <w:szCs w:val="20"/>
        </w:rPr>
        <w:t>group</w:t>
      </w:r>
      <w:r w:rsidRPr="00260435">
        <w:rPr>
          <w:rFonts w:ascii="Arial" w:hAnsi="Arial" w:cs="Arial"/>
          <w:color w:val="000000" w:themeColor="text1"/>
          <w:sz w:val="20"/>
          <w:szCs w:val="20"/>
        </w:rPr>
        <w:t xml:space="preserve"> holding bachelor’s (n = 71) and master’s degrees (n = 52). Occupations included government employees, private-sector workers, drivers, students, retirees, and unemployed individuals.</w:t>
      </w:r>
    </w:p>
    <w:p w14:paraId="1B38406F" w14:textId="77777777" w:rsidR="00726861" w:rsidRPr="00260435" w:rsidRDefault="00726861" w:rsidP="00FA79BB">
      <w:pPr>
        <w:jc w:val="both"/>
        <w:rPr>
          <w:rFonts w:ascii="Arial" w:hAnsi="Arial" w:cs="Arial"/>
          <w:b/>
          <w:bCs/>
          <w:color w:val="000000" w:themeColor="text1"/>
          <w:sz w:val="20"/>
          <w:szCs w:val="20"/>
        </w:rPr>
      </w:pPr>
    </w:p>
    <w:p w14:paraId="276E9592" w14:textId="18DBB3D1"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4.2</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Charging Behavior and Preferences</w:t>
      </w:r>
    </w:p>
    <w:p w14:paraId="586CBD4E" w14:textId="46857EB3"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The majority of respondents (60%) preferred charging during “free time,” encompassing non-working hours, evenings, and personal convenience periods. Night-time charging was the second most preferred option (31.3%), aligning with off-peak electricity use. Early morning and daytime charging were minimally selected (7.3% and 1.3%, respectively), reflecting occupational constraints and station availability.</w:t>
      </w:r>
    </w:p>
    <w:p w14:paraId="658A5ADE" w14:textId="77777777" w:rsidR="00067F6C" w:rsidRPr="00260435" w:rsidRDefault="00067F6C" w:rsidP="00FA79BB">
      <w:pPr>
        <w:ind w:firstLine="720"/>
        <w:jc w:val="both"/>
        <w:rPr>
          <w:rFonts w:ascii="Arial" w:hAnsi="Arial" w:cs="Arial"/>
          <w:color w:val="000000" w:themeColor="text1"/>
          <w:sz w:val="20"/>
          <w:szCs w:val="20"/>
        </w:rPr>
      </w:pPr>
    </w:p>
    <w:p w14:paraId="78A1220B" w14:textId="2C2361C9" w:rsidR="00F826BE" w:rsidRPr="00260435" w:rsidRDefault="00285EDC" w:rsidP="00FA79BB">
      <w:pPr>
        <w:jc w:val="center"/>
        <w:rPr>
          <w:rFonts w:ascii="Arial" w:hAnsi="Arial" w:cs="Arial"/>
          <w:color w:val="000000" w:themeColor="text1"/>
          <w:sz w:val="20"/>
          <w:szCs w:val="20"/>
        </w:rPr>
      </w:pPr>
      <w:r w:rsidRPr="00260435">
        <w:rPr>
          <w:rFonts w:ascii="Arial" w:hAnsi="Arial" w:cs="Arial"/>
          <w:noProof/>
          <w:color w:val="000000" w:themeColor="text1"/>
          <w:sz w:val="20"/>
          <w:szCs w:val="20"/>
          <w:lang w:val="en-IN" w:eastAsia="en-IN"/>
        </w:rPr>
        <w:drawing>
          <wp:inline distT="0" distB="0" distL="0" distR="0" wp14:anchorId="646B2EF7" wp14:editId="1A788D03">
            <wp:extent cx="4959706" cy="2223821"/>
            <wp:effectExtent l="0" t="0" r="12700" b="24130"/>
            <wp:docPr id="4944910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A1B655" w14:textId="305EF7FF" w:rsidR="00F826BE" w:rsidRPr="00260435" w:rsidRDefault="00F826BE"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Figure (1) Preferred Charging Time by Occupation</w:t>
      </w:r>
    </w:p>
    <w:p w14:paraId="48A796D0" w14:textId="77777777" w:rsidR="00F826BE" w:rsidRPr="00260435" w:rsidRDefault="00F826BE"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According to Figure (1), Cross-tabulation by occupation revealed that drivers, government employees, and private-sector workers all favored flexible “free time” charging. Night-time charging was more popular among private and government sector employees (39.7% and 30.6%, respectively), reflecting structured work hours. Chi-square analysis (χ² (15) = 23.408, p = 0.076) indicated no statistically significant association, though descriptive trends were evident.</w:t>
      </w:r>
    </w:p>
    <w:p w14:paraId="70A7779C" w14:textId="77777777" w:rsidR="00726861" w:rsidRPr="00260435" w:rsidRDefault="00726861" w:rsidP="00FA79BB">
      <w:pPr>
        <w:jc w:val="both"/>
        <w:rPr>
          <w:rFonts w:ascii="Arial" w:hAnsi="Arial" w:cs="Arial"/>
          <w:b/>
          <w:bCs/>
          <w:color w:val="000000" w:themeColor="text1"/>
          <w:sz w:val="20"/>
          <w:szCs w:val="20"/>
        </w:rPr>
      </w:pPr>
    </w:p>
    <w:p w14:paraId="2C31E598" w14:textId="15452651"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4.3</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Barriers to EV Charging</w:t>
      </w:r>
    </w:p>
    <w:p w14:paraId="6D68F23F" w14:textId="5B4DC422" w:rsidR="007913EE" w:rsidRPr="00260435" w:rsidRDefault="007913EE"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Respondents identified multiple barriers to accessing electric vehicle (EV) charging facilities. </w:t>
      </w:r>
      <w:r w:rsidR="00FC6419" w:rsidRPr="00260435">
        <w:rPr>
          <w:rFonts w:ascii="Arial" w:hAnsi="Arial" w:cs="Arial"/>
          <w:color w:val="000000" w:themeColor="text1"/>
          <w:sz w:val="20"/>
          <w:szCs w:val="20"/>
        </w:rPr>
        <w:t xml:space="preserve">Especially, public </w:t>
      </w:r>
      <w:proofErr w:type="gramStart"/>
      <w:r w:rsidR="00FC6419" w:rsidRPr="00260435">
        <w:rPr>
          <w:rFonts w:ascii="Arial" w:hAnsi="Arial" w:cs="Arial"/>
          <w:color w:val="000000" w:themeColor="text1"/>
          <w:sz w:val="20"/>
          <w:szCs w:val="20"/>
        </w:rPr>
        <w:t>DC  fast</w:t>
      </w:r>
      <w:proofErr w:type="gramEnd"/>
      <w:r w:rsidR="00FC6419" w:rsidRPr="00260435">
        <w:rPr>
          <w:rFonts w:ascii="Arial" w:hAnsi="Arial" w:cs="Arial"/>
          <w:color w:val="000000" w:themeColor="text1"/>
          <w:sz w:val="20"/>
          <w:szCs w:val="20"/>
        </w:rPr>
        <w:t xml:space="preserve"> charging rate 750kyat(0.17USD) and countryside hotels charging rate 1500kyat(0.34UUSD). And can it be easy to access charging in surrounding </w:t>
      </w:r>
      <w:proofErr w:type="gramStart"/>
      <w:r w:rsidR="00FC6419" w:rsidRPr="00260435">
        <w:rPr>
          <w:rFonts w:ascii="Arial" w:hAnsi="Arial" w:cs="Arial"/>
          <w:color w:val="000000" w:themeColor="text1"/>
          <w:sz w:val="20"/>
          <w:szCs w:val="20"/>
        </w:rPr>
        <w:t>area?,</w:t>
      </w:r>
      <w:proofErr w:type="gramEnd"/>
      <w:r w:rsidR="00FC6419" w:rsidRPr="00260435">
        <w:rPr>
          <w:rFonts w:ascii="Arial" w:hAnsi="Arial" w:cs="Arial"/>
          <w:color w:val="000000" w:themeColor="text1"/>
          <w:sz w:val="20"/>
          <w:szCs w:val="20"/>
        </w:rPr>
        <w:t xml:space="preserve"> etc.</w:t>
      </w:r>
    </w:p>
    <w:p w14:paraId="3344120C" w14:textId="77777777" w:rsidR="00FA79BB" w:rsidRPr="00260435" w:rsidRDefault="00FA79BB" w:rsidP="00FA79BB">
      <w:pPr>
        <w:ind w:firstLine="720"/>
        <w:jc w:val="both"/>
        <w:rPr>
          <w:rFonts w:ascii="Arial" w:hAnsi="Arial" w:cs="Arial"/>
          <w:color w:val="000000" w:themeColor="text1"/>
          <w:sz w:val="20"/>
          <w:szCs w:val="20"/>
        </w:rPr>
      </w:pPr>
    </w:p>
    <w:p w14:paraId="740659D2" w14:textId="042E42FA" w:rsidR="007913EE" w:rsidRPr="00260435" w:rsidRDefault="00285EDC" w:rsidP="00FA79BB">
      <w:pPr>
        <w:jc w:val="center"/>
        <w:rPr>
          <w:rFonts w:ascii="Arial" w:hAnsi="Arial" w:cs="Arial"/>
          <w:color w:val="000000" w:themeColor="text1"/>
          <w:sz w:val="20"/>
          <w:szCs w:val="20"/>
        </w:rPr>
      </w:pPr>
      <w:r w:rsidRPr="00260435">
        <w:rPr>
          <w:rFonts w:ascii="Arial" w:hAnsi="Arial" w:cs="Arial"/>
          <w:noProof/>
          <w:color w:val="000000" w:themeColor="text1"/>
          <w:sz w:val="20"/>
          <w:szCs w:val="20"/>
          <w:lang w:val="en-IN" w:eastAsia="en-IN"/>
        </w:rPr>
        <w:lastRenderedPageBreak/>
        <w:drawing>
          <wp:inline distT="0" distB="0" distL="0" distR="0" wp14:anchorId="7DCC2724" wp14:editId="57C45428">
            <wp:extent cx="4994695" cy="2355011"/>
            <wp:effectExtent l="0" t="0" r="15875" b="26670"/>
            <wp:docPr id="15995067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B8C6D9" w14:textId="5F0A4E6C" w:rsidR="00871F23" w:rsidRPr="00260435" w:rsidRDefault="00871F23"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Figure (</w:t>
      </w:r>
      <w:r w:rsidR="007913EE" w:rsidRPr="00260435">
        <w:rPr>
          <w:rFonts w:ascii="Arial" w:hAnsi="Arial" w:cs="Arial"/>
          <w:b/>
          <w:bCs/>
          <w:color w:val="000000" w:themeColor="text1"/>
          <w:sz w:val="20"/>
          <w:szCs w:val="20"/>
        </w:rPr>
        <w:t>2</w:t>
      </w:r>
      <w:r w:rsidRPr="00260435">
        <w:rPr>
          <w:rFonts w:ascii="Arial" w:hAnsi="Arial" w:cs="Arial"/>
          <w:b/>
          <w:bCs/>
          <w:color w:val="000000" w:themeColor="text1"/>
          <w:sz w:val="20"/>
          <w:szCs w:val="20"/>
        </w:rPr>
        <w:t>) Barriers to EV Charging</w:t>
      </w:r>
    </w:p>
    <w:p w14:paraId="1F39D97E" w14:textId="77777777" w:rsidR="00FA79BB" w:rsidRPr="00260435" w:rsidRDefault="00FA79BB" w:rsidP="00FA79BB">
      <w:pPr>
        <w:ind w:firstLine="720"/>
        <w:jc w:val="both"/>
        <w:rPr>
          <w:rFonts w:ascii="Arial" w:hAnsi="Arial" w:cs="Arial"/>
          <w:color w:val="000000" w:themeColor="text1"/>
          <w:sz w:val="20"/>
          <w:szCs w:val="20"/>
        </w:rPr>
      </w:pPr>
    </w:p>
    <w:p w14:paraId="4966B68D" w14:textId="52DAF472" w:rsidR="007913EE" w:rsidRPr="00260435" w:rsidRDefault="007913EE"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As shown in Figure (2), the most frequently cited challenge was the perception that charging is expensive to charge (55.3%), underscoring financial barriers to adoption. The charging rate at public stations, set at 750 kyats</w:t>
      </w:r>
      <w:r w:rsidR="004A1C8A" w:rsidRPr="00260435">
        <w:rPr>
          <w:rFonts w:ascii="Arial" w:hAnsi="Arial" w:cs="Arial"/>
          <w:color w:val="000000" w:themeColor="text1"/>
          <w:sz w:val="20"/>
          <w:szCs w:val="20"/>
        </w:rPr>
        <w:t xml:space="preserve"> </w:t>
      </w:r>
      <w:r w:rsidR="00B7104D" w:rsidRPr="00260435">
        <w:rPr>
          <w:rFonts w:ascii="Arial" w:hAnsi="Arial" w:cs="Arial"/>
          <w:color w:val="000000" w:themeColor="text1"/>
          <w:sz w:val="20"/>
          <w:szCs w:val="20"/>
        </w:rPr>
        <w:t>0.17USD)</w:t>
      </w:r>
      <w:r w:rsidRPr="00260435">
        <w:rPr>
          <w:rFonts w:ascii="Arial" w:hAnsi="Arial" w:cs="Arial"/>
          <w:color w:val="000000" w:themeColor="text1"/>
          <w:sz w:val="20"/>
          <w:szCs w:val="20"/>
        </w:rPr>
        <w:t xml:space="preserve"> per unit,</w:t>
      </w:r>
      <w:r w:rsidR="00B7104D" w:rsidRPr="00260435">
        <w:rPr>
          <w:rFonts w:ascii="Arial" w:hAnsi="Arial" w:cs="Arial"/>
          <w:color w:val="000000" w:themeColor="text1"/>
          <w:sz w:val="20"/>
          <w:szCs w:val="20"/>
        </w:rPr>
        <w:t xml:space="preserve"> hotels in popular cities Level2 AC charging about 1500</w:t>
      </w:r>
      <w:r w:rsidR="004A1C8A" w:rsidRPr="00260435">
        <w:rPr>
          <w:rFonts w:ascii="Arial" w:hAnsi="Arial" w:cs="Arial"/>
          <w:color w:val="000000" w:themeColor="text1"/>
          <w:sz w:val="20"/>
          <w:szCs w:val="20"/>
        </w:rPr>
        <w:t xml:space="preserve"> </w:t>
      </w:r>
      <w:r w:rsidR="00B7104D" w:rsidRPr="00260435">
        <w:rPr>
          <w:rFonts w:ascii="Arial" w:hAnsi="Arial" w:cs="Arial"/>
          <w:color w:val="000000" w:themeColor="text1"/>
          <w:sz w:val="20"/>
          <w:szCs w:val="20"/>
        </w:rPr>
        <w:t>kyat</w:t>
      </w:r>
      <w:r w:rsidR="004A1C8A" w:rsidRPr="00260435">
        <w:rPr>
          <w:rFonts w:ascii="Arial" w:hAnsi="Arial" w:cs="Arial"/>
          <w:color w:val="000000" w:themeColor="text1"/>
          <w:sz w:val="20"/>
          <w:szCs w:val="20"/>
        </w:rPr>
        <w:t xml:space="preserve"> </w:t>
      </w:r>
      <w:r w:rsidR="00B7104D" w:rsidRPr="00260435">
        <w:rPr>
          <w:rFonts w:ascii="Arial" w:hAnsi="Arial" w:cs="Arial"/>
          <w:color w:val="000000" w:themeColor="text1"/>
          <w:sz w:val="20"/>
          <w:szCs w:val="20"/>
        </w:rPr>
        <w:t>(0.34USD) per unit are</w:t>
      </w:r>
      <w:r w:rsidRPr="00260435">
        <w:rPr>
          <w:rFonts w:ascii="Arial" w:hAnsi="Arial" w:cs="Arial"/>
          <w:color w:val="000000" w:themeColor="text1"/>
          <w:sz w:val="20"/>
          <w:szCs w:val="20"/>
        </w:rPr>
        <w:t xml:space="preserve"> considered excessively high compared to the 150 kyats </w:t>
      </w:r>
      <w:r w:rsidR="00B7104D" w:rsidRPr="00260435">
        <w:rPr>
          <w:rFonts w:ascii="Arial" w:hAnsi="Arial" w:cs="Arial"/>
          <w:color w:val="000000" w:themeColor="text1"/>
          <w:sz w:val="20"/>
          <w:szCs w:val="20"/>
        </w:rPr>
        <w:t xml:space="preserve">(0.034USD) </w:t>
      </w:r>
      <w:r w:rsidRPr="00260435">
        <w:rPr>
          <w:rFonts w:ascii="Arial" w:hAnsi="Arial" w:cs="Arial"/>
          <w:color w:val="000000" w:themeColor="text1"/>
          <w:sz w:val="20"/>
          <w:szCs w:val="20"/>
        </w:rPr>
        <w:t>per unit cost of home-based Level 2 charging. This was followed by limited station availability across locations (32.7%), reflecting uneven geographic coverage, particularly in suburban and peri-urban areas. In addition, 9.3% of respondents reported the need to check in advance due to power outages, highlighting persistent electricity reliability concerns, while 2.7% mentioned waiting times at charging points, signaling early signs of congestion at popular stations. Together, these findings reveal that both cost-related and infrastructural issues are shaping user experience and may hinder the broader expansion of Myanmar’s EV ecosystem.</w:t>
      </w:r>
    </w:p>
    <w:p w14:paraId="5C3E25FC" w14:textId="77777777" w:rsidR="007439B5" w:rsidRPr="00260435" w:rsidRDefault="007439B5" w:rsidP="00FA79BB">
      <w:pPr>
        <w:ind w:firstLine="720"/>
        <w:jc w:val="both"/>
        <w:rPr>
          <w:rFonts w:ascii="Arial" w:hAnsi="Arial" w:cs="Arial"/>
          <w:color w:val="000000" w:themeColor="text1"/>
          <w:sz w:val="20"/>
          <w:szCs w:val="20"/>
        </w:rPr>
      </w:pPr>
    </w:p>
    <w:p w14:paraId="0E2C0249" w14:textId="28B56370"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4.4</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Desired Number of Charging Stations</w:t>
      </w:r>
    </w:p>
    <w:p w14:paraId="2A7F0671" w14:textId="033DC94A" w:rsidR="007913EE" w:rsidRPr="00260435" w:rsidRDefault="00260F8B" w:rsidP="00260F8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The number of public charge points is growing dramatically across most of the country, particularly on the rapid network. The number of public charge points has constructed in 2023, On average, over 200 </w:t>
      </w:r>
      <w:r w:rsidR="00747C43" w:rsidRPr="00260435">
        <w:rPr>
          <w:rFonts w:ascii="Arial" w:hAnsi="Arial" w:cs="Arial"/>
          <w:color w:val="000000" w:themeColor="text1"/>
          <w:sz w:val="20"/>
          <w:szCs w:val="20"/>
        </w:rPr>
        <w:t xml:space="preserve">charger </w:t>
      </w:r>
      <w:proofErr w:type="gramStart"/>
      <w:r w:rsidR="00747C43" w:rsidRPr="00260435">
        <w:rPr>
          <w:rFonts w:ascii="Arial" w:hAnsi="Arial" w:cs="Arial"/>
          <w:color w:val="000000" w:themeColor="text1"/>
          <w:sz w:val="20"/>
          <w:szCs w:val="20"/>
        </w:rPr>
        <w:t>plugs(</w:t>
      </w:r>
      <w:proofErr w:type="gramEnd"/>
      <w:r w:rsidR="00747C43" w:rsidRPr="00260435">
        <w:rPr>
          <w:rFonts w:ascii="Arial" w:hAnsi="Arial" w:cs="Arial"/>
          <w:color w:val="000000" w:themeColor="text1"/>
          <w:sz w:val="20"/>
          <w:szCs w:val="20"/>
        </w:rPr>
        <w:t>totally 79 stations)</w:t>
      </w:r>
      <w:r w:rsidRPr="00260435">
        <w:rPr>
          <w:rFonts w:ascii="Arial" w:hAnsi="Arial" w:cs="Arial"/>
          <w:color w:val="000000" w:themeColor="text1"/>
          <w:sz w:val="20"/>
          <w:szCs w:val="20"/>
        </w:rPr>
        <w:t xml:space="preserve"> are being installed to the Highway roads and big towns in Myanmar. Over 75% desired more than five stations in their local area, with nearly half wanting more than 15 stations. Urban residents favored higher coverage (16 - 20 stations or more than 20), whereas suburban residents leaned toward moderate numbers (6 -15 stations). Chi-square tests indicated no statistically significant difference (p = 0.243), but trends highlight the higher infrastructure expectations in urban areas</w:t>
      </w:r>
      <w:r w:rsidR="00C8052F" w:rsidRPr="00260435">
        <w:rPr>
          <w:rFonts w:ascii="Arial" w:hAnsi="Arial" w:cs="Arial"/>
          <w:color w:val="000000" w:themeColor="text1"/>
          <w:sz w:val="20"/>
          <w:szCs w:val="20"/>
        </w:rPr>
        <w:t>.</w:t>
      </w:r>
    </w:p>
    <w:p w14:paraId="1C2F0C35" w14:textId="77777777" w:rsidR="00C8052F" w:rsidRPr="00260435" w:rsidRDefault="00C8052F" w:rsidP="00C8052F">
      <w:pPr>
        <w:jc w:val="both"/>
        <w:rPr>
          <w:rFonts w:ascii="Arial" w:hAnsi="Arial" w:cs="Arial"/>
          <w:color w:val="000000" w:themeColor="text1"/>
          <w:sz w:val="20"/>
          <w:szCs w:val="20"/>
        </w:rPr>
      </w:pPr>
    </w:p>
    <w:p w14:paraId="53F40EF7" w14:textId="417B5E3B" w:rsidR="00C8052F" w:rsidRPr="00260435" w:rsidRDefault="00C8052F" w:rsidP="00C8052F">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4.5. Income Distribution of Respondents</w:t>
      </w:r>
    </w:p>
    <w:p w14:paraId="236F4E85" w14:textId="081BBAB8" w:rsidR="00C8052F" w:rsidRPr="00260435" w:rsidRDefault="00C8052F" w:rsidP="00C8052F">
      <w:pPr>
        <w:ind w:firstLine="720"/>
        <w:jc w:val="both"/>
        <w:rPr>
          <w:rFonts w:ascii="Segoe UI" w:hAnsi="Segoe UI" w:cs="Segoe UI"/>
          <w:color w:val="000000" w:themeColor="text1"/>
          <w:shd w:val="clear" w:color="auto" w:fill="FFFFFF"/>
        </w:rPr>
      </w:pPr>
      <w:r w:rsidRPr="00260435">
        <w:rPr>
          <w:rFonts w:ascii="Arial" w:hAnsi="Arial" w:cs="Arial"/>
          <w:color w:val="000000" w:themeColor="text1"/>
          <w:sz w:val="20"/>
          <w:szCs w:val="20"/>
        </w:rPr>
        <w:t>Income remains one of the most decisive factors influencing electric vehicle (EV) adoption, particularly in developing economies such as Myanmar. Previous studies have consistently highlighted that the affordability of EVs is strongly tied to household income levels, as higher upfront costs, battery replacement expenses, and the need for private charging facilities present significant barriers for</w:t>
      </w:r>
      <w:r w:rsidR="00434471" w:rsidRPr="00260435">
        <w:rPr>
          <w:rFonts w:ascii="Arial" w:hAnsi="Arial" w:cs="Arial"/>
          <w:color w:val="000000" w:themeColor="text1"/>
          <w:sz w:val="20"/>
          <w:szCs w:val="20"/>
        </w:rPr>
        <w:t xml:space="preserve"> low- and middle-income groups[</w:t>
      </w:r>
      <w:r w:rsidRPr="00260435">
        <w:rPr>
          <w:rFonts w:ascii="Arial" w:hAnsi="Arial" w:cs="Arial"/>
          <w:color w:val="000000" w:themeColor="text1"/>
          <w:sz w:val="20"/>
          <w:szCs w:val="20"/>
        </w:rPr>
        <w:t>Breetz &amp; Sal</w:t>
      </w:r>
      <w:r w:rsidR="00434471" w:rsidRPr="00260435">
        <w:rPr>
          <w:rFonts w:ascii="Arial" w:hAnsi="Arial" w:cs="Arial"/>
          <w:color w:val="000000" w:themeColor="text1"/>
          <w:sz w:val="20"/>
          <w:szCs w:val="20"/>
        </w:rPr>
        <w:t xml:space="preserve">on, 2018; </w:t>
      </w:r>
      <w:proofErr w:type="spellStart"/>
      <w:r w:rsidR="00434471" w:rsidRPr="00260435">
        <w:rPr>
          <w:rFonts w:ascii="Arial" w:hAnsi="Arial" w:cs="Arial"/>
          <w:color w:val="000000" w:themeColor="text1"/>
          <w:sz w:val="20"/>
          <w:szCs w:val="20"/>
        </w:rPr>
        <w:t>Sovacool</w:t>
      </w:r>
      <w:proofErr w:type="spellEnd"/>
      <w:r w:rsidR="00434471" w:rsidRPr="00260435">
        <w:rPr>
          <w:rFonts w:ascii="Arial" w:hAnsi="Arial" w:cs="Arial"/>
          <w:color w:val="000000" w:themeColor="text1"/>
          <w:sz w:val="20"/>
          <w:szCs w:val="20"/>
        </w:rPr>
        <w:t xml:space="preserve"> et al., 2020]</w:t>
      </w:r>
      <w:r w:rsidRPr="00260435">
        <w:rPr>
          <w:rFonts w:ascii="Arial" w:hAnsi="Arial" w:cs="Arial"/>
          <w:color w:val="000000" w:themeColor="text1"/>
          <w:sz w:val="20"/>
          <w:szCs w:val="20"/>
        </w:rPr>
        <w:t xml:space="preserve">. </w:t>
      </w:r>
    </w:p>
    <w:p w14:paraId="70EE8EEB" w14:textId="3A06FC6E" w:rsidR="00C8052F" w:rsidRPr="00260435" w:rsidRDefault="00C8052F" w:rsidP="00C8052F">
      <w:pPr>
        <w:ind w:firstLine="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 xml:space="preserve">The survey results presented highlight this pattern. Among the 150 respondents in urban Myanmar, 35.3% reported monthly incomes above 1,000,000 MMK, representing the largest group of EV users. This finding is consistent with global adoption trends, where wealthier households are often the first to adopt EVs because they can absorb significant upfront costs and uncertainties regarding </w:t>
      </w:r>
      <w:r w:rsidR="00434471" w:rsidRPr="00260435">
        <w:rPr>
          <w:rFonts w:ascii="Arial" w:hAnsi="Arial" w:cs="Arial"/>
          <w:color w:val="000000" w:themeColor="text1"/>
          <w:sz w:val="20"/>
          <w:szCs w:val="20"/>
          <w:shd w:val="clear" w:color="auto" w:fill="FFFFFF"/>
        </w:rPr>
        <w:t>long-term operational expenses [</w:t>
      </w:r>
      <w:proofErr w:type="spellStart"/>
      <w:r w:rsidR="00434471" w:rsidRPr="00260435">
        <w:rPr>
          <w:rFonts w:ascii="Arial" w:hAnsi="Arial" w:cs="Arial"/>
          <w:color w:val="000000" w:themeColor="text1"/>
          <w:sz w:val="20"/>
          <w:szCs w:val="20"/>
          <w:shd w:val="clear" w:color="auto" w:fill="FFFFFF"/>
        </w:rPr>
        <w:t>Axsen</w:t>
      </w:r>
      <w:proofErr w:type="spellEnd"/>
      <w:r w:rsidR="00434471" w:rsidRPr="00260435">
        <w:rPr>
          <w:rFonts w:ascii="Arial" w:hAnsi="Arial" w:cs="Arial"/>
          <w:color w:val="000000" w:themeColor="text1"/>
          <w:sz w:val="20"/>
          <w:szCs w:val="20"/>
          <w:shd w:val="clear" w:color="auto" w:fill="FFFFFF"/>
        </w:rPr>
        <w:t xml:space="preserve"> et al., 2016].</w:t>
      </w:r>
      <w:r w:rsidRPr="00260435">
        <w:rPr>
          <w:rFonts w:ascii="Arial" w:hAnsi="Arial" w:cs="Arial"/>
          <w:color w:val="000000" w:themeColor="text1"/>
          <w:sz w:val="20"/>
          <w:szCs w:val="20"/>
          <w:shd w:val="clear" w:color="auto" w:fill="FFFFFF"/>
        </w:rPr>
        <w:t xml:space="preserve"> </w:t>
      </w:r>
    </w:p>
    <w:p w14:paraId="02893A33" w14:textId="101EE0BA" w:rsidR="00067F6C" w:rsidRPr="00260435" w:rsidRDefault="00C8052F" w:rsidP="00C8052F">
      <w:pPr>
        <w:ind w:firstLine="720"/>
        <w:jc w:val="both"/>
        <w:rPr>
          <w:rFonts w:ascii="Arial" w:hAnsi="Arial" w:cs="Arial"/>
          <w:color w:val="000000" w:themeColor="text1"/>
          <w:sz w:val="20"/>
          <w:szCs w:val="20"/>
        </w:rPr>
      </w:pPr>
      <w:r w:rsidRPr="00260435">
        <w:rPr>
          <w:rFonts w:ascii="Arial" w:hAnsi="Arial" w:cs="Arial"/>
          <w:color w:val="000000" w:themeColor="text1"/>
          <w:sz w:val="20"/>
          <w:szCs w:val="20"/>
          <w:shd w:val="clear" w:color="auto" w:fill="FFFFFF"/>
        </w:rPr>
        <w:lastRenderedPageBreak/>
        <w:t>Interestingly, the second-largest income group (29.3%) reported earnings between 200,001 and 400,000 MMK per month. While this segment represents low- to lower-middle-income earners in the Myanmar urban context, their participation suggests either the use of smaller, more affordable EV models (e.g., two-wheelers, compact city cars) or their employment as drivers of EVs owned by wealthier individuals or fleet operators. Similar trends have been observed in India and other Southeast Asian markets, where two- and three-wheeled EVs have allowed lower-income groups to participate, albeit to a limited extent, in the</w:t>
      </w:r>
      <w:r w:rsidR="00D06486" w:rsidRPr="00260435">
        <w:rPr>
          <w:rFonts w:ascii="Arial" w:hAnsi="Arial" w:cs="Arial"/>
          <w:color w:val="000000" w:themeColor="text1"/>
          <w:sz w:val="20"/>
          <w:szCs w:val="20"/>
          <w:shd w:val="clear" w:color="auto" w:fill="FFFFFF"/>
        </w:rPr>
        <w:t xml:space="preserve"> electrification of transport.</w:t>
      </w:r>
    </w:p>
    <w:p w14:paraId="27960645" w14:textId="77777777" w:rsidR="00C8052F" w:rsidRPr="00260435" w:rsidRDefault="00C8052F" w:rsidP="00FA79BB">
      <w:pPr>
        <w:jc w:val="both"/>
        <w:rPr>
          <w:rFonts w:ascii="Arial" w:hAnsi="Arial" w:cs="Arial"/>
          <w:b/>
          <w:bCs/>
          <w:color w:val="000000" w:themeColor="text1"/>
          <w:sz w:val="22"/>
          <w:szCs w:val="22"/>
        </w:rPr>
      </w:pPr>
    </w:p>
    <w:p w14:paraId="67B8921E" w14:textId="6E008B63"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w:t>
      </w:r>
      <w:r w:rsidR="007D6D2B" w:rsidRPr="00260435">
        <w:rPr>
          <w:rFonts w:ascii="Arial" w:hAnsi="Arial" w:cs="Arial"/>
          <w:b/>
          <w:bCs/>
          <w:color w:val="000000" w:themeColor="text1"/>
          <w:sz w:val="22"/>
          <w:szCs w:val="22"/>
        </w:rPr>
        <w:t>6</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Perception of Government Incentives</w:t>
      </w:r>
    </w:p>
    <w:p w14:paraId="1040EC12" w14:textId="7E80BC3B" w:rsidR="000D7200" w:rsidRPr="00260435" w:rsidRDefault="00FE7169" w:rsidP="000D7200">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In recent years, the Myanmar government has actively promoted electric vehicles by providing tariff concessions, improving infrastructure construction, strengthening brand promotion and other policy measures. </w:t>
      </w:r>
      <w:r w:rsidR="00747C43" w:rsidRPr="00260435">
        <w:rPr>
          <w:rFonts w:ascii="Arial" w:hAnsi="Arial" w:cs="Arial"/>
          <w:color w:val="000000" w:themeColor="text1"/>
          <w:sz w:val="20"/>
          <w:szCs w:val="20"/>
        </w:rPr>
        <w:t>Currently 2025FY, Myanmar government allow incentives as the following table</w:t>
      </w:r>
      <w:r w:rsidR="000D7200" w:rsidRPr="00260435">
        <w:rPr>
          <w:rFonts w:ascii="Arial" w:hAnsi="Arial" w:cs="Arial"/>
          <w:color w:val="000000" w:themeColor="text1"/>
          <w:sz w:val="20"/>
          <w:szCs w:val="20"/>
        </w:rPr>
        <w:t>;</w:t>
      </w:r>
    </w:p>
    <w:p w14:paraId="7CC29359" w14:textId="77777777" w:rsidR="000D7200" w:rsidRPr="00260435" w:rsidRDefault="000D7200" w:rsidP="000D7200">
      <w:pPr>
        <w:ind w:firstLine="720"/>
        <w:jc w:val="center"/>
        <w:rPr>
          <w:rFonts w:ascii="Arial" w:hAnsi="Arial" w:cs="Arial"/>
          <w:b/>
          <w:color w:val="000000" w:themeColor="text1"/>
          <w:sz w:val="20"/>
          <w:szCs w:val="20"/>
        </w:rPr>
      </w:pPr>
    </w:p>
    <w:p w14:paraId="06263E42" w14:textId="3E59F4F9" w:rsidR="000D7200" w:rsidRPr="00260435" w:rsidRDefault="000D7200" w:rsidP="000D7200">
      <w:pPr>
        <w:ind w:firstLine="720"/>
        <w:jc w:val="center"/>
        <w:rPr>
          <w:rFonts w:ascii="Arial" w:hAnsi="Arial" w:cs="Arial"/>
          <w:b/>
          <w:bCs/>
          <w:color w:val="000000" w:themeColor="text1"/>
          <w:sz w:val="20"/>
          <w:szCs w:val="20"/>
          <w:cs/>
        </w:rPr>
      </w:pPr>
      <w:r w:rsidRPr="00260435">
        <w:rPr>
          <w:rFonts w:ascii="Arial" w:hAnsi="Arial" w:cs="Arial"/>
          <w:b/>
          <w:color w:val="000000" w:themeColor="text1"/>
          <w:sz w:val="20"/>
          <w:szCs w:val="20"/>
        </w:rPr>
        <w:t>Table</w:t>
      </w:r>
      <w:r w:rsidRPr="00260435">
        <w:rPr>
          <w:rFonts w:ascii="Arial" w:hAnsi="Arial" w:cs="Arial"/>
          <w:b/>
          <w:bCs/>
          <w:color w:val="000000" w:themeColor="text1"/>
          <w:sz w:val="20"/>
          <w:szCs w:val="20"/>
        </w:rPr>
        <w:t xml:space="preserve"> (1) </w:t>
      </w:r>
      <w:r w:rsidR="00200062" w:rsidRPr="00260435">
        <w:rPr>
          <w:rFonts w:ascii="Arial" w:hAnsi="Arial" w:cs="Arial"/>
          <w:b/>
          <w:bCs/>
          <w:color w:val="000000" w:themeColor="text1"/>
          <w:sz w:val="20"/>
          <w:szCs w:val="20"/>
        </w:rPr>
        <w:t>Incentives for EV and EVC</w:t>
      </w:r>
    </w:p>
    <w:tbl>
      <w:tblPr>
        <w:tblStyle w:val="TableGrid"/>
        <w:tblW w:w="0" w:type="auto"/>
        <w:tblInd w:w="108" w:type="dxa"/>
        <w:tblLook w:val="04A0" w:firstRow="1" w:lastRow="0" w:firstColumn="1" w:lastColumn="0" w:noHBand="0" w:noVBand="1"/>
      </w:tblPr>
      <w:tblGrid>
        <w:gridCol w:w="540"/>
        <w:gridCol w:w="2340"/>
        <w:gridCol w:w="3330"/>
        <w:gridCol w:w="1620"/>
      </w:tblGrid>
      <w:tr w:rsidR="00260435" w:rsidRPr="00260435" w14:paraId="39068829" w14:textId="77777777" w:rsidTr="000D7200">
        <w:trPr>
          <w:trHeight w:val="305"/>
        </w:trPr>
        <w:tc>
          <w:tcPr>
            <w:tcW w:w="540" w:type="dxa"/>
          </w:tcPr>
          <w:p w14:paraId="5E7AAFBA" w14:textId="561483F7" w:rsidR="00747C43" w:rsidRPr="00260435" w:rsidRDefault="00747C43" w:rsidP="000D7200">
            <w:pPr>
              <w:jc w:val="center"/>
              <w:rPr>
                <w:rFonts w:ascii="Arial" w:hAnsi="Arial" w:cs="Arial"/>
                <w:b/>
                <w:color w:val="000000" w:themeColor="text1"/>
                <w:sz w:val="20"/>
                <w:szCs w:val="20"/>
              </w:rPr>
            </w:pPr>
            <w:r w:rsidRPr="00260435">
              <w:rPr>
                <w:rFonts w:ascii="Arial" w:hAnsi="Arial" w:cs="Arial"/>
                <w:b/>
                <w:color w:val="000000" w:themeColor="text1"/>
                <w:sz w:val="20"/>
                <w:szCs w:val="20"/>
              </w:rPr>
              <w:t>Sr.</w:t>
            </w:r>
          </w:p>
        </w:tc>
        <w:tc>
          <w:tcPr>
            <w:tcW w:w="2340" w:type="dxa"/>
          </w:tcPr>
          <w:p w14:paraId="23B454BA" w14:textId="34321894" w:rsidR="00747C43" w:rsidRPr="00260435" w:rsidRDefault="000D7200" w:rsidP="00200062">
            <w:pPr>
              <w:jc w:val="center"/>
              <w:rPr>
                <w:rFonts w:ascii="Arial" w:hAnsi="Arial" w:cs="Arial"/>
                <w:b/>
                <w:color w:val="000000" w:themeColor="text1"/>
                <w:sz w:val="20"/>
                <w:szCs w:val="20"/>
              </w:rPr>
            </w:pPr>
            <w:r w:rsidRPr="00260435">
              <w:rPr>
                <w:rFonts w:ascii="Arial" w:hAnsi="Arial" w:cs="Arial"/>
                <w:b/>
                <w:color w:val="000000" w:themeColor="text1"/>
                <w:sz w:val="20"/>
                <w:szCs w:val="20"/>
              </w:rPr>
              <w:t>Major sector</w:t>
            </w:r>
          </w:p>
        </w:tc>
        <w:tc>
          <w:tcPr>
            <w:tcW w:w="3330" w:type="dxa"/>
          </w:tcPr>
          <w:p w14:paraId="58233B76" w14:textId="2849AA01" w:rsidR="00747C43" w:rsidRPr="00260435" w:rsidRDefault="000D7200" w:rsidP="00200062">
            <w:pPr>
              <w:jc w:val="center"/>
              <w:rPr>
                <w:rFonts w:ascii="Arial" w:hAnsi="Arial" w:cs="Arial"/>
                <w:b/>
                <w:color w:val="000000" w:themeColor="text1"/>
                <w:sz w:val="20"/>
                <w:szCs w:val="20"/>
              </w:rPr>
            </w:pPr>
            <w:r w:rsidRPr="00260435">
              <w:rPr>
                <w:rFonts w:ascii="Arial" w:hAnsi="Arial" w:cs="Arial"/>
                <w:b/>
                <w:color w:val="000000" w:themeColor="text1"/>
                <w:sz w:val="20"/>
                <w:szCs w:val="20"/>
              </w:rPr>
              <w:t>Area of Incentives</w:t>
            </w:r>
          </w:p>
        </w:tc>
        <w:tc>
          <w:tcPr>
            <w:tcW w:w="1620" w:type="dxa"/>
          </w:tcPr>
          <w:p w14:paraId="5AACFA2D" w14:textId="11FABC7F" w:rsidR="00747C43" w:rsidRPr="00260435" w:rsidRDefault="00C60B73" w:rsidP="00200062">
            <w:pPr>
              <w:jc w:val="center"/>
              <w:rPr>
                <w:rFonts w:ascii="Arial" w:hAnsi="Arial" w:cs="Arial"/>
                <w:b/>
                <w:color w:val="000000" w:themeColor="text1"/>
                <w:sz w:val="20"/>
                <w:szCs w:val="20"/>
              </w:rPr>
            </w:pPr>
            <w:r w:rsidRPr="00260435">
              <w:rPr>
                <w:rFonts w:ascii="Arial" w:hAnsi="Arial" w:cs="Arial"/>
                <w:b/>
                <w:color w:val="000000" w:themeColor="text1"/>
                <w:sz w:val="20"/>
                <w:szCs w:val="20"/>
              </w:rPr>
              <w:t>Period</w:t>
            </w:r>
          </w:p>
        </w:tc>
      </w:tr>
      <w:tr w:rsidR="00260435" w:rsidRPr="00260435" w14:paraId="5AB00E04" w14:textId="77777777" w:rsidTr="00747C43">
        <w:tc>
          <w:tcPr>
            <w:tcW w:w="540" w:type="dxa"/>
          </w:tcPr>
          <w:p w14:paraId="4AA25161" w14:textId="5B1DFC99" w:rsidR="00747C43" w:rsidRPr="00260435" w:rsidRDefault="00C60B73" w:rsidP="00260F8B">
            <w:pPr>
              <w:jc w:val="both"/>
              <w:rPr>
                <w:rFonts w:ascii="Arial" w:hAnsi="Arial" w:cs="Arial"/>
                <w:color w:val="000000" w:themeColor="text1"/>
                <w:sz w:val="20"/>
                <w:szCs w:val="20"/>
              </w:rPr>
            </w:pPr>
            <w:r w:rsidRPr="00260435">
              <w:rPr>
                <w:rFonts w:ascii="Arial" w:hAnsi="Arial" w:cs="Arial"/>
                <w:color w:val="000000" w:themeColor="text1"/>
                <w:sz w:val="20"/>
                <w:szCs w:val="20"/>
              </w:rPr>
              <w:t>1.</w:t>
            </w:r>
          </w:p>
        </w:tc>
        <w:tc>
          <w:tcPr>
            <w:tcW w:w="2340" w:type="dxa"/>
          </w:tcPr>
          <w:p w14:paraId="5018D0D3" w14:textId="646B295D"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All EV car(</w:t>
            </w:r>
            <w:proofErr w:type="spellStart"/>
            <w:r w:rsidR="000A01CB" w:rsidRPr="00260435">
              <w:rPr>
                <w:rFonts w:ascii="Arial" w:hAnsi="Arial" w:cs="Arial"/>
                <w:color w:val="000000" w:themeColor="text1"/>
                <w:sz w:val="20"/>
                <w:szCs w:val="20"/>
              </w:rPr>
              <w:t>small+large</w:t>
            </w:r>
            <w:proofErr w:type="spellEnd"/>
            <w:r w:rsidRPr="00260435">
              <w:rPr>
                <w:rFonts w:ascii="Arial" w:hAnsi="Arial" w:cs="Arial"/>
                <w:color w:val="000000" w:themeColor="text1"/>
                <w:sz w:val="20"/>
                <w:szCs w:val="20"/>
              </w:rPr>
              <w:t>)</w:t>
            </w:r>
          </w:p>
        </w:tc>
        <w:tc>
          <w:tcPr>
            <w:tcW w:w="3330" w:type="dxa"/>
          </w:tcPr>
          <w:p w14:paraId="63101FA4" w14:textId="0B620480"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 xml:space="preserve">Whole country toll gate fee free, </w:t>
            </w:r>
            <w:r w:rsidR="00C8052F" w:rsidRPr="00260435">
              <w:rPr>
                <w:rFonts w:ascii="Arial" w:hAnsi="Arial" w:cs="Arial"/>
                <w:color w:val="000000" w:themeColor="text1"/>
                <w:sz w:val="20"/>
                <w:szCs w:val="20"/>
              </w:rPr>
              <w:t>import custom 0% tax</w:t>
            </w:r>
          </w:p>
        </w:tc>
        <w:tc>
          <w:tcPr>
            <w:tcW w:w="1620" w:type="dxa"/>
          </w:tcPr>
          <w:p w14:paraId="7C9AD37B" w14:textId="49DE69C3"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2022~ present</w:t>
            </w:r>
          </w:p>
        </w:tc>
      </w:tr>
      <w:tr w:rsidR="00260435" w:rsidRPr="00260435" w14:paraId="73CB7AFB" w14:textId="77777777" w:rsidTr="00747C43">
        <w:tc>
          <w:tcPr>
            <w:tcW w:w="540" w:type="dxa"/>
          </w:tcPr>
          <w:p w14:paraId="2F16A4B8" w14:textId="748C44CA" w:rsidR="00747C43" w:rsidRPr="00260435" w:rsidRDefault="00C60B73" w:rsidP="00260F8B">
            <w:pPr>
              <w:jc w:val="both"/>
              <w:rPr>
                <w:rFonts w:ascii="Arial" w:hAnsi="Arial" w:cs="Arial"/>
                <w:color w:val="000000" w:themeColor="text1"/>
                <w:sz w:val="20"/>
                <w:szCs w:val="20"/>
              </w:rPr>
            </w:pPr>
            <w:r w:rsidRPr="00260435">
              <w:rPr>
                <w:rFonts w:ascii="Arial" w:hAnsi="Arial" w:cs="Arial"/>
                <w:color w:val="000000" w:themeColor="text1"/>
                <w:sz w:val="20"/>
                <w:szCs w:val="20"/>
              </w:rPr>
              <w:t>2.</w:t>
            </w:r>
          </w:p>
        </w:tc>
        <w:tc>
          <w:tcPr>
            <w:tcW w:w="2340" w:type="dxa"/>
          </w:tcPr>
          <w:p w14:paraId="12B9E496" w14:textId="6A035304" w:rsidR="00747C43" w:rsidRPr="00260435" w:rsidRDefault="00C60B73" w:rsidP="00200062">
            <w:pPr>
              <w:jc w:val="both"/>
              <w:rPr>
                <w:rFonts w:ascii="Arial" w:hAnsi="Arial" w:cs="Arial"/>
                <w:color w:val="000000" w:themeColor="text1"/>
                <w:sz w:val="20"/>
                <w:szCs w:val="20"/>
              </w:rPr>
            </w:pPr>
            <w:r w:rsidRPr="00260435">
              <w:rPr>
                <w:rFonts w:ascii="Arial" w:eastAsiaTheme="minorEastAsia" w:hAnsi="Arial" w:cs="Arial"/>
                <w:color w:val="000000" w:themeColor="text1"/>
                <w:sz w:val="20"/>
                <w:szCs w:val="20"/>
              </w:rPr>
              <w:t>Charging station equipment</w:t>
            </w:r>
          </w:p>
        </w:tc>
        <w:tc>
          <w:tcPr>
            <w:tcW w:w="3330" w:type="dxa"/>
          </w:tcPr>
          <w:p w14:paraId="00831BBF" w14:textId="004616F5"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Myanmar import custom 0% tax</w:t>
            </w:r>
          </w:p>
        </w:tc>
        <w:tc>
          <w:tcPr>
            <w:tcW w:w="1620" w:type="dxa"/>
          </w:tcPr>
          <w:p w14:paraId="40CC2C47" w14:textId="2700899B"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2022~ present</w:t>
            </w:r>
          </w:p>
        </w:tc>
      </w:tr>
      <w:tr w:rsidR="00260435" w:rsidRPr="00260435" w14:paraId="5CC843F4" w14:textId="77777777" w:rsidTr="00747C43">
        <w:tc>
          <w:tcPr>
            <w:tcW w:w="540" w:type="dxa"/>
          </w:tcPr>
          <w:p w14:paraId="6039D6A8" w14:textId="09DF44B6" w:rsidR="00747C43" w:rsidRPr="00260435" w:rsidRDefault="00C60B73" w:rsidP="00260F8B">
            <w:pPr>
              <w:jc w:val="both"/>
              <w:rPr>
                <w:rFonts w:ascii="Arial" w:hAnsi="Arial" w:cs="Arial"/>
                <w:color w:val="000000" w:themeColor="text1"/>
                <w:sz w:val="20"/>
                <w:szCs w:val="20"/>
              </w:rPr>
            </w:pPr>
            <w:r w:rsidRPr="00260435">
              <w:rPr>
                <w:rFonts w:ascii="Arial" w:hAnsi="Arial" w:cs="Arial"/>
                <w:color w:val="000000" w:themeColor="text1"/>
                <w:sz w:val="20"/>
                <w:szCs w:val="20"/>
              </w:rPr>
              <w:t>3.</w:t>
            </w:r>
          </w:p>
        </w:tc>
        <w:tc>
          <w:tcPr>
            <w:tcW w:w="2340" w:type="dxa"/>
          </w:tcPr>
          <w:p w14:paraId="25ECE564" w14:textId="2CE5541A" w:rsidR="00747C43" w:rsidRPr="00260435" w:rsidRDefault="00C60B73" w:rsidP="00200062">
            <w:pPr>
              <w:jc w:val="both"/>
              <w:rPr>
                <w:rFonts w:ascii="Arial" w:hAnsi="Arial" w:cs="Arial"/>
                <w:color w:val="000000" w:themeColor="text1"/>
                <w:sz w:val="20"/>
                <w:szCs w:val="20"/>
              </w:rPr>
            </w:pPr>
            <w:r w:rsidRPr="00260435">
              <w:rPr>
                <w:rFonts w:ascii="Arial" w:eastAsiaTheme="minorEastAsia" w:hAnsi="Arial" w:cs="Arial"/>
                <w:color w:val="000000" w:themeColor="text1"/>
                <w:sz w:val="20"/>
                <w:szCs w:val="20"/>
              </w:rPr>
              <w:t>Spare parts</w:t>
            </w:r>
            <w:r w:rsidRPr="00260435">
              <w:rPr>
                <w:rFonts w:ascii="Arial" w:hAnsi="Arial" w:cs="Arial"/>
                <w:color w:val="000000" w:themeColor="text1"/>
                <w:sz w:val="20"/>
                <w:szCs w:val="20"/>
              </w:rPr>
              <w:t xml:space="preserve"> of Charging station</w:t>
            </w:r>
          </w:p>
        </w:tc>
        <w:tc>
          <w:tcPr>
            <w:tcW w:w="3330" w:type="dxa"/>
          </w:tcPr>
          <w:p w14:paraId="0C28F88F" w14:textId="4E11B140"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Myanmar import custom 0% tax</w:t>
            </w:r>
          </w:p>
        </w:tc>
        <w:tc>
          <w:tcPr>
            <w:tcW w:w="1620" w:type="dxa"/>
          </w:tcPr>
          <w:p w14:paraId="1AD44784" w14:textId="5AABBF85"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2022~ present</w:t>
            </w:r>
          </w:p>
        </w:tc>
      </w:tr>
      <w:tr w:rsidR="00260435" w:rsidRPr="00260435" w14:paraId="4E1350ED" w14:textId="77777777" w:rsidTr="00747C43">
        <w:tc>
          <w:tcPr>
            <w:tcW w:w="540" w:type="dxa"/>
          </w:tcPr>
          <w:p w14:paraId="09E3DFE7" w14:textId="5B612056" w:rsidR="00747C43" w:rsidRPr="00260435" w:rsidRDefault="000773AF" w:rsidP="00260F8B">
            <w:pPr>
              <w:jc w:val="both"/>
              <w:rPr>
                <w:rFonts w:ascii="Arial" w:hAnsi="Arial" w:cs="Arial"/>
                <w:color w:val="000000" w:themeColor="text1"/>
                <w:sz w:val="20"/>
                <w:szCs w:val="20"/>
              </w:rPr>
            </w:pPr>
            <w:r w:rsidRPr="00260435">
              <w:rPr>
                <w:rFonts w:ascii="Arial" w:hAnsi="Arial" w:cs="Arial"/>
                <w:color w:val="000000" w:themeColor="text1"/>
                <w:sz w:val="20"/>
                <w:szCs w:val="20"/>
              </w:rPr>
              <w:t>4.</w:t>
            </w:r>
          </w:p>
        </w:tc>
        <w:tc>
          <w:tcPr>
            <w:tcW w:w="2340" w:type="dxa"/>
          </w:tcPr>
          <w:p w14:paraId="061168DA" w14:textId="3C74C1A4"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11/33kV Power supply overhead line</w:t>
            </w:r>
          </w:p>
        </w:tc>
        <w:tc>
          <w:tcPr>
            <w:tcW w:w="3330" w:type="dxa"/>
          </w:tcPr>
          <w:p w14:paraId="64F0350E" w14:textId="378D03FF"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Free of cost for over 1mile distance to charging point.</w:t>
            </w:r>
          </w:p>
        </w:tc>
        <w:tc>
          <w:tcPr>
            <w:tcW w:w="1620" w:type="dxa"/>
          </w:tcPr>
          <w:p w14:paraId="6E304D53" w14:textId="7F716676" w:rsidR="00747C43" w:rsidRPr="00260435" w:rsidRDefault="00C60B73" w:rsidP="00200062">
            <w:pPr>
              <w:jc w:val="both"/>
              <w:rPr>
                <w:rFonts w:ascii="Arial" w:hAnsi="Arial" w:cs="Arial"/>
                <w:color w:val="000000" w:themeColor="text1"/>
                <w:sz w:val="20"/>
                <w:szCs w:val="20"/>
              </w:rPr>
            </w:pPr>
            <w:r w:rsidRPr="00260435">
              <w:rPr>
                <w:rFonts w:ascii="Arial" w:hAnsi="Arial" w:cs="Arial"/>
                <w:color w:val="000000" w:themeColor="text1"/>
                <w:sz w:val="20"/>
                <w:szCs w:val="20"/>
              </w:rPr>
              <w:t>2022~ present</w:t>
            </w:r>
          </w:p>
        </w:tc>
      </w:tr>
    </w:tbl>
    <w:p w14:paraId="3C817E1C" w14:textId="2A5F8347" w:rsidR="00747C43" w:rsidRPr="00260435" w:rsidRDefault="00434471" w:rsidP="00200062">
      <w:pPr>
        <w:rPr>
          <w:rFonts w:ascii="Arial" w:hAnsi="Arial" w:cs="Arial"/>
          <w:color w:val="000000" w:themeColor="text1"/>
          <w:sz w:val="20"/>
          <w:szCs w:val="20"/>
        </w:rPr>
      </w:pPr>
      <w:r w:rsidRPr="00260435">
        <w:rPr>
          <w:rFonts w:ascii="Arial" w:hAnsi="Arial" w:cs="Arial"/>
          <w:color w:val="000000" w:themeColor="text1"/>
          <w:sz w:val="20"/>
          <w:szCs w:val="20"/>
        </w:rPr>
        <w:t>[</w:t>
      </w:r>
      <w:r w:rsidR="00B548B5" w:rsidRPr="00260435">
        <w:rPr>
          <w:rFonts w:ascii="Arial" w:hAnsi="Arial" w:cs="Arial"/>
          <w:color w:val="000000" w:themeColor="text1"/>
          <w:sz w:val="20"/>
          <w:szCs w:val="20"/>
        </w:rPr>
        <w:t>Notification 27/2025</w:t>
      </w:r>
      <w:r w:rsidR="00182BF9" w:rsidRPr="00260435">
        <w:rPr>
          <w:rFonts w:ascii="Arial" w:hAnsi="Arial" w:cs="Arial"/>
          <w:color w:val="000000" w:themeColor="text1"/>
          <w:sz w:val="20"/>
          <w:szCs w:val="20"/>
        </w:rPr>
        <w:t xml:space="preserve">, the Ministry of Planning and Finance </w:t>
      </w:r>
      <w:r w:rsidR="000773AF" w:rsidRPr="00260435">
        <w:rPr>
          <w:rFonts w:ascii="Arial" w:hAnsi="Arial" w:cs="Arial"/>
          <w:color w:val="000000" w:themeColor="text1"/>
          <w:sz w:val="20"/>
          <w:szCs w:val="20"/>
        </w:rPr>
        <w:t>issued, March</w:t>
      </w:r>
      <w:r w:rsidR="00B548B5" w:rsidRPr="00260435">
        <w:rPr>
          <w:rFonts w:ascii="Arial" w:hAnsi="Arial" w:cs="Arial"/>
          <w:color w:val="000000" w:themeColor="text1"/>
          <w:sz w:val="20"/>
          <w:szCs w:val="20"/>
        </w:rPr>
        <w:t xml:space="preserve"> 2025</w:t>
      </w:r>
      <w:r w:rsidRPr="00260435">
        <w:rPr>
          <w:rFonts w:ascii="Arial" w:hAnsi="Arial" w:cs="Arial"/>
          <w:color w:val="000000" w:themeColor="text1"/>
          <w:sz w:val="20"/>
          <w:szCs w:val="20"/>
        </w:rPr>
        <w:t>]</w:t>
      </w:r>
    </w:p>
    <w:p w14:paraId="1A4983A2" w14:textId="77777777" w:rsidR="00B548B5" w:rsidRPr="00260435" w:rsidRDefault="00B548B5" w:rsidP="00260F8B">
      <w:pPr>
        <w:ind w:firstLine="720"/>
        <w:jc w:val="both"/>
        <w:rPr>
          <w:rFonts w:ascii="Arial" w:hAnsi="Arial" w:cs="Arial"/>
          <w:color w:val="000000" w:themeColor="text1"/>
          <w:sz w:val="20"/>
          <w:szCs w:val="20"/>
        </w:rPr>
      </w:pPr>
    </w:p>
    <w:p w14:paraId="0282EBF5" w14:textId="77777777" w:rsidR="00200062" w:rsidRPr="00260435" w:rsidRDefault="00200062" w:rsidP="00200062">
      <w:pPr>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this section examines how respondents perceive current government incentives, such as tax reductions, import duty waivers, or registration benefits. Specifically, the analysis focuses on respondents’ views about whether such incentives encourage EV adoption, and whether these views vary across age and education levels.</w:t>
      </w:r>
    </w:p>
    <w:p w14:paraId="17A9B41F" w14:textId="77777777" w:rsidR="00200062" w:rsidRPr="00260435" w:rsidRDefault="00200062" w:rsidP="00200062">
      <w:pPr>
        <w:spacing w:line="360" w:lineRule="auto"/>
        <w:jc w:val="center"/>
        <w:rPr>
          <w:rFonts w:ascii="Arial" w:hAnsi="Arial" w:cs="Arial"/>
          <w:b/>
          <w:bCs/>
          <w:color w:val="000000" w:themeColor="text1"/>
          <w:sz w:val="20"/>
          <w:szCs w:val="20"/>
        </w:rPr>
      </w:pPr>
    </w:p>
    <w:p w14:paraId="73A2C641" w14:textId="1A10FCB2" w:rsidR="00200062" w:rsidRPr="00260435" w:rsidRDefault="00200062" w:rsidP="00200062">
      <w:pPr>
        <w:spacing w:line="360" w:lineRule="auto"/>
        <w:jc w:val="center"/>
        <w:rPr>
          <w:rFonts w:ascii="Arial" w:hAnsi="Arial" w:cs="Arial"/>
          <w:b/>
          <w:bCs/>
          <w:color w:val="000000" w:themeColor="text1"/>
          <w:sz w:val="20"/>
          <w:szCs w:val="20"/>
        </w:rPr>
      </w:pPr>
      <w:r w:rsidRPr="00260435">
        <w:rPr>
          <w:rFonts w:ascii="Arial" w:hAnsi="Arial" w:cs="Arial"/>
          <w:b/>
          <w:bCs/>
          <w:color w:val="000000" w:themeColor="text1"/>
          <w:sz w:val="20"/>
          <w:szCs w:val="20"/>
        </w:rPr>
        <w:t xml:space="preserve">Table (2) </w:t>
      </w:r>
      <w:r w:rsidRPr="00260435">
        <w:rPr>
          <w:rFonts w:ascii="Arial" w:hAnsi="Arial" w:cs="Arial"/>
          <w:b/>
          <w:bCs/>
          <w:color w:val="000000" w:themeColor="text1"/>
          <w:sz w:val="20"/>
          <w:szCs w:val="20"/>
          <w:lang w:bidi="my-MM"/>
        </w:rPr>
        <w:t>Government Incentives to Encourage EV Adoption</w:t>
      </w:r>
    </w:p>
    <w:tbl>
      <w:tblPr>
        <w:tblStyle w:val="TableGrid"/>
        <w:tblW w:w="7830" w:type="dxa"/>
        <w:tblInd w:w="108" w:type="dxa"/>
        <w:tblLook w:val="04A0" w:firstRow="1" w:lastRow="0" w:firstColumn="1" w:lastColumn="0" w:noHBand="0" w:noVBand="1"/>
      </w:tblPr>
      <w:tblGrid>
        <w:gridCol w:w="3150"/>
        <w:gridCol w:w="2340"/>
        <w:gridCol w:w="2340"/>
      </w:tblGrid>
      <w:tr w:rsidR="00260435" w:rsidRPr="00260435" w14:paraId="1D9818AF" w14:textId="77777777" w:rsidTr="00200062">
        <w:tc>
          <w:tcPr>
            <w:tcW w:w="3150" w:type="dxa"/>
            <w:vAlign w:val="center"/>
          </w:tcPr>
          <w:p w14:paraId="469CAAEB" w14:textId="77777777" w:rsidR="00200062" w:rsidRPr="00260435" w:rsidRDefault="00200062" w:rsidP="00200062">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Government Incentives</w:t>
            </w:r>
          </w:p>
        </w:tc>
        <w:tc>
          <w:tcPr>
            <w:tcW w:w="2340" w:type="dxa"/>
          </w:tcPr>
          <w:p w14:paraId="0355DB28" w14:textId="77777777" w:rsidR="00200062" w:rsidRPr="00260435" w:rsidRDefault="00200062" w:rsidP="00200062">
            <w:pPr>
              <w:spacing w:before="60"/>
              <w:jc w:val="center"/>
              <w:rPr>
                <w:rFonts w:ascii="Arial" w:hAnsi="Arial" w:cs="Arial"/>
                <w:b/>
                <w:bCs/>
                <w:color w:val="000000" w:themeColor="text1"/>
                <w:sz w:val="20"/>
                <w:szCs w:val="20"/>
              </w:rPr>
            </w:pPr>
            <w:r w:rsidRPr="00260435">
              <w:rPr>
                <w:rFonts w:ascii="Arial" w:hAnsi="Arial" w:cs="Arial"/>
                <w:b/>
                <w:bCs/>
                <w:color w:val="000000" w:themeColor="text1"/>
                <w:sz w:val="20"/>
                <w:szCs w:val="20"/>
              </w:rPr>
              <w:t>Frequency</w:t>
            </w:r>
          </w:p>
        </w:tc>
        <w:tc>
          <w:tcPr>
            <w:tcW w:w="2340" w:type="dxa"/>
            <w:vAlign w:val="center"/>
          </w:tcPr>
          <w:p w14:paraId="0FC54295" w14:textId="77777777" w:rsidR="00200062" w:rsidRPr="00260435" w:rsidRDefault="00200062" w:rsidP="00200062">
            <w:pPr>
              <w:spacing w:before="60"/>
              <w:ind w:left="613" w:hanging="613"/>
              <w:jc w:val="center"/>
              <w:rPr>
                <w:rFonts w:ascii="Arial" w:hAnsi="Arial" w:cs="Arial"/>
                <w:b/>
                <w:bCs/>
                <w:color w:val="000000" w:themeColor="text1"/>
                <w:sz w:val="20"/>
                <w:szCs w:val="20"/>
              </w:rPr>
            </w:pPr>
            <w:r w:rsidRPr="00260435">
              <w:rPr>
                <w:rFonts w:ascii="Arial" w:hAnsi="Arial" w:cs="Arial"/>
                <w:b/>
                <w:bCs/>
                <w:color w:val="000000" w:themeColor="text1"/>
                <w:sz w:val="20"/>
                <w:szCs w:val="20"/>
              </w:rPr>
              <w:t>Percent (%)</w:t>
            </w:r>
          </w:p>
        </w:tc>
      </w:tr>
      <w:tr w:rsidR="00260435" w:rsidRPr="00260435" w14:paraId="7478F8C2" w14:textId="77777777" w:rsidTr="00200062">
        <w:tc>
          <w:tcPr>
            <w:tcW w:w="3150" w:type="dxa"/>
            <w:vAlign w:val="center"/>
          </w:tcPr>
          <w:p w14:paraId="6EF7C125" w14:textId="77777777" w:rsidR="00200062" w:rsidRPr="00260435" w:rsidRDefault="00200062" w:rsidP="00200062">
            <w:pPr>
              <w:spacing w:before="60"/>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Yes</w:t>
            </w:r>
          </w:p>
        </w:tc>
        <w:tc>
          <w:tcPr>
            <w:tcW w:w="2340" w:type="dxa"/>
          </w:tcPr>
          <w:p w14:paraId="31B9A4E6"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121</w:t>
            </w:r>
          </w:p>
        </w:tc>
        <w:tc>
          <w:tcPr>
            <w:tcW w:w="2340" w:type="dxa"/>
            <w:vAlign w:val="center"/>
          </w:tcPr>
          <w:p w14:paraId="39F7DA28"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80.7</w:t>
            </w:r>
          </w:p>
        </w:tc>
      </w:tr>
      <w:tr w:rsidR="00260435" w:rsidRPr="00260435" w14:paraId="2652B570" w14:textId="77777777" w:rsidTr="00200062">
        <w:tc>
          <w:tcPr>
            <w:tcW w:w="3150" w:type="dxa"/>
            <w:vAlign w:val="center"/>
          </w:tcPr>
          <w:p w14:paraId="5FEC2E93" w14:textId="77777777" w:rsidR="00200062" w:rsidRPr="00260435" w:rsidRDefault="00200062" w:rsidP="00200062">
            <w:pPr>
              <w:spacing w:before="60"/>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 xml:space="preserve">No </w:t>
            </w:r>
          </w:p>
        </w:tc>
        <w:tc>
          <w:tcPr>
            <w:tcW w:w="2340" w:type="dxa"/>
          </w:tcPr>
          <w:p w14:paraId="02C3A03D"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9</w:t>
            </w:r>
          </w:p>
        </w:tc>
        <w:tc>
          <w:tcPr>
            <w:tcW w:w="2340" w:type="dxa"/>
            <w:vAlign w:val="center"/>
          </w:tcPr>
          <w:p w14:paraId="25E6E7AE"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6</w:t>
            </w:r>
          </w:p>
        </w:tc>
      </w:tr>
      <w:tr w:rsidR="00260435" w:rsidRPr="00260435" w14:paraId="7D436E15" w14:textId="77777777" w:rsidTr="00200062">
        <w:tc>
          <w:tcPr>
            <w:tcW w:w="3150" w:type="dxa"/>
            <w:vAlign w:val="center"/>
          </w:tcPr>
          <w:p w14:paraId="4E074F25" w14:textId="77777777" w:rsidR="00200062" w:rsidRPr="00260435" w:rsidRDefault="00200062" w:rsidP="00200062">
            <w:pPr>
              <w:spacing w:before="60"/>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May be</w:t>
            </w:r>
          </w:p>
        </w:tc>
        <w:tc>
          <w:tcPr>
            <w:tcW w:w="2340" w:type="dxa"/>
          </w:tcPr>
          <w:p w14:paraId="097426E5"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20</w:t>
            </w:r>
          </w:p>
        </w:tc>
        <w:tc>
          <w:tcPr>
            <w:tcW w:w="2340" w:type="dxa"/>
            <w:vAlign w:val="center"/>
          </w:tcPr>
          <w:p w14:paraId="4804DA9C" w14:textId="77777777" w:rsidR="00200062" w:rsidRPr="00260435" w:rsidRDefault="00200062" w:rsidP="00200062">
            <w:pPr>
              <w:spacing w:before="60"/>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13.3</w:t>
            </w:r>
          </w:p>
        </w:tc>
      </w:tr>
      <w:tr w:rsidR="00BB28B8" w:rsidRPr="00260435" w14:paraId="1860AF4A" w14:textId="77777777" w:rsidTr="00200062">
        <w:tc>
          <w:tcPr>
            <w:tcW w:w="3150" w:type="dxa"/>
            <w:vAlign w:val="center"/>
          </w:tcPr>
          <w:p w14:paraId="1EE30C8C" w14:textId="77777777" w:rsidR="00200062" w:rsidRPr="00260435" w:rsidRDefault="00200062" w:rsidP="00200062">
            <w:pPr>
              <w:spacing w:before="60"/>
              <w:jc w:val="both"/>
              <w:rPr>
                <w:rFonts w:ascii="Arial" w:hAnsi="Arial" w:cs="Arial"/>
                <w:b/>
                <w:bCs/>
                <w:color w:val="000000" w:themeColor="text1"/>
                <w:sz w:val="20"/>
                <w:szCs w:val="20"/>
                <w:lang w:bidi="my-MM"/>
              </w:rPr>
            </w:pPr>
            <w:r w:rsidRPr="00260435">
              <w:rPr>
                <w:rFonts w:ascii="Arial" w:hAnsi="Arial" w:cs="Arial"/>
                <w:b/>
                <w:bCs/>
                <w:color w:val="000000" w:themeColor="text1"/>
                <w:sz w:val="20"/>
                <w:szCs w:val="20"/>
                <w:lang w:bidi="my-MM"/>
              </w:rPr>
              <w:t>Total</w:t>
            </w:r>
          </w:p>
        </w:tc>
        <w:tc>
          <w:tcPr>
            <w:tcW w:w="2340" w:type="dxa"/>
          </w:tcPr>
          <w:p w14:paraId="07652683" w14:textId="77777777" w:rsidR="00200062" w:rsidRPr="00260435" w:rsidRDefault="00200062" w:rsidP="00200062">
            <w:pPr>
              <w:spacing w:before="60"/>
              <w:jc w:val="center"/>
              <w:rPr>
                <w:rFonts w:ascii="Arial" w:hAnsi="Arial" w:cs="Arial"/>
                <w:b/>
                <w:bCs/>
                <w:color w:val="000000" w:themeColor="text1"/>
                <w:sz w:val="20"/>
                <w:szCs w:val="20"/>
                <w:lang w:bidi="my-MM"/>
              </w:rPr>
            </w:pPr>
            <w:r w:rsidRPr="00260435">
              <w:rPr>
                <w:rFonts w:ascii="Arial" w:hAnsi="Arial" w:cs="Arial"/>
                <w:b/>
                <w:bCs/>
                <w:color w:val="000000" w:themeColor="text1"/>
                <w:sz w:val="20"/>
                <w:szCs w:val="20"/>
                <w:lang w:bidi="my-MM"/>
              </w:rPr>
              <w:t>150</w:t>
            </w:r>
          </w:p>
        </w:tc>
        <w:tc>
          <w:tcPr>
            <w:tcW w:w="2340" w:type="dxa"/>
            <w:vAlign w:val="center"/>
          </w:tcPr>
          <w:p w14:paraId="4E832649" w14:textId="77777777" w:rsidR="00200062" w:rsidRPr="00260435" w:rsidRDefault="00200062" w:rsidP="00200062">
            <w:pPr>
              <w:spacing w:before="60"/>
              <w:jc w:val="center"/>
              <w:rPr>
                <w:rFonts w:ascii="Arial" w:hAnsi="Arial" w:cs="Arial"/>
                <w:b/>
                <w:bCs/>
                <w:color w:val="000000" w:themeColor="text1"/>
                <w:sz w:val="20"/>
                <w:szCs w:val="20"/>
                <w:lang w:bidi="my-MM"/>
              </w:rPr>
            </w:pPr>
            <w:r w:rsidRPr="00260435">
              <w:rPr>
                <w:rFonts w:ascii="Arial" w:hAnsi="Arial" w:cs="Arial"/>
                <w:b/>
                <w:bCs/>
                <w:color w:val="000000" w:themeColor="text1"/>
                <w:sz w:val="20"/>
                <w:szCs w:val="20"/>
                <w:lang w:bidi="my-MM"/>
              </w:rPr>
              <w:t>100</w:t>
            </w:r>
          </w:p>
        </w:tc>
      </w:tr>
    </w:tbl>
    <w:p w14:paraId="27BEBCE3" w14:textId="77777777" w:rsidR="000773AF" w:rsidRPr="00260435" w:rsidRDefault="000773AF" w:rsidP="00260F8B">
      <w:pPr>
        <w:ind w:firstLine="720"/>
        <w:jc w:val="both"/>
        <w:rPr>
          <w:rFonts w:ascii="Arial" w:hAnsi="Arial" w:cs="Arial"/>
          <w:color w:val="000000" w:themeColor="text1"/>
          <w:sz w:val="20"/>
          <w:szCs w:val="20"/>
        </w:rPr>
      </w:pPr>
    </w:p>
    <w:p w14:paraId="2ECA6789" w14:textId="3927E39B" w:rsidR="005C6F5F" w:rsidRPr="00260435" w:rsidRDefault="00C60B73" w:rsidP="00260F8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In view of above </w:t>
      </w:r>
      <w:proofErr w:type="gramStart"/>
      <w:r w:rsidRPr="00260435">
        <w:rPr>
          <w:rFonts w:ascii="Arial" w:hAnsi="Arial" w:cs="Arial"/>
          <w:color w:val="000000" w:themeColor="text1"/>
          <w:sz w:val="20"/>
          <w:szCs w:val="20"/>
        </w:rPr>
        <w:t>table</w:t>
      </w:r>
      <w:r w:rsidR="00200062" w:rsidRPr="00260435">
        <w:rPr>
          <w:rFonts w:ascii="Arial" w:hAnsi="Arial" w:cs="Arial"/>
          <w:color w:val="000000" w:themeColor="text1"/>
          <w:sz w:val="20"/>
          <w:szCs w:val="20"/>
        </w:rPr>
        <w:t>(</w:t>
      </w:r>
      <w:proofErr w:type="gramEnd"/>
      <w:r w:rsidR="00200062" w:rsidRPr="00260435">
        <w:rPr>
          <w:rFonts w:ascii="Arial" w:hAnsi="Arial" w:cs="Arial"/>
          <w:color w:val="000000" w:themeColor="text1"/>
          <w:sz w:val="20"/>
          <w:szCs w:val="20"/>
        </w:rPr>
        <w:t>2)</w:t>
      </w:r>
      <w:r w:rsidRPr="00260435">
        <w:rPr>
          <w:rFonts w:ascii="Arial" w:hAnsi="Arial" w:cs="Arial"/>
          <w:color w:val="000000" w:themeColor="text1"/>
          <w:sz w:val="20"/>
          <w:szCs w:val="20"/>
        </w:rPr>
        <w:t>, r</w:t>
      </w:r>
      <w:r w:rsidR="005C6F5F" w:rsidRPr="00260435">
        <w:rPr>
          <w:rFonts w:ascii="Arial" w:hAnsi="Arial" w:cs="Arial"/>
          <w:color w:val="000000" w:themeColor="text1"/>
          <w:sz w:val="20"/>
          <w:szCs w:val="20"/>
        </w:rPr>
        <w:t xml:space="preserve">espondents largely agreed that government incentives, including subsidies and tax breaks, encourage EV adoption (80.7%). Awareness and perception varied by education level: 100% of secondary-level respondents agreed, while doctorate holders showed 88% agreement and 12% uncertainty. </w:t>
      </w:r>
      <w:r w:rsidR="00D37608" w:rsidRPr="00260435">
        <w:rPr>
          <w:rFonts w:ascii="Arial" w:hAnsi="Arial" w:cs="Arial"/>
          <w:color w:val="000000" w:themeColor="text1"/>
          <w:sz w:val="20"/>
          <w:szCs w:val="20"/>
        </w:rPr>
        <w:t>Bachelor’s and master’s</w:t>
      </w:r>
      <w:r w:rsidR="005C6F5F" w:rsidRPr="00260435">
        <w:rPr>
          <w:rFonts w:ascii="Arial" w:hAnsi="Arial" w:cs="Arial"/>
          <w:color w:val="000000" w:themeColor="text1"/>
          <w:sz w:val="20"/>
          <w:szCs w:val="20"/>
        </w:rPr>
        <w:t xml:space="preserve"> degree holders exhibited some disagreement and cautious responses, indicating nuanced policy evaluation among higher-educated participants.</w:t>
      </w:r>
    </w:p>
    <w:p w14:paraId="0E01CE7C" w14:textId="0DA19F96"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w:t>
      </w:r>
      <w:r w:rsidR="007D6D2B" w:rsidRPr="00260435">
        <w:rPr>
          <w:rFonts w:ascii="Arial" w:hAnsi="Arial" w:cs="Arial"/>
          <w:b/>
          <w:bCs/>
          <w:color w:val="000000" w:themeColor="text1"/>
          <w:sz w:val="22"/>
          <w:szCs w:val="22"/>
        </w:rPr>
        <w:t>7</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Preferred Policy Measures for EV Adoption</w:t>
      </w:r>
    </w:p>
    <w:p w14:paraId="442997A9" w14:textId="50CBE548" w:rsidR="000C7C40" w:rsidRPr="00260435" w:rsidRDefault="000C7C40" w:rsidP="000C7C40">
      <w:pPr>
        <w:ind w:firstLine="720"/>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 xml:space="preserve">To assess which government actions the public believes would most effectively accelerate electric vehicle (EV) adoption in Myanmar, respondents were asked to identify the single most important policy measure from a predefined list. The analysis was based on 150 valid responses, with no missing data. Table </w:t>
      </w:r>
      <w:r w:rsidR="00200062" w:rsidRPr="00260435">
        <w:rPr>
          <w:rFonts w:ascii="Arial" w:hAnsi="Arial" w:cs="Arial"/>
          <w:color w:val="000000" w:themeColor="text1"/>
          <w:sz w:val="20"/>
          <w:szCs w:val="20"/>
        </w:rPr>
        <w:t>3</w:t>
      </w:r>
      <w:r w:rsidRPr="00260435">
        <w:rPr>
          <w:rFonts w:ascii="Arial" w:hAnsi="Arial" w:cs="Arial"/>
          <w:color w:val="000000" w:themeColor="text1"/>
          <w:sz w:val="20"/>
          <w:szCs w:val="20"/>
          <w:lang w:bidi="my-MM"/>
        </w:rPr>
        <w:t xml:space="preserve"> presents the frequency distribution of the responses.</w:t>
      </w:r>
    </w:p>
    <w:p w14:paraId="0AAC15A6" w14:textId="77777777" w:rsidR="000C7C40" w:rsidRPr="00260435" w:rsidRDefault="000C7C40" w:rsidP="000C7C40">
      <w:pPr>
        <w:rPr>
          <w:rFonts w:ascii="Arial" w:hAnsi="Arial" w:cs="Arial"/>
          <w:color w:val="000000" w:themeColor="text1"/>
          <w:sz w:val="20"/>
          <w:szCs w:val="20"/>
        </w:rPr>
      </w:pPr>
    </w:p>
    <w:p w14:paraId="06C74053" w14:textId="564F8F42" w:rsidR="000C7C40" w:rsidRPr="00260435" w:rsidRDefault="00441A51" w:rsidP="000C7C40">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Table (</w:t>
      </w:r>
      <w:r w:rsidR="00200062" w:rsidRPr="00260435">
        <w:rPr>
          <w:rFonts w:ascii="Arial" w:hAnsi="Arial" w:cs="Arial"/>
          <w:b/>
          <w:bCs/>
          <w:color w:val="000000" w:themeColor="text1"/>
          <w:sz w:val="20"/>
          <w:szCs w:val="20"/>
        </w:rPr>
        <w:t>3</w:t>
      </w:r>
      <w:r w:rsidR="000C7C40" w:rsidRPr="00260435">
        <w:rPr>
          <w:rFonts w:ascii="Arial" w:hAnsi="Arial" w:cs="Arial"/>
          <w:b/>
          <w:bCs/>
          <w:color w:val="000000" w:themeColor="text1"/>
          <w:sz w:val="20"/>
          <w:szCs w:val="20"/>
        </w:rPr>
        <w:t xml:space="preserve">) </w:t>
      </w:r>
      <w:r w:rsidR="000C7C40" w:rsidRPr="00260435">
        <w:rPr>
          <w:rFonts w:ascii="Arial" w:hAnsi="Arial" w:cs="Arial"/>
          <w:b/>
          <w:bCs/>
          <w:color w:val="000000" w:themeColor="text1"/>
          <w:sz w:val="20"/>
          <w:szCs w:val="20"/>
          <w:lang w:bidi="my-MM"/>
        </w:rPr>
        <w:t>Preferred Policy Measures for EV Adoption</w:t>
      </w:r>
    </w:p>
    <w:tbl>
      <w:tblPr>
        <w:tblStyle w:val="TableGrid"/>
        <w:tblW w:w="7830" w:type="dxa"/>
        <w:tblInd w:w="108" w:type="dxa"/>
        <w:tblLook w:val="04A0" w:firstRow="1" w:lastRow="0" w:firstColumn="1" w:lastColumn="0" w:noHBand="0" w:noVBand="1"/>
      </w:tblPr>
      <w:tblGrid>
        <w:gridCol w:w="3780"/>
        <w:gridCol w:w="1980"/>
        <w:gridCol w:w="2070"/>
      </w:tblGrid>
      <w:tr w:rsidR="00260435" w:rsidRPr="00260435" w14:paraId="08F46CCF" w14:textId="77777777" w:rsidTr="00441A51">
        <w:tc>
          <w:tcPr>
            <w:tcW w:w="3780" w:type="dxa"/>
            <w:vAlign w:val="center"/>
          </w:tcPr>
          <w:p w14:paraId="24FB5A6A"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lastRenderedPageBreak/>
              <w:t>Policy Measure</w:t>
            </w:r>
          </w:p>
        </w:tc>
        <w:tc>
          <w:tcPr>
            <w:tcW w:w="1980" w:type="dxa"/>
          </w:tcPr>
          <w:p w14:paraId="59C85911"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Frequency</w:t>
            </w:r>
          </w:p>
        </w:tc>
        <w:tc>
          <w:tcPr>
            <w:tcW w:w="2070" w:type="dxa"/>
            <w:vAlign w:val="center"/>
          </w:tcPr>
          <w:p w14:paraId="760DC2BB" w14:textId="77777777" w:rsidR="000C7C40" w:rsidRPr="00260435" w:rsidRDefault="000C7C40" w:rsidP="000C7C40">
            <w:pPr>
              <w:ind w:left="613" w:hanging="613"/>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Percent (%)</w:t>
            </w:r>
          </w:p>
        </w:tc>
      </w:tr>
      <w:tr w:rsidR="00260435" w:rsidRPr="00260435" w14:paraId="02924347" w14:textId="77777777" w:rsidTr="00441A51">
        <w:tc>
          <w:tcPr>
            <w:tcW w:w="3780" w:type="dxa"/>
            <w:vAlign w:val="center"/>
          </w:tcPr>
          <w:p w14:paraId="23FEF1D4"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Financial incentives (e.g., subsidies)</w:t>
            </w:r>
          </w:p>
        </w:tc>
        <w:tc>
          <w:tcPr>
            <w:tcW w:w="1980" w:type="dxa"/>
          </w:tcPr>
          <w:p w14:paraId="06902770"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5</w:t>
            </w:r>
          </w:p>
        </w:tc>
        <w:tc>
          <w:tcPr>
            <w:tcW w:w="2070" w:type="dxa"/>
            <w:vAlign w:val="center"/>
          </w:tcPr>
          <w:p w14:paraId="6345A9DC"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3.4</w:t>
            </w:r>
          </w:p>
        </w:tc>
      </w:tr>
      <w:tr w:rsidR="00260435" w:rsidRPr="00260435" w14:paraId="65FA6FD0" w14:textId="77777777" w:rsidTr="00441A51">
        <w:tc>
          <w:tcPr>
            <w:tcW w:w="3780" w:type="dxa"/>
            <w:vAlign w:val="center"/>
          </w:tcPr>
          <w:p w14:paraId="402BB2EA"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More public charging stations</w:t>
            </w:r>
          </w:p>
        </w:tc>
        <w:tc>
          <w:tcPr>
            <w:tcW w:w="1980" w:type="dxa"/>
          </w:tcPr>
          <w:p w14:paraId="677B96B8"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123</w:t>
            </w:r>
          </w:p>
        </w:tc>
        <w:tc>
          <w:tcPr>
            <w:tcW w:w="2070" w:type="dxa"/>
            <w:vAlign w:val="center"/>
          </w:tcPr>
          <w:p w14:paraId="0B520E47"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82</w:t>
            </w:r>
          </w:p>
        </w:tc>
      </w:tr>
      <w:tr w:rsidR="00260435" w:rsidRPr="00260435" w14:paraId="483AE193" w14:textId="77777777" w:rsidTr="00441A51">
        <w:tc>
          <w:tcPr>
            <w:tcW w:w="3780" w:type="dxa"/>
            <w:vAlign w:val="center"/>
          </w:tcPr>
          <w:p w14:paraId="53A07D57"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Education and awareness campaigns</w:t>
            </w:r>
          </w:p>
        </w:tc>
        <w:tc>
          <w:tcPr>
            <w:tcW w:w="1980" w:type="dxa"/>
          </w:tcPr>
          <w:p w14:paraId="4EF55955"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11</w:t>
            </w:r>
          </w:p>
        </w:tc>
        <w:tc>
          <w:tcPr>
            <w:tcW w:w="2070" w:type="dxa"/>
            <w:vAlign w:val="center"/>
          </w:tcPr>
          <w:p w14:paraId="3570ECD8"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7.3</w:t>
            </w:r>
          </w:p>
        </w:tc>
      </w:tr>
      <w:tr w:rsidR="00260435" w:rsidRPr="00260435" w14:paraId="710F39F1" w14:textId="77777777" w:rsidTr="00441A51">
        <w:tc>
          <w:tcPr>
            <w:tcW w:w="3780" w:type="dxa"/>
            <w:vAlign w:val="center"/>
          </w:tcPr>
          <w:p w14:paraId="15ECACB5"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Research and development investment</w:t>
            </w:r>
          </w:p>
        </w:tc>
        <w:tc>
          <w:tcPr>
            <w:tcW w:w="1980" w:type="dxa"/>
          </w:tcPr>
          <w:p w14:paraId="33AA493D"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5</w:t>
            </w:r>
          </w:p>
        </w:tc>
        <w:tc>
          <w:tcPr>
            <w:tcW w:w="2070" w:type="dxa"/>
            <w:vAlign w:val="center"/>
          </w:tcPr>
          <w:p w14:paraId="26C86674"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3.3</w:t>
            </w:r>
          </w:p>
        </w:tc>
      </w:tr>
      <w:tr w:rsidR="00260435" w:rsidRPr="00260435" w14:paraId="4F028885" w14:textId="77777777" w:rsidTr="00441A51">
        <w:tc>
          <w:tcPr>
            <w:tcW w:w="3780" w:type="dxa"/>
            <w:vAlign w:val="center"/>
          </w:tcPr>
          <w:p w14:paraId="702ECF87"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Partnerships with private companies</w:t>
            </w:r>
          </w:p>
        </w:tc>
        <w:tc>
          <w:tcPr>
            <w:tcW w:w="1980" w:type="dxa"/>
          </w:tcPr>
          <w:p w14:paraId="4EDC6D58"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6</w:t>
            </w:r>
          </w:p>
        </w:tc>
        <w:tc>
          <w:tcPr>
            <w:tcW w:w="2070" w:type="dxa"/>
            <w:vAlign w:val="center"/>
          </w:tcPr>
          <w:p w14:paraId="795BBA2F"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4</w:t>
            </w:r>
          </w:p>
        </w:tc>
      </w:tr>
      <w:tr w:rsidR="00542170" w:rsidRPr="00260435" w14:paraId="77153D73" w14:textId="77777777" w:rsidTr="00441A51">
        <w:tc>
          <w:tcPr>
            <w:tcW w:w="3780" w:type="dxa"/>
            <w:vAlign w:val="center"/>
          </w:tcPr>
          <w:p w14:paraId="2F3C424A" w14:textId="77777777" w:rsidR="000C7C40" w:rsidRPr="00260435" w:rsidRDefault="000C7C40" w:rsidP="000C7C40">
            <w:pPr>
              <w:jc w:val="both"/>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Total</w:t>
            </w:r>
          </w:p>
        </w:tc>
        <w:tc>
          <w:tcPr>
            <w:tcW w:w="1980" w:type="dxa"/>
          </w:tcPr>
          <w:p w14:paraId="35C7E0E8"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150</w:t>
            </w:r>
          </w:p>
        </w:tc>
        <w:tc>
          <w:tcPr>
            <w:tcW w:w="2070" w:type="dxa"/>
            <w:vAlign w:val="center"/>
          </w:tcPr>
          <w:p w14:paraId="500BFDD2" w14:textId="77777777" w:rsidR="000C7C40" w:rsidRPr="00260435" w:rsidRDefault="000C7C40" w:rsidP="000C7C40">
            <w:pPr>
              <w:jc w:val="center"/>
              <w:rPr>
                <w:rFonts w:ascii="Arial" w:hAnsi="Arial" w:cs="Arial"/>
                <w:color w:val="000000" w:themeColor="text1"/>
                <w:kern w:val="2"/>
                <w:sz w:val="20"/>
                <w:szCs w:val="20"/>
                <w:lang w:bidi="my-MM"/>
                <w14:ligatures w14:val="standardContextual"/>
              </w:rPr>
            </w:pPr>
            <w:r w:rsidRPr="00260435">
              <w:rPr>
                <w:rFonts w:ascii="Arial" w:hAnsi="Arial" w:cs="Arial"/>
                <w:color w:val="000000" w:themeColor="text1"/>
                <w:kern w:val="2"/>
                <w:sz w:val="20"/>
                <w:szCs w:val="20"/>
                <w:lang w:bidi="my-MM"/>
                <w14:ligatures w14:val="standardContextual"/>
              </w:rPr>
              <w:t>100</w:t>
            </w:r>
          </w:p>
        </w:tc>
      </w:tr>
    </w:tbl>
    <w:p w14:paraId="21DD564E" w14:textId="77777777" w:rsidR="000773AF" w:rsidRPr="00260435" w:rsidRDefault="000773AF" w:rsidP="000C7C40">
      <w:pPr>
        <w:ind w:firstLine="720"/>
        <w:jc w:val="both"/>
        <w:rPr>
          <w:rFonts w:ascii="Arial" w:hAnsi="Arial" w:cs="Arial"/>
          <w:color w:val="000000" w:themeColor="text1"/>
          <w:sz w:val="20"/>
          <w:szCs w:val="20"/>
        </w:rPr>
      </w:pPr>
    </w:p>
    <w:p w14:paraId="765B1D3F" w14:textId="1D1659D0" w:rsidR="005C6F5F" w:rsidRPr="00260435" w:rsidRDefault="005C6F5F" w:rsidP="000C7C40">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A clear majority (82%) prioritized “more public charging stations” over financial incentives, education campaigns, research investment, or private partnerships. Chi-square analysis (x² = 361.20, df = 4, p &lt; 0.001) confirmed a statistically significant preference for infrastructure expansion. Public awareness and financial incentives were secondary concerns, highlighting the practical nature of adoption priorities.</w:t>
      </w:r>
      <w:r w:rsidR="00FF1625" w:rsidRPr="00260435">
        <w:rPr>
          <w:rFonts w:ascii="Arial" w:hAnsi="Arial" w:cs="Arial"/>
          <w:color w:val="000000" w:themeColor="text1"/>
          <w:sz w:val="20"/>
          <w:szCs w:val="20"/>
        </w:rPr>
        <w:t xml:space="preserve"> Almost Myanmar people shall </w:t>
      </w:r>
      <w:proofErr w:type="gramStart"/>
      <w:r w:rsidR="00FF1625" w:rsidRPr="00260435">
        <w:rPr>
          <w:rFonts w:ascii="Arial" w:hAnsi="Arial" w:cs="Arial"/>
          <w:color w:val="000000" w:themeColor="text1"/>
          <w:sz w:val="20"/>
          <w:szCs w:val="20"/>
        </w:rPr>
        <w:t>has</w:t>
      </w:r>
      <w:proofErr w:type="gramEnd"/>
      <w:r w:rsidR="00FF1625" w:rsidRPr="00260435">
        <w:rPr>
          <w:rFonts w:ascii="Arial" w:hAnsi="Arial" w:cs="Arial"/>
          <w:color w:val="000000" w:themeColor="text1"/>
          <w:sz w:val="20"/>
          <w:szCs w:val="20"/>
        </w:rPr>
        <w:t xml:space="preserve"> to understand the benefits and energy saving cost by using EV cars instead of ICE cars.</w:t>
      </w:r>
    </w:p>
    <w:p w14:paraId="02738004" w14:textId="77777777" w:rsidR="007439B5" w:rsidRPr="00260435" w:rsidRDefault="007439B5" w:rsidP="00FA79BB">
      <w:pPr>
        <w:ind w:firstLine="720"/>
        <w:jc w:val="both"/>
        <w:rPr>
          <w:rFonts w:ascii="Arial" w:hAnsi="Arial" w:cs="Arial"/>
          <w:color w:val="000000" w:themeColor="text1"/>
          <w:sz w:val="20"/>
          <w:szCs w:val="20"/>
        </w:rPr>
      </w:pPr>
    </w:p>
    <w:p w14:paraId="5A91A54C" w14:textId="54F362A8"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w:t>
      </w:r>
      <w:r w:rsidR="007D6D2B" w:rsidRPr="00260435">
        <w:rPr>
          <w:rFonts w:ascii="Arial" w:hAnsi="Arial" w:cs="Arial"/>
          <w:b/>
          <w:bCs/>
          <w:color w:val="000000" w:themeColor="text1"/>
          <w:sz w:val="22"/>
          <w:szCs w:val="22"/>
        </w:rPr>
        <w:t>8</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Factors Influencing EV Adoption</w:t>
      </w:r>
    </w:p>
    <w:p w14:paraId="200A4303" w14:textId="4F1410CE" w:rsidR="005C6F5F" w:rsidRPr="00260435" w:rsidRDefault="005C6F5F"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Multiple linear regression analysis identified three significant predictors of adoption. Satisfaction with charging infrastructure (β = 0.310, p = 0.004) positively influenced adoption. Government incentive awareness (β = 0.280, p = 0.001) also positively contributed. Concern over charging time (β = –0.180, p = 0.040) negatively affected adoption. These findings indicate that practical, tangible factors, particularly infrastructure availability and incentive awareness, drive adoption, whereas percei</w:t>
      </w:r>
      <w:r w:rsidR="005962C7" w:rsidRPr="00260435">
        <w:rPr>
          <w:rFonts w:ascii="Arial" w:hAnsi="Arial" w:cs="Arial"/>
          <w:color w:val="000000" w:themeColor="text1"/>
          <w:sz w:val="20"/>
          <w:szCs w:val="20"/>
        </w:rPr>
        <w:t>ved inconvenience deters uptake,</w:t>
      </w:r>
      <w:r w:rsidR="00F826BE" w:rsidRPr="00260435">
        <w:rPr>
          <w:rFonts w:ascii="Arial" w:hAnsi="Arial" w:cs="Arial"/>
          <w:color w:val="000000" w:themeColor="text1"/>
          <w:sz w:val="20"/>
          <w:szCs w:val="20"/>
        </w:rPr>
        <w:t xml:space="preserve"> </w:t>
      </w:r>
      <w:r w:rsidR="005962C7" w:rsidRPr="00260435">
        <w:rPr>
          <w:rFonts w:ascii="Arial" w:hAnsi="Arial" w:cs="Arial"/>
          <w:color w:val="000000" w:themeColor="text1"/>
          <w:sz w:val="20"/>
          <w:szCs w:val="20"/>
        </w:rPr>
        <w:t>that</w:t>
      </w:r>
      <w:r w:rsidR="00F826BE" w:rsidRPr="00260435">
        <w:rPr>
          <w:rFonts w:ascii="Arial" w:hAnsi="Arial" w:cs="Arial"/>
          <w:color w:val="000000" w:themeColor="text1"/>
          <w:sz w:val="20"/>
          <w:szCs w:val="20"/>
        </w:rPr>
        <w:t xml:space="preserve"> are as shown in Table (</w:t>
      </w:r>
      <w:r w:rsidR="00200062" w:rsidRPr="00260435">
        <w:rPr>
          <w:rFonts w:ascii="Arial" w:hAnsi="Arial" w:cs="Arial"/>
          <w:color w:val="000000" w:themeColor="text1"/>
          <w:sz w:val="20"/>
          <w:szCs w:val="20"/>
        </w:rPr>
        <w:t>4</w:t>
      </w:r>
      <w:r w:rsidR="00F826BE" w:rsidRPr="00260435">
        <w:rPr>
          <w:rFonts w:ascii="Arial" w:hAnsi="Arial" w:cs="Arial"/>
          <w:color w:val="000000" w:themeColor="text1"/>
          <w:sz w:val="20"/>
          <w:szCs w:val="20"/>
        </w:rPr>
        <w:t>)</w:t>
      </w:r>
      <w:r w:rsidR="005962C7" w:rsidRPr="00260435">
        <w:rPr>
          <w:rFonts w:ascii="Arial" w:hAnsi="Arial" w:cs="Arial"/>
          <w:color w:val="000000" w:themeColor="text1"/>
          <w:sz w:val="20"/>
          <w:szCs w:val="20"/>
        </w:rPr>
        <w:t>.</w:t>
      </w:r>
    </w:p>
    <w:p w14:paraId="09598321" w14:textId="77777777" w:rsidR="00FA79BB" w:rsidRPr="00260435" w:rsidRDefault="00FA79BB" w:rsidP="00FA79BB">
      <w:pPr>
        <w:jc w:val="center"/>
        <w:rPr>
          <w:rFonts w:ascii="Arial" w:hAnsi="Arial" w:cs="Arial"/>
          <w:b/>
          <w:bCs/>
          <w:color w:val="000000" w:themeColor="text1"/>
          <w:sz w:val="20"/>
          <w:szCs w:val="20"/>
        </w:rPr>
      </w:pPr>
    </w:p>
    <w:p w14:paraId="4FAB78D0" w14:textId="05086DC8" w:rsidR="00F826BE" w:rsidRPr="00260435" w:rsidRDefault="00F826BE" w:rsidP="00FA79BB">
      <w:pPr>
        <w:jc w:val="center"/>
        <w:rPr>
          <w:rFonts w:ascii="Arial" w:hAnsi="Arial" w:cs="Arial"/>
          <w:b/>
          <w:bCs/>
          <w:color w:val="000000" w:themeColor="text1"/>
          <w:sz w:val="20"/>
          <w:szCs w:val="20"/>
          <w:cs/>
        </w:rPr>
      </w:pPr>
      <w:r w:rsidRPr="00260435">
        <w:rPr>
          <w:rFonts w:ascii="Arial" w:hAnsi="Arial" w:cs="Arial"/>
          <w:b/>
          <w:bCs/>
          <w:color w:val="000000" w:themeColor="text1"/>
          <w:sz w:val="20"/>
          <w:szCs w:val="20"/>
        </w:rPr>
        <w:t>Table (</w:t>
      </w:r>
      <w:r w:rsidR="00200062" w:rsidRPr="00260435">
        <w:rPr>
          <w:rFonts w:ascii="Pyidaungsu" w:hAnsi="Pyidaungsu" w:cs="Pyidaungsu"/>
          <w:b/>
          <w:bCs/>
          <w:color w:val="000000" w:themeColor="text1"/>
          <w:sz w:val="20"/>
          <w:szCs w:val="20"/>
        </w:rPr>
        <w:t>4</w:t>
      </w:r>
      <w:r w:rsidRPr="00260435">
        <w:rPr>
          <w:rFonts w:ascii="Arial" w:hAnsi="Arial" w:cs="Arial"/>
          <w:b/>
          <w:bCs/>
          <w:color w:val="000000" w:themeColor="text1"/>
          <w:sz w:val="20"/>
          <w:szCs w:val="20"/>
        </w:rPr>
        <w:t>) Factors Influencing EV Adoption</w:t>
      </w:r>
    </w:p>
    <w:tbl>
      <w:tblPr>
        <w:tblStyle w:val="TableGrid"/>
        <w:tblW w:w="7920" w:type="dxa"/>
        <w:tblInd w:w="108" w:type="dxa"/>
        <w:tblLook w:val="04A0" w:firstRow="1" w:lastRow="0" w:firstColumn="1" w:lastColumn="0" w:noHBand="0" w:noVBand="1"/>
      </w:tblPr>
      <w:tblGrid>
        <w:gridCol w:w="3870"/>
        <w:gridCol w:w="1980"/>
        <w:gridCol w:w="2070"/>
      </w:tblGrid>
      <w:tr w:rsidR="00260435" w:rsidRPr="00260435" w14:paraId="13B2B083" w14:textId="77777777" w:rsidTr="00FD4B39">
        <w:trPr>
          <w:trHeight w:val="593"/>
        </w:trPr>
        <w:tc>
          <w:tcPr>
            <w:tcW w:w="3870" w:type="dxa"/>
            <w:vAlign w:val="center"/>
          </w:tcPr>
          <w:p w14:paraId="0046A3B3" w14:textId="77777777" w:rsidR="00F826BE" w:rsidRPr="00260435" w:rsidRDefault="00F826BE" w:rsidP="00FA79BB">
            <w:pPr>
              <w:jc w:val="center"/>
              <w:rPr>
                <w:rFonts w:ascii="Arial" w:hAnsi="Arial" w:cs="Arial"/>
                <w:b/>
                <w:bCs/>
                <w:color w:val="000000" w:themeColor="text1"/>
                <w:sz w:val="20"/>
                <w:szCs w:val="20"/>
                <w:lang w:bidi="my-MM"/>
              </w:rPr>
            </w:pPr>
            <w:r w:rsidRPr="00260435">
              <w:rPr>
                <w:rFonts w:ascii="Arial" w:hAnsi="Arial" w:cs="Arial"/>
                <w:b/>
                <w:bCs/>
                <w:color w:val="000000" w:themeColor="text1"/>
                <w:sz w:val="20"/>
                <w:szCs w:val="20"/>
                <w:lang w:bidi="my-MM"/>
              </w:rPr>
              <w:t>Factors Influencing</w:t>
            </w:r>
          </w:p>
        </w:tc>
        <w:tc>
          <w:tcPr>
            <w:tcW w:w="1980" w:type="dxa"/>
            <w:vAlign w:val="center"/>
          </w:tcPr>
          <w:p w14:paraId="3102BF3A" w14:textId="77777777" w:rsidR="00F826BE" w:rsidRPr="00260435" w:rsidRDefault="00F826BE"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 xml:space="preserve">Standardized </w:t>
            </w:r>
          </w:p>
          <w:p w14:paraId="516EEC90" w14:textId="77777777" w:rsidR="00F826BE" w:rsidRPr="00260435" w:rsidRDefault="00F826BE"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Beta (β)</w:t>
            </w:r>
          </w:p>
        </w:tc>
        <w:tc>
          <w:tcPr>
            <w:tcW w:w="2070" w:type="dxa"/>
            <w:vAlign w:val="center"/>
          </w:tcPr>
          <w:p w14:paraId="27762608" w14:textId="77777777" w:rsidR="00F826BE" w:rsidRPr="00260435" w:rsidRDefault="00F826BE"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 xml:space="preserve">Significance </w:t>
            </w:r>
          </w:p>
          <w:p w14:paraId="7A9DD2F3" w14:textId="77777777" w:rsidR="00F826BE" w:rsidRPr="00260435" w:rsidRDefault="00F826BE" w:rsidP="00FA79BB">
            <w:pPr>
              <w:jc w:val="center"/>
              <w:rPr>
                <w:rFonts w:ascii="Arial" w:hAnsi="Arial" w:cs="Arial"/>
                <w:b/>
                <w:bCs/>
                <w:color w:val="000000" w:themeColor="text1"/>
                <w:sz w:val="20"/>
                <w:szCs w:val="20"/>
              </w:rPr>
            </w:pPr>
            <w:r w:rsidRPr="00260435">
              <w:rPr>
                <w:rFonts w:ascii="Arial" w:hAnsi="Arial" w:cs="Arial"/>
                <w:b/>
                <w:bCs/>
                <w:color w:val="000000" w:themeColor="text1"/>
                <w:sz w:val="20"/>
                <w:szCs w:val="20"/>
              </w:rPr>
              <w:t>(p-value)</w:t>
            </w:r>
          </w:p>
        </w:tc>
      </w:tr>
      <w:tr w:rsidR="00260435" w:rsidRPr="00260435" w14:paraId="18032E0B" w14:textId="77777777" w:rsidTr="00FD4B39">
        <w:tc>
          <w:tcPr>
            <w:tcW w:w="3870" w:type="dxa"/>
            <w:vAlign w:val="center"/>
          </w:tcPr>
          <w:p w14:paraId="492A4B5C" w14:textId="77777777" w:rsidR="00F826BE" w:rsidRPr="00260435" w:rsidRDefault="00F826BE" w:rsidP="00FA79BB">
            <w:pPr>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Satisfaction with charging infrastructure</w:t>
            </w:r>
          </w:p>
        </w:tc>
        <w:tc>
          <w:tcPr>
            <w:tcW w:w="1980" w:type="dxa"/>
          </w:tcPr>
          <w:p w14:paraId="7699E3FB"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0.310</w:t>
            </w:r>
          </w:p>
        </w:tc>
        <w:tc>
          <w:tcPr>
            <w:tcW w:w="2070" w:type="dxa"/>
          </w:tcPr>
          <w:p w14:paraId="08CC130A"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0.004</w:t>
            </w:r>
          </w:p>
        </w:tc>
      </w:tr>
      <w:tr w:rsidR="00260435" w:rsidRPr="00260435" w14:paraId="4EFDABB6" w14:textId="77777777" w:rsidTr="00FD4B39">
        <w:tc>
          <w:tcPr>
            <w:tcW w:w="3870" w:type="dxa"/>
            <w:vAlign w:val="center"/>
          </w:tcPr>
          <w:p w14:paraId="4D0A1371" w14:textId="77777777" w:rsidR="00F826BE" w:rsidRPr="00260435" w:rsidRDefault="00F826BE" w:rsidP="00FA79BB">
            <w:pPr>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Government incentives awareness</w:t>
            </w:r>
          </w:p>
        </w:tc>
        <w:tc>
          <w:tcPr>
            <w:tcW w:w="1980" w:type="dxa"/>
          </w:tcPr>
          <w:p w14:paraId="1698BFC7"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0.280</w:t>
            </w:r>
          </w:p>
        </w:tc>
        <w:tc>
          <w:tcPr>
            <w:tcW w:w="2070" w:type="dxa"/>
          </w:tcPr>
          <w:p w14:paraId="7D01F414"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0.001</w:t>
            </w:r>
          </w:p>
        </w:tc>
      </w:tr>
      <w:tr w:rsidR="00542170" w:rsidRPr="00260435" w14:paraId="7194E675" w14:textId="77777777" w:rsidTr="00FD4B39">
        <w:tc>
          <w:tcPr>
            <w:tcW w:w="3870" w:type="dxa"/>
            <w:vAlign w:val="center"/>
          </w:tcPr>
          <w:p w14:paraId="74B1361D" w14:textId="77777777" w:rsidR="00F826BE" w:rsidRPr="00260435" w:rsidRDefault="00F826BE" w:rsidP="00FA79BB">
            <w:pPr>
              <w:jc w:val="both"/>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Concern over charging time</w:t>
            </w:r>
          </w:p>
        </w:tc>
        <w:tc>
          <w:tcPr>
            <w:tcW w:w="1980" w:type="dxa"/>
          </w:tcPr>
          <w:p w14:paraId="4D75DDF0"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 0.180</w:t>
            </w:r>
          </w:p>
        </w:tc>
        <w:tc>
          <w:tcPr>
            <w:tcW w:w="2070" w:type="dxa"/>
          </w:tcPr>
          <w:p w14:paraId="3DD00D24" w14:textId="77777777" w:rsidR="00F826BE" w:rsidRPr="00260435" w:rsidRDefault="00F826BE" w:rsidP="00FA79BB">
            <w:pPr>
              <w:jc w:val="center"/>
              <w:rPr>
                <w:rFonts w:ascii="Arial" w:hAnsi="Arial" w:cs="Arial"/>
                <w:color w:val="000000" w:themeColor="text1"/>
                <w:sz w:val="20"/>
                <w:szCs w:val="20"/>
                <w:lang w:bidi="my-MM"/>
              </w:rPr>
            </w:pPr>
            <w:r w:rsidRPr="00260435">
              <w:rPr>
                <w:rFonts w:ascii="Arial" w:hAnsi="Arial" w:cs="Arial"/>
                <w:color w:val="000000" w:themeColor="text1"/>
                <w:sz w:val="20"/>
                <w:szCs w:val="20"/>
                <w:lang w:bidi="my-MM"/>
              </w:rPr>
              <w:t>0.040</w:t>
            </w:r>
          </w:p>
        </w:tc>
      </w:tr>
    </w:tbl>
    <w:p w14:paraId="590CCDC6" w14:textId="77777777" w:rsidR="007913EE" w:rsidRPr="00260435" w:rsidRDefault="007913EE" w:rsidP="00FA79BB">
      <w:pPr>
        <w:jc w:val="both"/>
        <w:rPr>
          <w:rFonts w:ascii="Arial" w:hAnsi="Arial" w:cs="Arial"/>
          <w:b/>
          <w:bCs/>
          <w:color w:val="000000" w:themeColor="text1"/>
          <w:sz w:val="20"/>
          <w:szCs w:val="20"/>
        </w:rPr>
      </w:pPr>
    </w:p>
    <w:p w14:paraId="545BDA5D" w14:textId="77777777" w:rsidR="00E560D6" w:rsidRPr="00260435" w:rsidRDefault="00E560D6" w:rsidP="00FA79BB">
      <w:pPr>
        <w:jc w:val="both"/>
        <w:rPr>
          <w:rFonts w:ascii="Arial" w:hAnsi="Arial" w:cs="Arial"/>
          <w:b/>
          <w:bCs/>
          <w:color w:val="000000" w:themeColor="text1"/>
          <w:sz w:val="20"/>
          <w:szCs w:val="20"/>
        </w:rPr>
      </w:pPr>
    </w:p>
    <w:p w14:paraId="59BEDA38" w14:textId="1D573C8F" w:rsidR="005C6F5F" w:rsidRPr="00260435" w:rsidRDefault="005C6F5F"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4.</w:t>
      </w:r>
      <w:r w:rsidR="007D6D2B" w:rsidRPr="00260435">
        <w:rPr>
          <w:rFonts w:ascii="Arial" w:hAnsi="Arial" w:cs="Arial"/>
          <w:b/>
          <w:bCs/>
          <w:color w:val="000000" w:themeColor="text1"/>
          <w:sz w:val="22"/>
          <w:szCs w:val="22"/>
        </w:rPr>
        <w:t>9</w:t>
      </w:r>
      <w:r w:rsidR="008F498F" w:rsidRPr="00260435">
        <w:rPr>
          <w:rFonts w:ascii="Arial" w:hAnsi="Arial" w:cs="Arial"/>
          <w:b/>
          <w:bCs/>
          <w:color w:val="000000" w:themeColor="text1"/>
          <w:sz w:val="22"/>
          <w:szCs w:val="22"/>
        </w:rPr>
        <w:t>.</w:t>
      </w:r>
      <w:r w:rsidRPr="00260435">
        <w:rPr>
          <w:rFonts w:ascii="Arial" w:hAnsi="Arial" w:cs="Arial"/>
          <w:b/>
          <w:bCs/>
          <w:color w:val="000000" w:themeColor="text1"/>
          <w:sz w:val="22"/>
          <w:szCs w:val="22"/>
        </w:rPr>
        <w:t xml:space="preserve"> Discussion </w:t>
      </w:r>
    </w:p>
    <w:p w14:paraId="2BF26C65" w14:textId="77777777" w:rsidR="00BD045B" w:rsidRPr="00260435" w:rsidRDefault="005C6F5F" w:rsidP="00BD045B">
      <w:pPr>
        <w:jc w:val="both"/>
        <w:rPr>
          <w:rFonts w:ascii="Arial" w:hAnsi="Arial" w:cs="Arial"/>
          <w:color w:val="000000" w:themeColor="text1"/>
          <w:sz w:val="20"/>
          <w:szCs w:val="20"/>
        </w:rPr>
      </w:pPr>
      <w:r w:rsidRPr="00260435">
        <w:rPr>
          <w:rFonts w:ascii="Arial" w:hAnsi="Arial" w:cs="Arial"/>
          <w:color w:val="000000" w:themeColor="text1"/>
          <w:sz w:val="20"/>
          <w:szCs w:val="20"/>
        </w:rPr>
        <w:tab/>
      </w:r>
      <w:r w:rsidR="00BD045B" w:rsidRPr="00260435">
        <w:rPr>
          <w:rFonts w:ascii="Arial" w:hAnsi="Arial" w:cs="Arial"/>
          <w:color w:val="000000" w:themeColor="text1"/>
          <w:sz w:val="20"/>
          <w:szCs w:val="20"/>
        </w:rPr>
        <w:t xml:space="preserve">Only four ASEAN countries have set explicit targets for EV sales as below </w:t>
      </w:r>
    </w:p>
    <w:p w14:paraId="0E352953" w14:textId="091D5E2D" w:rsidR="00BD045B" w:rsidRPr="00260435" w:rsidRDefault="00BD045B" w:rsidP="00BD045B">
      <w:pPr>
        <w:pStyle w:val="ListParagraph"/>
        <w:numPr>
          <w:ilvl w:val="0"/>
          <w:numId w:val="7"/>
        </w:numPr>
        <w:ind w:left="720"/>
        <w:jc w:val="both"/>
        <w:rPr>
          <w:rFonts w:ascii="Arial" w:hAnsi="Arial" w:cs="Arial"/>
          <w:color w:val="000000" w:themeColor="text1"/>
          <w:sz w:val="20"/>
          <w:szCs w:val="20"/>
        </w:rPr>
      </w:pPr>
      <w:r w:rsidRPr="00260435">
        <w:rPr>
          <w:rFonts w:ascii="Arial" w:hAnsi="Arial" w:cs="Arial"/>
          <w:color w:val="000000" w:themeColor="text1"/>
          <w:sz w:val="20"/>
          <w:szCs w:val="20"/>
        </w:rPr>
        <w:t>Malaysia targets</w:t>
      </w:r>
      <w:r w:rsidR="00C8052F" w:rsidRPr="00260435">
        <w:rPr>
          <w:rFonts w:ascii="Arial" w:hAnsi="Arial" w:cs="Arial"/>
          <w:color w:val="000000" w:themeColor="text1"/>
          <w:sz w:val="20"/>
          <w:szCs w:val="20"/>
        </w:rPr>
        <w:t xml:space="preserve"> EV market share of 15% by 2030FY</w:t>
      </w:r>
    </w:p>
    <w:p w14:paraId="287F0555" w14:textId="7678DC5E" w:rsidR="00BD045B" w:rsidRPr="00260435" w:rsidRDefault="00BD045B" w:rsidP="00BD045B">
      <w:pPr>
        <w:pStyle w:val="ListParagraph"/>
        <w:numPr>
          <w:ilvl w:val="0"/>
          <w:numId w:val="7"/>
        </w:numPr>
        <w:ind w:left="720"/>
        <w:jc w:val="both"/>
        <w:rPr>
          <w:rFonts w:ascii="Arial" w:hAnsi="Arial" w:cs="Arial"/>
          <w:color w:val="000000" w:themeColor="text1"/>
          <w:sz w:val="20"/>
          <w:szCs w:val="20"/>
        </w:rPr>
      </w:pPr>
      <w:r w:rsidRPr="00260435">
        <w:rPr>
          <w:rFonts w:ascii="Arial" w:hAnsi="Arial" w:cs="Arial"/>
          <w:color w:val="000000" w:themeColor="text1"/>
          <w:sz w:val="20"/>
          <w:szCs w:val="20"/>
        </w:rPr>
        <w:t>Thailand targets 30% of all car sales to be EVs by 2030</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 xml:space="preserve"> </w:t>
      </w:r>
    </w:p>
    <w:p w14:paraId="6ECCB59C" w14:textId="15AAF551" w:rsidR="00BD045B" w:rsidRPr="00260435" w:rsidRDefault="00BD045B" w:rsidP="00BD045B">
      <w:pPr>
        <w:pStyle w:val="ListParagraph"/>
        <w:numPr>
          <w:ilvl w:val="0"/>
          <w:numId w:val="7"/>
        </w:numPr>
        <w:ind w:left="720"/>
        <w:jc w:val="both"/>
        <w:rPr>
          <w:rFonts w:ascii="Arial" w:hAnsi="Arial" w:cs="Arial"/>
          <w:color w:val="000000" w:themeColor="text1"/>
          <w:sz w:val="20"/>
          <w:szCs w:val="20"/>
        </w:rPr>
      </w:pPr>
      <w:r w:rsidRPr="00260435">
        <w:rPr>
          <w:rFonts w:ascii="Arial" w:hAnsi="Arial" w:cs="Arial"/>
          <w:color w:val="000000" w:themeColor="text1"/>
          <w:sz w:val="20"/>
          <w:szCs w:val="20"/>
        </w:rPr>
        <w:t>Indonesia targets 25% of all car sales to be EVs by 2030</w:t>
      </w:r>
      <w:r w:rsidR="00C8052F" w:rsidRPr="00260435">
        <w:rPr>
          <w:rFonts w:ascii="Arial" w:hAnsi="Arial" w:cs="Arial"/>
          <w:color w:val="000000" w:themeColor="text1"/>
          <w:sz w:val="20"/>
          <w:szCs w:val="20"/>
        </w:rPr>
        <w:t>FY</w:t>
      </w:r>
    </w:p>
    <w:p w14:paraId="07DBC49A" w14:textId="49996C13" w:rsidR="00C8052F" w:rsidRPr="00260435" w:rsidRDefault="00BD045B" w:rsidP="00C8052F">
      <w:pPr>
        <w:pStyle w:val="ListParagraph"/>
        <w:numPr>
          <w:ilvl w:val="0"/>
          <w:numId w:val="7"/>
        </w:numPr>
        <w:ind w:left="720"/>
        <w:jc w:val="both"/>
        <w:rPr>
          <w:rFonts w:ascii="Arial" w:hAnsi="Arial" w:cs="Arial"/>
          <w:color w:val="000000" w:themeColor="text1"/>
          <w:sz w:val="20"/>
          <w:szCs w:val="20"/>
        </w:rPr>
      </w:pPr>
      <w:r w:rsidRPr="00260435">
        <w:rPr>
          <w:rFonts w:ascii="Arial" w:hAnsi="Arial" w:cs="Arial"/>
          <w:color w:val="000000" w:themeColor="text1"/>
          <w:sz w:val="20"/>
          <w:szCs w:val="20"/>
        </w:rPr>
        <w:t>Myanmar targets 20% of all car sales to be EVs by 2030</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 xml:space="preserve"> </w:t>
      </w:r>
      <w:r w:rsidR="00C8052F" w:rsidRPr="00260435">
        <w:rPr>
          <w:rFonts w:ascii="Arial" w:hAnsi="Arial" w:cs="Arial"/>
          <w:color w:val="000000" w:themeColor="text1"/>
          <w:sz w:val="20"/>
          <w:szCs w:val="20"/>
        </w:rPr>
        <w:t>t</w:t>
      </w:r>
      <w:r w:rsidRPr="00260435">
        <w:rPr>
          <w:rFonts w:ascii="Arial" w:hAnsi="Arial" w:cs="Arial"/>
          <w:color w:val="000000" w:themeColor="text1"/>
          <w:sz w:val="20"/>
          <w:szCs w:val="20"/>
        </w:rPr>
        <w:t>hese targets by ASEAN countries, to be achieved by 2030</w:t>
      </w:r>
      <w:r w:rsidR="00C8052F" w:rsidRPr="00260435">
        <w:rPr>
          <w:rFonts w:ascii="Arial" w:hAnsi="Arial" w:cs="Arial"/>
          <w:color w:val="000000" w:themeColor="text1"/>
          <w:sz w:val="20"/>
          <w:szCs w:val="20"/>
        </w:rPr>
        <w:t>FY</w:t>
      </w:r>
      <w:r w:rsidR="00434471" w:rsidRPr="00260435">
        <w:rPr>
          <w:rFonts w:ascii="Arial" w:hAnsi="Arial" w:cs="Arial"/>
          <w:color w:val="000000" w:themeColor="text1"/>
          <w:sz w:val="20"/>
          <w:szCs w:val="20"/>
        </w:rPr>
        <w:t xml:space="preserve"> [</w:t>
      </w:r>
      <w:r w:rsidRPr="00260435">
        <w:rPr>
          <w:rFonts w:ascii="Arial" w:hAnsi="Arial" w:cs="Arial"/>
          <w:color w:val="000000" w:themeColor="text1"/>
          <w:sz w:val="20"/>
          <w:szCs w:val="20"/>
        </w:rPr>
        <w:t>ASEAN Mobility: P</w:t>
      </w:r>
      <w:r w:rsidR="00434471" w:rsidRPr="00260435">
        <w:rPr>
          <w:rFonts w:ascii="Arial" w:hAnsi="Arial" w:cs="Arial"/>
          <w:color w:val="000000" w:themeColor="text1"/>
          <w:sz w:val="20"/>
          <w:szCs w:val="20"/>
        </w:rPr>
        <w:t>oised for EV Acceleration,2023].</w:t>
      </w:r>
    </w:p>
    <w:p w14:paraId="4CA70FF2" w14:textId="3B3C5826" w:rsidR="00D1367B" w:rsidRPr="00260435" w:rsidRDefault="00BD045B" w:rsidP="00C8052F">
      <w:pPr>
        <w:pStyle w:val="ListParagraph"/>
        <w:ind w:left="0" w:firstLine="720"/>
        <w:jc w:val="both"/>
        <w:rPr>
          <w:rFonts w:ascii="Arial" w:hAnsi="Arial" w:cs="Arial"/>
          <w:color w:val="000000" w:themeColor="text1"/>
          <w:sz w:val="20"/>
          <w:szCs w:val="20"/>
        </w:rPr>
      </w:pPr>
      <w:r w:rsidRPr="00260435">
        <w:rPr>
          <w:rFonts w:ascii="Arial" w:hAnsi="Arial" w:cs="Arial"/>
          <w:color w:val="000000" w:themeColor="text1"/>
          <w:sz w:val="20"/>
          <w:szCs w:val="20"/>
        </w:rPr>
        <w:t>To fill the target goals,</w:t>
      </w:r>
      <w:r w:rsidR="00D1367B" w:rsidRPr="00260435">
        <w:rPr>
          <w:rFonts w:ascii="Arial" w:hAnsi="Arial" w:cs="Arial"/>
          <w:color w:val="000000" w:themeColor="text1"/>
          <w:sz w:val="20"/>
          <w:szCs w:val="20"/>
        </w:rPr>
        <w:t xml:space="preserve"> c</w:t>
      </w:r>
      <w:r w:rsidRPr="00260435">
        <w:rPr>
          <w:rFonts w:ascii="Arial" w:hAnsi="Arial" w:cs="Arial"/>
          <w:color w:val="000000" w:themeColor="text1"/>
          <w:sz w:val="20"/>
          <w:szCs w:val="20"/>
        </w:rPr>
        <w:t>harging station also indicated that to promote the growth of the EVs market in Myanmar, policymakers and businesses should focus on severa</w:t>
      </w:r>
      <w:r w:rsidR="000A01CB" w:rsidRPr="00260435">
        <w:rPr>
          <w:rFonts w:ascii="Arial" w:hAnsi="Arial" w:cs="Arial"/>
          <w:color w:val="000000" w:themeColor="text1"/>
          <w:sz w:val="20"/>
          <w:szCs w:val="20"/>
        </w:rPr>
        <w:t>l areas such as rural townships</w:t>
      </w:r>
      <w:r w:rsidRPr="00260435">
        <w:rPr>
          <w:rFonts w:ascii="Arial" w:hAnsi="Arial" w:cs="Arial"/>
          <w:color w:val="000000" w:themeColor="text1"/>
          <w:sz w:val="20"/>
          <w:szCs w:val="20"/>
        </w:rPr>
        <w:t>, midway of national road every 50miles, to establish DC fast charger with reasonable price as compare to local people income level and to supports reliability power sources to chargers by relevant Ministry.</w:t>
      </w:r>
      <w:r w:rsidRPr="00260435">
        <w:rPr>
          <w:rFonts w:ascii="Arial" w:hAnsi="Arial" w:cs="Arial"/>
          <w:color w:val="000000" w:themeColor="text1"/>
        </w:rPr>
        <w:t xml:space="preserve"> </w:t>
      </w:r>
      <w:r w:rsidRPr="00260435">
        <w:rPr>
          <w:rFonts w:ascii="Arial" w:hAnsi="Arial" w:cs="Arial"/>
          <w:color w:val="000000" w:themeColor="text1"/>
          <w:sz w:val="20"/>
          <w:szCs w:val="20"/>
        </w:rPr>
        <w:t xml:space="preserve">By comparison with ASEAN countries EV to charging plugs ratio sector, Myanmar </w:t>
      </w:r>
      <w:r w:rsidR="00D06486" w:rsidRPr="00260435">
        <w:rPr>
          <w:rFonts w:ascii="Arial" w:hAnsi="Arial" w:cs="Arial"/>
          <w:color w:val="000000" w:themeColor="text1"/>
          <w:sz w:val="20"/>
          <w:szCs w:val="20"/>
        </w:rPr>
        <w:t xml:space="preserve">shall </w:t>
      </w:r>
      <w:r w:rsidRPr="00260435">
        <w:rPr>
          <w:rFonts w:ascii="Arial" w:hAnsi="Arial" w:cs="Arial"/>
          <w:color w:val="000000" w:themeColor="text1"/>
          <w:sz w:val="20"/>
          <w:szCs w:val="20"/>
        </w:rPr>
        <w:t>need to set a reasonable charging plug ratio 7~12% of EV imported in populated cities.</w:t>
      </w:r>
    </w:p>
    <w:p w14:paraId="150E89DE" w14:textId="00D0AAB7" w:rsidR="00260435" w:rsidRPr="00260435" w:rsidRDefault="00260435" w:rsidP="00C8052F">
      <w:pPr>
        <w:pStyle w:val="ListParagraph"/>
        <w:ind w:left="0" w:firstLine="720"/>
        <w:jc w:val="both"/>
        <w:rPr>
          <w:rFonts w:ascii="Arial" w:hAnsi="Arial" w:cs="Arial"/>
          <w:color w:val="000000" w:themeColor="text1"/>
          <w:sz w:val="20"/>
          <w:szCs w:val="20"/>
        </w:rPr>
      </w:pPr>
      <w:r w:rsidRPr="00260435">
        <w:rPr>
          <w:rFonts w:ascii="Arial" w:hAnsi="Arial" w:cs="Arial"/>
          <w:color w:val="000000" w:themeColor="text1"/>
          <w:sz w:val="20"/>
          <w:szCs w:val="20"/>
        </w:rPr>
        <w:t>Table 5. Slow charge: ASEAN aims to bring lofty EV goals within range</w:t>
      </w:r>
    </w:p>
    <w:tbl>
      <w:tblPr>
        <w:tblStyle w:val="TableGrid"/>
        <w:tblW w:w="0" w:type="auto"/>
        <w:tblInd w:w="108" w:type="dxa"/>
        <w:tblLook w:val="04A0" w:firstRow="1" w:lastRow="0" w:firstColumn="1" w:lastColumn="0" w:noHBand="0" w:noVBand="1"/>
      </w:tblPr>
      <w:tblGrid>
        <w:gridCol w:w="1890"/>
        <w:gridCol w:w="2340"/>
        <w:gridCol w:w="3690"/>
      </w:tblGrid>
      <w:tr w:rsidR="00260435" w:rsidRPr="00260435" w14:paraId="63F6064E" w14:textId="77777777" w:rsidTr="00935A83">
        <w:tc>
          <w:tcPr>
            <w:tcW w:w="1890" w:type="dxa"/>
          </w:tcPr>
          <w:p w14:paraId="4AAFBCE3" w14:textId="77777777" w:rsidR="00D1367B" w:rsidRPr="00260435" w:rsidRDefault="00D1367B" w:rsidP="00C1775A">
            <w:pPr>
              <w:jc w:val="center"/>
              <w:rPr>
                <w:rFonts w:ascii="Arial" w:hAnsi="Arial" w:cs="Arial"/>
                <w:b/>
                <w:color w:val="000000" w:themeColor="text1"/>
                <w:sz w:val="20"/>
                <w:szCs w:val="20"/>
              </w:rPr>
            </w:pPr>
            <w:r w:rsidRPr="00260435">
              <w:rPr>
                <w:rFonts w:ascii="Arial" w:hAnsi="Arial" w:cs="Arial"/>
                <w:b/>
                <w:color w:val="000000" w:themeColor="text1"/>
                <w:sz w:val="20"/>
                <w:szCs w:val="20"/>
              </w:rPr>
              <w:t>ASEAN Countries</w:t>
            </w:r>
          </w:p>
        </w:tc>
        <w:tc>
          <w:tcPr>
            <w:tcW w:w="2340" w:type="dxa"/>
          </w:tcPr>
          <w:p w14:paraId="52EE3265" w14:textId="77777777" w:rsidR="00D1367B" w:rsidRPr="00260435" w:rsidRDefault="00D1367B" w:rsidP="00C1775A">
            <w:pPr>
              <w:jc w:val="center"/>
              <w:rPr>
                <w:rFonts w:ascii="Arial" w:hAnsi="Arial" w:cs="Arial"/>
                <w:b/>
                <w:color w:val="000000" w:themeColor="text1"/>
                <w:sz w:val="20"/>
                <w:szCs w:val="20"/>
              </w:rPr>
            </w:pPr>
            <w:r w:rsidRPr="00260435">
              <w:rPr>
                <w:rFonts w:ascii="Arial" w:hAnsi="Arial" w:cs="Arial"/>
                <w:b/>
                <w:color w:val="000000" w:themeColor="text1"/>
                <w:sz w:val="20"/>
                <w:szCs w:val="20"/>
              </w:rPr>
              <w:t>Existing</w:t>
            </w:r>
          </w:p>
        </w:tc>
        <w:tc>
          <w:tcPr>
            <w:tcW w:w="3690" w:type="dxa"/>
          </w:tcPr>
          <w:p w14:paraId="1710360B" w14:textId="77777777" w:rsidR="00D1367B" w:rsidRPr="00260435" w:rsidRDefault="00D1367B" w:rsidP="00C1775A">
            <w:pPr>
              <w:jc w:val="center"/>
              <w:rPr>
                <w:rFonts w:ascii="Arial" w:hAnsi="Arial" w:cs="Arial"/>
                <w:b/>
                <w:color w:val="000000" w:themeColor="text1"/>
                <w:sz w:val="20"/>
                <w:szCs w:val="20"/>
              </w:rPr>
            </w:pPr>
            <w:r w:rsidRPr="00260435">
              <w:rPr>
                <w:rFonts w:ascii="Arial" w:hAnsi="Arial" w:cs="Arial"/>
                <w:b/>
                <w:color w:val="000000" w:themeColor="text1"/>
                <w:sz w:val="20"/>
                <w:szCs w:val="20"/>
              </w:rPr>
              <w:t>Targets</w:t>
            </w:r>
          </w:p>
        </w:tc>
      </w:tr>
      <w:tr w:rsidR="00260435" w:rsidRPr="00260435" w14:paraId="56BE7A6A" w14:textId="77777777" w:rsidTr="00935A83">
        <w:tc>
          <w:tcPr>
            <w:tcW w:w="1890" w:type="dxa"/>
          </w:tcPr>
          <w:p w14:paraId="705CD505"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Singapore</w:t>
            </w:r>
          </w:p>
        </w:tc>
        <w:tc>
          <w:tcPr>
            <w:tcW w:w="2340" w:type="dxa"/>
          </w:tcPr>
          <w:p w14:paraId="3465163B" w14:textId="4A5350E1"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1900(Charging points as of Feb 2021</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w:t>
            </w:r>
          </w:p>
        </w:tc>
        <w:tc>
          <w:tcPr>
            <w:tcW w:w="3690" w:type="dxa"/>
          </w:tcPr>
          <w:p w14:paraId="2512A130" w14:textId="7D45B68B"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60000 chargers by 2030</w:t>
            </w:r>
            <w:r w:rsidR="00C8052F" w:rsidRPr="00260435">
              <w:rPr>
                <w:rFonts w:ascii="Arial" w:hAnsi="Arial" w:cs="Arial"/>
                <w:color w:val="000000" w:themeColor="text1"/>
                <w:sz w:val="20"/>
                <w:szCs w:val="20"/>
              </w:rPr>
              <w:t>FY</w:t>
            </w:r>
          </w:p>
        </w:tc>
      </w:tr>
      <w:tr w:rsidR="00260435" w:rsidRPr="00260435" w14:paraId="24DA7E7A" w14:textId="77777777" w:rsidTr="00935A83">
        <w:tc>
          <w:tcPr>
            <w:tcW w:w="1890" w:type="dxa"/>
          </w:tcPr>
          <w:p w14:paraId="646B1563"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lastRenderedPageBreak/>
              <w:t>Thailand</w:t>
            </w:r>
          </w:p>
        </w:tc>
        <w:tc>
          <w:tcPr>
            <w:tcW w:w="2340" w:type="dxa"/>
          </w:tcPr>
          <w:p w14:paraId="7B2071D8" w14:textId="7952B248"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647(Charging points as of Nov 2020</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w:t>
            </w:r>
          </w:p>
        </w:tc>
        <w:tc>
          <w:tcPr>
            <w:tcW w:w="3690" w:type="dxa"/>
          </w:tcPr>
          <w:p w14:paraId="26BC677A" w14:textId="4B1199CA"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7000 charging stations 2024</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 EV to make up 50% of all car production by 2030</w:t>
            </w:r>
            <w:proofErr w:type="gramStart"/>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,Only</w:t>
            </w:r>
            <w:proofErr w:type="gramEnd"/>
            <w:r w:rsidRPr="00260435">
              <w:rPr>
                <w:rFonts w:ascii="Arial" w:hAnsi="Arial" w:cs="Arial"/>
                <w:color w:val="000000" w:themeColor="text1"/>
                <w:sz w:val="20"/>
                <w:szCs w:val="20"/>
              </w:rPr>
              <w:t xml:space="preserve"> EV to be sold from 2035.</w:t>
            </w:r>
          </w:p>
        </w:tc>
      </w:tr>
      <w:tr w:rsidR="00260435" w:rsidRPr="00260435" w14:paraId="240B07B8" w14:textId="77777777" w:rsidTr="00935A83">
        <w:tc>
          <w:tcPr>
            <w:tcW w:w="1890" w:type="dxa"/>
          </w:tcPr>
          <w:p w14:paraId="6D32C8E9"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Indonesia</w:t>
            </w:r>
          </w:p>
        </w:tc>
        <w:tc>
          <w:tcPr>
            <w:tcW w:w="2340" w:type="dxa"/>
          </w:tcPr>
          <w:p w14:paraId="5052947F" w14:textId="748E7F98"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240(Charging stations  as of 2021</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w:t>
            </w:r>
          </w:p>
        </w:tc>
        <w:tc>
          <w:tcPr>
            <w:tcW w:w="3690" w:type="dxa"/>
          </w:tcPr>
          <w:p w14:paraId="0B179DBD"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2400 public charging stations by 2025, 31000 by 2030FY.</w:t>
            </w:r>
          </w:p>
        </w:tc>
      </w:tr>
      <w:tr w:rsidR="00260435" w:rsidRPr="00260435" w14:paraId="2E1F75BE" w14:textId="77777777" w:rsidTr="00935A83">
        <w:tc>
          <w:tcPr>
            <w:tcW w:w="1890" w:type="dxa"/>
          </w:tcPr>
          <w:p w14:paraId="5633F030"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Philippines</w:t>
            </w:r>
          </w:p>
        </w:tc>
        <w:tc>
          <w:tcPr>
            <w:tcW w:w="2340" w:type="dxa"/>
          </w:tcPr>
          <w:p w14:paraId="2192532E" w14:textId="19C1EBC6"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136(Charging stations  as of July 2021</w:t>
            </w:r>
            <w:r w:rsidR="00C8052F" w:rsidRPr="00260435">
              <w:rPr>
                <w:rFonts w:ascii="Arial" w:hAnsi="Arial" w:cs="Arial"/>
                <w:color w:val="000000" w:themeColor="text1"/>
                <w:sz w:val="20"/>
                <w:szCs w:val="20"/>
              </w:rPr>
              <w:t>FY</w:t>
            </w:r>
            <w:r w:rsidRPr="00260435">
              <w:rPr>
                <w:rFonts w:ascii="Arial" w:hAnsi="Arial" w:cs="Arial"/>
                <w:color w:val="000000" w:themeColor="text1"/>
                <w:sz w:val="20"/>
                <w:szCs w:val="20"/>
              </w:rPr>
              <w:t>)</w:t>
            </w:r>
          </w:p>
        </w:tc>
        <w:tc>
          <w:tcPr>
            <w:tcW w:w="3690" w:type="dxa"/>
          </w:tcPr>
          <w:p w14:paraId="058DDB37" w14:textId="7CB1A992"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200 charging stations by 2022</w:t>
            </w:r>
            <w:r w:rsidR="00C8052F" w:rsidRPr="00260435">
              <w:rPr>
                <w:rFonts w:ascii="Arial" w:hAnsi="Arial" w:cs="Arial"/>
                <w:color w:val="000000" w:themeColor="text1"/>
                <w:sz w:val="20"/>
                <w:szCs w:val="20"/>
              </w:rPr>
              <w:t>FY</w:t>
            </w:r>
          </w:p>
        </w:tc>
      </w:tr>
      <w:tr w:rsidR="00260435" w:rsidRPr="00260435" w14:paraId="0202F374" w14:textId="77777777" w:rsidTr="00935A83">
        <w:tc>
          <w:tcPr>
            <w:tcW w:w="1890" w:type="dxa"/>
          </w:tcPr>
          <w:p w14:paraId="07F4CCAC" w14:textId="77777777"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Myanmar</w:t>
            </w:r>
          </w:p>
        </w:tc>
        <w:tc>
          <w:tcPr>
            <w:tcW w:w="2340" w:type="dxa"/>
          </w:tcPr>
          <w:p w14:paraId="555CA35F" w14:textId="560B8AA6" w:rsidR="00D1367B" w:rsidRPr="00260435" w:rsidRDefault="00D1367B" w:rsidP="00935A83">
            <w:pPr>
              <w:jc w:val="both"/>
              <w:rPr>
                <w:rFonts w:ascii="Arial" w:hAnsi="Arial" w:cs="Arial"/>
                <w:color w:val="000000" w:themeColor="text1"/>
                <w:sz w:val="20"/>
                <w:szCs w:val="20"/>
              </w:rPr>
            </w:pPr>
            <w:r w:rsidRPr="00260435">
              <w:rPr>
                <w:rFonts w:ascii="Arial" w:hAnsi="Arial" w:cs="Arial"/>
                <w:color w:val="000000" w:themeColor="text1"/>
                <w:sz w:val="20"/>
                <w:szCs w:val="20"/>
              </w:rPr>
              <w:t>73 public charging stations (</w:t>
            </w:r>
            <w:r w:rsidR="00935A83" w:rsidRPr="00260435">
              <w:rPr>
                <w:rFonts w:ascii="Arial" w:hAnsi="Arial" w:cs="Arial"/>
                <w:color w:val="000000" w:themeColor="text1"/>
                <w:sz w:val="20"/>
                <w:szCs w:val="20"/>
              </w:rPr>
              <w:t>~</w:t>
            </w:r>
            <w:r w:rsidRPr="00260435">
              <w:rPr>
                <w:rFonts w:ascii="Arial" w:hAnsi="Arial" w:cs="Arial"/>
                <w:color w:val="000000" w:themeColor="text1"/>
                <w:sz w:val="20"/>
                <w:szCs w:val="20"/>
              </w:rPr>
              <w:t xml:space="preserve">200 plugs) as of </w:t>
            </w:r>
            <w:r w:rsidR="00935A83" w:rsidRPr="00260435">
              <w:rPr>
                <w:rFonts w:ascii="Arial" w:hAnsi="Arial" w:cs="Arial"/>
                <w:color w:val="000000" w:themeColor="text1"/>
                <w:sz w:val="20"/>
                <w:szCs w:val="20"/>
              </w:rPr>
              <w:t>Jan</w:t>
            </w:r>
            <w:r w:rsidRPr="00260435">
              <w:rPr>
                <w:rFonts w:ascii="Arial" w:hAnsi="Arial" w:cs="Arial"/>
                <w:color w:val="000000" w:themeColor="text1"/>
                <w:sz w:val="20"/>
                <w:szCs w:val="20"/>
              </w:rPr>
              <w:t xml:space="preserve"> 2025</w:t>
            </w:r>
            <w:r w:rsidR="00C8052F" w:rsidRPr="00260435">
              <w:rPr>
                <w:rFonts w:ascii="Arial" w:hAnsi="Arial" w:cs="Arial"/>
                <w:color w:val="000000" w:themeColor="text1"/>
                <w:sz w:val="20"/>
                <w:szCs w:val="20"/>
              </w:rPr>
              <w:t>FY</w:t>
            </w:r>
          </w:p>
        </w:tc>
        <w:tc>
          <w:tcPr>
            <w:tcW w:w="3690" w:type="dxa"/>
          </w:tcPr>
          <w:p w14:paraId="5DF458E3" w14:textId="6C9E0EB6" w:rsidR="00D1367B" w:rsidRPr="00260435" w:rsidRDefault="00D1367B" w:rsidP="00C1775A">
            <w:pPr>
              <w:jc w:val="both"/>
              <w:rPr>
                <w:rFonts w:ascii="Arial" w:hAnsi="Arial" w:cs="Arial"/>
                <w:color w:val="000000" w:themeColor="text1"/>
                <w:sz w:val="20"/>
                <w:szCs w:val="20"/>
              </w:rPr>
            </w:pPr>
            <w:r w:rsidRPr="00260435">
              <w:rPr>
                <w:rFonts w:ascii="Arial" w:hAnsi="Arial" w:cs="Arial"/>
                <w:color w:val="000000" w:themeColor="text1"/>
                <w:sz w:val="20"/>
                <w:szCs w:val="20"/>
              </w:rPr>
              <w:t>There is no plan target</w:t>
            </w:r>
            <w:r w:rsidR="00C8052F" w:rsidRPr="00260435">
              <w:rPr>
                <w:rFonts w:ascii="Arial" w:hAnsi="Arial" w:cs="Arial"/>
                <w:color w:val="000000" w:themeColor="text1"/>
                <w:sz w:val="20"/>
                <w:szCs w:val="20"/>
              </w:rPr>
              <w:t xml:space="preserve"> yet</w:t>
            </w:r>
            <w:r w:rsidRPr="00260435">
              <w:rPr>
                <w:rFonts w:ascii="Arial" w:hAnsi="Arial" w:cs="Arial"/>
                <w:color w:val="000000" w:themeColor="text1"/>
                <w:sz w:val="20"/>
                <w:szCs w:val="20"/>
              </w:rPr>
              <w:t xml:space="preserve"> for charging point Quantities.</w:t>
            </w:r>
          </w:p>
        </w:tc>
      </w:tr>
    </w:tbl>
    <w:p w14:paraId="7D774D95" w14:textId="47571700" w:rsidR="00D1367B" w:rsidRPr="00260435" w:rsidRDefault="00434471" w:rsidP="00D1367B">
      <w:pPr>
        <w:jc w:val="both"/>
        <w:rPr>
          <w:rFonts w:ascii="Arial" w:hAnsi="Arial" w:cs="Arial"/>
          <w:color w:val="000000" w:themeColor="text1"/>
          <w:sz w:val="20"/>
          <w:szCs w:val="20"/>
        </w:rPr>
      </w:pPr>
      <w:r w:rsidRPr="00260435">
        <w:rPr>
          <w:rFonts w:ascii="Arial" w:hAnsi="Arial" w:cs="Arial"/>
          <w:color w:val="000000" w:themeColor="text1"/>
          <w:sz w:val="20"/>
          <w:szCs w:val="20"/>
        </w:rPr>
        <w:t>[</w:t>
      </w:r>
      <w:hyperlink r:id="rId11" w:history="1">
        <w:r w:rsidR="00D1367B" w:rsidRPr="00260435">
          <w:rPr>
            <w:rFonts w:ascii="Arial" w:hAnsi="Arial" w:cs="Arial"/>
            <w:color w:val="000000" w:themeColor="text1"/>
            <w:sz w:val="20"/>
            <w:szCs w:val="20"/>
          </w:rPr>
          <w:t>Nikkei Asia</w:t>
        </w:r>
      </w:hyperlink>
      <w:r w:rsidR="00D1367B" w:rsidRPr="00260435">
        <w:rPr>
          <w:rFonts w:ascii="Arial" w:hAnsi="Arial" w:cs="Arial"/>
          <w:color w:val="000000" w:themeColor="text1"/>
          <w:sz w:val="20"/>
          <w:szCs w:val="20"/>
        </w:rPr>
        <w:t>,</w:t>
      </w:r>
      <w:r w:rsidR="000A01CB" w:rsidRPr="00260435">
        <w:rPr>
          <w:rFonts w:ascii="Arial" w:hAnsi="Arial" w:cs="Arial"/>
          <w:color w:val="000000" w:themeColor="text1"/>
          <w:sz w:val="20"/>
          <w:szCs w:val="20"/>
        </w:rPr>
        <w:t xml:space="preserve"> </w:t>
      </w:r>
      <w:r w:rsidR="00D1367B" w:rsidRPr="00260435">
        <w:rPr>
          <w:rFonts w:ascii="Arial" w:hAnsi="Arial" w:cs="Arial"/>
          <w:color w:val="000000" w:themeColor="text1"/>
          <w:sz w:val="20"/>
          <w:szCs w:val="20"/>
        </w:rPr>
        <w:t xml:space="preserve">Slow charge: ASEAN aims to bring lofty EV goals within </w:t>
      </w:r>
      <w:proofErr w:type="gramStart"/>
      <w:r w:rsidR="00C351E1" w:rsidRPr="00260435">
        <w:rPr>
          <w:rFonts w:ascii="Arial" w:hAnsi="Arial" w:cs="Arial"/>
          <w:color w:val="000000" w:themeColor="text1"/>
          <w:sz w:val="20"/>
          <w:szCs w:val="20"/>
        </w:rPr>
        <w:t>range ,Published</w:t>
      </w:r>
      <w:proofErr w:type="gramEnd"/>
      <w:r w:rsidRPr="00260435">
        <w:rPr>
          <w:rFonts w:ascii="Arial" w:hAnsi="Arial" w:cs="Arial"/>
          <w:color w:val="000000" w:themeColor="text1"/>
          <w:sz w:val="20"/>
          <w:szCs w:val="20"/>
        </w:rPr>
        <w:t xml:space="preserve"> on 21 Sep 2021]</w:t>
      </w:r>
    </w:p>
    <w:p w14:paraId="7EC9140C" w14:textId="77777777" w:rsidR="00D1367B" w:rsidRPr="00260435" w:rsidRDefault="00D1367B" w:rsidP="00BD045B">
      <w:pPr>
        <w:jc w:val="both"/>
        <w:rPr>
          <w:rFonts w:ascii="Arial" w:hAnsi="Arial" w:cs="Arial"/>
          <w:color w:val="000000" w:themeColor="text1"/>
          <w:sz w:val="20"/>
          <w:szCs w:val="20"/>
        </w:rPr>
      </w:pPr>
    </w:p>
    <w:p w14:paraId="181F8B60" w14:textId="691E958B" w:rsidR="00BD045B" w:rsidRPr="00260435" w:rsidRDefault="005C6F5F" w:rsidP="00D1367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The findings demonstrate that EV adoption in Myanmar is shaped primarily by infrastructural and informational factors rather than environmental concern or technological enthusiasm. Satisfaction with charging infrastructure emerged as the strongest predictor, highlighting the critical need for a reliable and accessible network. Investment in public charging stations, especially in suburban areas, would directly address user concerns and reduce adoption barriers.</w:t>
      </w:r>
      <w:r w:rsidR="000A01CB" w:rsidRPr="00260435">
        <w:rPr>
          <w:rFonts w:ascii="Arial" w:hAnsi="Arial" w:cs="Arial"/>
          <w:color w:val="000000" w:themeColor="text1"/>
          <w:sz w:val="20"/>
          <w:szCs w:val="20"/>
        </w:rPr>
        <w:t xml:space="preserve"> </w:t>
      </w:r>
      <w:r w:rsidR="00C8052F" w:rsidRPr="00260435">
        <w:rPr>
          <w:rFonts w:ascii="Arial" w:hAnsi="Arial" w:cs="Arial"/>
          <w:color w:val="000000" w:themeColor="text1"/>
          <w:sz w:val="20"/>
          <w:szCs w:val="20"/>
        </w:rPr>
        <w:t xml:space="preserve">In </w:t>
      </w:r>
      <w:proofErr w:type="spellStart"/>
      <w:r w:rsidR="00C8052F" w:rsidRPr="00260435">
        <w:rPr>
          <w:rFonts w:ascii="Arial" w:hAnsi="Arial" w:cs="Arial"/>
          <w:color w:val="000000" w:themeColor="text1"/>
          <w:sz w:val="20"/>
          <w:szCs w:val="20"/>
        </w:rPr>
        <w:t>a</w:t>
      </w:r>
      <w:proofErr w:type="spellEnd"/>
      <w:r w:rsidR="00C8052F" w:rsidRPr="00260435">
        <w:rPr>
          <w:rFonts w:ascii="Arial" w:hAnsi="Arial" w:cs="Arial"/>
          <w:color w:val="000000" w:themeColor="text1"/>
          <w:sz w:val="20"/>
          <w:szCs w:val="20"/>
        </w:rPr>
        <w:t xml:space="preserve"> analysis of Income of 150 responses, that </w:t>
      </w:r>
      <w:r w:rsidR="00B958D1" w:rsidRPr="00260435">
        <w:rPr>
          <w:rFonts w:ascii="Arial" w:hAnsi="Arial" w:cs="Arial"/>
          <w:color w:val="000000" w:themeColor="text1"/>
          <w:sz w:val="20"/>
          <w:szCs w:val="20"/>
        </w:rPr>
        <w:t xml:space="preserve"> </w:t>
      </w:r>
    </w:p>
    <w:p w14:paraId="3671F2F6" w14:textId="771F30DA" w:rsidR="005C6F5F" w:rsidRPr="00260435" w:rsidRDefault="005C6F5F" w:rsidP="00D1367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Awareness of government incentives also significantly influenced adoption, underscoring the importance of effective communication and outreach campaigns. Financial incentives are unlikely to succeed in isolation without clear, accessible information that reaches potential users across different education and occupational strata.</w:t>
      </w:r>
    </w:p>
    <w:p w14:paraId="4C828F99" w14:textId="1A8C5E8C" w:rsidR="005C6F5F" w:rsidRPr="00260435" w:rsidRDefault="005C6F5F" w:rsidP="00D1367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Concerns over charging time negatively impacted adoption, emphasizing the need for fast-charging solutions, strategic station placement, and mobile applications to guide users and reduce perceived waiting times. Interestingly, environmental concerns and technological confidence were not significant drivers, suggesting that in Myanmar, practical and immediate benefits resonate more strongly than ideological motivations.</w:t>
      </w:r>
      <w:r w:rsidR="00C8052F" w:rsidRPr="00260435">
        <w:rPr>
          <w:rFonts w:ascii="Arial" w:hAnsi="Arial" w:cs="Arial"/>
          <w:color w:val="000000" w:themeColor="text1"/>
          <w:shd w:val="clear" w:color="auto" w:fill="FFFFFF"/>
        </w:rPr>
        <w:t xml:space="preserve"> </w:t>
      </w:r>
    </w:p>
    <w:p w14:paraId="17AF4F6B" w14:textId="5381CAC5" w:rsidR="00542170" w:rsidRPr="00260435" w:rsidRDefault="00542170" w:rsidP="00B958D1">
      <w:pPr>
        <w:ind w:firstLine="720"/>
        <w:jc w:val="both"/>
        <w:rPr>
          <w:rFonts w:ascii="Arial" w:hAnsi="Arial" w:cs="Arial"/>
          <w:color w:val="000000" w:themeColor="text1"/>
          <w:sz w:val="20"/>
          <w:szCs w:val="20"/>
        </w:rPr>
      </w:pPr>
      <w:r w:rsidRPr="00260435">
        <w:rPr>
          <w:rFonts w:ascii="Arial" w:hAnsi="Arial" w:cs="Arial"/>
          <w:color w:val="000000" w:themeColor="text1"/>
          <w:sz w:val="20"/>
          <w:szCs w:val="20"/>
          <w:shd w:val="clear" w:color="auto" w:fill="FFFFFF"/>
        </w:rPr>
        <w:t>Result of respondents in the mid-income categories (400,001 to 1,000,000 MMK) collectively accounted for about one-third of the sample. This segment represents an emerging market for EV adoption, potentially driven by environmental awareness and expectations of long-term fuel cost savings. Regional studies from Thailand and Indonesia suggest that once governments introduce financial incentives and flexible payment schemes, middle-income earners increasin</w:t>
      </w:r>
      <w:r w:rsidR="00434471" w:rsidRPr="00260435">
        <w:rPr>
          <w:rFonts w:ascii="Arial" w:hAnsi="Arial" w:cs="Arial"/>
          <w:color w:val="000000" w:themeColor="text1"/>
          <w:sz w:val="20"/>
          <w:szCs w:val="20"/>
          <w:shd w:val="clear" w:color="auto" w:fill="FFFFFF"/>
        </w:rPr>
        <w:t>gly participate in EV adoption</w:t>
      </w:r>
      <w:r w:rsidR="00FF6BA9">
        <w:rPr>
          <w:rFonts w:ascii="Arial" w:hAnsi="Arial" w:cs="Arial"/>
          <w:color w:val="000000" w:themeColor="text1"/>
          <w:sz w:val="20"/>
          <w:szCs w:val="20"/>
          <w:shd w:val="clear" w:color="auto" w:fill="FFFFFF"/>
        </w:rPr>
        <w:t>.</w:t>
      </w:r>
      <w:r w:rsidRPr="00260435">
        <w:rPr>
          <w:rFonts w:ascii="Arial" w:hAnsi="Arial" w:cs="Arial"/>
          <w:color w:val="000000" w:themeColor="text1"/>
          <w:sz w:val="20"/>
          <w:szCs w:val="20"/>
        </w:rPr>
        <w:t xml:space="preserve"> </w:t>
      </w:r>
    </w:p>
    <w:p w14:paraId="5D40E552" w14:textId="0732A223" w:rsidR="00B958D1" w:rsidRPr="00260435" w:rsidRDefault="000D19C0" w:rsidP="00B958D1">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By contrast, only one respondent (0.7%) reported a monthly income of 200,000 MMK or below, reinforcing the significant affordability barrier faced by low-income households in Myanmar.</w:t>
      </w:r>
      <w:r w:rsidR="00542170" w:rsidRPr="00260435">
        <w:rPr>
          <w:rFonts w:ascii="Arial" w:hAnsi="Arial" w:cs="Arial"/>
          <w:color w:val="000000" w:themeColor="text1"/>
          <w:sz w:val="20"/>
          <w:szCs w:val="20"/>
        </w:rPr>
        <w:t xml:space="preserve"> Without targeted interventions </w:t>
      </w:r>
      <w:r w:rsidRPr="00260435">
        <w:rPr>
          <w:rFonts w:ascii="Arial" w:hAnsi="Arial" w:cs="Arial"/>
          <w:color w:val="000000" w:themeColor="text1"/>
          <w:sz w:val="20"/>
          <w:szCs w:val="20"/>
        </w:rPr>
        <w:t>such as subsidies, concessional financing</w:t>
      </w:r>
      <w:r w:rsidR="00542170" w:rsidRPr="00260435">
        <w:rPr>
          <w:rFonts w:ascii="Arial" w:hAnsi="Arial" w:cs="Arial"/>
          <w:color w:val="000000" w:themeColor="text1"/>
          <w:sz w:val="20"/>
          <w:szCs w:val="20"/>
        </w:rPr>
        <w:t xml:space="preserve">, or lease-to-own arrangements </w:t>
      </w:r>
      <w:r w:rsidRPr="00260435">
        <w:rPr>
          <w:rFonts w:ascii="Arial" w:hAnsi="Arial" w:cs="Arial"/>
          <w:color w:val="000000" w:themeColor="text1"/>
          <w:sz w:val="20"/>
          <w:szCs w:val="20"/>
        </w:rPr>
        <w:t>this group is unlikely to access EV technology. Similar findings from China and other emerging markets show that unless policy frameworks explicitly address affordability, EV adoption risks remaining concentrated among elites, thereby exacerbati</w:t>
      </w:r>
      <w:r w:rsidR="00434471" w:rsidRPr="00260435">
        <w:rPr>
          <w:rFonts w:ascii="Arial" w:hAnsi="Arial" w:cs="Arial"/>
          <w:color w:val="000000" w:themeColor="text1"/>
          <w:sz w:val="20"/>
          <w:szCs w:val="20"/>
        </w:rPr>
        <w:t xml:space="preserve">ng socio-economic </w:t>
      </w:r>
      <w:proofErr w:type="gramStart"/>
      <w:r w:rsidR="00434471" w:rsidRPr="00260435">
        <w:rPr>
          <w:rFonts w:ascii="Arial" w:hAnsi="Arial" w:cs="Arial"/>
          <w:color w:val="000000" w:themeColor="text1"/>
          <w:sz w:val="20"/>
          <w:szCs w:val="20"/>
        </w:rPr>
        <w:t>inequalities[</w:t>
      </w:r>
      <w:proofErr w:type="gramEnd"/>
      <w:r w:rsidR="00434471" w:rsidRPr="00260435">
        <w:rPr>
          <w:rFonts w:ascii="Arial" w:hAnsi="Arial" w:cs="Arial"/>
          <w:color w:val="000000" w:themeColor="text1"/>
          <w:sz w:val="20"/>
          <w:szCs w:val="20"/>
        </w:rPr>
        <w:t>Li et al., 2020].</w:t>
      </w:r>
      <w:r w:rsidRPr="00260435">
        <w:rPr>
          <w:rFonts w:ascii="Arial" w:hAnsi="Arial" w:cs="Arial"/>
          <w:color w:val="000000" w:themeColor="text1"/>
          <w:sz w:val="20"/>
          <w:szCs w:val="20"/>
        </w:rPr>
        <w:t xml:space="preserve"> In summary, the findings suggest that Myanmar’s EV transition is currently dominated by high-income earners, with growing participation from middle-income groups and negligible involvement from low-income households. To ensure inclusivity, targeted policies are required. Financial incentives, government-backed credit schemes, and public awareness campaigns could help bridge the affordability gap and promote a more equitable transition toward sustainable mobility.</w:t>
      </w:r>
    </w:p>
    <w:p w14:paraId="7298C3FA" w14:textId="69CF34FF" w:rsidR="005C6F5F" w:rsidRPr="00260435" w:rsidRDefault="00F826BE" w:rsidP="00FA79BB">
      <w:pPr>
        <w:jc w:val="both"/>
        <w:rPr>
          <w:rFonts w:ascii="Arial" w:hAnsi="Arial" w:cs="Arial"/>
          <w:b/>
          <w:bCs/>
          <w:color w:val="000000" w:themeColor="text1"/>
          <w:sz w:val="22"/>
          <w:szCs w:val="22"/>
        </w:rPr>
      </w:pPr>
      <w:r w:rsidRPr="00260435">
        <w:rPr>
          <w:rFonts w:ascii="Arial" w:hAnsi="Arial" w:cs="Arial"/>
          <w:b/>
          <w:bCs/>
          <w:color w:val="000000" w:themeColor="text1"/>
          <w:sz w:val="22"/>
          <w:szCs w:val="22"/>
        </w:rPr>
        <w:t>5</w:t>
      </w:r>
      <w:r w:rsidR="003067B4" w:rsidRPr="00260435">
        <w:rPr>
          <w:rFonts w:ascii="Arial" w:hAnsi="Arial" w:cs="Arial"/>
          <w:b/>
          <w:bCs/>
          <w:color w:val="000000" w:themeColor="text1"/>
          <w:sz w:val="22"/>
          <w:szCs w:val="22"/>
        </w:rPr>
        <w:t>. Conclusion and Recommendations</w:t>
      </w:r>
    </w:p>
    <w:p w14:paraId="06722052" w14:textId="48236DE3" w:rsidR="003067B4" w:rsidRPr="00260435" w:rsidRDefault="003067B4" w:rsidP="00FA79BB">
      <w:pPr>
        <w:ind w:firstLine="720"/>
        <w:jc w:val="both"/>
        <w:rPr>
          <w:rFonts w:ascii="Arial" w:hAnsi="Arial" w:cs="Arial"/>
          <w:color w:val="000000" w:themeColor="text1"/>
          <w:sz w:val="20"/>
          <w:szCs w:val="20"/>
        </w:rPr>
      </w:pPr>
      <w:r w:rsidRPr="00260435">
        <w:rPr>
          <w:rFonts w:ascii="Arial" w:hAnsi="Arial" w:cs="Arial"/>
          <w:color w:val="000000" w:themeColor="text1"/>
          <w:sz w:val="20"/>
          <w:szCs w:val="20"/>
        </w:rPr>
        <w:t>This study provides e</w:t>
      </w:r>
      <w:r w:rsidR="00385275" w:rsidRPr="00260435">
        <w:rPr>
          <w:rFonts w:ascii="Arial" w:hAnsi="Arial" w:cs="Arial"/>
          <w:color w:val="000000" w:themeColor="text1"/>
          <w:sz w:val="20"/>
          <w:szCs w:val="20"/>
        </w:rPr>
        <w:t xml:space="preserve">mpirical evidence on the </w:t>
      </w:r>
      <w:r w:rsidR="000A01CB" w:rsidRPr="00260435">
        <w:rPr>
          <w:rFonts w:ascii="Arial" w:hAnsi="Arial" w:cs="Arial"/>
          <w:color w:val="000000" w:themeColor="text1"/>
          <w:sz w:val="20"/>
          <w:szCs w:val="20"/>
        </w:rPr>
        <w:t>determents influencing</w:t>
      </w:r>
      <w:r w:rsidRPr="00260435">
        <w:rPr>
          <w:rFonts w:ascii="Arial" w:hAnsi="Arial" w:cs="Arial"/>
          <w:color w:val="000000" w:themeColor="text1"/>
          <w:sz w:val="20"/>
          <w:szCs w:val="20"/>
        </w:rPr>
        <w:t xml:space="preserve"> EV adoption in Myanmar and highlights the critical role of infrastructure and government incentives. Practical considerations, such as the availability of charging stations and awareness of financial support, outweigh ideological motivations in shaping adoption behavior. Addressing infrastructure gaps, reducing charging time barriers, and effectively communicating incentive programs can accelerate EV uptake. Policymakers and private stakeholders must focus on these tangible interventions to achieve a sustainable energy </w:t>
      </w:r>
      <w:r w:rsidRPr="00260435">
        <w:rPr>
          <w:rFonts w:ascii="Arial" w:hAnsi="Arial" w:cs="Arial"/>
          <w:color w:val="000000" w:themeColor="text1"/>
          <w:sz w:val="20"/>
          <w:szCs w:val="20"/>
        </w:rPr>
        <w:lastRenderedPageBreak/>
        <w:t xml:space="preserve">transition, enhance urban mobility, and foster broader environmental and economic </w:t>
      </w:r>
      <w:proofErr w:type="spellStart"/>
      <w:r w:rsidRPr="00260435">
        <w:rPr>
          <w:rFonts w:ascii="Arial" w:hAnsi="Arial" w:cs="Arial"/>
          <w:color w:val="000000" w:themeColor="text1"/>
          <w:sz w:val="20"/>
          <w:szCs w:val="20"/>
        </w:rPr>
        <w:t>benefits.The</w:t>
      </w:r>
      <w:proofErr w:type="spellEnd"/>
      <w:r w:rsidRPr="00260435">
        <w:rPr>
          <w:rFonts w:ascii="Arial" w:hAnsi="Arial" w:cs="Arial"/>
          <w:color w:val="000000" w:themeColor="text1"/>
          <w:sz w:val="20"/>
          <w:szCs w:val="20"/>
        </w:rPr>
        <w:t xml:space="preserve"> study highlights several actionable policy recommendations for accelerating EV adoption in Myanmar,</w:t>
      </w:r>
    </w:p>
    <w:p w14:paraId="52132BA1" w14:textId="5212B18A" w:rsidR="008226C2" w:rsidRPr="00260435" w:rsidRDefault="00385275" w:rsidP="00385275">
      <w:pPr>
        <w:pStyle w:val="ListParagraph"/>
        <w:numPr>
          <w:ilvl w:val="0"/>
          <w:numId w:val="14"/>
        </w:numPr>
        <w:jc w:val="both"/>
        <w:rPr>
          <w:rFonts w:ascii="Arial" w:hAnsi="Arial" w:cs="Arial"/>
          <w:b/>
          <w:bCs/>
          <w:color w:val="000000" w:themeColor="text1"/>
          <w:sz w:val="20"/>
          <w:szCs w:val="20"/>
        </w:rPr>
      </w:pPr>
      <w:r w:rsidRPr="00260435">
        <w:rPr>
          <w:rStyle w:val="Strong"/>
          <w:rFonts w:ascii="Arial" w:eastAsiaTheme="majorEastAsia" w:hAnsi="Arial" w:cs="Arial"/>
          <w:color w:val="000000" w:themeColor="text1"/>
          <w:sz w:val="20"/>
          <w:szCs w:val="20"/>
          <w:shd w:val="clear" w:color="auto" w:fill="FFFFFF"/>
        </w:rPr>
        <w:t>Expand Charging Infrastructure:</w:t>
      </w:r>
      <w:r w:rsidRPr="00260435">
        <w:rPr>
          <w:rFonts w:ascii="Arial" w:hAnsi="Arial" w:cs="Arial"/>
          <w:color w:val="000000" w:themeColor="text1"/>
          <w:sz w:val="20"/>
          <w:szCs w:val="20"/>
          <w:shd w:val="clear" w:color="auto" w:fill="FFFFFF"/>
        </w:rPr>
        <w:t> Prioritize public charging stations in urban, suburban, and peri-urban areas, including fast-charging options, and ensure reliable electricity supply. Deploy Level 2 (7 kW), Level 2 (22 kW), and DC fast chargers (60 kW) at universities, hospitals, government offices, and other high-traffic locations by FY2026.</w:t>
      </w:r>
    </w:p>
    <w:p w14:paraId="4A8D4593" w14:textId="77777777"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Enhance Incentive Awareness:</w:t>
      </w:r>
      <w:r w:rsidRPr="00260435">
        <w:rPr>
          <w:rFonts w:ascii="Arial" w:hAnsi="Arial" w:cs="Arial"/>
          <w:color w:val="000000" w:themeColor="text1"/>
          <w:sz w:val="20"/>
          <w:szCs w:val="20"/>
        </w:rPr>
        <w:t> Implement targeted campaigns through media, dealerships, and local authorities to increase public knowledge of government incentives and promote EV adoption across regions.</w:t>
      </w:r>
    </w:p>
    <w:p w14:paraId="28B2FF21" w14:textId="77777777"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Address Charging Time Concerns:</w:t>
      </w:r>
      <w:r w:rsidRPr="00260435">
        <w:rPr>
          <w:rFonts w:ascii="Arial" w:hAnsi="Arial" w:cs="Arial"/>
          <w:color w:val="000000" w:themeColor="text1"/>
          <w:sz w:val="20"/>
          <w:szCs w:val="20"/>
        </w:rPr>
        <w:t> Introduce mobile applications and signage to inform users of station availability and expected charging durations, improving convenience and reducing perceived barriers.</w:t>
      </w:r>
    </w:p>
    <w:p w14:paraId="79F245B1" w14:textId="77777777"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Support Middle-Income Households:</w:t>
      </w:r>
      <w:r w:rsidRPr="00260435">
        <w:rPr>
          <w:rFonts w:ascii="Arial" w:hAnsi="Arial" w:cs="Arial"/>
          <w:color w:val="000000" w:themeColor="text1"/>
          <w:sz w:val="20"/>
          <w:szCs w:val="20"/>
        </w:rPr>
        <w:t> Provide government-backed low-interest loans or installment schemes to help middle-income populations purchase EVs, expanding adoption beyond high-income groups and addressing affordability barriers.</w:t>
      </w:r>
    </w:p>
    <w:p w14:paraId="38E958E8" w14:textId="77777777"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Promote Practical Benefits of EVs:</w:t>
      </w:r>
      <w:r w:rsidRPr="00260435">
        <w:rPr>
          <w:rFonts w:ascii="Arial" w:hAnsi="Arial" w:cs="Arial"/>
          <w:color w:val="000000" w:themeColor="text1"/>
          <w:sz w:val="20"/>
          <w:szCs w:val="20"/>
        </w:rPr>
        <w:t> Emphasize cost savings, energy independence, and local air quality improvement rather than global environmental impacts, ensuring messaging resonates with everyday users.</w:t>
      </w:r>
    </w:p>
    <w:p w14:paraId="144B5278" w14:textId="77777777"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Integrate EV Knowledge into Education:</w:t>
      </w:r>
      <w:r w:rsidRPr="00260435">
        <w:rPr>
          <w:rFonts w:ascii="Arial" w:hAnsi="Arial" w:cs="Arial"/>
          <w:color w:val="000000" w:themeColor="text1"/>
          <w:sz w:val="20"/>
          <w:szCs w:val="20"/>
        </w:rPr>
        <w:t> Incorporate basic knowledge about Renewable Energy Vehicles (REVs), their environmental and energy-saving benefits, into primary school curricula to foster early awareness and support long-term sustainable mobility adoption.</w:t>
      </w:r>
    </w:p>
    <w:p w14:paraId="0D114449" w14:textId="28A78A9B" w:rsidR="00385275" w:rsidRPr="00260435" w:rsidRDefault="00385275" w:rsidP="00385275">
      <w:pPr>
        <w:pStyle w:val="ListParagraph"/>
        <w:numPr>
          <w:ilvl w:val="0"/>
          <w:numId w:val="14"/>
        </w:numPr>
        <w:shd w:val="clear" w:color="auto" w:fill="FFFFFF"/>
        <w:jc w:val="both"/>
        <w:rPr>
          <w:rFonts w:ascii="Arial" w:hAnsi="Arial" w:cs="Arial"/>
          <w:color w:val="000000" w:themeColor="text1"/>
          <w:sz w:val="20"/>
          <w:szCs w:val="20"/>
        </w:rPr>
      </w:pPr>
      <w:r w:rsidRPr="00260435">
        <w:rPr>
          <w:rFonts w:ascii="Arial" w:eastAsia="Times New Roman" w:hAnsi="Arial" w:cs="Arial"/>
          <w:b/>
          <w:bCs/>
          <w:color w:val="000000" w:themeColor="text1"/>
          <w:sz w:val="20"/>
          <w:szCs w:val="20"/>
        </w:rPr>
        <w:t>Encourage Market Diversification and Investment:</w:t>
      </w:r>
      <w:r w:rsidRPr="00260435">
        <w:rPr>
          <w:rFonts w:ascii="Arial" w:hAnsi="Arial" w:cs="Arial"/>
          <w:color w:val="000000" w:themeColor="text1"/>
          <w:sz w:val="20"/>
          <w:szCs w:val="20"/>
        </w:rPr>
        <w:t> Facilitate participation of domestic and foreign investors in EV assembly, battery systems, energy solutions, and charging infrastructure, strengthening Myanmar’s evolving EV ecosystem</w:t>
      </w:r>
    </w:p>
    <w:p w14:paraId="700A2FBF" w14:textId="1BA9475D" w:rsidR="003617F7" w:rsidRPr="00260435" w:rsidRDefault="00E07E7F" w:rsidP="003617F7">
      <w:pPr>
        <w:pStyle w:val="ListParagraph"/>
        <w:numPr>
          <w:ilvl w:val="0"/>
          <w:numId w:val="14"/>
        </w:numPr>
        <w:shd w:val="clear" w:color="auto" w:fill="FFFFFF"/>
        <w:spacing w:line="240" w:lineRule="auto"/>
        <w:jc w:val="both"/>
        <w:rPr>
          <w:rFonts w:ascii="Arial" w:hAnsi="Arial" w:cs="Arial"/>
          <w:color w:val="000000" w:themeColor="text1"/>
          <w:sz w:val="20"/>
          <w:szCs w:val="20"/>
        </w:rPr>
      </w:pPr>
      <w:r w:rsidRPr="00260435">
        <w:rPr>
          <w:rFonts w:ascii="Arial" w:eastAsia="Times New Roman" w:hAnsi="Arial" w:cs="Arial"/>
          <w:b/>
          <w:color w:val="000000" w:themeColor="text1"/>
          <w:sz w:val="20"/>
          <w:szCs w:val="20"/>
        </w:rPr>
        <w:t>Charging Tariff Adjustment for Wider EV Adoption</w:t>
      </w:r>
      <w:r w:rsidRPr="00260435">
        <w:rPr>
          <w:rFonts w:ascii="Arial" w:hAnsi="Arial" w:cs="Arial"/>
          <w:color w:val="000000" w:themeColor="text1"/>
          <w:sz w:val="20"/>
          <w:szCs w:val="20"/>
          <w:shd w:val="clear" w:color="auto" w:fill="FFFFFF"/>
        </w:rPr>
        <w:t xml:space="preserve">: </w:t>
      </w:r>
      <w:r w:rsidR="003617F7" w:rsidRPr="00260435">
        <w:rPr>
          <w:rFonts w:ascii="Arial" w:hAnsi="Arial" w:cs="Arial"/>
          <w:color w:val="000000" w:themeColor="text1"/>
          <w:sz w:val="20"/>
          <w:szCs w:val="20"/>
          <w:shd w:val="clear" w:color="auto" w:fill="FFFFFF"/>
        </w:rPr>
        <w:t xml:space="preserve">The MOEP should set public </w:t>
      </w:r>
      <w:r w:rsidRPr="00260435">
        <w:rPr>
          <w:rFonts w:ascii="Arial" w:hAnsi="Arial" w:cs="Arial"/>
          <w:color w:val="000000" w:themeColor="text1"/>
          <w:sz w:val="20"/>
          <w:szCs w:val="20"/>
          <w:shd w:val="clear" w:color="auto" w:fill="FFFFFF"/>
        </w:rPr>
        <w:t xml:space="preserve">DC </w:t>
      </w:r>
      <w:r w:rsidR="003617F7" w:rsidRPr="00260435">
        <w:rPr>
          <w:rFonts w:ascii="Arial" w:hAnsi="Arial" w:cs="Arial"/>
          <w:color w:val="000000" w:themeColor="text1"/>
          <w:sz w:val="20"/>
          <w:szCs w:val="20"/>
          <w:shd w:val="clear" w:color="auto" w:fill="FFFFFF"/>
        </w:rPr>
        <w:t>charging prices at a reasonable level, closer to home-based tariffs (</w:t>
      </w:r>
      <w:r w:rsidRPr="00260435">
        <w:rPr>
          <w:rFonts w:ascii="Arial" w:hAnsi="Arial" w:cs="Arial"/>
          <w:color w:val="000000" w:themeColor="text1"/>
          <w:sz w:val="20"/>
          <w:szCs w:val="20"/>
          <w:shd w:val="clear" w:color="auto" w:fill="FFFFFF"/>
        </w:rPr>
        <w:t>avg</w:t>
      </w:r>
      <w:r w:rsidR="003617F7" w:rsidRPr="00260435">
        <w:rPr>
          <w:rFonts w:ascii="Arial" w:hAnsi="Arial" w:cs="Arial"/>
          <w:color w:val="000000" w:themeColor="text1"/>
          <w:sz w:val="20"/>
          <w:szCs w:val="20"/>
          <w:shd w:val="clear" w:color="auto" w:fill="FFFFFF"/>
        </w:rPr>
        <w:t>150</w:t>
      </w:r>
      <w:r w:rsidRPr="00260435">
        <w:rPr>
          <w:rFonts w:ascii="Arial" w:hAnsi="Arial" w:cs="Arial"/>
          <w:color w:val="000000" w:themeColor="text1"/>
          <w:sz w:val="20"/>
          <w:szCs w:val="20"/>
          <w:shd w:val="clear" w:color="auto" w:fill="FFFFFF"/>
        </w:rPr>
        <w:t>~500</w:t>
      </w:r>
      <w:r w:rsidR="003617F7" w:rsidRPr="00260435">
        <w:rPr>
          <w:rFonts w:ascii="Arial" w:hAnsi="Arial" w:cs="Arial"/>
          <w:color w:val="000000" w:themeColor="text1"/>
          <w:sz w:val="20"/>
          <w:szCs w:val="20"/>
          <w:shd w:val="clear" w:color="auto" w:fill="FFFFFF"/>
        </w:rPr>
        <w:t>kyats/unit), to reduce financial barriers. Aligning DC fast charging and hotel-based Level 2 rates with fair and standardized pricing will enhance affordability, encourage wider EV adoption, and build user trust in Myanmar’s charging ecosystem.</w:t>
      </w:r>
    </w:p>
    <w:p w14:paraId="00775CA9" w14:textId="77777777" w:rsidR="00552F93" w:rsidRPr="00260435" w:rsidRDefault="00552F93" w:rsidP="00552F93">
      <w:pPr>
        <w:shd w:val="clear" w:color="auto" w:fill="FFFFFF"/>
        <w:jc w:val="both"/>
        <w:rPr>
          <w:rFonts w:ascii="Arial" w:hAnsi="Arial" w:cs="Arial"/>
          <w:color w:val="000000" w:themeColor="text1"/>
          <w:sz w:val="20"/>
          <w:szCs w:val="20"/>
        </w:rPr>
      </w:pPr>
    </w:p>
    <w:p w14:paraId="52871E35" w14:textId="4D017647" w:rsidR="00552F93" w:rsidRPr="00260435" w:rsidRDefault="00552F93" w:rsidP="00552F93">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Disclaimer (Artificial intelligence)</w:t>
      </w:r>
    </w:p>
    <w:p w14:paraId="05C6AD46" w14:textId="77777777" w:rsidR="00552F93" w:rsidRPr="00260435" w:rsidRDefault="00552F93" w:rsidP="00552F93">
      <w:pPr>
        <w:shd w:val="clear" w:color="auto" w:fill="FFFFFF"/>
        <w:jc w:val="both"/>
        <w:rPr>
          <w:rFonts w:ascii="Arial" w:hAnsi="Arial" w:cs="Arial"/>
          <w:color w:val="000000" w:themeColor="text1"/>
          <w:sz w:val="20"/>
          <w:szCs w:val="20"/>
        </w:rPr>
      </w:pPr>
    </w:p>
    <w:p w14:paraId="386F310A" w14:textId="7DB2F88A" w:rsidR="00ED689A" w:rsidRPr="00260435" w:rsidRDefault="00ED689A" w:rsidP="00ED689A">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 xml:space="preserve">Author(s) hereby declare that generative AI technologies such as grammar check and edited in some paragraph, etc. have been used during the writing or editing of manuscripts. AI technologies is </w:t>
      </w:r>
      <w:r w:rsidR="00356753" w:rsidRPr="00260435">
        <w:rPr>
          <w:rFonts w:ascii="Arial" w:hAnsi="Arial" w:cs="Arial"/>
          <w:color w:val="000000" w:themeColor="text1"/>
          <w:sz w:val="20"/>
          <w:szCs w:val="20"/>
        </w:rPr>
        <w:t xml:space="preserve">https://chatgpt.com, </w:t>
      </w:r>
      <w:proofErr w:type="spellStart"/>
      <w:proofErr w:type="gramStart"/>
      <w:r w:rsidR="00356753" w:rsidRPr="00260435">
        <w:rPr>
          <w:rFonts w:ascii="Arial" w:hAnsi="Arial" w:cs="Arial"/>
          <w:color w:val="000000" w:themeColor="text1"/>
          <w:sz w:val="20"/>
          <w:szCs w:val="20"/>
        </w:rPr>
        <w:t>Name:ChatGPT</w:t>
      </w:r>
      <w:proofErr w:type="spellEnd"/>
      <w:proofErr w:type="gramEnd"/>
      <w:r w:rsidR="00356753" w:rsidRPr="00260435">
        <w:rPr>
          <w:rFonts w:ascii="Arial" w:hAnsi="Arial" w:cs="Arial"/>
          <w:color w:val="000000" w:themeColor="text1"/>
          <w:sz w:val="20"/>
          <w:szCs w:val="20"/>
        </w:rPr>
        <w:t xml:space="preserve">, Version:GPT-5 architecture(mini variant), Model :GPT-5. </w:t>
      </w:r>
      <w:r w:rsidRPr="00260435">
        <w:rPr>
          <w:rFonts w:ascii="Arial" w:hAnsi="Arial" w:cs="Arial"/>
          <w:color w:val="000000" w:themeColor="text1"/>
          <w:sz w:val="20"/>
          <w:szCs w:val="20"/>
        </w:rPr>
        <w:t xml:space="preserve">and source of the generative AI </w:t>
      </w:r>
      <w:r w:rsidR="00356753" w:rsidRPr="00260435">
        <w:rPr>
          <w:rFonts w:ascii="Arial" w:hAnsi="Arial" w:cs="Arial"/>
          <w:color w:val="000000" w:themeColor="text1"/>
          <w:sz w:val="20"/>
          <w:szCs w:val="20"/>
        </w:rPr>
        <w:t xml:space="preserve">are </w:t>
      </w:r>
      <w:proofErr w:type="spellStart"/>
      <w:r w:rsidR="00356753" w:rsidRPr="00260435">
        <w:rPr>
          <w:rFonts w:ascii="Arial" w:hAnsi="Arial" w:cs="Arial"/>
          <w:color w:val="000000" w:themeColor="text1"/>
          <w:sz w:val="20"/>
          <w:szCs w:val="20"/>
        </w:rPr>
        <w:t>base</w:t>
      </w:r>
      <w:proofErr w:type="spellEnd"/>
      <w:r w:rsidR="00356753" w:rsidRPr="00260435">
        <w:rPr>
          <w:rFonts w:ascii="Arial" w:hAnsi="Arial" w:cs="Arial"/>
          <w:color w:val="000000" w:themeColor="text1"/>
          <w:sz w:val="20"/>
          <w:szCs w:val="20"/>
        </w:rPr>
        <w:t xml:space="preserve"> on my research data and analysis and finding under my thesis. </w:t>
      </w:r>
    </w:p>
    <w:p w14:paraId="628F01B7" w14:textId="77777777" w:rsidR="00356753" w:rsidRPr="00260435" w:rsidRDefault="00356753" w:rsidP="00ED689A">
      <w:pPr>
        <w:shd w:val="clear" w:color="auto" w:fill="FFFFFF"/>
        <w:jc w:val="both"/>
        <w:rPr>
          <w:rFonts w:ascii="Arial" w:hAnsi="Arial" w:cs="Arial"/>
          <w:color w:val="000000" w:themeColor="text1"/>
          <w:sz w:val="20"/>
          <w:szCs w:val="20"/>
        </w:rPr>
      </w:pPr>
    </w:p>
    <w:p w14:paraId="4B6D3C7E" w14:textId="77777777" w:rsidR="00AB04D8" w:rsidRPr="00260435" w:rsidRDefault="00AB04D8" w:rsidP="00AB04D8">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Authors’ contributions</w:t>
      </w:r>
    </w:p>
    <w:p w14:paraId="38B6897D" w14:textId="77777777" w:rsidR="00AB04D8" w:rsidRPr="00260435" w:rsidRDefault="00AB04D8" w:rsidP="00AB04D8">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 xml:space="preserve">                </w:t>
      </w:r>
    </w:p>
    <w:p w14:paraId="4DC54079" w14:textId="77777777" w:rsidR="00AB04D8" w:rsidRPr="00260435" w:rsidRDefault="00AB04D8" w:rsidP="00AB04D8">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 xml:space="preserve">                 This work was carried out in collaboration among all authors. All authors read and approved the final</w:t>
      </w:r>
    </w:p>
    <w:p w14:paraId="7D256E11" w14:textId="23474769" w:rsidR="00AB04D8" w:rsidRPr="00260435" w:rsidRDefault="00AB04D8" w:rsidP="00AB04D8">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 xml:space="preserve"> Manuscript</w:t>
      </w:r>
    </w:p>
    <w:p w14:paraId="14F2E85B" w14:textId="77777777" w:rsidR="00C93A94" w:rsidRPr="00260435" w:rsidRDefault="00C93A94" w:rsidP="00AB04D8">
      <w:pPr>
        <w:shd w:val="clear" w:color="auto" w:fill="FFFFFF"/>
        <w:jc w:val="both"/>
        <w:rPr>
          <w:rFonts w:ascii="Arial" w:hAnsi="Arial" w:cs="Arial"/>
          <w:color w:val="000000" w:themeColor="text1"/>
          <w:sz w:val="20"/>
          <w:szCs w:val="20"/>
        </w:rPr>
      </w:pPr>
    </w:p>
    <w:p w14:paraId="3ED26449" w14:textId="77777777" w:rsidR="00C93A94" w:rsidRPr="00260435" w:rsidRDefault="00C93A94" w:rsidP="00AB04D8">
      <w:pPr>
        <w:shd w:val="clear" w:color="auto" w:fill="FFFFFF"/>
        <w:jc w:val="both"/>
        <w:rPr>
          <w:rFonts w:ascii="Arial" w:hAnsi="Arial" w:cs="Arial"/>
          <w:color w:val="000000" w:themeColor="text1"/>
          <w:sz w:val="20"/>
          <w:szCs w:val="20"/>
        </w:rPr>
      </w:pPr>
    </w:p>
    <w:p w14:paraId="5D2EC595" w14:textId="77777777" w:rsidR="00C93A94" w:rsidRPr="00260435" w:rsidRDefault="00C93A94" w:rsidP="00C93A94">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t xml:space="preserve">Consent </w:t>
      </w:r>
    </w:p>
    <w:p w14:paraId="3A7826DC" w14:textId="665EC183" w:rsidR="00C93A94" w:rsidRPr="00260435" w:rsidRDefault="00C93A94" w:rsidP="00C93A94">
      <w:pPr>
        <w:shd w:val="clear" w:color="auto" w:fill="FFFFFF"/>
        <w:jc w:val="both"/>
        <w:rPr>
          <w:rFonts w:ascii="Arial" w:hAnsi="Arial" w:cs="Arial"/>
          <w:color w:val="000000" w:themeColor="text1"/>
          <w:sz w:val="20"/>
          <w:szCs w:val="20"/>
        </w:rPr>
      </w:pPr>
      <w:r w:rsidRPr="00260435">
        <w:rPr>
          <w:rFonts w:ascii="Arial" w:hAnsi="Arial" w:cs="Arial"/>
          <w:color w:val="000000" w:themeColor="text1"/>
          <w:sz w:val="20"/>
          <w:szCs w:val="20"/>
        </w:rPr>
        <w:lastRenderedPageBreak/>
        <w:t>As per international standard or university standard, Respondent’s written consent has been collected and preserved by the author(s).</w:t>
      </w:r>
    </w:p>
    <w:p w14:paraId="579A0DD7" w14:textId="04F72477" w:rsidR="003067B4" w:rsidRPr="00260435" w:rsidRDefault="003067B4" w:rsidP="00FA79BB">
      <w:pPr>
        <w:jc w:val="both"/>
        <w:rPr>
          <w:rFonts w:ascii="Arial" w:hAnsi="Arial" w:cs="Arial"/>
          <w:b/>
          <w:bCs/>
          <w:color w:val="000000" w:themeColor="text1"/>
        </w:rPr>
      </w:pPr>
      <w:r w:rsidRPr="00260435">
        <w:rPr>
          <w:rFonts w:ascii="Arial" w:hAnsi="Arial" w:cs="Arial"/>
          <w:b/>
          <w:bCs/>
          <w:color w:val="000000" w:themeColor="text1"/>
        </w:rPr>
        <w:t>References</w:t>
      </w:r>
    </w:p>
    <w:p w14:paraId="6D435D03" w14:textId="77777777" w:rsidR="004A3019" w:rsidRPr="00260435" w:rsidRDefault="004A3019" w:rsidP="00CF7556">
      <w:pPr>
        <w:ind w:left="1080" w:hanging="720"/>
        <w:jc w:val="both"/>
        <w:rPr>
          <w:rFonts w:ascii="Arial" w:hAnsi="Arial" w:cs="Arial"/>
          <w:color w:val="000000" w:themeColor="text1"/>
          <w:sz w:val="20"/>
          <w:szCs w:val="20"/>
        </w:rPr>
      </w:pPr>
    </w:p>
    <w:p w14:paraId="72A9C60B" w14:textId="77777777" w:rsidR="002A2915" w:rsidRPr="00260435" w:rsidRDefault="002A2915" w:rsidP="00CF7556">
      <w:pPr>
        <w:ind w:left="1080" w:hanging="720"/>
        <w:jc w:val="both"/>
        <w:rPr>
          <w:rFonts w:ascii="Arial" w:hAnsi="Arial" w:cs="Arial"/>
          <w:color w:val="000000" w:themeColor="text1"/>
          <w:sz w:val="20"/>
          <w:szCs w:val="20"/>
        </w:rPr>
      </w:pPr>
    </w:p>
    <w:p w14:paraId="761F8788"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 xml:space="preserve">An </w:t>
      </w:r>
      <w:proofErr w:type="spellStart"/>
      <w:r w:rsidRPr="00260435">
        <w:rPr>
          <w:rFonts w:ascii="Arial" w:hAnsi="Arial" w:cs="Arial"/>
          <w:color w:val="000000" w:themeColor="text1"/>
          <w:sz w:val="20"/>
          <w:szCs w:val="20"/>
          <w:shd w:val="clear" w:color="auto" w:fill="FFFFFF"/>
        </w:rPr>
        <w:t>Roinn</w:t>
      </w:r>
      <w:proofErr w:type="spellEnd"/>
      <w:r w:rsidRPr="00260435">
        <w:rPr>
          <w:rFonts w:ascii="Arial" w:hAnsi="Arial" w:cs="Arial"/>
          <w:color w:val="000000" w:themeColor="text1"/>
          <w:sz w:val="20"/>
          <w:szCs w:val="20"/>
          <w:shd w:val="clear" w:color="auto" w:fill="FFFFFF"/>
        </w:rPr>
        <w:t xml:space="preserve"> </w:t>
      </w:r>
      <w:proofErr w:type="spellStart"/>
      <w:r w:rsidRPr="00260435">
        <w:rPr>
          <w:rFonts w:ascii="Arial" w:hAnsi="Arial" w:cs="Arial"/>
          <w:color w:val="000000" w:themeColor="text1"/>
          <w:sz w:val="20"/>
          <w:szCs w:val="20"/>
          <w:shd w:val="clear" w:color="auto" w:fill="FFFFFF"/>
        </w:rPr>
        <w:t>Iompair</w:t>
      </w:r>
      <w:proofErr w:type="spellEnd"/>
      <w:r w:rsidRPr="00260435">
        <w:rPr>
          <w:rFonts w:ascii="Arial" w:hAnsi="Arial" w:cs="Arial"/>
          <w:color w:val="000000" w:themeColor="text1"/>
          <w:sz w:val="20"/>
          <w:szCs w:val="20"/>
          <w:shd w:val="clear" w:color="auto" w:fill="FFFFFF"/>
        </w:rPr>
        <w:t>, Electric Vehicle Charging Infrastructure Strategy 2022-2025</w:t>
      </w:r>
    </w:p>
    <w:p w14:paraId="329F700E"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Aviv Steren , Yael Parag ,  Shiri Zemah-Shamir  , Consumer preferences and willingness to pay for EV charging: Implications for incentives to promote off-peak charging and renewables integration, Volume 392, August 2025</w:t>
      </w:r>
    </w:p>
    <w:p w14:paraId="299AA879"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proofErr w:type="spellStart"/>
      <w:r w:rsidRPr="00260435">
        <w:rPr>
          <w:rFonts w:ascii="Arial" w:hAnsi="Arial" w:cs="Arial"/>
          <w:color w:val="000000" w:themeColor="text1"/>
          <w:sz w:val="20"/>
          <w:szCs w:val="20"/>
          <w:shd w:val="clear" w:color="auto" w:fill="FFFFFF"/>
        </w:rPr>
        <w:t>Axsen</w:t>
      </w:r>
      <w:proofErr w:type="spellEnd"/>
      <w:r w:rsidRPr="00260435">
        <w:rPr>
          <w:rFonts w:ascii="Arial" w:hAnsi="Arial" w:cs="Arial"/>
          <w:color w:val="000000" w:themeColor="text1"/>
          <w:sz w:val="20"/>
          <w:szCs w:val="20"/>
          <w:shd w:val="clear" w:color="auto" w:fill="FFFFFF"/>
        </w:rPr>
        <w:t xml:space="preserve">, J., </w:t>
      </w:r>
      <w:proofErr w:type="spellStart"/>
      <w:r w:rsidRPr="00260435">
        <w:rPr>
          <w:rFonts w:ascii="Arial" w:hAnsi="Arial" w:cs="Arial"/>
          <w:color w:val="000000" w:themeColor="text1"/>
          <w:sz w:val="20"/>
          <w:szCs w:val="20"/>
          <w:shd w:val="clear" w:color="auto" w:fill="FFFFFF"/>
        </w:rPr>
        <w:t>Orlebar</w:t>
      </w:r>
      <w:proofErr w:type="spellEnd"/>
      <w:r w:rsidRPr="00260435">
        <w:rPr>
          <w:rFonts w:ascii="Arial" w:hAnsi="Arial" w:cs="Arial"/>
          <w:color w:val="000000" w:themeColor="text1"/>
          <w:sz w:val="20"/>
          <w:szCs w:val="20"/>
          <w:shd w:val="clear" w:color="auto" w:fill="FFFFFF"/>
        </w:rPr>
        <w:t xml:space="preserve">, C., &amp; </w:t>
      </w:r>
      <w:proofErr w:type="spellStart"/>
      <w:r w:rsidRPr="00260435">
        <w:rPr>
          <w:rFonts w:ascii="Arial" w:hAnsi="Arial" w:cs="Arial"/>
          <w:color w:val="000000" w:themeColor="text1"/>
          <w:sz w:val="20"/>
          <w:szCs w:val="20"/>
          <w:shd w:val="clear" w:color="auto" w:fill="FFFFFF"/>
        </w:rPr>
        <w:t>Skippon</w:t>
      </w:r>
      <w:proofErr w:type="spellEnd"/>
      <w:r w:rsidRPr="00260435">
        <w:rPr>
          <w:rFonts w:ascii="Arial" w:hAnsi="Arial" w:cs="Arial"/>
          <w:color w:val="000000" w:themeColor="text1"/>
          <w:sz w:val="20"/>
          <w:szCs w:val="20"/>
          <w:shd w:val="clear" w:color="auto" w:fill="FFFFFF"/>
        </w:rPr>
        <w:t>, S. (2016). Social influence and consumer preference formation for pro-environmental technology: The case of a U.K. workplace electric-vehicle study. Ecological Economics, 123, 15–28.</w:t>
      </w:r>
    </w:p>
    <w:p w14:paraId="2D3DE633" w14:textId="77777777" w:rsidR="002A2915" w:rsidRPr="00260435" w:rsidRDefault="00FF6BA9" w:rsidP="00EE7FAC">
      <w:pPr>
        <w:ind w:left="1080" w:hanging="720"/>
        <w:jc w:val="both"/>
        <w:rPr>
          <w:rFonts w:ascii="Arial" w:hAnsi="Arial" w:cs="Arial"/>
          <w:color w:val="000000" w:themeColor="text1"/>
          <w:sz w:val="20"/>
          <w:szCs w:val="20"/>
          <w:shd w:val="clear" w:color="auto" w:fill="FFFFFF"/>
        </w:rPr>
      </w:pPr>
      <w:hyperlink r:id="rId12" w:history="1">
        <w:r w:rsidR="002A2915" w:rsidRPr="00260435">
          <w:rPr>
            <w:rFonts w:ascii="Arial" w:hAnsi="Arial" w:cs="Arial"/>
            <w:color w:val="000000" w:themeColor="text1"/>
            <w:sz w:val="20"/>
            <w:szCs w:val="20"/>
            <w:shd w:val="clear" w:color="auto" w:fill="FFFFFF"/>
          </w:rPr>
          <w:t>Bhawna Singh</w:t>
        </w:r>
      </w:hyperlink>
      <w:r w:rsidR="002A2915" w:rsidRPr="00260435">
        <w:rPr>
          <w:rFonts w:ascii="Arial" w:hAnsi="Arial" w:cs="Arial"/>
          <w:color w:val="000000" w:themeColor="text1"/>
          <w:sz w:val="20"/>
          <w:szCs w:val="20"/>
          <w:shd w:val="clear" w:color="auto" w:fill="FFFFFF"/>
        </w:rPr>
        <w:t>, Myanmar EV Charging Station Market,2025-2031[https://www. 6wresearch.com/industry-report/myanmar-ev-charging-station-market]</w:t>
      </w:r>
    </w:p>
    <w:p w14:paraId="3AB50DDE"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Breetz, H. L., &amp; Salon, D. (2018). Do electric vehicles need subsidies? Ownership costs for conventional, hybrid, and electric vehicles in 14 U.S. cities. Energy Policy, 120, 238–249. </w:t>
      </w:r>
      <w:hyperlink r:id="rId13" w:history="1">
        <w:r w:rsidRPr="00260435">
          <w:rPr>
            <w:rFonts w:ascii="Arial" w:hAnsi="Arial" w:cs="Arial"/>
            <w:color w:val="000000" w:themeColor="text1"/>
            <w:sz w:val="20"/>
            <w:szCs w:val="20"/>
            <w:shd w:val="clear" w:color="auto" w:fill="FFFFFF"/>
          </w:rPr>
          <w:t>https://doi.org/10.1016/j.enpol.2018.05.038</w:t>
        </w:r>
      </w:hyperlink>
    </w:p>
    <w:p w14:paraId="4EE1C13C" w14:textId="77777777" w:rsidR="002A2915" w:rsidRPr="00260435" w:rsidRDefault="002A2915" w:rsidP="00CF7556">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IBM Corp. (2015). </w:t>
      </w:r>
      <w:r w:rsidRPr="00260435">
        <w:rPr>
          <w:rFonts w:ascii="Arial" w:hAnsi="Arial" w:cs="Arial"/>
          <w:i/>
          <w:iCs/>
          <w:color w:val="000000" w:themeColor="text1"/>
          <w:sz w:val="20"/>
          <w:szCs w:val="20"/>
        </w:rPr>
        <w:t>IBM SPSS Statistics for Windows, Version 23.0</w:t>
      </w:r>
      <w:r w:rsidRPr="00260435">
        <w:rPr>
          <w:rFonts w:ascii="Arial" w:hAnsi="Arial" w:cs="Arial"/>
          <w:color w:val="000000" w:themeColor="text1"/>
          <w:sz w:val="20"/>
          <w:szCs w:val="20"/>
        </w:rPr>
        <w:t>. IBM Corp</w:t>
      </w:r>
    </w:p>
    <w:p w14:paraId="45BEEE7E" w14:textId="77777777" w:rsidR="002A2915" w:rsidRPr="00260435" w:rsidRDefault="002A2915" w:rsidP="00CF7556">
      <w:pPr>
        <w:ind w:left="1080" w:hanging="720"/>
        <w:jc w:val="both"/>
        <w:rPr>
          <w:rFonts w:ascii="Arial" w:hAnsi="Arial" w:cs="Arial"/>
          <w:color w:val="000000" w:themeColor="text1"/>
          <w:sz w:val="20"/>
          <w:szCs w:val="20"/>
        </w:rPr>
      </w:pPr>
      <w:proofErr w:type="spellStart"/>
      <w:proofErr w:type="gramStart"/>
      <w:r w:rsidRPr="00260435">
        <w:rPr>
          <w:rFonts w:ascii="Arial" w:hAnsi="Arial" w:cs="Arial"/>
          <w:color w:val="000000" w:themeColor="text1"/>
          <w:sz w:val="20"/>
          <w:szCs w:val="20"/>
        </w:rPr>
        <w:t>IEA,Global</w:t>
      </w:r>
      <w:proofErr w:type="spellEnd"/>
      <w:proofErr w:type="gramEnd"/>
      <w:r w:rsidRPr="00260435">
        <w:rPr>
          <w:rFonts w:ascii="Arial" w:hAnsi="Arial" w:cs="Arial"/>
          <w:color w:val="000000" w:themeColor="text1"/>
          <w:sz w:val="20"/>
          <w:szCs w:val="20"/>
        </w:rPr>
        <w:t xml:space="preserve"> outlook 2025, https://www.iea.org/reports/global-ev-outlook-2025/trends-in-electric-car-markets-2</w:t>
      </w:r>
    </w:p>
    <w:p w14:paraId="48D02D7E" w14:textId="77777777" w:rsidR="002A2915" w:rsidRPr="00260435" w:rsidRDefault="002A2915" w:rsidP="00CF7556">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rPr>
        <w:t>Lane, B., Potter, S., 2007. The adoption of cleaner vehicles in the UK: exploring the consumer attitude-action gap. J. Clean. Prod. 15, 1085–1092.</w:t>
      </w:r>
    </w:p>
    <w:p w14:paraId="756E0CD1" w14:textId="77777777" w:rsidR="002A2915" w:rsidRPr="00FF6BA9" w:rsidRDefault="002A2915" w:rsidP="000D19C0">
      <w:pPr>
        <w:ind w:left="1080" w:hanging="720"/>
        <w:jc w:val="both"/>
        <w:rPr>
          <w:rFonts w:ascii="Arial" w:hAnsi="Arial" w:cs="Arial"/>
          <w:color w:val="000000" w:themeColor="text1"/>
          <w:sz w:val="20"/>
          <w:szCs w:val="20"/>
          <w:highlight w:val="yellow"/>
          <w:shd w:val="clear" w:color="auto" w:fill="FFFFFF"/>
        </w:rPr>
      </w:pPr>
      <w:r w:rsidRPr="00260435">
        <w:rPr>
          <w:color w:val="000000" w:themeColor="text1"/>
        </w:rPr>
        <w:t xml:space="preserve"> </w:t>
      </w:r>
      <w:r w:rsidRPr="00FF6BA9">
        <w:rPr>
          <w:rFonts w:ascii="Arial" w:hAnsi="Arial" w:cs="Arial"/>
          <w:color w:val="000000" w:themeColor="text1"/>
          <w:sz w:val="20"/>
          <w:szCs w:val="20"/>
          <w:highlight w:val="yellow"/>
          <w:shd w:val="clear" w:color="auto" w:fill="FFFFFF"/>
        </w:rPr>
        <w:t xml:space="preserve">Li, J., Long, R., Chen, H., &amp; Chen, F. (2020). </w:t>
      </w:r>
      <w:r w:rsidRPr="00FF6BA9">
        <w:rPr>
          <w:rFonts w:ascii="Arial" w:hAnsi="Arial" w:cs="Arial"/>
          <w:i/>
          <w:iCs/>
          <w:color w:val="000000" w:themeColor="text1"/>
          <w:sz w:val="20"/>
          <w:szCs w:val="20"/>
          <w:highlight w:val="yellow"/>
          <w:shd w:val="clear" w:color="auto" w:fill="FFFFFF"/>
        </w:rPr>
        <w:t>Public awareness and willingness to pay for electric vehicles in China: A case study in Beijing</w:t>
      </w:r>
      <w:r w:rsidRPr="00FF6BA9">
        <w:rPr>
          <w:rFonts w:ascii="Arial" w:hAnsi="Arial" w:cs="Arial"/>
          <w:color w:val="000000" w:themeColor="text1"/>
          <w:sz w:val="20"/>
          <w:szCs w:val="20"/>
          <w:highlight w:val="yellow"/>
          <w:shd w:val="clear" w:color="auto" w:fill="FFFFFF"/>
        </w:rPr>
        <w:t>. Energy Policy, 144, 111610. https://doi.org/10.1016/j.enpol.2020.111610</w:t>
      </w:r>
    </w:p>
    <w:p w14:paraId="19EEAA29" w14:textId="77777777" w:rsidR="002A2915" w:rsidRPr="00260435" w:rsidRDefault="002A2915" w:rsidP="002A2915">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M. </w:t>
      </w:r>
      <w:proofErr w:type="spellStart"/>
      <w:r w:rsidRPr="00260435">
        <w:rPr>
          <w:rFonts w:ascii="Arial" w:hAnsi="Arial" w:cs="Arial"/>
          <w:color w:val="000000" w:themeColor="text1"/>
          <w:sz w:val="20"/>
          <w:szCs w:val="20"/>
          <w:shd w:val="clear" w:color="auto" w:fill="FFFFFF"/>
        </w:rPr>
        <w:t>Shamshirband</w:t>
      </w:r>
      <w:proofErr w:type="spellEnd"/>
      <w:r w:rsidRPr="00260435">
        <w:rPr>
          <w:rFonts w:ascii="Arial" w:hAnsi="Arial" w:cs="Arial"/>
          <w:color w:val="000000" w:themeColor="text1"/>
          <w:sz w:val="20"/>
          <w:szCs w:val="20"/>
          <w:shd w:val="clear" w:color="auto" w:fill="FFFFFF"/>
        </w:rPr>
        <w:t>, J. Salehi, F.S. </w:t>
      </w:r>
      <w:proofErr w:type="spellStart"/>
      <w:r w:rsidRPr="00260435">
        <w:rPr>
          <w:rFonts w:ascii="Arial" w:hAnsi="Arial" w:cs="Arial"/>
          <w:color w:val="000000" w:themeColor="text1"/>
          <w:sz w:val="20"/>
          <w:szCs w:val="20"/>
          <w:shd w:val="clear" w:color="auto" w:fill="FFFFFF"/>
        </w:rPr>
        <w:t>GazijahaniDecentralized</w:t>
      </w:r>
      <w:proofErr w:type="spellEnd"/>
      <w:r w:rsidRPr="00260435">
        <w:rPr>
          <w:rFonts w:ascii="Arial" w:hAnsi="Arial" w:cs="Arial"/>
          <w:color w:val="000000" w:themeColor="text1"/>
          <w:sz w:val="20"/>
          <w:szCs w:val="20"/>
          <w:shd w:val="clear" w:color="auto" w:fill="FFFFFF"/>
        </w:rPr>
        <w:t xml:space="preserve"> trading of plug-in electric vehicle aggregation agents for optimal energy management of smart renewable penetrated microgrids with the aim of CO2 emission reduction J Clean Prod, 200 (2018), pp. 622-640</w:t>
      </w:r>
    </w:p>
    <w:p w14:paraId="7402A083"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proofErr w:type="spellStart"/>
      <w:r w:rsidRPr="00260435">
        <w:rPr>
          <w:rFonts w:ascii="Arial" w:hAnsi="Arial" w:cs="Arial"/>
          <w:color w:val="000000" w:themeColor="text1"/>
          <w:sz w:val="20"/>
          <w:szCs w:val="20"/>
          <w:shd w:val="clear" w:color="auto" w:fill="FFFFFF"/>
        </w:rPr>
        <w:t>Melliger</w:t>
      </w:r>
      <w:proofErr w:type="spellEnd"/>
      <w:r w:rsidRPr="00260435">
        <w:rPr>
          <w:rFonts w:ascii="Arial" w:hAnsi="Arial" w:cs="Arial"/>
          <w:color w:val="000000" w:themeColor="text1"/>
          <w:sz w:val="20"/>
          <w:szCs w:val="20"/>
          <w:shd w:val="clear" w:color="auto" w:fill="FFFFFF"/>
        </w:rPr>
        <w:t>, M.A.; van Vliet, O.P.R.; Liimatainen, H. Anxiety vs reality—Sufficiency of battery electric vehicle range in Switzerland and Finland. Transp. Res. Part Transp. Environ. 2018, 65, 101–115. [Google Scholar] [</w:t>
      </w:r>
      <w:proofErr w:type="spellStart"/>
      <w:r w:rsidRPr="00260435">
        <w:rPr>
          <w:rFonts w:ascii="Arial" w:hAnsi="Arial" w:cs="Arial"/>
          <w:color w:val="000000" w:themeColor="text1"/>
          <w:sz w:val="20"/>
          <w:szCs w:val="20"/>
          <w:shd w:val="clear" w:color="auto" w:fill="FFFFFF"/>
        </w:rPr>
        <w:fldChar w:fldCharType="begin"/>
      </w:r>
      <w:r w:rsidRPr="00260435">
        <w:rPr>
          <w:rFonts w:ascii="Arial" w:hAnsi="Arial" w:cs="Arial"/>
          <w:color w:val="000000" w:themeColor="text1"/>
          <w:sz w:val="20"/>
          <w:szCs w:val="20"/>
          <w:shd w:val="clear" w:color="auto" w:fill="FFFFFF"/>
        </w:rPr>
        <w:instrText xml:space="preserve"> HYPERLINK "https://doi.org/10.1016/j.trd.2018.08.011" \t "_blank" </w:instrText>
      </w:r>
      <w:r w:rsidRPr="00260435">
        <w:rPr>
          <w:rFonts w:ascii="Arial" w:hAnsi="Arial" w:cs="Arial"/>
          <w:color w:val="000000" w:themeColor="text1"/>
          <w:sz w:val="20"/>
          <w:szCs w:val="20"/>
          <w:shd w:val="clear" w:color="auto" w:fill="FFFFFF"/>
        </w:rPr>
        <w:fldChar w:fldCharType="separate"/>
      </w:r>
      <w:r w:rsidRPr="00260435">
        <w:rPr>
          <w:rFonts w:ascii="Arial" w:hAnsi="Arial" w:cs="Arial"/>
          <w:color w:val="000000" w:themeColor="text1"/>
          <w:sz w:val="20"/>
          <w:szCs w:val="20"/>
          <w:shd w:val="clear" w:color="auto" w:fill="FFFFFF"/>
        </w:rPr>
        <w:t>CrossRef</w:t>
      </w:r>
      <w:proofErr w:type="spellEnd"/>
      <w:r w:rsidRPr="00260435">
        <w:rPr>
          <w:rFonts w:ascii="Arial" w:hAnsi="Arial" w:cs="Arial"/>
          <w:color w:val="000000" w:themeColor="text1"/>
          <w:sz w:val="20"/>
          <w:szCs w:val="20"/>
          <w:shd w:val="clear" w:color="auto" w:fill="FFFFFF"/>
        </w:rPr>
        <w:fldChar w:fldCharType="end"/>
      </w:r>
      <w:r w:rsidRPr="00260435">
        <w:rPr>
          <w:rFonts w:ascii="Arial" w:hAnsi="Arial" w:cs="Arial"/>
          <w:color w:val="000000" w:themeColor="text1"/>
          <w:sz w:val="20"/>
          <w:szCs w:val="20"/>
          <w:shd w:val="clear" w:color="auto" w:fill="FFFFFF"/>
        </w:rPr>
        <w:t>]</w:t>
      </w:r>
    </w:p>
    <w:p w14:paraId="23D4B595" w14:textId="77777777" w:rsidR="002A2915" w:rsidRPr="00260435" w:rsidRDefault="002A2915" w:rsidP="00CF7556">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rPr>
        <w:t xml:space="preserve">Melton, N., </w:t>
      </w:r>
      <w:proofErr w:type="spellStart"/>
      <w:r w:rsidRPr="00260435">
        <w:rPr>
          <w:rFonts w:ascii="Arial" w:hAnsi="Arial" w:cs="Arial"/>
          <w:color w:val="000000" w:themeColor="text1"/>
          <w:sz w:val="20"/>
          <w:szCs w:val="20"/>
        </w:rPr>
        <w:t>Axsen</w:t>
      </w:r>
      <w:proofErr w:type="spellEnd"/>
      <w:r w:rsidRPr="00260435">
        <w:rPr>
          <w:rFonts w:ascii="Arial" w:hAnsi="Arial" w:cs="Arial"/>
          <w:color w:val="000000" w:themeColor="text1"/>
          <w:sz w:val="20"/>
          <w:szCs w:val="20"/>
        </w:rPr>
        <w:t>, J., &amp; Goldberg, S., 2017. Evaluating plug-in electric vehicle policies in the context of long-term greenhouse gas reduction goals: Comparing 10 Canadian provinces using the “PEV policy report card”. Energy Policy, 107, 381-393</w:t>
      </w:r>
    </w:p>
    <w:p w14:paraId="3246CF80"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 xml:space="preserve">MIBG Sustainability </w:t>
      </w:r>
      <w:proofErr w:type="spellStart"/>
      <w:proofErr w:type="gramStart"/>
      <w:r w:rsidRPr="00260435">
        <w:rPr>
          <w:rFonts w:ascii="Arial" w:hAnsi="Arial" w:cs="Arial"/>
          <w:color w:val="000000" w:themeColor="text1"/>
          <w:sz w:val="20"/>
          <w:szCs w:val="20"/>
          <w:shd w:val="clear" w:color="auto" w:fill="FFFFFF"/>
        </w:rPr>
        <w:t>Research,ASEAN</w:t>
      </w:r>
      <w:proofErr w:type="spellEnd"/>
      <w:proofErr w:type="gramEnd"/>
      <w:r w:rsidRPr="00260435">
        <w:rPr>
          <w:rFonts w:ascii="Arial" w:hAnsi="Arial" w:cs="Arial"/>
          <w:color w:val="000000" w:themeColor="text1"/>
          <w:sz w:val="20"/>
          <w:szCs w:val="20"/>
          <w:shd w:val="clear" w:color="auto" w:fill="FFFFFF"/>
        </w:rPr>
        <w:t xml:space="preserve"> Mobility: Poised for EV Acceleration,Jun,2023</w:t>
      </w:r>
    </w:p>
    <w:p w14:paraId="61932815"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proofErr w:type="spellStart"/>
      <w:proofErr w:type="gramStart"/>
      <w:r w:rsidRPr="00260435">
        <w:rPr>
          <w:rFonts w:ascii="Arial" w:hAnsi="Arial" w:cs="Arial"/>
          <w:color w:val="000000" w:themeColor="text1"/>
          <w:sz w:val="20"/>
          <w:szCs w:val="20"/>
          <w:shd w:val="clear" w:color="auto" w:fill="FFFFFF"/>
        </w:rPr>
        <w:t>MSDP,Myanmar</w:t>
      </w:r>
      <w:proofErr w:type="spellEnd"/>
      <w:proofErr w:type="gramEnd"/>
      <w:r w:rsidRPr="00260435">
        <w:rPr>
          <w:rFonts w:ascii="Arial" w:hAnsi="Arial" w:cs="Arial"/>
          <w:color w:val="000000" w:themeColor="text1"/>
          <w:sz w:val="20"/>
          <w:szCs w:val="20"/>
          <w:shd w:val="clear" w:color="auto" w:fill="FFFFFF"/>
        </w:rPr>
        <w:t xml:space="preserve"> Sustainable Development Plan (2018 – 2030)</w:t>
      </w:r>
    </w:p>
    <w:p w14:paraId="65758B83" w14:textId="77777777" w:rsidR="002A2915" w:rsidRPr="00260435" w:rsidRDefault="00FF6BA9" w:rsidP="00EE7FAC">
      <w:pPr>
        <w:ind w:left="1080" w:hanging="720"/>
        <w:jc w:val="both"/>
        <w:rPr>
          <w:rFonts w:ascii="Arial" w:hAnsi="Arial" w:cs="Arial"/>
          <w:color w:val="000000" w:themeColor="text1"/>
          <w:sz w:val="20"/>
          <w:szCs w:val="20"/>
          <w:shd w:val="clear" w:color="auto" w:fill="FFFFFF"/>
        </w:rPr>
      </w:pPr>
      <w:hyperlink r:id="rId14" w:history="1">
        <w:r w:rsidR="002A2915" w:rsidRPr="00260435">
          <w:rPr>
            <w:rFonts w:ascii="Arial" w:hAnsi="Arial" w:cs="Arial"/>
            <w:color w:val="000000" w:themeColor="text1"/>
            <w:sz w:val="20"/>
            <w:szCs w:val="20"/>
            <w:shd w:val="clear" w:color="auto" w:fill="FFFFFF"/>
          </w:rPr>
          <w:t>Nikkei Asia</w:t>
        </w:r>
      </w:hyperlink>
      <w:r w:rsidR="002A2915" w:rsidRPr="00260435">
        <w:rPr>
          <w:rFonts w:ascii="Arial" w:hAnsi="Arial" w:cs="Arial"/>
          <w:color w:val="000000" w:themeColor="text1"/>
          <w:sz w:val="20"/>
          <w:szCs w:val="20"/>
          <w:shd w:val="clear" w:color="auto" w:fill="FFFFFF"/>
        </w:rPr>
        <w:t xml:space="preserve">, Slow charge: ASEAN aims to bring lofty EV goals within </w:t>
      </w:r>
      <w:proofErr w:type="gramStart"/>
      <w:r w:rsidR="002A2915" w:rsidRPr="00260435">
        <w:rPr>
          <w:rFonts w:ascii="Arial" w:hAnsi="Arial" w:cs="Arial"/>
          <w:color w:val="000000" w:themeColor="text1"/>
          <w:sz w:val="20"/>
          <w:szCs w:val="20"/>
          <w:shd w:val="clear" w:color="auto" w:fill="FFFFFF"/>
        </w:rPr>
        <w:t>range ,Published</w:t>
      </w:r>
      <w:proofErr w:type="gramEnd"/>
      <w:r w:rsidR="002A2915" w:rsidRPr="00260435">
        <w:rPr>
          <w:rFonts w:ascii="Arial" w:hAnsi="Arial" w:cs="Arial"/>
          <w:color w:val="000000" w:themeColor="text1"/>
          <w:sz w:val="20"/>
          <w:szCs w:val="20"/>
          <w:shd w:val="clear" w:color="auto" w:fill="FFFFFF"/>
        </w:rPr>
        <w:t xml:space="preserve"> on 21 Sep 2021</w:t>
      </w:r>
    </w:p>
    <w:p w14:paraId="69761148" w14:textId="77777777" w:rsidR="002A2915" w:rsidRPr="00D8428B" w:rsidRDefault="002A2915" w:rsidP="00EE7FAC">
      <w:pPr>
        <w:ind w:left="1080" w:hanging="720"/>
        <w:jc w:val="both"/>
        <w:rPr>
          <w:rFonts w:ascii="Arial" w:hAnsi="Arial" w:cs="Arial"/>
          <w:color w:val="000000" w:themeColor="text1"/>
          <w:sz w:val="20"/>
          <w:szCs w:val="20"/>
          <w:highlight w:val="red"/>
          <w:shd w:val="clear" w:color="auto" w:fill="FFFFFF"/>
        </w:rPr>
      </w:pPr>
      <w:r w:rsidRPr="00260435">
        <w:rPr>
          <w:rFonts w:ascii="Arial" w:hAnsi="Arial" w:cs="Arial"/>
          <w:color w:val="000000" w:themeColor="text1"/>
          <w:sz w:val="20"/>
          <w:szCs w:val="20"/>
          <w:shd w:val="clear" w:color="auto" w:fill="FFFFFF"/>
        </w:rPr>
        <w:t>Notification 27/2025 the Ministry of Planning and Finance issued, March 2025, [https://www.dfdl.com/insights/legal-and-tax-updates/myanmars-tariff-</w:t>
      </w:r>
      <w:r w:rsidRPr="00D8428B">
        <w:rPr>
          <w:rFonts w:ascii="Arial" w:hAnsi="Arial" w:cs="Arial"/>
          <w:color w:val="000000" w:themeColor="text1"/>
          <w:sz w:val="20"/>
          <w:szCs w:val="20"/>
          <w:shd w:val="clear" w:color="auto" w:fill="FFFFFF"/>
        </w:rPr>
        <w:t>exemptions-to-boost-electric-vehicle-industry/]</w:t>
      </w:r>
    </w:p>
    <w:p w14:paraId="0FB69D98"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bookmarkStart w:id="0" w:name="_GoBack"/>
      <w:bookmarkEnd w:id="0"/>
      <w:r w:rsidRPr="00260435">
        <w:rPr>
          <w:rFonts w:ascii="Arial" w:hAnsi="Arial" w:cs="Arial"/>
          <w:color w:val="000000" w:themeColor="text1"/>
          <w:sz w:val="20"/>
          <w:szCs w:val="20"/>
          <w:shd w:val="clear" w:color="auto" w:fill="FFFFFF"/>
        </w:rPr>
        <w:t>The global New light of Myanmar 2025,Jan14 [https://www.gnlm.com.mm/rtad-records-17600-ev-registrations-by-dec-2024/]</w:t>
      </w:r>
    </w:p>
    <w:p w14:paraId="6BC89C0B" w14:textId="77777777" w:rsidR="002A2915" w:rsidRPr="00260435" w:rsidRDefault="002A2915" w:rsidP="00EE7FAC">
      <w:pPr>
        <w:ind w:left="1080" w:hanging="720"/>
        <w:jc w:val="both"/>
        <w:rPr>
          <w:rFonts w:ascii="Arial" w:hAnsi="Arial" w:cs="Arial"/>
          <w:color w:val="000000" w:themeColor="text1"/>
          <w:sz w:val="20"/>
          <w:szCs w:val="20"/>
          <w:shd w:val="clear" w:color="auto" w:fill="FFFFFF"/>
        </w:rPr>
      </w:pPr>
      <w:r w:rsidRPr="00260435">
        <w:rPr>
          <w:rFonts w:ascii="Arial" w:hAnsi="Arial" w:cs="Arial"/>
          <w:color w:val="000000" w:themeColor="text1"/>
          <w:sz w:val="20"/>
          <w:szCs w:val="20"/>
          <w:shd w:val="clear" w:color="auto" w:fill="FFFFFF"/>
        </w:rPr>
        <w:t>The electric vehicle infrastructure strategy,2022 [https://assets.publishing. service.gov.uk/media/6245ba40e90e075f15381cf0/taking-charge-the-electric-vehicle-infrastructure-strategy.pdf]</w:t>
      </w:r>
    </w:p>
    <w:p w14:paraId="0A174B4F" w14:textId="77777777" w:rsidR="002A2915" w:rsidRPr="00260435" w:rsidRDefault="002A2915" w:rsidP="00CF7556">
      <w:pPr>
        <w:ind w:left="1080" w:hanging="720"/>
        <w:jc w:val="both"/>
        <w:rPr>
          <w:rFonts w:ascii="Arial" w:hAnsi="Arial" w:cs="Arial"/>
          <w:color w:val="000000" w:themeColor="text1"/>
          <w:sz w:val="20"/>
          <w:szCs w:val="20"/>
        </w:rPr>
      </w:pPr>
      <w:proofErr w:type="spellStart"/>
      <w:r w:rsidRPr="00260435">
        <w:rPr>
          <w:rFonts w:ascii="Arial" w:hAnsi="Arial" w:cs="Arial"/>
          <w:color w:val="000000" w:themeColor="text1"/>
          <w:sz w:val="20"/>
          <w:szCs w:val="20"/>
        </w:rPr>
        <w:t>Toolib</w:t>
      </w:r>
      <w:proofErr w:type="spellEnd"/>
      <w:r w:rsidRPr="00260435">
        <w:rPr>
          <w:rFonts w:ascii="Arial" w:hAnsi="Arial" w:cs="Arial"/>
          <w:color w:val="000000" w:themeColor="text1"/>
          <w:sz w:val="20"/>
          <w:szCs w:val="20"/>
        </w:rPr>
        <w:t xml:space="preserve">, S. N., Wan Hanafi, W. N., Daud, S., &amp; </w:t>
      </w:r>
      <w:proofErr w:type="spellStart"/>
      <w:r w:rsidRPr="00260435">
        <w:rPr>
          <w:rFonts w:ascii="Arial" w:hAnsi="Arial" w:cs="Arial"/>
          <w:color w:val="000000" w:themeColor="text1"/>
          <w:sz w:val="20"/>
          <w:szCs w:val="20"/>
        </w:rPr>
        <w:t>Afsarizal</w:t>
      </w:r>
      <w:proofErr w:type="spellEnd"/>
      <w:r w:rsidRPr="00260435">
        <w:rPr>
          <w:rFonts w:ascii="Arial" w:hAnsi="Arial" w:cs="Arial"/>
          <w:color w:val="000000" w:themeColor="text1"/>
          <w:sz w:val="20"/>
          <w:szCs w:val="20"/>
        </w:rPr>
        <w:t>, H. A. (2023). Factors influencing electric vehicle adoption: A conceptual paper. </w:t>
      </w:r>
      <w:r w:rsidRPr="00260435">
        <w:rPr>
          <w:rFonts w:ascii="Arial" w:hAnsi="Arial" w:cs="Arial"/>
          <w:i/>
          <w:iCs/>
          <w:color w:val="000000" w:themeColor="text1"/>
          <w:sz w:val="20"/>
          <w:szCs w:val="20"/>
        </w:rPr>
        <w:t>European Proceedings of Finance and Economics</w:t>
      </w:r>
    </w:p>
    <w:p w14:paraId="3AB0CC2C" w14:textId="77777777" w:rsidR="002A2915" w:rsidRPr="00260435" w:rsidRDefault="002A2915" w:rsidP="00CF7556">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rPr>
        <w:t>Tu, J.-C., &amp; Yang, C. (2019). Key factors influencing consumers’ purchase of electric vehicles. Sustainability, 11(14), 3863. https://doi.org/10.3390/su11143863</w:t>
      </w:r>
    </w:p>
    <w:p w14:paraId="2B958FD9" w14:textId="77777777" w:rsidR="002A2915" w:rsidRPr="00260435" w:rsidRDefault="002A2915" w:rsidP="004C300F">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rPr>
        <w:t>World Bank. Myanmar Infrastructure Monitoring: Energy Sector; Report No. P177540. Available online: https://documents1.worldbank.org/curated/ en/099045104062298290/pdf/P177540085ed880ca098230031387b28dd2.pdf (accessed on 5 April 2025)</w:t>
      </w:r>
    </w:p>
    <w:p w14:paraId="23BC45D6" w14:textId="77777777" w:rsidR="002A2915" w:rsidRPr="00260435" w:rsidRDefault="002A2915" w:rsidP="004C300F">
      <w:pPr>
        <w:ind w:left="1080" w:hanging="720"/>
        <w:jc w:val="both"/>
        <w:rPr>
          <w:rFonts w:ascii="Arial" w:hAnsi="Arial" w:cs="Arial"/>
          <w:color w:val="000000" w:themeColor="text1"/>
          <w:sz w:val="20"/>
          <w:szCs w:val="20"/>
        </w:rPr>
      </w:pPr>
      <w:r w:rsidRPr="00260435">
        <w:rPr>
          <w:rFonts w:ascii="Arial" w:hAnsi="Arial" w:cs="Arial"/>
          <w:color w:val="000000" w:themeColor="text1"/>
          <w:sz w:val="20"/>
          <w:szCs w:val="20"/>
          <w:shd w:val="clear" w:color="auto" w:fill="FFFFFF"/>
        </w:rPr>
        <w:lastRenderedPageBreak/>
        <w:t xml:space="preserve">Zaino, R., Ahmed, V., Alhammadi, A. M., &amp; </w:t>
      </w:r>
      <w:proofErr w:type="spellStart"/>
      <w:r w:rsidRPr="00260435">
        <w:rPr>
          <w:rFonts w:ascii="Arial" w:hAnsi="Arial" w:cs="Arial"/>
          <w:color w:val="000000" w:themeColor="text1"/>
          <w:sz w:val="20"/>
          <w:szCs w:val="20"/>
          <w:shd w:val="clear" w:color="auto" w:fill="FFFFFF"/>
        </w:rPr>
        <w:t>Alghoush</w:t>
      </w:r>
      <w:proofErr w:type="spellEnd"/>
      <w:r w:rsidRPr="00260435">
        <w:rPr>
          <w:rFonts w:ascii="Arial" w:hAnsi="Arial" w:cs="Arial"/>
          <w:color w:val="000000" w:themeColor="text1"/>
          <w:sz w:val="20"/>
          <w:szCs w:val="20"/>
          <w:shd w:val="clear" w:color="auto" w:fill="FFFFFF"/>
        </w:rPr>
        <w:t>, M. (2024). Electric vehicle adoption: A comprehensive systematic review of technological, environmental, organizational and policy impacts. </w:t>
      </w:r>
      <w:r w:rsidRPr="00260435">
        <w:rPr>
          <w:rFonts w:ascii="Arial" w:hAnsi="Arial" w:cs="Arial"/>
          <w:iCs/>
          <w:color w:val="000000" w:themeColor="text1"/>
          <w:sz w:val="20"/>
          <w:szCs w:val="20"/>
          <w:shd w:val="clear" w:color="auto" w:fill="FFFFFF"/>
        </w:rPr>
        <w:t>World electric vehicle journal</w:t>
      </w:r>
      <w:r w:rsidRPr="00260435">
        <w:rPr>
          <w:rFonts w:ascii="Arial" w:hAnsi="Arial" w:cs="Arial"/>
          <w:color w:val="000000" w:themeColor="text1"/>
          <w:sz w:val="20"/>
          <w:szCs w:val="20"/>
          <w:shd w:val="clear" w:color="auto" w:fill="FFFFFF"/>
        </w:rPr>
        <w:t>, </w:t>
      </w:r>
      <w:r w:rsidRPr="00260435">
        <w:rPr>
          <w:rFonts w:ascii="Arial" w:hAnsi="Arial" w:cs="Arial"/>
          <w:iCs/>
          <w:color w:val="000000" w:themeColor="text1"/>
          <w:sz w:val="20"/>
          <w:szCs w:val="20"/>
          <w:shd w:val="clear" w:color="auto" w:fill="FFFFFF"/>
        </w:rPr>
        <w:t>15</w:t>
      </w:r>
      <w:r w:rsidRPr="00260435">
        <w:rPr>
          <w:rFonts w:ascii="Arial" w:hAnsi="Arial" w:cs="Arial"/>
          <w:color w:val="000000" w:themeColor="text1"/>
          <w:sz w:val="20"/>
          <w:szCs w:val="20"/>
          <w:shd w:val="clear" w:color="auto" w:fill="FFFFFF"/>
        </w:rPr>
        <w:t>(8), 375</w:t>
      </w:r>
      <w:r w:rsidRPr="00260435">
        <w:rPr>
          <w:rFonts w:ascii="Arial" w:hAnsi="Arial" w:cs="Arial"/>
          <w:color w:val="000000" w:themeColor="text1"/>
          <w:sz w:val="20"/>
          <w:szCs w:val="20"/>
        </w:rPr>
        <w:t xml:space="preserve"> </w:t>
      </w:r>
    </w:p>
    <w:sectPr w:rsidR="002A2915" w:rsidRPr="00260435" w:rsidSect="006B25B8">
      <w:headerReference w:type="default" r:id="rId15"/>
      <w:footerReference w:type="default" r:id="rId16"/>
      <w:pgSz w:w="11909" w:h="16834" w:code="9"/>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FFA2" w14:textId="77777777" w:rsidR="006A7616" w:rsidRDefault="006A7616" w:rsidP="001B22D5">
      <w:r>
        <w:separator/>
      </w:r>
    </w:p>
  </w:endnote>
  <w:endnote w:type="continuationSeparator" w:id="0">
    <w:p w14:paraId="761410F7" w14:textId="77777777" w:rsidR="006A7616" w:rsidRDefault="006A7616" w:rsidP="001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yidaungsu">
    <w:altName w:val="Myanmar Text"/>
    <w:charset w:val="00"/>
    <w:family w:val="swiss"/>
    <w:pitch w:val="variable"/>
    <w:sig w:usb0="00000003" w:usb1="1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FAC7" w14:textId="575B5F20" w:rsidR="00AB04D8" w:rsidRPr="00E033DA" w:rsidRDefault="00AB04D8" w:rsidP="00AB04D8">
    <w:pPr>
      <w:pStyle w:val="Footer"/>
      <w:spacing w:before="120"/>
      <w:rPr>
        <w:i/>
        <w:sz w:val="18"/>
        <w:szCs w:val="18"/>
      </w:rPr>
    </w:pPr>
  </w:p>
  <w:p w14:paraId="515C1FE0" w14:textId="5F73E69B" w:rsidR="00E033DA" w:rsidRPr="00E033DA" w:rsidRDefault="00E033DA" w:rsidP="00E76021">
    <w:pPr>
      <w:spacing w:before="120" w:line="360" w:lineRule="auto"/>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4D8A" w14:textId="77777777" w:rsidR="006A7616" w:rsidRDefault="006A7616" w:rsidP="001B22D5">
      <w:r>
        <w:separator/>
      </w:r>
    </w:p>
  </w:footnote>
  <w:footnote w:type="continuationSeparator" w:id="0">
    <w:p w14:paraId="6254F6F7" w14:textId="77777777" w:rsidR="006A7616" w:rsidRDefault="006A7616" w:rsidP="001B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261976"/>
      <w:docPartObj>
        <w:docPartGallery w:val="Page Numbers (Top of Page)"/>
        <w:docPartUnique/>
      </w:docPartObj>
    </w:sdtPr>
    <w:sdtEndPr>
      <w:rPr>
        <w:rFonts w:ascii="Times New Roman" w:hAnsi="Times New Roman" w:cs="Times New Roman"/>
        <w:noProof/>
        <w:sz w:val="22"/>
        <w:szCs w:val="22"/>
      </w:rPr>
    </w:sdtEndPr>
    <w:sdtContent>
      <w:p w14:paraId="640C5020" w14:textId="6940E888" w:rsidR="001B22D5" w:rsidRPr="001B22D5" w:rsidRDefault="001B22D5">
        <w:pPr>
          <w:pStyle w:val="Header"/>
          <w:jc w:val="center"/>
          <w:rPr>
            <w:rFonts w:ascii="Times New Roman" w:hAnsi="Times New Roman" w:cs="Times New Roman"/>
            <w:sz w:val="22"/>
            <w:szCs w:val="22"/>
          </w:rPr>
        </w:pPr>
        <w:r w:rsidRPr="001B22D5">
          <w:rPr>
            <w:rFonts w:ascii="Times New Roman" w:hAnsi="Times New Roman" w:cs="Times New Roman"/>
            <w:sz w:val="22"/>
            <w:szCs w:val="22"/>
          </w:rPr>
          <w:fldChar w:fldCharType="begin"/>
        </w:r>
        <w:r w:rsidRPr="001B22D5">
          <w:rPr>
            <w:rFonts w:ascii="Times New Roman" w:hAnsi="Times New Roman" w:cs="Times New Roman"/>
            <w:sz w:val="22"/>
            <w:szCs w:val="22"/>
          </w:rPr>
          <w:instrText xml:space="preserve"> PAGE   \* MERGEFORMAT </w:instrText>
        </w:r>
        <w:r w:rsidRPr="001B22D5">
          <w:rPr>
            <w:rFonts w:ascii="Times New Roman" w:hAnsi="Times New Roman" w:cs="Times New Roman"/>
            <w:sz w:val="22"/>
            <w:szCs w:val="22"/>
          </w:rPr>
          <w:fldChar w:fldCharType="separate"/>
        </w:r>
        <w:r w:rsidR="00D8428B">
          <w:rPr>
            <w:rFonts w:ascii="Times New Roman" w:hAnsi="Times New Roman" w:cs="Times New Roman"/>
            <w:noProof/>
            <w:sz w:val="22"/>
            <w:szCs w:val="22"/>
          </w:rPr>
          <w:t>10</w:t>
        </w:r>
        <w:r w:rsidRPr="001B22D5">
          <w:rPr>
            <w:rFonts w:ascii="Times New Roman" w:hAnsi="Times New Roman" w:cs="Times New Roman"/>
            <w:noProof/>
            <w:sz w:val="22"/>
            <w:szCs w:val="22"/>
          </w:rPr>
          <w:fldChar w:fldCharType="end"/>
        </w:r>
      </w:p>
    </w:sdtContent>
  </w:sdt>
  <w:p w14:paraId="720133D0" w14:textId="77777777" w:rsidR="001B22D5" w:rsidRDefault="001B2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374"/>
    <w:multiLevelType w:val="multilevel"/>
    <w:tmpl w:val="A42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12A07"/>
    <w:multiLevelType w:val="hybridMultilevel"/>
    <w:tmpl w:val="13CCEB90"/>
    <w:lvl w:ilvl="0" w:tplc="72AA49E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31969"/>
    <w:multiLevelType w:val="multilevel"/>
    <w:tmpl w:val="17F6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01E44"/>
    <w:multiLevelType w:val="multilevel"/>
    <w:tmpl w:val="A64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F475F"/>
    <w:multiLevelType w:val="multilevel"/>
    <w:tmpl w:val="824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A7C07"/>
    <w:multiLevelType w:val="multilevel"/>
    <w:tmpl w:val="D8FA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21B2A"/>
    <w:multiLevelType w:val="hybridMultilevel"/>
    <w:tmpl w:val="BCC086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C41C5"/>
    <w:multiLevelType w:val="hybridMultilevel"/>
    <w:tmpl w:val="D33AF5D2"/>
    <w:lvl w:ilvl="0" w:tplc="23FCC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F7034"/>
    <w:multiLevelType w:val="hybridMultilevel"/>
    <w:tmpl w:val="A094C3A4"/>
    <w:lvl w:ilvl="0" w:tplc="5B38F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D202F"/>
    <w:multiLevelType w:val="hybridMultilevel"/>
    <w:tmpl w:val="8FCAC54A"/>
    <w:lvl w:ilvl="0" w:tplc="23FCC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051B4"/>
    <w:multiLevelType w:val="multilevel"/>
    <w:tmpl w:val="52FCE78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B48F3"/>
    <w:multiLevelType w:val="multilevel"/>
    <w:tmpl w:val="9B02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80107D"/>
    <w:multiLevelType w:val="multilevel"/>
    <w:tmpl w:val="9908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7335C"/>
    <w:multiLevelType w:val="multilevel"/>
    <w:tmpl w:val="41C0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D3811"/>
    <w:multiLevelType w:val="multilevel"/>
    <w:tmpl w:val="6C34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0DEF"/>
    <w:multiLevelType w:val="multilevel"/>
    <w:tmpl w:val="7DCA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62486B"/>
    <w:multiLevelType w:val="multilevel"/>
    <w:tmpl w:val="E2D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2"/>
  </w:num>
  <w:num w:numId="4">
    <w:abstractNumId w:val="8"/>
  </w:num>
  <w:num w:numId="5">
    <w:abstractNumId w:val="14"/>
  </w:num>
  <w:num w:numId="6">
    <w:abstractNumId w:val="10"/>
  </w:num>
  <w:num w:numId="7">
    <w:abstractNumId w:val="6"/>
  </w:num>
  <w:num w:numId="8">
    <w:abstractNumId w:val="1"/>
  </w:num>
  <w:num w:numId="9">
    <w:abstractNumId w:val="3"/>
  </w:num>
  <w:num w:numId="10">
    <w:abstractNumId w:val="15"/>
  </w:num>
  <w:num w:numId="11">
    <w:abstractNumId w:val="2"/>
  </w:num>
  <w:num w:numId="12">
    <w:abstractNumId w:val="13"/>
  </w:num>
  <w:num w:numId="13">
    <w:abstractNumId w:val="11"/>
  </w:num>
  <w:num w:numId="14">
    <w:abstractNumId w:val="9"/>
  </w:num>
  <w:num w:numId="15">
    <w:abstractNumId w:val="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5F"/>
    <w:rsid w:val="000017F4"/>
    <w:rsid w:val="00007E28"/>
    <w:rsid w:val="000430EF"/>
    <w:rsid w:val="00044289"/>
    <w:rsid w:val="00067F6C"/>
    <w:rsid w:val="000767C7"/>
    <w:rsid w:val="000773AF"/>
    <w:rsid w:val="00083411"/>
    <w:rsid w:val="000871EC"/>
    <w:rsid w:val="00096577"/>
    <w:rsid w:val="000A01CB"/>
    <w:rsid w:val="000A3751"/>
    <w:rsid w:val="000A7217"/>
    <w:rsid w:val="000C7C40"/>
    <w:rsid w:val="000D19C0"/>
    <w:rsid w:val="000D7200"/>
    <w:rsid w:val="000E2E08"/>
    <w:rsid w:val="000F2B55"/>
    <w:rsid w:val="000F391E"/>
    <w:rsid w:val="0010289E"/>
    <w:rsid w:val="00110B73"/>
    <w:rsid w:val="00126930"/>
    <w:rsid w:val="00130360"/>
    <w:rsid w:val="001319C9"/>
    <w:rsid w:val="00182BF9"/>
    <w:rsid w:val="001B22D5"/>
    <w:rsid w:val="001B49A8"/>
    <w:rsid w:val="001B4E37"/>
    <w:rsid w:val="001C147E"/>
    <w:rsid w:val="001C7509"/>
    <w:rsid w:val="001D7B5F"/>
    <w:rsid w:val="001E37BF"/>
    <w:rsid w:val="001E58E1"/>
    <w:rsid w:val="00200062"/>
    <w:rsid w:val="00201913"/>
    <w:rsid w:val="00204250"/>
    <w:rsid w:val="00212261"/>
    <w:rsid w:val="00214B7B"/>
    <w:rsid w:val="002168CC"/>
    <w:rsid w:val="002168D7"/>
    <w:rsid w:val="00223293"/>
    <w:rsid w:val="0023508C"/>
    <w:rsid w:val="00260435"/>
    <w:rsid w:val="00260F8B"/>
    <w:rsid w:val="00262A86"/>
    <w:rsid w:val="0026441D"/>
    <w:rsid w:val="00267DA4"/>
    <w:rsid w:val="00272577"/>
    <w:rsid w:val="00285EDC"/>
    <w:rsid w:val="0029733B"/>
    <w:rsid w:val="002A10CF"/>
    <w:rsid w:val="002A1A92"/>
    <w:rsid w:val="002A2774"/>
    <w:rsid w:val="002A2915"/>
    <w:rsid w:val="002A381B"/>
    <w:rsid w:val="002A4BE1"/>
    <w:rsid w:val="002D1E42"/>
    <w:rsid w:val="003047DB"/>
    <w:rsid w:val="003067B4"/>
    <w:rsid w:val="00356753"/>
    <w:rsid w:val="003617F7"/>
    <w:rsid w:val="0037048C"/>
    <w:rsid w:val="00385275"/>
    <w:rsid w:val="003A50DD"/>
    <w:rsid w:val="003E7B05"/>
    <w:rsid w:val="0040499B"/>
    <w:rsid w:val="00415E7D"/>
    <w:rsid w:val="00423828"/>
    <w:rsid w:val="0043085D"/>
    <w:rsid w:val="00434471"/>
    <w:rsid w:val="00441A51"/>
    <w:rsid w:val="00450346"/>
    <w:rsid w:val="00464DB4"/>
    <w:rsid w:val="00473A65"/>
    <w:rsid w:val="00475E12"/>
    <w:rsid w:val="004850B6"/>
    <w:rsid w:val="00492E2B"/>
    <w:rsid w:val="00494EBE"/>
    <w:rsid w:val="004A1C8A"/>
    <w:rsid w:val="004A287A"/>
    <w:rsid w:val="004A3019"/>
    <w:rsid w:val="004B570C"/>
    <w:rsid w:val="004B6092"/>
    <w:rsid w:val="004C300F"/>
    <w:rsid w:val="004C425B"/>
    <w:rsid w:val="004E4EA0"/>
    <w:rsid w:val="004E686E"/>
    <w:rsid w:val="00503263"/>
    <w:rsid w:val="00520527"/>
    <w:rsid w:val="0053095A"/>
    <w:rsid w:val="005338AC"/>
    <w:rsid w:val="00542170"/>
    <w:rsid w:val="00552F93"/>
    <w:rsid w:val="00565137"/>
    <w:rsid w:val="005706CF"/>
    <w:rsid w:val="0057128B"/>
    <w:rsid w:val="00573CDD"/>
    <w:rsid w:val="005962C7"/>
    <w:rsid w:val="005A3C15"/>
    <w:rsid w:val="005C6F5F"/>
    <w:rsid w:val="005D73F7"/>
    <w:rsid w:val="005F363A"/>
    <w:rsid w:val="005F41EF"/>
    <w:rsid w:val="005F76CB"/>
    <w:rsid w:val="00604E8D"/>
    <w:rsid w:val="00616B7C"/>
    <w:rsid w:val="00621D26"/>
    <w:rsid w:val="00630717"/>
    <w:rsid w:val="00641B32"/>
    <w:rsid w:val="00652ED3"/>
    <w:rsid w:val="00677679"/>
    <w:rsid w:val="00681C55"/>
    <w:rsid w:val="00687615"/>
    <w:rsid w:val="00691DF0"/>
    <w:rsid w:val="006A7616"/>
    <w:rsid w:val="006B25B8"/>
    <w:rsid w:val="006D31B5"/>
    <w:rsid w:val="006D5121"/>
    <w:rsid w:val="006E08A0"/>
    <w:rsid w:val="0070596A"/>
    <w:rsid w:val="007064EA"/>
    <w:rsid w:val="00726861"/>
    <w:rsid w:val="0073555E"/>
    <w:rsid w:val="007439B5"/>
    <w:rsid w:val="00745CAD"/>
    <w:rsid w:val="00747A23"/>
    <w:rsid w:val="00747C43"/>
    <w:rsid w:val="007574E9"/>
    <w:rsid w:val="007579F4"/>
    <w:rsid w:val="00790A7F"/>
    <w:rsid w:val="007913EE"/>
    <w:rsid w:val="007A3A86"/>
    <w:rsid w:val="007C0D3A"/>
    <w:rsid w:val="007D5C2C"/>
    <w:rsid w:val="007D6D2B"/>
    <w:rsid w:val="007E16BD"/>
    <w:rsid w:val="007E6971"/>
    <w:rsid w:val="007F399B"/>
    <w:rsid w:val="007F3ABB"/>
    <w:rsid w:val="00807D4F"/>
    <w:rsid w:val="00815613"/>
    <w:rsid w:val="008226C2"/>
    <w:rsid w:val="0083087E"/>
    <w:rsid w:val="00844141"/>
    <w:rsid w:val="00871F23"/>
    <w:rsid w:val="008771F1"/>
    <w:rsid w:val="00883762"/>
    <w:rsid w:val="008B3F1A"/>
    <w:rsid w:val="008B71F5"/>
    <w:rsid w:val="008C05F5"/>
    <w:rsid w:val="008C2B05"/>
    <w:rsid w:val="008F498F"/>
    <w:rsid w:val="008F5ED1"/>
    <w:rsid w:val="00935A83"/>
    <w:rsid w:val="0093791B"/>
    <w:rsid w:val="00957C49"/>
    <w:rsid w:val="0096164D"/>
    <w:rsid w:val="009626DC"/>
    <w:rsid w:val="00964277"/>
    <w:rsid w:val="00972729"/>
    <w:rsid w:val="009809F6"/>
    <w:rsid w:val="00986C71"/>
    <w:rsid w:val="009951B2"/>
    <w:rsid w:val="009A4DA1"/>
    <w:rsid w:val="009B364C"/>
    <w:rsid w:val="009C4B80"/>
    <w:rsid w:val="009D157E"/>
    <w:rsid w:val="009E1E78"/>
    <w:rsid w:val="009E2771"/>
    <w:rsid w:val="009E3F84"/>
    <w:rsid w:val="009F08D5"/>
    <w:rsid w:val="00A03B8B"/>
    <w:rsid w:val="00A21F5C"/>
    <w:rsid w:val="00A43C12"/>
    <w:rsid w:val="00A56DA8"/>
    <w:rsid w:val="00A5779F"/>
    <w:rsid w:val="00A61211"/>
    <w:rsid w:val="00A61434"/>
    <w:rsid w:val="00A71027"/>
    <w:rsid w:val="00A73ED6"/>
    <w:rsid w:val="00A74420"/>
    <w:rsid w:val="00A87367"/>
    <w:rsid w:val="00AA0049"/>
    <w:rsid w:val="00AA21D6"/>
    <w:rsid w:val="00AB04D8"/>
    <w:rsid w:val="00AC4645"/>
    <w:rsid w:val="00AD578C"/>
    <w:rsid w:val="00AE4013"/>
    <w:rsid w:val="00B06F54"/>
    <w:rsid w:val="00B15BCF"/>
    <w:rsid w:val="00B1783E"/>
    <w:rsid w:val="00B24FD1"/>
    <w:rsid w:val="00B328CD"/>
    <w:rsid w:val="00B37F1B"/>
    <w:rsid w:val="00B548B5"/>
    <w:rsid w:val="00B61A1D"/>
    <w:rsid w:val="00B70125"/>
    <w:rsid w:val="00B7104D"/>
    <w:rsid w:val="00B8420B"/>
    <w:rsid w:val="00B958D1"/>
    <w:rsid w:val="00B96806"/>
    <w:rsid w:val="00BB28B8"/>
    <w:rsid w:val="00BD045B"/>
    <w:rsid w:val="00BD6424"/>
    <w:rsid w:val="00BE24F7"/>
    <w:rsid w:val="00BE2ECB"/>
    <w:rsid w:val="00BF5A28"/>
    <w:rsid w:val="00C02E29"/>
    <w:rsid w:val="00C06BF0"/>
    <w:rsid w:val="00C351E1"/>
    <w:rsid w:val="00C45422"/>
    <w:rsid w:val="00C60B73"/>
    <w:rsid w:val="00C8052F"/>
    <w:rsid w:val="00C93A94"/>
    <w:rsid w:val="00CA0DE3"/>
    <w:rsid w:val="00CC09F3"/>
    <w:rsid w:val="00CC6EB8"/>
    <w:rsid w:val="00CC7EE9"/>
    <w:rsid w:val="00CF69A8"/>
    <w:rsid w:val="00CF7556"/>
    <w:rsid w:val="00D0139E"/>
    <w:rsid w:val="00D06486"/>
    <w:rsid w:val="00D1367B"/>
    <w:rsid w:val="00D14945"/>
    <w:rsid w:val="00D24775"/>
    <w:rsid w:val="00D37608"/>
    <w:rsid w:val="00D514E3"/>
    <w:rsid w:val="00D52926"/>
    <w:rsid w:val="00D63B03"/>
    <w:rsid w:val="00D72EFA"/>
    <w:rsid w:val="00D7328B"/>
    <w:rsid w:val="00D735AD"/>
    <w:rsid w:val="00D8428B"/>
    <w:rsid w:val="00D907AC"/>
    <w:rsid w:val="00DA472B"/>
    <w:rsid w:val="00DE5370"/>
    <w:rsid w:val="00DF107F"/>
    <w:rsid w:val="00DF7A66"/>
    <w:rsid w:val="00E033DA"/>
    <w:rsid w:val="00E06953"/>
    <w:rsid w:val="00E07E7F"/>
    <w:rsid w:val="00E2007A"/>
    <w:rsid w:val="00E33A61"/>
    <w:rsid w:val="00E54565"/>
    <w:rsid w:val="00E560D6"/>
    <w:rsid w:val="00E70BCF"/>
    <w:rsid w:val="00E76021"/>
    <w:rsid w:val="00E77AE7"/>
    <w:rsid w:val="00EA3C5B"/>
    <w:rsid w:val="00EC7405"/>
    <w:rsid w:val="00ED689A"/>
    <w:rsid w:val="00EE7FAC"/>
    <w:rsid w:val="00EF3C01"/>
    <w:rsid w:val="00F078B9"/>
    <w:rsid w:val="00F11159"/>
    <w:rsid w:val="00F43E80"/>
    <w:rsid w:val="00F61002"/>
    <w:rsid w:val="00F667E5"/>
    <w:rsid w:val="00F8250A"/>
    <w:rsid w:val="00F826BE"/>
    <w:rsid w:val="00F86923"/>
    <w:rsid w:val="00FA0C79"/>
    <w:rsid w:val="00FA49D2"/>
    <w:rsid w:val="00FA52B7"/>
    <w:rsid w:val="00FA79BB"/>
    <w:rsid w:val="00FB77D4"/>
    <w:rsid w:val="00FC1A03"/>
    <w:rsid w:val="00FC4158"/>
    <w:rsid w:val="00FC6419"/>
    <w:rsid w:val="00FD4B39"/>
    <w:rsid w:val="00FE7169"/>
    <w:rsid w:val="00FF1625"/>
    <w:rsid w:val="00FF6BA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884C"/>
  <w15:docId w15:val="{F7BA54EE-A06B-4CED-9D01-9CB05979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52F"/>
    <w:pPr>
      <w:spacing w:after="0" w:line="240" w:lineRule="auto"/>
    </w:pPr>
    <w:rPr>
      <w:rFonts w:ascii="Times New Roman" w:eastAsia="Times New Roman" w:hAnsi="Times New Roman" w:cs="Times New Roman"/>
      <w:kern w:val="0"/>
      <w:lang w:bidi="ar-SA"/>
      <w14:ligatures w14:val="none"/>
    </w:rPr>
  </w:style>
  <w:style w:type="paragraph" w:styleId="Heading1">
    <w:name w:val="heading 1"/>
    <w:basedOn w:val="Normal"/>
    <w:next w:val="Normal"/>
    <w:link w:val="Heading1Char"/>
    <w:uiPriority w:val="9"/>
    <w:qFormat/>
    <w:rsid w:val="005C6F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my-MM"/>
      <w14:ligatures w14:val="standardContextual"/>
    </w:rPr>
  </w:style>
  <w:style w:type="paragraph" w:styleId="Heading2">
    <w:name w:val="heading 2"/>
    <w:basedOn w:val="Normal"/>
    <w:next w:val="Normal"/>
    <w:link w:val="Heading2Char"/>
    <w:uiPriority w:val="9"/>
    <w:semiHidden/>
    <w:unhideWhenUsed/>
    <w:qFormat/>
    <w:rsid w:val="005C6F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my-MM"/>
      <w14:ligatures w14:val="standardContextual"/>
    </w:rPr>
  </w:style>
  <w:style w:type="paragraph" w:styleId="Heading3">
    <w:name w:val="heading 3"/>
    <w:basedOn w:val="Normal"/>
    <w:next w:val="Normal"/>
    <w:link w:val="Heading3Char"/>
    <w:uiPriority w:val="9"/>
    <w:semiHidden/>
    <w:unhideWhenUsed/>
    <w:qFormat/>
    <w:rsid w:val="005C6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F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F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F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F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5F"/>
    <w:rPr>
      <w:rFonts w:eastAsiaTheme="majorEastAsia" w:cstheme="majorBidi"/>
      <w:color w:val="272727" w:themeColor="text1" w:themeTint="D8"/>
    </w:rPr>
  </w:style>
  <w:style w:type="paragraph" w:styleId="Title">
    <w:name w:val="Title"/>
    <w:basedOn w:val="Normal"/>
    <w:next w:val="Normal"/>
    <w:link w:val="TitleChar"/>
    <w:uiPriority w:val="10"/>
    <w:qFormat/>
    <w:rsid w:val="005C6F5F"/>
    <w:pPr>
      <w:spacing w:after="80"/>
      <w:contextualSpacing/>
    </w:pPr>
    <w:rPr>
      <w:rFonts w:asciiTheme="majorHAnsi" w:eastAsiaTheme="majorEastAsia" w:hAnsiTheme="majorHAnsi" w:cstheme="majorBidi"/>
      <w:spacing w:val="-10"/>
      <w:kern w:val="28"/>
      <w:sz w:val="56"/>
      <w:szCs w:val="56"/>
      <w:lang w:bidi="my-MM"/>
      <w14:ligatures w14:val="standardContextual"/>
    </w:rPr>
  </w:style>
  <w:style w:type="character" w:customStyle="1" w:styleId="TitleChar">
    <w:name w:val="Title Char"/>
    <w:basedOn w:val="DefaultParagraphFont"/>
    <w:link w:val="Title"/>
    <w:uiPriority w:val="10"/>
    <w:rsid w:val="005C6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my-MM"/>
      <w14:ligatures w14:val="standardContextual"/>
    </w:rPr>
  </w:style>
  <w:style w:type="character" w:customStyle="1" w:styleId="SubtitleChar">
    <w:name w:val="Subtitle Char"/>
    <w:basedOn w:val="DefaultParagraphFont"/>
    <w:link w:val="Subtitle"/>
    <w:uiPriority w:val="11"/>
    <w:rsid w:val="005C6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5F"/>
    <w:pPr>
      <w:spacing w:before="160" w:after="160" w:line="278" w:lineRule="auto"/>
      <w:jc w:val="center"/>
    </w:pPr>
    <w:rPr>
      <w:rFonts w:asciiTheme="minorHAnsi" w:eastAsiaTheme="minorHAnsi" w:hAnsiTheme="minorHAnsi" w:cstheme="minorBidi"/>
      <w:i/>
      <w:iCs/>
      <w:color w:val="404040" w:themeColor="text1" w:themeTint="BF"/>
      <w:kern w:val="2"/>
      <w:lang w:bidi="my-MM"/>
      <w14:ligatures w14:val="standardContextual"/>
    </w:rPr>
  </w:style>
  <w:style w:type="character" w:customStyle="1" w:styleId="QuoteChar">
    <w:name w:val="Quote Char"/>
    <w:basedOn w:val="DefaultParagraphFont"/>
    <w:link w:val="Quote"/>
    <w:uiPriority w:val="29"/>
    <w:rsid w:val="005C6F5F"/>
    <w:rPr>
      <w:i/>
      <w:iCs/>
      <w:color w:val="404040" w:themeColor="text1" w:themeTint="BF"/>
    </w:rPr>
  </w:style>
  <w:style w:type="paragraph" w:styleId="ListParagraph">
    <w:name w:val="List Paragraph"/>
    <w:basedOn w:val="Normal"/>
    <w:uiPriority w:val="34"/>
    <w:qFormat/>
    <w:rsid w:val="005C6F5F"/>
    <w:pPr>
      <w:spacing w:after="160" w:line="278" w:lineRule="auto"/>
      <w:ind w:left="720"/>
      <w:contextualSpacing/>
    </w:pPr>
    <w:rPr>
      <w:rFonts w:asciiTheme="minorHAnsi" w:eastAsiaTheme="minorHAnsi" w:hAnsiTheme="minorHAnsi" w:cstheme="minorBidi"/>
      <w:kern w:val="2"/>
      <w:lang w:bidi="my-MM"/>
      <w14:ligatures w14:val="standardContextual"/>
    </w:rPr>
  </w:style>
  <w:style w:type="character" w:styleId="IntenseEmphasis">
    <w:name w:val="Intense Emphasis"/>
    <w:basedOn w:val="DefaultParagraphFont"/>
    <w:uiPriority w:val="21"/>
    <w:qFormat/>
    <w:rsid w:val="005C6F5F"/>
    <w:rPr>
      <w:i/>
      <w:iCs/>
      <w:color w:val="0F4761" w:themeColor="accent1" w:themeShade="BF"/>
    </w:rPr>
  </w:style>
  <w:style w:type="paragraph" w:styleId="IntenseQuote">
    <w:name w:val="Intense Quote"/>
    <w:basedOn w:val="Normal"/>
    <w:next w:val="Normal"/>
    <w:link w:val="IntenseQuoteChar"/>
    <w:uiPriority w:val="30"/>
    <w:qFormat/>
    <w:rsid w:val="005C6F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my-MM"/>
      <w14:ligatures w14:val="standardContextual"/>
    </w:rPr>
  </w:style>
  <w:style w:type="character" w:customStyle="1" w:styleId="IntenseQuoteChar">
    <w:name w:val="Intense Quote Char"/>
    <w:basedOn w:val="DefaultParagraphFont"/>
    <w:link w:val="IntenseQuote"/>
    <w:uiPriority w:val="30"/>
    <w:rsid w:val="005C6F5F"/>
    <w:rPr>
      <w:i/>
      <w:iCs/>
      <w:color w:val="0F4761" w:themeColor="accent1" w:themeShade="BF"/>
    </w:rPr>
  </w:style>
  <w:style w:type="character" w:styleId="IntenseReference">
    <w:name w:val="Intense Reference"/>
    <w:basedOn w:val="DefaultParagraphFont"/>
    <w:uiPriority w:val="32"/>
    <w:qFormat/>
    <w:rsid w:val="005C6F5F"/>
    <w:rPr>
      <w:b/>
      <w:bCs/>
      <w:smallCaps/>
      <w:color w:val="0F4761" w:themeColor="accent1" w:themeShade="BF"/>
      <w:spacing w:val="5"/>
    </w:rPr>
  </w:style>
  <w:style w:type="paragraph" w:styleId="NormalWeb">
    <w:name w:val="Normal (Web)"/>
    <w:basedOn w:val="Normal"/>
    <w:uiPriority w:val="99"/>
    <w:unhideWhenUsed/>
    <w:rsid w:val="005C6F5F"/>
  </w:style>
  <w:style w:type="table" w:styleId="TableGrid">
    <w:name w:val="Table Grid"/>
    <w:basedOn w:val="TableNormal"/>
    <w:uiPriority w:val="39"/>
    <w:rsid w:val="00F826BE"/>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420"/>
    <w:rPr>
      <w:rFonts w:ascii="Tahoma" w:eastAsiaTheme="minorHAnsi" w:hAnsi="Tahoma" w:cs="Tahoma"/>
      <w:kern w:val="2"/>
      <w:sz w:val="16"/>
      <w:szCs w:val="16"/>
      <w:lang w:bidi="my-MM"/>
      <w14:ligatures w14:val="standardContextual"/>
    </w:rPr>
  </w:style>
  <w:style w:type="character" w:customStyle="1" w:styleId="BalloonTextChar">
    <w:name w:val="Balloon Text Char"/>
    <w:basedOn w:val="DefaultParagraphFont"/>
    <w:link w:val="BalloonText"/>
    <w:uiPriority w:val="99"/>
    <w:semiHidden/>
    <w:rsid w:val="00A74420"/>
    <w:rPr>
      <w:rFonts w:ascii="Tahoma" w:hAnsi="Tahoma" w:cs="Tahoma"/>
      <w:sz w:val="16"/>
      <w:szCs w:val="16"/>
    </w:rPr>
  </w:style>
  <w:style w:type="paragraph" w:styleId="Header">
    <w:name w:val="header"/>
    <w:basedOn w:val="Normal"/>
    <w:link w:val="HeaderChar"/>
    <w:uiPriority w:val="99"/>
    <w:unhideWhenUsed/>
    <w:rsid w:val="001B22D5"/>
    <w:pPr>
      <w:tabs>
        <w:tab w:val="center" w:pos="4680"/>
        <w:tab w:val="right" w:pos="9360"/>
      </w:tabs>
    </w:pPr>
    <w:rPr>
      <w:rFonts w:asciiTheme="minorHAnsi" w:eastAsiaTheme="minorHAnsi" w:hAnsiTheme="minorHAnsi" w:cstheme="minorBidi"/>
      <w:kern w:val="2"/>
      <w:lang w:bidi="my-MM"/>
      <w14:ligatures w14:val="standardContextual"/>
    </w:rPr>
  </w:style>
  <w:style w:type="character" w:customStyle="1" w:styleId="HeaderChar">
    <w:name w:val="Header Char"/>
    <w:basedOn w:val="DefaultParagraphFont"/>
    <w:link w:val="Header"/>
    <w:uiPriority w:val="99"/>
    <w:rsid w:val="001B22D5"/>
  </w:style>
  <w:style w:type="paragraph" w:styleId="Footer">
    <w:name w:val="footer"/>
    <w:basedOn w:val="Normal"/>
    <w:link w:val="FooterChar"/>
    <w:unhideWhenUsed/>
    <w:rsid w:val="001B22D5"/>
    <w:pPr>
      <w:tabs>
        <w:tab w:val="center" w:pos="4680"/>
        <w:tab w:val="right" w:pos="9360"/>
      </w:tabs>
    </w:pPr>
    <w:rPr>
      <w:rFonts w:asciiTheme="minorHAnsi" w:eastAsiaTheme="minorHAnsi" w:hAnsiTheme="minorHAnsi" w:cstheme="minorBidi"/>
      <w:kern w:val="2"/>
      <w:lang w:bidi="my-MM"/>
      <w14:ligatures w14:val="standardContextual"/>
    </w:rPr>
  </w:style>
  <w:style w:type="character" w:customStyle="1" w:styleId="FooterChar">
    <w:name w:val="Footer Char"/>
    <w:basedOn w:val="DefaultParagraphFont"/>
    <w:link w:val="Footer"/>
    <w:uiPriority w:val="99"/>
    <w:rsid w:val="001B22D5"/>
  </w:style>
  <w:style w:type="character" w:customStyle="1" w:styleId="fs4">
    <w:name w:val="fs4"/>
    <w:basedOn w:val="DefaultParagraphFont"/>
    <w:rsid w:val="002A1A92"/>
  </w:style>
  <w:style w:type="character" w:customStyle="1" w:styleId="ls0">
    <w:name w:val="ls0"/>
    <w:basedOn w:val="DefaultParagraphFont"/>
    <w:rsid w:val="002A1A92"/>
  </w:style>
  <w:style w:type="character" w:customStyle="1" w:styleId="ls8">
    <w:name w:val="ls8"/>
    <w:basedOn w:val="DefaultParagraphFont"/>
    <w:rsid w:val="002A1A92"/>
  </w:style>
  <w:style w:type="character" w:customStyle="1" w:styleId="fs1">
    <w:name w:val="fs1"/>
    <w:basedOn w:val="DefaultParagraphFont"/>
    <w:rsid w:val="002A1A92"/>
  </w:style>
  <w:style w:type="character" w:styleId="Hyperlink">
    <w:name w:val="Hyperlink"/>
    <w:basedOn w:val="DefaultParagraphFont"/>
    <w:uiPriority w:val="99"/>
    <w:unhideWhenUsed/>
    <w:rsid w:val="000E2E08"/>
    <w:rPr>
      <w:color w:val="467886" w:themeColor="hyperlink"/>
      <w:u w:val="single"/>
    </w:rPr>
  </w:style>
  <w:style w:type="paragraph" w:customStyle="1" w:styleId="Body">
    <w:name w:val="Body"/>
    <w:basedOn w:val="Normal"/>
    <w:rsid w:val="0026441D"/>
    <w:pPr>
      <w:spacing w:after="240"/>
      <w:jc w:val="both"/>
    </w:pPr>
    <w:rPr>
      <w:rFonts w:ascii="Helvetica" w:hAnsi="Helvetica"/>
      <w:sz w:val="20"/>
      <w:szCs w:val="20"/>
    </w:rPr>
  </w:style>
  <w:style w:type="paragraph" w:styleId="NoSpacing">
    <w:name w:val="No Spacing"/>
    <w:uiPriority w:val="1"/>
    <w:qFormat/>
    <w:rsid w:val="008B3F1A"/>
    <w:pPr>
      <w:spacing w:after="0" w:line="240" w:lineRule="auto"/>
    </w:pPr>
  </w:style>
  <w:style w:type="character" w:customStyle="1" w:styleId="UnresolvedMention1">
    <w:name w:val="Unresolved Mention1"/>
    <w:basedOn w:val="DefaultParagraphFont"/>
    <w:uiPriority w:val="99"/>
    <w:semiHidden/>
    <w:unhideWhenUsed/>
    <w:rsid w:val="00D52926"/>
    <w:rPr>
      <w:color w:val="605E5C"/>
      <w:shd w:val="clear" w:color="auto" w:fill="E1DFDD"/>
    </w:rPr>
  </w:style>
  <w:style w:type="character" w:styleId="FollowedHyperlink">
    <w:name w:val="FollowedHyperlink"/>
    <w:basedOn w:val="DefaultParagraphFont"/>
    <w:uiPriority w:val="99"/>
    <w:semiHidden/>
    <w:unhideWhenUsed/>
    <w:rsid w:val="000F2B55"/>
    <w:rPr>
      <w:color w:val="96607D" w:themeColor="followedHyperlink"/>
      <w:u w:val="single"/>
    </w:rPr>
  </w:style>
  <w:style w:type="character" w:customStyle="1" w:styleId="html-italic">
    <w:name w:val="html-italic"/>
    <w:basedOn w:val="DefaultParagraphFont"/>
    <w:rsid w:val="00C45422"/>
  </w:style>
  <w:style w:type="character" w:customStyle="1" w:styleId="a">
    <w:name w:val="_"/>
    <w:basedOn w:val="DefaultParagraphFont"/>
    <w:rsid w:val="000430EF"/>
  </w:style>
  <w:style w:type="character" w:customStyle="1" w:styleId="ff1">
    <w:name w:val="ff1"/>
    <w:basedOn w:val="DefaultParagraphFont"/>
    <w:rsid w:val="000430EF"/>
  </w:style>
  <w:style w:type="character" w:customStyle="1" w:styleId="ff6">
    <w:name w:val="ff6"/>
    <w:basedOn w:val="DefaultParagraphFont"/>
    <w:rsid w:val="000430EF"/>
  </w:style>
  <w:style w:type="character" w:customStyle="1" w:styleId="fc2">
    <w:name w:val="fc2"/>
    <w:basedOn w:val="DefaultParagraphFont"/>
    <w:rsid w:val="000430EF"/>
  </w:style>
  <w:style w:type="character" w:customStyle="1" w:styleId="css-yfgmme">
    <w:name w:val="css-yfgmme"/>
    <w:basedOn w:val="DefaultParagraphFont"/>
    <w:rsid w:val="00FE7169"/>
  </w:style>
  <w:style w:type="character" w:styleId="Strong">
    <w:name w:val="Strong"/>
    <w:basedOn w:val="DefaultParagraphFont"/>
    <w:uiPriority w:val="22"/>
    <w:qFormat/>
    <w:rsid w:val="00B70125"/>
    <w:rPr>
      <w:b/>
      <w:bCs/>
    </w:rPr>
  </w:style>
  <w:style w:type="character" w:styleId="Emphasis">
    <w:name w:val="Emphasis"/>
    <w:basedOn w:val="DefaultParagraphFont"/>
    <w:uiPriority w:val="20"/>
    <w:qFormat/>
    <w:rsid w:val="00C8052F"/>
    <w:rPr>
      <w:i/>
      <w:iCs/>
    </w:rPr>
  </w:style>
  <w:style w:type="character" w:customStyle="1" w:styleId="title-text">
    <w:name w:val="title-text"/>
    <w:basedOn w:val="DefaultParagraphFont"/>
    <w:rsid w:val="00C8052F"/>
  </w:style>
  <w:style w:type="character" w:customStyle="1" w:styleId="sr-only">
    <w:name w:val="sr-only"/>
    <w:basedOn w:val="DefaultParagraphFont"/>
    <w:rsid w:val="00C8052F"/>
  </w:style>
  <w:style w:type="character" w:customStyle="1" w:styleId="button-link-text">
    <w:name w:val="button-link-text"/>
    <w:basedOn w:val="DefaultParagraphFont"/>
    <w:rsid w:val="00C8052F"/>
  </w:style>
  <w:style w:type="character" w:customStyle="1" w:styleId="react-xocs-alternative-link">
    <w:name w:val="react-xocs-alternative-link"/>
    <w:basedOn w:val="DefaultParagraphFont"/>
    <w:rsid w:val="00C8052F"/>
  </w:style>
  <w:style w:type="character" w:customStyle="1" w:styleId="given-name">
    <w:name w:val="given-name"/>
    <w:basedOn w:val="DefaultParagraphFont"/>
    <w:rsid w:val="00C8052F"/>
  </w:style>
  <w:style w:type="character" w:customStyle="1" w:styleId="text">
    <w:name w:val="text"/>
    <w:basedOn w:val="DefaultParagraphFont"/>
    <w:rsid w:val="00C8052F"/>
  </w:style>
  <w:style w:type="character" w:customStyle="1" w:styleId="author-ref">
    <w:name w:val="author-ref"/>
    <w:basedOn w:val="DefaultParagraphFont"/>
    <w:rsid w:val="00C8052F"/>
  </w:style>
  <w:style w:type="character" w:customStyle="1" w:styleId="anchor-text">
    <w:name w:val="anchor-text"/>
    <w:basedOn w:val="DefaultParagraphFont"/>
    <w:rsid w:val="002A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8657">
      <w:bodyDiv w:val="1"/>
      <w:marLeft w:val="0"/>
      <w:marRight w:val="0"/>
      <w:marTop w:val="0"/>
      <w:marBottom w:val="0"/>
      <w:divBdr>
        <w:top w:val="none" w:sz="0" w:space="0" w:color="auto"/>
        <w:left w:val="none" w:sz="0" w:space="0" w:color="auto"/>
        <w:bottom w:val="none" w:sz="0" w:space="0" w:color="auto"/>
        <w:right w:val="none" w:sz="0" w:space="0" w:color="auto"/>
      </w:divBdr>
    </w:div>
    <w:div w:id="64033538">
      <w:bodyDiv w:val="1"/>
      <w:marLeft w:val="0"/>
      <w:marRight w:val="0"/>
      <w:marTop w:val="0"/>
      <w:marBottom w:val="0"/>
      <w:divBdr>
        <w:top w:val="none" w:sz="0" w:space="0" w:color="auto"/>
        <w:left w:val="none" w:sz="0" w:space="0" w:color="auto"/>
        <w:bottom w:val="none" w:sz="0" w:space="0" w:color="auto"/>
        <w:right w:val="none" w:sz="0" w:space="0" w:color="auto"/>
      </w:divBdr>
      <w:divsChild>
        <w:div w:id="1868521399">
          <w:marLeft w:val="0"/>
          <w:marRight w:val="0"/>
          <w:marTop w:val="0"/>
          <w:marBottom w:val="0"/>
          <w:divBdr>
            <w:top w:val="none" w:sz="0" w:space="0" w:color="auto"/>
            <w:left w:val="none" w:sz="0" w:space="0" w:color="auto"/>
            <w:bottom w:val="none" w:sz="0" w:space="0" w:color="auto"/>
            <w:right w:val="none" w:sz="0" w:space="0" w:color="auto"/>
          </w:divBdr>
        </w:div>
        <w:div w:id="277570796">
          <w:marLeft w:val="0"/>
          <w:marRight w:val="0"/>
          <w:marTop w:val="0"/>
          <w:marBottom w:val="0"/>
          <w:divBdr>
            <w:top w:val="none" w:sz="0" w:space="0" w:color="auto"/>
            <w:left w:val="none" w:sz="0" w:space="0" w:color="auto"/>
            <w:bottom w:val="none" w:sz="0" w:space="0" w:color="auto"/>
            <w:right w:val="none" w:sz="0" w:space="0" w:color="auto"/>
          </w:divBdr>
        </w:div>
        <w:div w:id="1529217772">
          <w:marLeft w:val="0"/>
          <w:marRight w:val="0"/>
          <w:marTop w:val="0"/>
          <w:marBottom w:val="0"/>
          <w:divBdr>
            <w:top w:val="none" w:sz="0" w:space="0" w:color="auto"/>
            <w:left w:val="none" w:sz="0" w:space="0" w:color="auto"/>
            <w:bottom w:val="none" w:sz="0" w:space="0" w:color="auto"/>
            <w:right w:val="none" w:sz="0" w:space="0" w:color="auto"/>
          </w:divBdr>
        </w:div>
        <w:div w:id="768626894">
          <w:marLeft w:val="0"/>
          <w:marRight w:val="0"/>
          <w:marTop w:val="0"/>
          <w:marBottom w:val="0"/>
          <w:divBdr>
            <w:top w:val="none" w:sz="0" w:space="0" w:color="auto"/>
            <w:left w:val="none" w:sz="0" w:space="0" w:color="auto"/>
            <w:bottom w:val="none" w:sz="0" w:space="0" w:color="auto"/>
            <w:right w:val="none" w:sz="0" w:space="0" w:color="auto"/>
          </w:divBdr>
        </w:div>
      </w:divsChild>
    </w:div>
    <w:div w:id="81686237">
      <w:bodyDiv w:val="1"/>
      <w:marLeft w:val="0"/>
      <w:marRight w:val="0"/>
      <w:marTop w:val="0"/>
      <w:marBottom w:val="0"/>
      <w:divBdr>
        <w:top w:val="none" w:sz="0" w:space="0" w:color="auto"/>
        <w:left w:val="none" w:sz="0" w:space="0" w:color="auto"/>
        <w:bottom w:val="none" w:sz="0" w:space="0" w:color="auto"/>
        <w:right w:val="none" w:sz="0" w:space="0" w:color="auto"/>
      </w:divBdr>
    </w:div>
    <w:div w:id="149951412">
      <w:bodyDiv w:val="1"/>
      <w:marLeft w:val="0"/>
      <w:marRight w:val="0"/>
      <w:marTop w:val="0"/>
      <w:marBottom w:val="0"/>
      <w:divBdr>
        <w:top w:val="none" w:sz="0" w:space="0" w:color="auto"/>
        <w:left w:val="none" w:sz="0" w:space="0" w:color="auto"/>
        <w:bottom w:val="none" w:sz="0" w:space="0" w:color="auto"/>
        <w:right w:val="none" w:sz="0" w:space="0" w:color="auto"/>
      </w:divBdr>
    </w:div>
    <w:div w:id="270553561">
      <w:bodyDiv w:val="1"/>
      <w:marLeft w:val="0"/>
      <w:marRight w:val="0"/>
      <w:marTop w:val="0"/>
      <w:marBottom w:val="0"/>
      <w:divBdr>
        <w:top w:val="none" w:sz="0" w:space="0" w:color="auto"/>
        <w:left w:val="none" w:sz="0" w:space="0" w:color="auto"/>
        <w:bottom w:val="none" w:sz="0" w:space="0" w:color="auto"/>
        <w:right w:val="none" w:sz="0" w:space="0" w:color="auto"/>
      </w:divBdr>
    </w:div>
    <w:div w:id="517087704">
      <w:bodyDiv w:val="1"/>
      <w:marLeft w:val="0"/>
      <w:marRight w:val="0"/>
      <w:marTop w:val="0"/>
      <w:marBottom w:val="0"/>
      <w:divBdr>
        <w:top w:val="none" w:sz="0" w:space="0" w:color="auto"/>
        <w:left w:val="none" w:sz="0" w:space="0" w:color="auto"/>
        <w:bottom w:val="none" w:sz="0" w:space="0" w:color="auto"/>
        <w:right w:val="none" w:sz="0" w:space="0" w:color="auto"/>
      </w:divBdr>
    </w:div>
    <w:div w:id="772239267">
      <w:bodyDiv w:val="1"/>
      <w:marLeft w:val="0"/>
      <w:marRight w:val="0"/>
      <w:marTop w:val="0"/>
      <w:marBottom w:val="0"/>
      <w:divBdr>
        <w:top w:val="none" w:sz="0" w:space="0" w:color="auto"/>
        <w:left w:val="none" w:sz="0" w:space="0" w:color="auto"/>
        <w:bottom w:val="none" w:sz="0" w:space="0" w:color="auto"/>
        <w:right w:val="none" w:sz="0" w:space="0" w:color="auto"/>
      </w:divBdr>
    </w:div>
    <w:div w:id="815225183">
      <w:bodyDiv w:val="1"/>
      <w:marLeft w:val="0"/>
      <w:marRight w:val="0"/>
      <w:marTop w:val="0"/>
      <w:marBottom w:val="0"/>
      <w:divBdr>
        <w:top w:val="none" w:sz="0" w:space="0" w:color="auto"/>
        <w:left w:val="none" w:sz="0" w:space="0" w:color="auto"/>
        <w:bottom w:val="none" w:sz="0" w:space="0" w:color="auto"/>
        <w:right w:val="none" w:sz="0" w:space="0" w:color="auto"/>
      </w:divBdr>
    </w:div>
    <w:div w:id="927269898">
      <w:bodyDiv w:val="1"/>
      <w:marLeft w:val="0"/>
      <w:marRight w:val="0"/>
      <w:marTop w:val="0"/>
      <w:marBottom w:val="0"/>
      <w:divBdr>
        <w:top w:val="none" w:sz="0" w:space="0" w:color="auto"/>
        <w:left w:val="none" w:sz="0" w:space="0" w:color="auto"/>
        <w:bottom w:val="none" w:sz="0" w:space="0" w:color="auto"/>
        <w:right w:val="none" w:sz="0" w:space="0" w:color="auto"/>
      </w:divBdr>
    </w:div>
    <w:div w:id="93293207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198472613">
      <w:bodyDiv w:val="1"/>
      <w:marLeft w:val="0"/>
      <w:marRight w:val="0"/>
      <w:marTop w:val="0"/>
      <w:marBottom w:val="0"/>
      <w:divBdr>
        <w:top w:val="none" w:sz="0" w:space="0" w:color="auto"/>
        <w:left w:val="none" w:sz="0" w:space="0" w:color="auto"/>
        <w:bottom w:val="none" w:sz="0" w:space="0" w:color="auto"/>
        <w:right w:val="none" w:sz="0" w:space="0" w:color="auto"/>
      </w:divBdr>
      <w:divsChild>
        <w:div w:id="1516264229">
          <w:marLeft w:val="0"/>
          <w:marRight w:val="0"/>
          <w:marTop w:val="0"/>
          <w:marBottom w:val="0"/>
          <w:divBdr>
            <w:top w:val="none" w:sz="0" w:space="0" w:color="auto"/>
            <w:left w:val="none" w:sz="0" w:space="0" w:color="auto"/>
            <w:bottom w:val="none" w:sz="0" w:space="0" w:color="auto"/>
            <w:right w:val="none" w:sz="0" w:space="0" w:color="auto"/>
          </w:divBdr>
        </w:div>
        <w:div w:id="730228642">
          <w:marLeft w:val="0"/>
          <w:marRight w:val="0"/>
          <w:marTop w:val="0"/>
          <w:marBottom w:val="0"/>
          <w:divBdr>
            <w:top w:val="none" w:sz="0" w:space="0" w:color="auto"/>
            <w:left w:val="none" w:sz="0" w:space="0" w:color="auto"/>
            <w:bottom w:val="none" w:sz="0" w:space="0" w:color="auto"/>
            <w:right w:val="none" w:sz="0" w:space="0" w:color="auto"/>
          </w:divBdr>
        </w:div>
      </w:divsChild>
    </w:div>
    <w:div w:id="1237668021">
      <w:bodyDiv w:val="1"/>
      <w:marLeft w:val="0"/>
      <w:marRight w:val="0"/>
      <w:marTop w:val="0"/>
      <w:marBottom w:val="0"/>
      <w:divBdr>
        <w:top w:val="none" w:sz="0" w:space="0" w:color="auto"/>
        <w:left w:val="none" w:sz="0" w:space="0" w:color="auto"/>
        <w:bottom w:val="none" w:sz="0" w:space="0" w:color="auto"/>
        <w:right w:val="none" w:sz="0" w:space="0" w:color="auto"/>
      </w:divBdr>
    </w:div>
    <w:div w:id="1280071533">
      <w:bodyDiv w:val="1"/>
      <w:marLeft w:val="0"/>
      <w:marRight w:val="0"/>
      <w:marTop w:val="0"/>
      <w:marBottom w:val="0"/>
      <w:divBdr>
        <w:top w:val="none" w:sz="0" w:space="0" w:color="auto"/>
        <w:left w:val="none" w:sz="0" w:space="0" w:color="auto"/>
        <w:bottom w:val="none" w:sz="0" w:space="0" w:color="auto"/>
        <w:right w:val="none" w:sz="0" w:space="0" w:color="auto"/>
      </w:divBdr>
    </w:div>
    <w:div w:id="1437090876">
      <w:bodyDiv w:val="1"/>
      <w:marLeft w:val="0"/>
      <w:marRight w:val="0"/>
      <w:marTop w:val="0"/>
      <w:marBottom w:val="0"/>
      <w:divBdr>
        <w:top w:val="none" w:sz="0" w:space="0" w:color="auto"/>
        <w:left w:val="none" w:sz="0" w:space="0" w:color="auto"/>
        <w:bottom w:val="none" w:sz="0" w:space="0" w:color="auto"/>
        <w:right w:val="none" w:sz="0" w:space="0" w:color="auto"/>
      </w:divBdr>
    </w:div>
    <w:div w:id="1513761992">
      <w:bodyDiv w:val="1"/>
      <w:marLeft w:val="0"/>
      <w:marRight w:val="0"/>
      <w:marTop w:val="0"/>
      <w:marBottom w:val="0"/>
      <w:divBdr>
        <w:top w:val="none" w:sz="0" w:space="0" w:color="auto"/>
        <w:left w:val="none" w:sz="0" w:space="0" w:color="auto"/>
        <w:bottom w:val="none" w:sz="0" w:space="0" w:color="auto"/>
        <w:right w:val="none" w:sz="0" w:space="0" w:color="auto"/>
      </w:divBdr>
    </w:div>
    <w:div w:id="1582177666">
      <w:bodyDiv w:val="1"/>
      <w:marLeft w:val="0"/>
      <w:marRight w:val="0"/>
      <w:marTop w:val="0"/>
      <w:marBottom w:val="0"/>
      <w:divBdr>
        <w:top w:val="none" w:sz="0" w:space="0" w:color="auto"/>
        <w:left w:val="none" w:sz="0" w:space="0" w:color="auto"/>
        <w:bottom w:val="none" w:sz="0" w:space="0" w:color="auto"/>
        <w:right w:val="none" w:sz="0" w:space="0" w:color="auto"/>
      </w:divBdr>
      <w:divsChild>
        <w:div w:id="928196510">
          <w:marLeft w:val="0"/>
          <w:marRight w:val="0"/>
          <w:marTop w:val="0"/>
          <w:marBottom w:val="120"/>
          <w:divBdr>
            <w:top w:val="none" w:sz="0" w:space="0" w:color="auto"/>
            <w:left w:val="none" w:sz="0" w:space="0" w:color="auto"/>
            <w:bottom w:val="none" w:sz="0" w:space="0" w:color="auto"/>
            <w:right w:val="none" w:sz="0" w:space="0" w:color="auto"/>
          </w:divBdr>
          <w:divsChild>
            <w:div w:id="1243757313">
              <w:marLeft w:val="0"/>
              <w:marRight w:val="0"/>
              <w:marTop w:val="0"/>
              <w:marBottom w:val="0"/>
              <w:divBdr>
                <w:top w:val="none" w:sz="0" w:space="0" w:color="auto"/>
                <w:left w:val="none" w:sz="0" w:space="0" w:color="auto"/>
                <w:bottom w:val="none" w:sz="0" w:space="0" w:color="auto"/>
                <w:right w:val="none" w:sz="0" w:space="0" w:color="auto"/>
              </w:divBdr>
              <w:divsChild>
                <w:div w:id="1902406358">
                  <w:marLeft w:val="0"/>
                  <w:marRight w:val="0"/>
                  <w:marTop w:val="0"/>
                  <w:marBottom w:val="0"/>
                  <w:divBdr>
                    <w:top w:val="none" w:sz="0" w:space="0" w:color="auto"/>
                    <w:left w:val="none" w:sz="0" w:space="0" w:color="auto"/>
                    <w:bottom w:val="none" w:sz="0" w:space="0" w:color="auto"/>
                    <w:right w:val="none" w:sz="0" w:space="0" w:color="auto"/>
                  </w:divBdr>
                  <w:divsChild>
                    <w:div w:id="19468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96289">
      <w:bodyDiv w:val="1"/>
      <w:marLeft w:val="0"/>
      <w:marRight w:val="0"/>
      <w:marTop w:val="0"/>
      <w:marBottom w:val="0"/>
      <w:divBdr>
        <w:top w:val="none" w:sz="0" w:space="0" w:color="auto"/>
        <w:left w:val="none" w:sz="0" w:space="0" w:color="auto"/>
        <w:bottom w:val="none" w:sz="0" w:space="0" w:color="auto"/>
        <w:right w:val="none" w:sz="0" w:space="0" w:color="auto"/>
      </w:divBdr>
    </w:div>
    <w:div w:id="18970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wresearch.com/author/bhawna-singh" TargetMode="External"/><Relationship Id="rId13" Type="http://schemas.openxmlformats.org/officeDocument/2006/relationships/hyperlink" Target="https://doi.org/10.1016/j.enpol.2018.05.0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wresearch.com/author/bhawna-sing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ia.com/author/nikkei-asian-re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kr-asia.com/author/nikkei-asian-revi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28454714163762E-2"/>
          <c:y val="5.4069493813551972E-2"/>
          <c:w val="0.9056185705617571"/>
          <c:h val="0.67674725356386467"/>
        </c:manualLayout>
      </c:layout>
      <c:barChart>
        <c:barDir val="col"/>
        <c:grouping val="clustered"/>
        <c:varyColors val="0"/>
        <c:ser>
          <c:idx val="0"/>
          <c:order val="0"/>
          <c:tx>
            <c:strRef>
              <c:f>Sheet1!$B$1</c:f>
              <c:strCache>
                <c:ptCount val="1"/>
                <c:pt idx="0">
                  <c:v>Early Morning</c:v>
                </c:pt>
              </c:strCache>
            </c:strRef>
          </c:tx>
          <c:spPr>
            <a:pattFill prst="smGrid">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Sheet1!$B$2:$B$7</c:f>
              <c:numCache>
                <c:formatCode>General</c:formatCode>
                <c:ptCount val="6"/>
                <c:pt idx="0">
                  <c:v>0</c:v>
                </c:pt>
                <c:pt idx="1">
                  <c:v>3</c:v>
                </c:pt>
                <c:pt idx="2">
                  <c:v>4</c:v>
                </c:pt>
                <c:pt idx="3">
                  <c:v>0</c:v>
                </c:pt>
                <c:pt idx="4">
                  <c:v>4</c:v>
                </c:pt>
                <c:pt idx="5">
                  <c:v>0</c:v>
                </c:pt>
              </c:numCache>
            </c:numRef>
          </c:val>
          <c:extLst>
            <c:ext xmlns:c16="http://schemas.microsoft.com/office/drawing/2014/chart" uri="{C3380CC4-5D6E-409C-BE32-E72D297353CC}">
              <c16:uniqueId val="{00000000-F623-425D-9F3D-8506BF5D53EE}"/>
            </c:ext>
          </c:extLst>
        </c:ser>
        <c:ser>
          <c:idx val="1"/>
          <c:order val="1"/>
          <c:tx>
            <c:strRef>
              <c:f>Sheet1!$C$1</c:f>
              <c:strCache>
                <c:ptCount val="1"/>
                <c:pt idx="0">
                  <c:v>Day Time</c:v>
                </c:pt>
              </c:strCache>
            </c:strRef>
          </c:tx>
          <c:spPr>
            <a:pattFill prst="ltDnDiag">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Sheet1!$C$2:$C$7</c:f>
              <c:numCache>
                <c:formatCode>General</c:formatCode>
                <c:ptCount val="6"/>
                <c:pt idx="0">
                  <c:v>0</c:v>
                </c:pt>
                <c:pt idx="1">
                  <c:v>0</c:v>
                </c:pt>
                <c:pt idx="2">
                  <c:v>2</c:v>
                </c:pt>
                <c:pt idx="3">
                  <c:v>0</c:v>
                </c:pt>
                <c:pt idx="4">
                  <c:v>0</c:v>
                </c:pt>
                <c:pt idx="5">
                  <c:v>0</c:v>
                </c:pt>
              </c:numCache>
            </c:numRef>
          </c:val>
          <c:extLst>
            <c:ext xmlns:c16="http://schemas.microsoft.com/office/drawing/2014/chart" uri="{C3380CC4-5D6E-409C-BE32-E72D297353CC}">
              <c16:uniqueId val="{00000001-F623-425D-9F3D-8506BF5D53EE}"/>
            </c:ext>
          </c:extLst>
        </c:ser>
        <c:ser>
          <c:idx val="2"/>
          <c:order val="2"/>
          <c:tx>
            <c:strRef>
              <c:f>Sheet1!$D$1</c:f>
              <c:strCache>
                <c:ptCount val="1"/>
                <c:pt idx="0">
                  <c:v>Night Time</c:v>
                </c:pt>
              </c:strCache>
            </c:strRef>
          </c:tx>
          <c:spPr>
            <a:pattFill prst="pct60">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Sheet1!$D$2:$D$7</c:f>
              <c:numCache>
                <c:formatCode>General</c:formatCode>
                <c:ptCount val="6"/>
                <c:pt idx="0">
                  <c:v>0</c:v>
                </c:pt>
                <c:pt idx="1">
                  <c:v>25</c:v>
                </c:pt>
                <c:pt idx="2">
                  <c:v>22</c:v>
                </c:pt>
                <c:pt idx="3">
                  <c:v>0</c:v>
                </c:pt>
                <c:pt idx="4">
                  <c:v>0</c:v>
                </c:pt>
                <c:pt idx="5">
                  <c:v>0</c:v>
                </c:pt>
              </c:numCache>
            </c:numRef>
          </c:val>
          <c:extLst>
            <c:ext xmlns:c16="http://schemas.microsoft.com/office/drawing/2014/chart" uri="{C3380CC4-5D6E-409C-BE32-E72D297353CC}">
              <c16:uniqueId val="{00000002-F623-425D-9F3D-8506BF5D53EE}"/>
            </c:ext>
          </c:extLst>
        </c:ser>
        <c:ser>
          <c:idx val="3"/>
          <c:order val="3"/>
          <c:tx>
            <c:strRef>
              <c:f>Sheet1!$E$1</c:f>
              <c:strCache>
                <c:ptCount val="1"/>
                <c:pt idx="0">
                  <c:v>Free Time	</c:v>
                </c:pt>
              </c:strCache>
            </c:strRef>
          </c:tx>
          <c:spPr>
            <a:pattFill prst="diagBrick">
              <a:fgClr>
                <a:schemeClr val="tx1"/>
              </a:fgClr>
              <a:bgClr>
                <a:schemeClr val="bg1"/>
              </a:bgClr>
            </a:pattFill>
            <a:ln>
              <a:solidFill>
                <a:schemeClr val="accent1"/>
              </a:solidFill>
            </a:ln>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Sheet1!$E$2:$E$7</c:f>
              <c:numCache>
                <c:formatCode>General</c:formatCode>
                <c:ptCount val="6"/>
                <c:pt idx="0">
                  <c:v>1</c:v>
                </c:pt>
                <c:pt idx="1">
                  <c:v>35</c:v>
                </c:pt>
                <c:pt idx="2">
                  <c:v>44</c:v>
                </c:pt>
                <c:pt idx="3">
                  <c:v>2</c:v>
                </c:pt>
                <c:pt idx="4">
                  <c:v>7</c:v>
                </c:pt>
                <c:pt idx="5">
                  <c:v>1</c:v>
                </c:pt>
              </c:numCache>
            </c:numRef>
          </c:val>
          <c:extLst>
            <c:ext xmlns:c16="http://schemas.microsoft.com/office/drawing/2014/chart" uri="{C3380CC4-5D6E-409C-BE32-E72D297353CC}">
              <c16:uniqueId val="{00000003-F623-425D-9F3D-8506BF5D53EE}"/>
            </c:ext>
          </c:extLst>
        </c:ser>
        <c:dLbls>
          <c:showLegendKey val="0"/>
          <c:showVal val="0"/>
          <c:showCatName val="0"/>
          <c:showSerName val="0"/>
          <c:showPercent val="0"/>
          <c:showBubbleSize val="0"/>
        </c:dLbls>
        <c:gapWidth val="149"/>
        <c:overlap val="-20"/>
        <c:axId val="592388096"/>
        <c:axId val="587754304"/>
      </c:barChart>
      <c:catAx>
        <c:axId val="592388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sz="900"/>
            </a:pPr>
            <a:endParaRPr lang="en-US"/>
          </a:p>
        </c:txPr>
        <c:crossAx val="587754304"/>
        <c:crosses val="autoZero"/>
        <c:auto val="1"/>
        <c:lblAlgn val="ctr"/>
        <c:lblOffset val="100"/>
        <c:noMultiLvlLbl val="0"/>
      </c:catAx>
      <c:valAx>
        <c:axId val="58775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592388096"/>
        <c:crosses val="autoZero"/>
        <c:crossBetween val="between"/>
      </c:valAx>
      <c:spPr>
        <a:noFill/>
        <a:ln>
          <a:noFill/>
        </a:ln>
        <a:effectLst/>
      </c:spPr>
    </c:plotArea>
    <c:legend>
      <c:legendPos val="r"/>
      <c:layout>
        <c:manualLayout>
          <c:xMode val="edge"/>
          <c:yMode val="edge"/>
          <c:x val="0.65300284919645857"/>
          <c:y val="0.14562242908468181"/>
          <c:w val="0.22480110090312833"/>
          <c:h val="0.36414446481861001"/>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solidFill>
            <a:sysClr val="windowText" lastClr="000000"/>
          </a:solidFill>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pattFill prst="zigZag">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2B-4885-A5D4-61595DE6D9C2}"/>
              </c:ext>
            </c:extLst>
          </c:dPt>
          <c:dPt>
            <c:idx val="1"/>
            <c:bubble3D val="0"/>
            <c:spPr>
              <a:pattFill prst="smGrid">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2B-4885-A5D4-61595DE6D9C2}"/>
              </c:ext>
            </c:extLst>
          </c:dPt>
          <c:dPt>
            <c:idx val="2"/>
            <c:bubble3D val="0"/>
            <c:spPr>
              <a:pattFill prst="pct20">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2B-4885-A5D4-61595DE6D9C2}"/>
              </c:ext>
            </c:extLst>
          </c:dPt>
          <c:dPt>
            <c:idx val="3"/>
            <c:bubble3D val="0"/>
            <c:spPr>
              <a:pattFill prst="dkDnDiag">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2B-4885-A5D4-61595DE6D9C2}"/>
              </c:ext>
            </c:extLst>
          </c:dPt>
          <c:dLbls>
            <c:dLbl>
              <c:idx val="0"/>
              <c:layout>
                <c:manualLayout>
                  <c:x val="-7.1112163194790523E-2"/>
                  <c:y val="6.67540386047571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2B-4885-A5D4-61595DE6D9C2}"/>
                </c:ext>
              </c:extLst>
            </c:dLbl>
            <c:dLbl>
              <c:idx val="1"/>
              <c:layout>
                <c:manualLayout>
                  <c:x val="6.8343300441875143E-2"/>
                  <c:y val="-3.32403771028196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2B-4885-A5D4-61595DE6D9C2}"/>
                </c:ext>
              </c:extLst>
            </c:dLbl>
            <c:dLbl>
              <c:idx val="2"/>
              <c:layout>
                <c:manualLayout>
                  <c:x val="2.4704973587162365E-2"/>
                  <c:y val="0.153425222123879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2B-4885-A5D4-61595DE6D9C2}"/>
                </c:ext>
              </c:extLst>
            </c:dLbl>
            <c:dLbl>
              <c:idx val="3"/>
              <c:layout>
                <c:manualLayout>
                  <c:x val="1.2174580265633887E-2"/>
                  <c:y val="0.105704149618660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02B-4885-A5D4-61595DE6D9C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vert="horz"/>
              <a:lstStyle/>
              <a:p>
                <a:pPr>
                  <a:defRPr>
                    <a:solidFill>
                      <a:schemeClr val="bg1"/>
                    </a:solidFill>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Expensive to charge</c:v>
                </c:pt>
                <c:pt idx="1">
                  <c:v>Not available in every location</c:v>
                </c:pt>
                <c:pt idx="2">
                  <c:v>Need to inquire ahead due to power outages</c:v>
                </c:pt>
                <c:pt idx="3">
                  <c:v>Waiting time to charge</c:v>
                </c:pt>
              </c:strCache>
            </c:strRef>
          </c:cat>
          <c:val>
            <c:numRef>
              <c:f>Sheet1!$B$2:$B$5</c:f>
              <c:numCache>
                <c:formatCode>General</c:formatCode>
                <c:ptCount val="4"/>
                <c:pt idx="0">
                  <c:v>55.3</c:v>
                </c:pt>
                <c:pt idx="1">
                  <c:v>32.700000000000003</c:v>
                </c:pt>
                <c:pt idx="2">
                  <c:v>9.3000000000000007</c:v>
                </c:pt>
                <c:pt idx="3">
                  <c:v>2.7</c:v>
                </c:pt>
              </c:numCache>
            </c:numRef>
          </c:val>
          <c:extLst>
            <c:ext xmlns:c16="http://schemas.microsoft.com/office/drawing/2014/chart" uri="{C3380CC4-5D6E-409C-BE32-E72D297353CC}">
              <c16:uniqueId val="{00000008-E02B-4885-A5D4-61595DE6D9C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974216683753173"/>
          <c:y val="0.14943467687455556"/>
          <c:w val="0.44747141857454525"/>
          <c:h val="0.70113015206571871"/>
        </c:manualLayout>
      </c:layout>
      <c:overlay val="0"/>
      <c:spPr>
        <a:solidFill>
          <a:schemeClr val="lt1">
            <a:lumMod val="95000"/>
            <a:alpha val="39000"/>
          </a:schemeClr>
        </a:solid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6E7A-25C3-43C9-9336-3B5FFB28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5136</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Zin Tun Tun Lwin</dc:creator>
  <cp:lastModifiedBy>SDI PC New 16</cp:lastModifiedBy>
  <cp:revision>11</cp:revision>
  <cp:lastPrinted>2025-09-09T14:21:00Z</cp:lastPrinted>
  <dcterms:created xsi:type="dcterms:W3CDTF">2025-09-22T08:30:00Z</dcterms:created>
  <dcterms:modified xsi:type="dcterms:W3CDTF">2025-09-26T04:02:00Z</dcterms:modified>
</cp:coreProperties>
</file>