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CC202" w14:textId="71D0E8B8" w:rsidR="00B523ED" w:rsidRDefault="00B1179D" w:rsidP="00CF42EF">
      <w:pPr>
        <w:spacing w:after="20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Cryptocurrencies and the Statistical Methods for SWIFT transactions                     </w:t>
      </w:r>
    </w:p>
    <w:p w14:paraId="6BAB2A85" w14:textId="77777777" w:rsidR="00B523ED" w:rsidRDefault="00B523ED">
      <w:pPr>
        <w:spacing w:before="100" w:beforeAutospacing="1" w:after="100" w:afterAutospacing="1" w:line="240" w:lineRule="auto"/>
        <w:rPr>
          <w:rFonts w:ascii="Times New Roman" w:hAnsi="Times New Roman" w:cs="Times New Roman"/>
          <w:b/>
          <w:bCs/>
          <w:sz w:val="24"/>
          <w:szCs w:val="24"/>
        </w:rPr>
      </w:pPr>
    </w:p>
    <w:p w14:paraId="208B329E" w14:textId="77777777" w:rsidR="00B523ED" w:rsidRDefault="00B1179D">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1721AC72" w14:textId="77777777" w:rsidR="00B523ED" w:rsidRDefault="00B1179D">
      <w:pPr>
        <w:spacing w:after="200"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01E14B1D"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Cryptocurrencies have revolutionized the financial landscape, introducing decentralized digital assets like Bitcoin and Ethereum. Their growth has spurred interest in statistical methods for monitoring and analyzing transactions, especially in the context </w:t>
      </w:r>
      <w:r>
        <w:rPr>
          <w:rFonts w:ascii="Times New Roman" w:hAnsi="Times New Roman" w:cs="Times New Roman"/>
          <w:i/>
          <w:iCs/>
          <w:sz w:val="24"/>
          <w:szCs w:val="24"/>
        </w:rPr>
        <w:t>of traditional financial systems like SWIFT (Society for Worldwide Interbank Financial Telecommunication).Statistical methods play a crucial role in identifying patterns, anomalies, and potential risks associated with cryptocurrency transactions. These met</w:t>
      </w:r>
      <w:r>
        <w:rPr>
          <w:rFonts w:ascii="Times New Roman" w:hAnsi="Times New Roman" w:cs="Times New Roman"/>
          <w:i/>
          <w:iCs/>
          <w:sz w:val="24"/>
          <w:szCs w:val="24"/>
        </w:rPr>
        <w:t>hods involve data analysis, clustering, and machine learning algorithms to detect fraudulent activities, money laundering, and market trends. The integration of blockchain technology ensures transparency and immutability, enhancing statistical analysis acc</w:t>
      </w:r>
      <w:r>
        <w:rPr>
          <w:rFonts w:ascii="Times New Roman" w:hAnsi="Times New Roman" w:cs="Times New Roman"/>
          <w:i/>
          <w:iCs/>
          <w:sz w:val="24"/>
          <w:szCs w:val="24"/>
        </w:rPr>
        <w:t xml:space="preserve">uracy.On the other hand, SWIFT transactions, widely used for cross-border payments, rely on statistical techniques to track and validate international fund transfers. These methods aid in fraud detection, regulatory compliance, and transaction efficiency. </w:t>
      </w:r>
      <w:r>
        <w:rPr>
          <w:rFonts w:ascii="Times New Roman" w:hAnsi="Times New Roman" w:cs="Times New Roman"/>
          <w:i/>
          <w:iCs/>
          <w:sz w:val="24"/>
          <w:szCs w:val="24"/>
        </w:rPr>
        <w:t>Combining the statistical prowess of cryptocurrencies and SWIFT transactions offers a comprehensive approach to secure and efficient global finance.In conclusion, cryptocurrencies have emerged as a disruptive force in the world of finance, offering decentr</w:t>
      </w:r>
      <w:r>
        <w:rPr>
          <w:rFonts w:ascii="Times New Roman" w:hAnsi="Times New Roman" w:cs="Times New Roman"/>
          <w:i/>
          <w:iCs/>
          <w:sz w:val="24"/>
          <w:szCs w:val="24"/>
        </w:rPr>
        <w:t>alized, secure, and borderless transactions. Their popularity has grown exponentially, attracting both enthusiasts and skeptics. They have disrupted traditional finance, offering decentralized digital assets like Bitcoin and Ethereum. Statistical methods a</w:t>
      </w:r>
      <w:r>
        <w:rPr>
          <w:rFonts w:ascii="Times New Roman" w:hAnsi="Times New Roman" w:cs="Times New Roman"/>
          <w:i/>
          <w:iCs/>
          <w:sz w:val="24"/>
          <w:szCs w:val="24"/>
        </w:rPr>
        <w:t>re crucial for monitoring and securing transactions on the SWIFT network, the backbone of global financial messaging. One of the recommendations was that advanced data analytics to detect anomalies, trend analysis for fraud prevention, and machine learning</w:t>
      </w:r>
      <w:r>
        <w:rPr>
          <w:rFonts w:ascii="Times New Roman" w:hAnsi="Times New Roman" w:cs="Times New Roman"/>
          <w:i/>
          <w:iCs/>
          <w:sz w:val="24"/>
          <w:szCs w:val="24"/>
        </w:rPr>
        <w:t xml:space="preserve"> algorithms for predictive modeling. </w:t>
      </w:r>
    </w:p>
    <w:p w14:paraId="3B0B45C4" w14:textId="77777777" w:rsidR="00B523ED" w:rsidRPr="009B75C5" w:rsidRDefault="00B1179D">
      <w:pPr>
        <w:spacing w:after="20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KEYWORDS: </w:t>
      </w:r>
      <w:bookmarkStart w:id="0" w:name="_GoBack"/>
      <w:proofErr w:type="gramStart"/>
      <w:r w:rsidRPr="009B75C5">
        <w:rPr>
          <w:rFonts w:ascii="Times New Roman" w:hAnsi="Times New Roman" w:cs="Times New Roman"/>
          <w:bCs/>
          <w:sz w:val="24"/>
          <w:szCs w:val="24"/>
        </w:rPr>
        <w:t>Cryptocurrencies,Statistical</w:t>
      </w:r>
      <w:proofErr w:type="gramEnd"/>
      <w:r w:rsidRPr="009B75C5">
        <w:rPr>
          <w:rFonts w:ascii="Times New Roman" w:hAnsi="Times New Roman" w:cs="Times New Roman"/>
          <w:bCs/>
          <w:sz w:val="24"/>
          <w:szCs w:val="24"/>
        </w:rPr>
        <w:t xml:space="preserve"> Methods and SWIFT transactions</w:t>
      </w:r>
    </w:p>
    <w:bookmarkEnd w:id="0"/>
    <w:p w14:paraId="3A804CD1" w14:textId="77777777" w:rsidR="00B523ED" w:rsidRDefault="00B523ED">
      <w:pPr>
        <w:spacing w:after="200" w:line="240" w:lineRule="auto"/>
        <w:jc w:val="both"/>
        <w:rPr>
          <w:rFonts w:ascii="Times New Roman" w:hAnsi="Times New Roman" w:cs="Times New Roman"/>
          <w:b/>
          <w:bCs/>
          <w:sz w:val="24"/>
          <w:szCs w:val="24"/>
        </w:rPr>
        <w:sectPr w:rsidR="00B523ED">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pPr>
    </w:p>
    <w:p w14:paraId="670FCBE2" w14:textId="77777777" w:rsidR="00B523ED" w:rsidRDefault="00B1179D">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640D94C3"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Cryptocurrencies have facilitated the establishment of a decentralised financial system, enabling transactions to be conducted without reliance on a central authority. Furthermore, these digital currencies ensure transparency in transaction details and the</w:t>
      </w:r>
      <w:r>
        <w:rPr>
          <w:rFonts w:ascii="Times New Roman" w:hAnsi="Times New Roman" w:cs="Times New Roman"/>
          <w:sz w:val="24"/>
          <w:szCs w:val="24"/>
        </w:rPr>
        <w:t xml:space="preserve"> production of funds, as this information is openly accessible to the public. Notwithstanding the level of openness, individuals' identities remain concealed, enabling them to engage in transactions without revealing their personal information. The transac</w:t>
      </w:r>
      <w:r>
        <w:rPr>
          <w:rFonts w:ascii="Times New Roman" w:hAnsi="Times New Roman" w:cs="Times New Roman"/>
          <w:sz w:val="24"/>
          <w:szCs w:val="24"/>
        </w:rPr>
        <w:t xml:space="preserve">tion data of a cryptocurrency is often recorded on a decentralised and publicly accessible ledger </w:t>
      </w:r>
      <w:r>
        <w:rPr>
          <w:rFonts w:ascii="Times New Roman" w:hAnsi="Times New Roman" w:cs="Times New Roman"/>
          <w:sz w:val="24"/>
          <w:szCs w:val="24"/>
        </w:rPr>
        <w:t>known as the blockchain. The obligation of recording, updating, and maintaining the blockchain is assigned to network users for each currency. The names of th</w:t>
      </w:r>
      <w:r>
        <w:rPr>
          <w:rFonts w:ascii="Times New Roman" w:hAnsi="Times New Roman" w:cs="Times New Roman"/>
          <w:sz w:val="24"/>
          <w:szCs w:val="24"/>
        </w:rPr>
        <w:t xml:space="preserve">ese users remain undisclosed, and rewards have been established to ensure they are adequately motivated to do these responsibilities, hence ensuring the operational functionality of the network (Motamed &amp; Bahrak, 2019). Despite the fact that the system is </w:t>
      </w:r>
      <w:r>
        <w:rPr>
          <w:rFonts w:ascii="Times New Roman" w:hAnsi="Times New Roman" w:cs="Times New Roman"/>
          <w:sz w:val="24"/>
          <w:szCs w:val="24"/>
        </w:rPr>
        <w:t>operated by individuals who remain anonymous, the near impossibility of altering transactions is mostly attributed to the computational infeasibility of forging digital signatures and the robust protection offered by cryptographic methods. The assurance of</w:t>
      </w:r>
      <w:r>
        <w:rPr>
          <w:rFonts w:ascii="Times New Roman" w:hAnsi="Times New Roman" w:cs="Times New Roman"/>
          <w:sz w:val="24"/>
          <w:szCs w:val="24"/>
        </w:rPr>
        <w:t xml:space="preserve"> </w:t>
      </w:r>
      <w:r>
        <w:rPr>
          <w:rFonts w:ascii="Times New Roman" w:hAnsi="Times New Roman" w:cs="Times New Roman"/>
          <w:sz w:val="24"/>
          <w:szCs w:val="24"/>
        </w:rPr>
        <w:lastRenderedPageBreak/>
        <w:t>security at this magnitude is ensured by the use of cryptographic algorithms. As long as these algorithms remain impervious to compromise, the integrity of cryptocurrencies remains safeguarded.</w:t>
      </w:r>
    </w:p>
    <w:p w14:paraId="7810D9BF"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Bitcoin, the inaugural decentralised cryptocurrency, has garn</w:t>
      </w:r>
      <w:r>
        <w:rPr>
          <w:rFonts w:ascii="Times New Roman" w:hAnsi="Times New Roman" w:cs="Times New Roman"/>
          <w:sz w:val="24"/>
          <w:szCs w:val="24"/>
        </w:rPr>
        <w:t>ered significant attention from many stakeholders, including the media, academia, and the financial sector, ever since its establishment in 2009. Leveraging blockchain technology, it has positioned itself as the frontrunner among cryptocurrencies and exhib</w:t>
      </w:r>
      <w:r>
        <w:rPr>
          <w:rFonts w:ascii="Times New Roman" w:hAnsi="Times New Roman" w:cs="Times New Roman"/>
          <w:sz w:val="24"/>
          <w:szCs w:val="24"/>
        </w:rPr>
        <w:t>its no indications of deceleration. The currency is founded on cryptographic proof rather than conventional trust, offering numerous advantages over traditional payment systems like Visa and Mastercard. These advantages encompass enhanced liquidity, reduce</w:t>
      </w:r>
      <w:r>
        <w:rPr>
          <w:rFonts w:ascii="Times New Roman" w:hAnsi="Times New Roman" w:cs="Times New Roman"/>
          <w:sz w:val="24"/>
          <w:szCs w:val="24"/>
        </w:rPr>
        <w:t>d transaction costs, and the provision of anonymity, among others (Chan, Chu, Nadarajah, &amp; Osterrieder, 2017). Since 2009, a considerable number of cryptocurrencies have been created, resulting in the presence of 720 as of February 2017. Bitcoin, with a ma</w:t>
      </w:r>
      <w:r>
        <w:rPr>
          <w:rFonts w:ascii="Times New Roman" w:hAnsi="Times New Roman" w:cs="Times New Roman"/>
          <w:sz w:val="24"/>
          <w:szCs w:val="24"/>
        </w:rPr>
        <w:t>rket share of over 81%, stands as the most prominent and widely used cryptocurrency (CoinMarketCap, 2017). Nevertheless, according to the statistical data, several subjects have failed to generate equivalent levels of interest. As of February 2017, the col</w:t>
      </w:r>
      <w:r>
        <w:rPr>
          <w:rFonts w:ascii="Times New Roman" w:hAnsi="Times New Roman" w:cs="Times New Roman"/>
          <w:sz w:val="24"/>
          <w:szCs w:val="24"/>
        </w:rPr>
        <w:t>lective market capitalization of cryptocurrencies stood at around USD $19 billion. The top 15 currencies account for more than 97% of the market, with seven of them contributing over 90% of the entire market value. Our investigation primarily centres on se</w:t>
      </w:r>
      <w:r>
        <w:rPr>
          <w:rFonts w:ascii="Times New Roman" w:hAnsi="Times New Roman" w:cs="Times New Roman"/>
          <w:sz w:val="24"/>
          <w:szCs w:val="24"/>
        </w:rPr>
        <w:t>ven cryptocurrencies that meet two criteria: they have been in existence for over two years, and they rank among the top 15 currencies based on market capitalization. Bitcoin, Ripple, Litecoin, Monero, Dash, MaidSafeCoin, and Dogecoin are among the cryptoc</w:t>
      </w:r>
      <w:r>
        <w:rPr>
          <w:rFonts w:ascii="Times New Roman" w:hAnsi="Times New Roman" w:cs="Times New Roman"/>
          <w:sz w:val="24"/>
          <w:szCs w:val="24"/>
        </w:rPr>
        <w:t>urrencies mentioned in the study by Chan et al. (2017).</w:t>
      </w:r>
    </w:p>
    <w:p w14:paraId="397E7D95"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Following this, several cryptocurrencies, also known as altcoins, were developed by including additional functionalities and presenting alternate design principles. Vitalik Buterin developed Ethereum </w:t>
      </w:r>
      <w:r>
        <w:rPr>
          <w:rFonts w:ascii="Times New Roman" w:hAnsi="Times New Roman" w:cs="Times New Roman"/>
          <w:sz w:val="24"/>
          <w:szCs w:val="24"/>
        </w:rPr>
        <w:t>in 2015, marking the advent of the first blockchain-based distributed computing platform that incorporates the notion of executable smart contracts (Buterin, 2014). This cryptocurrency holds significant influence and enjoys widespread adoption, emerging as</w:t>
      </w:r>
      <w:r>
        <w:rPr>
          <w:rFonts w:ascii="Times New Roman" w:hAnsi="Times New Roman" w:cs="Times New Roman"/>
          <w:sz w:val="24"/>
          <w:szCs w:val="24"/>
        </w:rPr>
        <w:t xml:space="preserve"> a prominent contender subsequent to the introduction of Bitcoin. Litecoin, an early cryptocurrency, shares significant technological similarities with Bitcoin, with just minor distinctions (Litecoin, 2019). For instance, Litecoin employs the Scrypt hash a</w:t>
      </w:r>
      <w:r>
        <w:rPr>
          <w:rFonts w:ascii="Times New Roman" w:hAnsi="Times New Roman" w:cs="Times New Roman"/>
          <w:sz w:val="24"/>
          <w:szCs w:val="24"/>
        </w:rPr>
        <w:t>lgorithm as opposed to SHA256 for its proof-of-work mechanism, resulting in a transaction recording speed on the blockchain that is four times quicker than that of Bitcoin. Litecoin was developed by a hard fork of Bitcoin, resulting in the establishment of</w:t>
      </w:r>
      <w:r>
        <w:rPr>
          <w:rFonts w:ascii="Times New Roman" w:hAnsi="Times New Roman" w:cs="Times New Roman"/>
          <w:sz w:val="24"/>
          <w:szCs w:val="24"/>
        </w:rPr>
        <w:t xml:space="preserve"> an independent blockchain. Dash is a cryptocurrency that bears resemblance to Bitcoin and uses the X11 hashing algorithm as its proof-of-work mechanism (Duffield &amp; Diaz, 2014). Dash, like Litecoin, possesses an independent blockchain infrastructure that f</w:t>
      </w:r>
      <w:r>
        <w:rPr>
          <w:rFonts w:ascii="Times New Roman" w:hAnsi="Times New Roman" w:cs="Times New Roman"/>
          <w:sz w:val="24"/>
          <w:szCs w:val="24"/>
        </w:rPr>
        <w:t>acilitates transactions at a velocity four times swifter than that of Bitcoin. Z-Cash is a cryptocurrency that prioritises robust security measures through the implementation of zero-knowledge proofs. Consequently, the utilisation of these proofs greatly e</w:t>
      </w:r>
      <w:r>
        <w:rPr>
          <w:rFonts w:ascii="Times New Roman" w:hAnsi="Times New Roman" w:cs="Times New Roman"/>
          <w:sz w:val="24"/>
          <w:szCs w:val="24"/>
        </w:rPr>
        <w:t>nhances the privacy and anonymity of its users (Hopwood et al., 2018).</w:t>
      </w:r>
    </w:p>
    <w:p w14:paraId="44A48715"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The emergence of cryptocurrencies has caused significant disruption to conventional financial institutions, hence prompting apprehensions over their potential effects on the security an</w:t>
      </w:r>
      <w:r>
        <w:rPr>
          <w:rFonts w:ascii="Times New Roman" w:hAnsi="Times New Roman" w:cs="Times New Roman"/>
          <w:sz w:val="24"/>
          <w:szCs w:val="24"/>
        </w:rPr>
        <w:t xml:space="preserve">d efficiency of worldwide financial operations. The potential for criminal activity, such as money laundering and fraud, is a serious concern. In response, </w:t>
      </w:r>
      <w:r>
        <w:rPr>
          <w:rFonts w:ascii="Times New Roman" w:hAnsi="Times New Roman" w:cs="Times New Roman"/>
          <w:sz w:val="24"/>
          <w:szCs w:val="24"/>
        </w:rPr>
        <w:lastRenderedPageBreak/>
        <w:t>financial organisations, including the Society for Worldwide Interbank Financial Telecommunication (</w:t>
      </w:r>
      <w:r>
        <w:rPr>
          <w:rFonts w:ascii="Times New Roman" w:hAnsi="Times New Roman" w:cs="Times New Roman"/>
          <w:sz w:val="24"/>
          <w:szCs w:val="24"/>
        </w:rPr>
        <w:t>SWIFT), have endeavoured to augment the surveillance and oversight of transactions associated with cryptocurrencies. Statistical methodologies are of paramount importance in effectively tackling this particular difficulty. The Society for Worldwide Interba</w:t>
      </w:r>
      <w:r>
        <w:rPr>
          <w:rFonts w:ascii="Times New Roman" w:hAnsi="Times New Roman" w:cs="Times New Roman"/>
          <w:sz w:val="24"/>
          <w:szCs w:val="24"/>
        </w:rPr>
        <w:t>nk Financial Telecommunication (SWIFT), which primarily facilitates interbank communication for international money transfers, has the capability to utilise statistical techniques for the purpose of analysing transaction data. This analysis enables the ide</w:t>
      </w:r>
      <w:r>
        <w:rPr>
          <w:rFonts w:ascii="Times New Roman" w:hAnsi="Times New Roman" w:cs="Times New Roman"/>
          <w:sz w:val="24"/>
          <w:szCs w:val="24"/>
        </w:rPr>
        <w:t>ntification of trends that may be suggestive of suspicious actions related to cryptocurrencies. The aforementioned techniques encompass anomaly detection, clustering, and machine learning algorithms, which are employed to identify and highlight possibly un</w:t>
      </w:r>
      <w:r>
        <w:rPr>
          <w:rFonts w:ascii="Times New Roman" w:hAnsi="Times New Roman" w:cs="Times New Roman"/>
          <w:sz w:val="24"/>
          <w:szCs w:val="24"/>
        </w:rPr>
        <w:t>lawful transactions, hence prompting subsequent inquiry. The problem statement pertains to the identification of statistically robust methods that can accommodate the dynamic nature of cryptocurrencies. These methods aim to assist financial institutions, i</w:t>
      </w:r>
      <w:r>
        <w:rPr>
          <w:rFonts w:ascii="Times New Roman" w:hAnsi="Times New Roman" w:cs="Times New Roman"/>
          <w:sz w:val="24"/>
          <w:szCs w:val="24"/>
        </w:rPr>
        <w:t>ncluding SWIFT, in managing the risks associated with digital assets. Simultaneously, they strive to uphold the integrity and security of the worldwide financial system. Sustained research and development efforts are necessary to maintain a competitive edg</w:t>
      </w:r>
      <w:r>
        <w:rPr>
          <w:rFonts w:ascii="Times New Roman" w:hAnsi="Times New Roman" w:cs="Times New Roman"/>
          <w:sz w:val="24"/>
          <w:szCs w:val="24"/>
        </w:rPr>
        <w:t>e against developing challenges in the realm of cryptocurrency.</w:t>
      </w:r>
    </w:p>
    <w:p w14:paraId="76DF152E"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The fundamental and shared core functionality among all the aforementioned cryptocurrencies is their capacity to facilitate the movement of funds. The transactions associated with each of thes</w:t>
      </w:r>
      <w:r>
        <w:rPr>
          <w:rFonts w:ascii="Times New Roman" w:hAnsi="Times New Roman" w:cs="Times New Roman"/>
          <w:sz w:val="24"/>
          <w:szCs w:val="24"/>
        </w:rPr>
        <w:t xml:space="preserve">e currencies may be found by utilising the blockchain data. Consequently, it is feasible to examine transactions involving these currencies from various perspectives and do diverse statistical analyses on them. </w:t>
      </w:r>
      <w:r>
        <w:rPr>
          <w:rFonts w:ascii="Times New Roman" w:hAnsi="Times New Roman" w:cs="Times New Roman"/>
          <w:sz w:val="24"/>
          <w:szCs w:val="24"/>
        </w:rPr>
        <w:t>Specifically, it is feasible to analyse an ac</w:t>
      </w:r>
      <w:r>
        <w:rPr>
          <w:rFonts w:ascii="Times New Roman" w:hAnsi="Times New Roman" w:cs="Times New Roman"/>
          <w:sz w:val="24"/>
          <w:szCs w:val="24"/>
        </w:rPr>
        <w:t>tual network of monetary transactions pertaining to each cryptocurrency.</w:t>
      </w:r>
    </w:p>
    <w:p w14:paraId="673C7CC5" w14:textId="77777777" w:rsidR="00B523ED" w:rsidRDefault="00B1179D">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Overview of Cryptocurrencies and Blockchain</w:t>
      </w:r>
    </w:p>
    <w:p w14:paraId="168B8389"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The advent of cryptocurrencies and blockchain technology is indicative of a larger trend in technological advancements that enable peer-to-</w:t>
      </w:r>
      <w:r>
        <w:rPr>
          <w:rFonts w:ascii="Times New Roman" w:hAnsi="Times New Roman" w:cs="Times New Roman"/>
          <w:sz w:val="24"/>
          <w:szCs w:val="24"/>
        </w:rPr>
        <w:t>peer (P2P) trade, customization of products, and increased flexibility in production techniques. Due to a multitude of factors, this phenomenon garnered momentum subsequent to the worldwide economic downturn that occurred ten years ago. According to Dyusse</w:t>
      </w:r>
      <w:r>
        <w:rPr>
          <w:rFonts w:ascii="Times New Roman" w:hAnsi="Times New Roman" w:cs="Times New Roman"/>
          <w:sz w:val="24"/>
          <w:szCs w:val="24"/>
        </w:rPr>
        <w:t>mbekova (2017), there is a notable trend in which prominent digital platforms, like Alibaba, Amazon, Uber, and Airbnb, are progressively displacing traditional physical retailers, service providers, and conventional employment arrangements. Cryptocurrencie</w:t>
      </w:r>
      <w:r>
        <w:rPr>
          <w:rFonts w:ascii="Times New Roman" w:hAnsi="Times New Roman" w:cs="Times New Roman"/>
          <w:sz w:val="24"/>
          <w:szCs w:val="24"/>
        </w:rPr>
        <w:t>s represent the pioneering and, hence, most advanced implementation of blockchain technologies. They generate currency without the involvement of central banking systems and enable transactions without the need for traditional financial establishments. The</w:t>
      </w:r>
      <w:r>
        <w:rPr>
          <w:rFonts w:ascii="Times New Roman" w:hAnsi="Times New Roman" w:cs="Times New Roman"/>
          <w:sz w:val="24"/>
          <w:szCs w:val="24"/>
        </w:rPr>
        <w:t xml:space="preserve"> emergence of several cryptocurrencies has exerted competitive pressure on transaction techniques employed by established financial institutions. Nevertheless, significant constraints have become evident. The absence of trusted middlemen in decentralised m</w:t>
      </w:r>
      <w:r>
        <w:rPr>
          <w:rFonts w:ascii="Times New Roman" w:hAnsi="Times New Roman" w:cs="Times New Roman"/>
          <w:sz w:val="24"/>
          <w:szCs w:val="24"/>
        </w:rPr>
        <w:t>arket organisations might result in significant costs, hindering the viability of such systems. Additionally, the fluctuating value of cryptocurrencies poses a substantial barrier to their potential to serve as a substitute for traditional legal money (Mou</w:t>
      </w:r>
      <w:r>
        <w:rPr>
          <w:rFonts w:ascii="Times New Roman" w:hAnsi="Times New Roman" w:cs="Times New Roman"/>
          <w:sz w:val="24"/>
          <w:szCs w:val="24"/>
        </w:rPr>
        <w:t>gayar, 2016).</w:t>
      </w:r>
    </w:p>
    <w:p w14:paraId="0141DCD0"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Blockchain technology strives to advance beyond current capabilities. P2P transactions and P2P information flows are organised in </w:t>
      </w:r>
      <w:r>
        <w:rPr>
          <w:rFonts w:ascii="Times New Roman" w:hAnsi="Times New Roman" w:cs="Times New Roman"/>
          <w:sz w:val="24"/>
          <w:szCs w:val="24"/>
        </w:rPr>
        <w:lastRenderedPageBreak/>
        <w:t>the absence of digital platform-operating enterprises. The extent to which these technologies will entirely erad</w:t>
      </w:r>
      <w:r>
        <w:rPr>
          <w:rFonts w:ascii="Times New Roman" w:hAnsi="Times New Roman" w:cs="Times New Roman"/>
          <w:sz w:val="24"/>
          <w:szCs w:val="24"/>
        </w:rPr>
        <w:t xml:space="preserve">icate intermediaries, or if other types of trustworthy intermediaries will arise, is yet to be determined. The prospective uses of blockchain technology, such as smart contracts, decentralised databases, and open-source social networks, have the potential </w:t>
      </w:r>
      <w:r>
        <w:rPr>
          <w:rFonts w:ascii="Times New Roman" w:hAnsi="Times New Roman" w:cs="Times New Roman"/>
          <w:sz w:val="24"/>
          <w:szCs w:val="24"/>
        </w:rPr>
        <w:t>to be more transformative than cryptocurrencies. According to Helms (2018), it is probable that ongoing trials may yield enduring breakthroughs, even if their current applications do not withstand the test of time. The advent of blockchain technology has i</w:t>
      </w:r>
      <w:r>
        <w:rPr>
          <w:rFonts w:ascii="Times New Roman" w:hAnsi="Times New Roman" w:cs="Times New Roman"/>
          <w:sz w:val="24"/>
          <w:szCs w:val="24"/>
        </w:rPr>
        <w:t>ncited a surge of global endeavours, wherein individuals use cryptocurrencies for cross-border transactions and speculative investment purposes. Start-up enterprises are engaged in the extraction of cryptocurrencies and offering services related to blockch</w:t>
      </w:r>
      <w:r>
        <w:rPr>
          <w:rFonts w:ascii="Times New Roman" w:hAnsi="Times New Roman" w:cs="Times New Roman"/>
          <w:sz w:val="24"/>
          <w:szCs w:val="24"/>
        </w:rPr>
        <w:t>ain technology. Governments are now engaged in the exploration of blockchain technology as a means to enhance the security and transparency of their services (Castor, 2017).</w:t>
      </w:r>
    </w:p>
    <w:p w14:paraId="56C0DA53" w14:textId="77777777" w:rsidR="00B523ED" w:rsidRDefault="00B1179D">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Concept of Cryptocurrencies</w:t>
      </w:r>
    </w:p>
    <w:p w14:paraId="3F8475EC"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Cryptocurrencies refer to digital or virtual currencie</w:t>
      </w:r>
      <w:r>
        <w:rPr>
          <w:rFonts w:ascii="Times New Roman" w:hAnsi="Times New Roman" w:cs="Times New Roman"/>
          <w:sz w:val="24"/>
          <w:szCs w:val="24"/>
        </w:rPr>
        <w:t>s that employ cryptographic techniques to ensure security. In contrast to conventional currencies issued by governmental authorities and central banks, cryptocurrencies possess a decentralised nature and depend on a technological framework known as blockch</w:t>
      </w:r>
      <w:r>
        <w:rPr>
          <w:rFonts w:ascii="Times New Roman" w:hAnsi="Times New Roman" w:cs="Times New Roman"/>
          <w:sz w:val="24"/>
          <w:szCs w:val="24"/>
        </w:rPr>
        <w:t>ain for the purpose of recording and validating transactions. Bitcoin is widely recognised as the most prominent cryptocurrency; nevertheless, the market encompasses a multitude of other digital currencies, each distinguished by its own attributes and inte</w:t>
      </w:r>
      <w:r>
        <w:rPr>
          <w:rFonts w:ascii="Times New Roman" w:hAnsi="Times New Roman" w:cs="Times New Roman"/>
          <w:sz w:val="24"/>
          <w:szCs w:val="24"/>
        </w:rPr>
        <w:t xml:space="preserve">nded applications. Heid (2013) asserts that cryptocurrencies are tangible precomputed files that employ public key/private key pairs formed by a specific </w:t>
      </w:r>
      <w:r>
        <w:rPr>
          <w:rFonts w:ascii="Times New Roman" w:hAnsi="Times New Roman" w:cs="Times New Roman"/>
          <w:sz w:val="24"/>
          <w:szCs w:val="24"/>
        </w:rPr>
        <w:t>encryption method. The ownership of each key pair, or 'coin,' is determined by the key, which designat</w:t>
      </w:r>
      <w:r>
        <w:rPr>
          <w:rFonts w:ascii="Times New Roman" w:hAnsi="Times New Roman" w:cs="Times New Roman"/>
          <w:sz w:val="24"/>
          <w:szCs w:val="24"/>
        </w:rPr>
        <w:t>es the individual who possesses the private key. The key pairs are saved within a file called 'wallet.dat,' which is located in a concealed default directory on the owner's hard disc. Cryptocurrency does not fall under the category of either commodity mone</w:t>
      </w:r>
      <w:r>
        <w:rPr>
          <w:rFonts w:ascii="Times New Roman" w:hAnsi="Times New Roman" w:cs="Times New Roman"/>
          <w:sz w:val="24"/>
          <w:szCs w:val="24"/>
        </w:rPr>
        <w:t>y or fiat money. Blume (2014) posits that this particular currency presents a novel amalgamation of technological and monetary attributes, hence giving rise to distinct economic inquiries in comparison to other currency types. The object in question exhibi</w:t>
      </w:r>
      <w:r>
        <w:rPr>
          <w:rFonts w:ascii="Times New Roman" w:hAnsi="Times New Roman" w:cs="Times New Roman"/>
          <w:sz w:val="24"/>
          <w:szCs w:val="24"/>
        </w:rPr>
        <w:t>ts several attributes commonly associated with coinage based on precious metals, such as possessing an intrinsic worth rather than being a currency supported by a governing authority for the purpose of facilitating trade. The decentralised nature of crypto</w:t>
      </w:r>
      <w:r>
        <w:rPr>
          <w:rFonts w:ascii="Times New Roman" w:hAnsi="Times New Roman" w:cs="Times New Roman"/>
          <w:sz w:val="24"/>
          <w:szCs w:val="24"/>
        </w:rPr>
        <w:t>currencies implies that they possess the potential to disrupt traditional currencies due to their resistance to central control (Taylor, 2015). Furthermore, their encryption and ability to facilitate digital bartering may have a transformative impact on di</w:t>
      </w:r>
      <w:r>
        <w:rPr>
          <w:rFonts w:ascii="Times New Roman" w:hAnsi="Times New Roman" w:cs="Times New Roman"/>
          <w:sz w:val="24"/>
          <w:szCs w:val="24"/>
        </w:rPr>
        <w:t>gital trade markets by establishing a fee-less and fluid trading system (DeVries, 2016). Moreover, due to their nature as payment instruments rather than private currencies, the integration of these instruments into the financial system serves to reduce th</w:t>
      </w:r>
      <w:r>
        <w:rPr>
          <w:rFonts w:ascii="Times New Roman" w:hAnsi="Times New Roman" w:cs="Times New Roman"/>
          <w:sz w:val="24"/>
          <w:szCs w:val="24"/>
        </w:rPr>
        <w:t>e risks associated with money laundering and terrorist financing (Dostov &amp; Shust, 2016). Cryptocurrencies provide a level of confidentiality and anonymity in transactions. Complex hashing and time stamping procedures are employed to establish unique identi</w:t>
      </w:r>
      <w:r>
        <w:rPr>
          <w:rFonts w:ascii="Times New Roman" w:hAnsi="Times New Roman" w:cs="Times New Roman"/>
          <w:sz w:val="24"/>
          <w:szCs w:val="24"/>
        </w:rPr>
        <w:t xml:space="preserve">fication for each individual coin inside a given currency. According to Hameed (2016), cryptocurrency systems often assert their ability to offer anonymous and decentralised transaction processing. From a political economics perspective, the presence of a </w:t>
      </w:r>
      <w:r>
        <w:rPr>
          <w:rFonts w:ascii="Times New Roman" w:hAnsi="Times New Roman" w:cs="Times New Roman"/>
          <w:sz w:val="24"/>
          <w:szCs w:val="24"/>
        </w:rPr>
        <w:lastRenderedPageBreak/>
        <w:t>cryptocurrency with a steady buying power might be considered helpful in order to alleviate concerns over its acceptance. However, it is important to note that broad expansion of such a currency may not occur until the restrictions that restrict intermedia</w:t>
      </w:r>
      <w:r>
        <w:rPr>
          <w:rFonts w:ascii="Times New Roman" w:hAnsi="Times New Roman" w:cs="Times New Roman"/>
          <w:sz w:val="24"/>
          <w:szCs w:val="24"/>
        </w:rPr>
        <w:t>tion are eased (Harwick, 2016).</w:t>
      </w:r>
    </w:p>
    <w:p w14:paraId="57ACC6E2" w14:textId="77777777" w:rsidR="00B523ED" w:rsidRDefault="00B1179D">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Genesis of SWIFT</w:t>
      </w:r>
    </w:p>
    <w:p w14:paraId="1A56B860"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Globalisation has emerged as a significant phenomena that has brought about many modifications in the construction of traditional cultures and economies. It fundamentally altered the fundamental notion of a </w:t>
      </w:r>
      <w:r>
        <w:rPr>
          <w:rFonts w:ascii="Times New Roman" w:hAnsi="Times New Roman" w:cs="Times New Roman"/>
          <w:sz w:val="24"/>
          <w:szCs w:val="24"/>
        </w:rPr>
        <w:t xml:space="preserve">border or barricade, hence enabling the creation of a flexible structure within the global domain.The commencement of commercial flows and the establishment of business amalgamation have occurred between nations with highly developed economies and nations </w:t>
      </w:r>
      <w:r>
        <w:rPr>
          <w:rFonts w:ascii="Times New Roman" w:hAnsi="Times New Roman" w:cs="Times New Roman"/>
          <w:sz w:val="24"/>
          <w:szCs w:val="24"/>
        </w:rPr>
        <w:t>with less developed economies. Consequently, a cross-border exchange of resources and financial transactions occurred, resulting in the amalgamation of cultural elements, societal dynamics, and patterns of consumption.In the context of a defined geographic</w:t>
      </w:r>
      <w:r>
        <w:rPr>
          <w:rFonts w:ascii="Times New Roman" w:hAnsi="Times New Roman" w:cs="Times New Roman"/>
          <w:sz w:val="24"/>
          <w:szCs w:val="24"/>
        </w:rPr>
        <w:t>al area, procedures were established to facilitate the efficient interchange of resources and monetary transactions (Dasgupta &amp; Grover, 2019). However, as a result of increased globalisation, the flow of both financial transactions and resources has expand</w:t>
      </w:r>
      <w:r>
        <w:rPr>
          <w:rFonts w:ascii="Times New Roman" w:hAnsi="Times New Roman" w:cs="Times New Roman"/>
          <w:sz w:val="24"/>
          <w:szCs w:val="24"/>
        </w:rPr>
        <w:t>ed across various borders. This process led to governments and banks, particularly those of different countries, contemplating strategies to enhance the ease of monetary transactions. Hence, it became apparent that a transformation in the operational frame</w:t>
      </w:r>
      <w:r>
        <w:rPr>
          <w:rFonts w:ascii="Times New Roman" w:hAnsi="Times New Roman" w:cs="Times New Roman"/>
          <w:sz w:val="24"/>
          <w:szCs w:val="24"/>
        </w:rPr>
        <w:t>work of financial institutions would be necessary to accommodate the requirements of these highly dynamic transactions.</w:t>
      </w:r>
    </w:p>
    <w:p w14:paraId="0BEC0069" w14:textId="77777777" w:rsidR="00B523ED" w:rsidRDefault="00B1179D">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Concept of SWIFT Transactions</w:t>
      </w:r>
    </w:p>
    <w:p w14:paraId="77D88532"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The Society for Worldwide Interbank Financial Telecommunication (SWIFT) is a prominent worldwide messaging</w:t>
      </w:r>
      <w:r>
        <w:rPr>
          <w:rFonts w:ascii="Times New Roman" w:hAnsi="Times New Roman" w:cs="Times New Roman"/>
          <w:sz w:val="24"/>
          <w:szCs w:val="24"/>
        </w:rPr>
        <w:t xml:space="preserve"> network that has a crucial position in facilitating international financial transactions. SWIFT transactions pertain to the safe transmission of financial data among global banks and financial organisations (SWIFT, 2022). This system plays a crucial role </w:t>
      </w:r>
      <w:r>
        <w:rPr>
          <w:rFonts w:ascii="Times New Roman" w:hAnsi="Times New Roman" w:cs="Times New Roman"/>
          <w:sz w:val="24"/>
          <w:szCs w:val="24"/>
        </w:rPr>
        <w:t>in enabling the efficient flow of cash, securities, and other vital data, hence contributing to the seamless operation of the global financial system.In a conventional SWIFT transaction, two financial institutions engage in communication utilising standard</w:t>
      </w:r>
      <w:r>
        <w:rPr>
          <w:rFonts w:ascii="Times New Roman" w:hAnsi="Times New Roman" w:cs="Times New Roman"/>
          <w:sz w:val="24"/>
          <w:szCs w:val="24"/>
        </w:rPr>
        <w:t>ised messages, namely MT (Message Type) messages. These messages encompass crucial transaction particulars, including sender and receiver identities, the designated transfer amount, currency codes, and payment instructions. The primary function of SWIFT is</w:t>
      </w:r>
      <w:r>
        <w:rPr>
          <w:rFonts w:ascii="Times New Roman" w:hAnsi="Times New Roman" w:cs="Times New Roman"/>
          <w:sz w:val="24"/>
          <w:szCs w:val="24"/>
        </w:rPr>
        <w:t xml:space="preserve"> not the physical movement of cash, but rather the establishment of a secure communication channel for banks to exchange messages. The transmission of these messages enables the transfer of payments, which occurs through correspondent bank accounts (SWIFT,</w:t>
      </w:r>
      <w:r>
        <w:rPr>
          <w:rFonts w:ascii="Times New Roman" w:hAnsi="Times New Roman" w:cs="Times New Roman"/>
          <w:sz w:val="24"/>
          <w:szCs w:val="24"/>
        </w:rPr>
        <w:t xml:space="preserve"> 2021).</w:t>
      </w:r>
    </w:p>
    <w:p w14:paraId="487AD330"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The understanding of SWIFT transactions has significant importance in the context of international trade, cross-border investments, and the maintenance of global financial stability. The facilitation of international trade is made possible by the p</w:t>
      </w:r>
      <w:r>
        <w:rPr>
          <w:rFonts w:ascii="Times New Roman" w:hAnsi="Times New Roman" w:cs="Times New Roman"/>
          <w:sz w:val="24"/>
          <w:szCs w:val="24"/>
        </w:rPr>
        <w:t>rovision of efficient and secure financial transactions, which allows enterprises to engage in global commerce. Furthermore, it promotes increased openness and mitigates the potential for mistakes or fraudulent activities inside financial transactions.Neve</w:t>
      </w:r>
      <w:r>
        <w:rPr>
          <w:rFonts w:ascii="Times New Roman" w:hAnsi="Times New Roman" w:cs="Times New Roman"/>
          <w:sz w:val="24"/>
          <w:szCs w:val="24"/>
        </w:rPr>
        <w:t xml:space="preserve">rtheless, SWIFT transactions are not devoid of problems. The costs associated with these transactions can be rather high, as fees are subject to variation depending on the intricacy and </w:t>
      </w:r>
      <w:r>
        <w:rPr>
          <w:rFonts w:ascii="Times New Roman" w:hAnsi="Times New Roman" w:cs="Times New Roman"/>
          <w:sz w:val="24"/>
          <w:szCs w:val="24"/>
        </w:rPr>
        <w:lastRenderedPageBreak/>
        <w:t>swiftness of the transaction. Additionally, these entities have seen s</w:t>
      </w:r>
      <w:r>
        <w:rPr>
          <w:rFonts w:ascii="Times New Roman" w:hAnsi="Times New Roman" w:cs="Times New Roman"/>
          <w:sz w:val="24"/>
          <w:szCs w:val="24"/>
        </w:rPr>
        <w:t>crutiny due to their susceptibility to cyberattacks and apprehensions regarding the safeguarding of data privacy (Narasimhan, 2019).Notwithstanding these obstacles, SWIFT continues to serve as a crucial framework for international finance, guaranteeing the</w:t>
      </w:r>
      <w:r>
        <w:rPr>
          <w:rFonts w:ascii="Times New Roman" w:hAnsi="Times New Roman" w:cs="Times New Roman"/>
          <w:sz w:val="24"/>
          <w:szCs w:val="24"/>
        </w:rPr>
        <w:t xml:space="preserve"> effective and protected transmission of financial data, therefore playing a significant role in the operation of the interdependent global economy.</w:t>
      </w:r>
    </w:p>
    <w:p w14:paraId="2B04B460" w14:textId="77777777" w:rsidR="00B523ED" w:rsidRDefault="00B1179D">
      <w:pPr>
        <w:spacing w:after="20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D8D7D9" wp14:editId="3EDDA056">
            <wp:extent cx="2834363" cy="2019299"/>
            <wp:effectExtent l="0" t="0" r="4445"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srcRect/>
                    <a:stretch/>
                  </pic:blipFill>
                  <pic:spPr>
                    <a:xfrm>
                      <a:off x="0" y="0"/>
                      <a:ext cx="2834363" cy="2019299"/>
                    </a:xfrm>
                    <a:prstGeom prst="rect">
                      <a:avLst/>
                    </a:prstGeom>
                  </pic:spPr>
                </pic:pic>
              </a:graphicData>
            </a:graphic>
          </wp:inline>
        </w:drawing>
      </w:r>
    </w:p>
    <w:p w14:paraId="6E889BD7" w14:textId="77777777" w:rsidR="00B523ED" w:rsidRDefault="00B1179D">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Figure 1:</w:t>
      </w:r>
      <w:r>
        <w:rPr>
          <w:rFonts w:ascii="Times New Roman" w:hAnsi="Times New Roman" w:cs="Times New Roman"/>
          <w:sz w:val="24"/>
          <w:szCs w:val="24"/>
        </w:rPr>
        <w:t>The ideal structure of Swift system.</w:t>
      </w:r>
    </w:p>
    <w:p w14:paraId="09CF8690" w14:textId="77777777" w:rsidR="00B523ED" w:rsidRDefault="00B1179D">
      <w:pPr>
        <w:spacing w:after="200" w:line="240" w:lineRule="auto"/>
        <w:jc w:val="center"/>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www.cbinsights.com.</w:t>
      </w:r>
    </w:p>
    <w:p w14:paraId="7969F4BC" w14:textId="77777777" w:rsidR="00B523ED" w:rsidRDefault="00B1179D">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CryptocurrenciesParadigm Shift </w:t>
      </w:r>
      <w:r>
        <w:rPr>
          <w:rFonts w:ascii="Times New Roman" w:hAnsi="Times New Roman" w:cs="Times New Roman"/>
          <w:b/>
          <w:bCs/>
          <w:sz w:val="24"/>
          <w:szCs w:val="24"/>
        </w:rPr>
        <w:t>in Finance</w:t>
      </w:r>
    </w:p>
    <w:p w14:paraId="70DED9DD"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Cryptocurrencies encompass digital or virtual assets that are specifically engineered to function as a means of trade, employing cryptographic techniques to ensure security. Bitcoin, the groundbreaking digital currency launched in 2009 by an uni</w:t>
      </w:r>
      <w:r>
        <w:rPr>
          <w:rFonts w:ascii="Times New Roman" w:hAnsi="Times New Roman" w:cs="Times New Roman"/>
          <w:sz w:val="24"/>
          <w:szCs w:val="24"/>
        </w:rPr>
        <w:t>dentified individual named Satoshi Nakamoto, laid the foundation for this transformative movement. Since that time, a multitude of cryptocurrencies have surfaced, each possessing distinct characteristics and applications. Prominent instances encompass Ethe</w:t>
      </w:r>
      <w:r>
        <w:rPr>
          <w:rFonts w:ascii="Times New Roman" w:hAnsi="Times New Roman" w:cs="Times New Roman"/>
          <w:sz w:val="24"/>
          <w:szCs w:val="24"/>
        </w:rPr>
        <w:t xml:space="preserve">reum, Ripple (XRP), and Litecoin.In contrast to conventional currencies, cryptocurrencies often lack </w:t>
      </w:r>
      <w:r>
        <w:rPr>
          <w:rFonts w:ascii="Times New Roman" w:hAnsi="Times New Roman" w:cs="Times New Roman"/>
          <w:sz w:val="24"/>
          <w:szCs w:val="24"/>
        </w:rPr>
        <w:t>centralised control or governance by any authoritative body or governmental entity. Instead, the reliance is placed on distributed ledger technology, gener</w:t>
      </w:r>
      <w:r>
        <w:rPr>
          <w:rFonts w:ascii="Times New Roman" w:hAnsi="Times New Roman" w:cs="Times New Roman"/>
          <w:sz w:val="24"/>
          <w:szCs w:val="24"/>
        </w:rPr>
        <w:t>ally referred to as blockchain, which effectively documents all transactions occurring inside a network of interconnected computers (Mougayar, 2016). The decentralised structure of this system affords individuals with enhanced autonomy over their financial</w:t>
      </w:r>
      <w:r>
        <w:rPr>
          <w:rFonts w:ascii="Times New Roman" w:hAnsi="Times New Roman" w:cs="Times New Roman"/>
          <w:sz w:val="24"/>
          <w:szCs w:val="24"/>
        </w:rPr>
        <w:t xml:space="preserve"> resources and mitigates the potential for censorship or manipulation. Cryptocurrencies have brought about a significant and revolutionary change in the realm of finance. Cryptocurrencies embody a deviation from conventional financial systems, questioning </w:t>
      </w:r>
      <w:r>
        <w:rPr>
          <w:rFonts w:ascii="Times New Roman" w:hAnsi="Times New Roman" w:cs="Times New Roman"/>
          <w:sz w:val="24"/>
          <w:szCs w:val="24"/>
        </w:rPr>
        <w:t>existing conventions and presenting innovative resolutions to long-standing issues. The paradigm shift discussed in this context is based on the fundamental properties of cryptocurrencies, which include:</w:t>
      </w:r>
    </w:p>
    <w:p w14:paraId="3058E002"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Decentralization:</w:t>
      </w:r>
      <w:r>
        <w:rPr>
          <w:rFonts w:ascii="Times New Roman" w:hAnsi="Times New Roman" w:cs="Times New Roman"/>
          <w:sz w:val="24"/>
          <w:szCs w:val="24"/>
        </w:rPr>
        <w:t xml:space="preserve"> Traditional financial systems are </w:t>
      </w:r>
      <w:r>
        <w:rPr>
          <w:rFonts w:ascii="Times New Roman" w:hAnsi="Times New Roman" w:cs="Times New Roman"/>
          <w:sz w:val="24"/>
          <w:szCs w:val="24"/>
        </w:rPr>
        <w:t>centralized, relying on banks and intermediaries to facilitate transactions and store records. Cryptocurrencies, however, operate on decentralized blockchain technology, removing the need for intermediaries. This decentralization increases transparency, re</w:t>
      </w:r>
      <w:r>
        <w:rPr>
          <w:rFonts w:ascii="Times New Roman" w:hAnsi="Times New Roman" w:cs="Times New Roman"/>
          <w:sz w:val="24"/>
          <w:szCs w:val="24"/>
        </w:rPr>
        <w:t>duces the risk of fraud, and empowers individuals by granting them control over their financial assets (Mougayar,2016).</w:t>
      </w:r>
    </w:p>
    <w:p w14:paraId="5C9675C8"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Financial Inclusion:</w:t>
      </w:r>
      <w:r>
        <w:rPr>
          <w:rFonts w:ascii="Times New Roman" w:hAnsi="Times New Roman" w:cs="Times New Roman"/>
          <w:sz w:val="24"/>
          <w:szCs w:val="24"/>
        </w:rPr>
        <w:t xml:space="preserve"> Cryptocurrencies have the potential to bridge the gap between the banked and the unbanked. Nearly 1.7 billion peopl</w:t>
      </w:r>
      <w:r>
        <w:rPr>
          <w:rFonts w:ascii="Times New Roman" w:hAnsi="Times New Roman" w:cs="Times New Roman"/>
          <w:sz w:val="24"/>
          <w:szCs w:val="24"/>
        </w:rPr>
        <w:t>e globally lack access to traditional banking services, but many have smartphones. Cryptocurrencies offer these individuals an opportunity to participate in the global economy, opening doors to financial services, savings, and investment.</w:t>
      </w:r>
    </w:p>
    <w:p w14:paraId="13315752"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Borderless Transa</w:t>
      </w:r>
      <w:r>
        <w:rPr>
          <w:rFonts w:ascii="Times New Roman" w:hAnsi="Times New Roman" w:cs="Times New Roman"/>
          <w:b/>
          <w:bCs/>
          <w:i/>
          <w:iCs/>
          <w:sz w:val="24"/>
          <w:szCs w:val="24"/>
        </w:rPr>
        <w:t>ctions:</w:t>
      </w:r>
      <w:r>
        <w:rPr>
          <w:rFonts w:ascii="Times New Roman" w:hAnsi="Times New Roman" w:cs="Times New Roman"/>
          <w:sz w:val="24"/>
          <w:szCs w:val="24"/>
        </w:rPr>
        <w:t xml:space="preserve"> Traditional cross-border transactions can be costly and time-</w:t>
      </w:r>
      <w:r>
        <w:rPr>
          <w:rFonts w:ascii="Times New Roman" w:hAnsi="Times New Roman" w:cs="Times New Roman"/>
          <w:sz w:val="24"/>
          <w:szCs w:val="24"/>
        </w:rPr>
        <w:lastRenderedPageBreak/>
        <w:t>consuming due to intermediaries and currency conversions. Cryptocurrencies enable near-instant and cost-effective cross-border transfers. This can revolutionize international trade and re</w:t>
      </w:r>
      <w:r>
        <w:rPr>
          <w:rFonts w:ascii="Times New Roman" w:hAnsi="Times New Roman" w:cs="Times New Roman"/>
          <w:sz w:val="24"/>
          <w:szCs w:val="24"/>
        </w:rPr>
        <w:t>mittances, saving businesses and individuals significant amounts of money.</w:t>
      </w:r>
    </w:p>
    <w:p w14:paraId="66EF9A36"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Security:</w:t>
      </w:r>
      <w:r>
        <w:rPr>
          <w:rFonts w:ascii="Times New Roman" w:hAnsi="Times New Roman" w:cs="Times New Roman"/>
          <w:sz w:val="24"/>
          <w:szCs w:val="24"/>
        </w:rPr>
        <w:t xml:space="preserve"> Cryptocurrencies employ cryptographic techniques to secure transactions and wallets. This heightened security, when compared to traditional financial systems, makes it har</w:t>
      </w:r>
      <w:r>
        <w:rPr>
          <w:rFonts w:ascii="Times New Roman" w:hAnsi="Times New Roman" w:cs="Times New Roman"/>
          <w:sz w:val="24"/>
          <w:szCs w:val="24"/>
        </w:rPr>
        <w:t>der for hackers to steal funds or engage in fraudulent activities (Gensler, 2021). While security breaches can still occur, they are typically the result of individual lapses rather than systemic vulnerabilities.</w:t>
      </w:r>
    </w:p>
    <w:p w14:paraId="10FBF704"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Financial Innovation:</w:t>
      </w:r>
      <w:r>
        <w:rPr>
          <w:rFonts w:ascii="Times New Roman" w:hAnsi="Times New Roman" w:cs="Times New Roman"/>
          <w:sz w:val="24"/>
          <w:szCs w:val="24"/>
        </w:rPr>
        <w:t xml:space="preserve"> Cryptocurrencies have</w:t>
      </w:r>
      <w:r>
        <w:rPr>
          <w:rFonts w:ascii="Times New Roman" w:hAnsi="Times New Roman" w:cs="Times New Roman"/>
          <w:sz w:val="24"/>
          <w:szCs w:val="24"/>
        </w:rPr>
        <w:t xml:space="preserve"> spawned a wave of financial innovation. Smart contracts, for example, enable self-executing agreements without the need for intermediaries. DeFi (Decentralized Finance) platforms offer a range of financial services, such as lending, borrowing, and trading</w:t>
      </w:r>
      <w:r>
        <w:rPr>
          <w:rFonts w:ascii="Times New Roman" w:hAnsi="Times New Roman" w:cs="Times New Roman"/>
          <w:sz w:val="24"/>
          <w:szCs w:val="24"/>
        </w:rPr>
        <w:t>, directly on blockchain networks, potentially disrupting traditional banks and financial institutions.</w:t>
      </w:r>
    </w:p>
    <w:p w14:paraId="2D400F6C" w14:textId="77777777" w:rsidR="00B523ED" w:rsidRDefault="00B1179D">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Cryptocurrencies and Investment</w:t>
      </w:r>
    </w:p>
    <w:p w14:paraId="0D9C7A34"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The increasing prominence of cryptocurrencies has rendered them a widely preferred option for investing. Investors are attracted to the prospect of achieving substantial financial gains and enhancing the diversification of their investment portfolios. Neve</w:t>
      </w:r>
      <w:r>
        <w:rPr>
          <w:rFonts w:ascii="Times New Roman" w:hAnsi="Times New Roman" w:cs="Times New Roman"/>
          <w:sz w:val="24"/>
          <w:szCs w:val="24"/>
        </w:rPr>
        <w:t>rtheless, the inherent instability of cryptocurrency markets gives rise to potential advantages as well as hazards. The volatility of prices in cryptocurrencies may have both positive and negative implications for investors since they are subject to consid</w:t>
      </w:r>
      <w:r>
        <w:rPr>
          <w:rFonts w:ascii="Times New Roman" w:hAnsi="Times New Roman" w:cs="Times New Roman"/>
          <w:sz w:val="24"/>
          <w:szCs w:val="24"/>
        </w:rPr>
        <w:t xml:space="preserve">erable fluctuations within a short timeframe. Moreover, the emergence of cryptocurrencies has catalysed the advancement of diverse financial </w:t>
      </w:r>
      <w:r>
        <w:rPr>
          <w:rFonts w:ascii="Times New Roman" w:hAnsi="Times New Roman" w:cs="Times New Roman"/>
          <w:sz w:val="24"/>
          <w:szCs w:val="24"/>
        </w:rPr>
        <w:t>instruments, including cryptocurrency exchanges, digital wallets, and decentralised finance (DeFi) platforms. These</w:t>
      </w:r>
      <w:r>
        <w:rPr>
          <w:rFonts w:ascii="Times New Roman" w:hAnsi="Times New Roman" w:cs="Times New Roman"/>
          <w:sz w:val="24"/>
          <w:szCs w:val="24"/>
        </w:rPr>
        <w:t xml:space="preserve"> advancements have broadened the scope of the financial sector, presenting novel opportunities for generating wealth and promoting financial inclusivity. Frankenfield (2021) asserts that cryptocurrencies have garnered a perception of being volatile investm</w:t>
      </w:r>
      <w:r>
        <w:rPr>
          <w:rFonts w:ascii="Times New Roman" w:hAnsi="Times New Roman" w:cs="Times New Roman"/>
          <w:sz w:val="24"/>
          <w:szCs w:val="24"/>
        </w:rPr>
        <w:t>ent vehicles, mostly attributable to substantial investor losses resulting from fraudulent activities, security breaches, software glitches, and market fluctuations. While fundamental cryptography and blockchain technologies are widely considered secure, t</w:t>
      </w:r>
      <w:r>
        <w:rPr>
          <w:rFonts w:ascii="Times New Roman" w:hAnsi="Times New Roman" w:cs="Times New Roman"/>
          <w:sz w:val="24"/>
          <w:szCs w:val="24"/>
        </w:rPr>
        <w:t>he intricate nature of using and safeguarding cryptographic assets can pose a substantial risk to inexperienced users.Cryptocurrencies present investors with a novel asset category that enables portfolio diversification. By incorporating digital assets int</w:t>
      </w:r>
      <w:r>
        <w:rPr>
          <w:rFonts w:ascii="Times New Roman" w:hAnsi="Times New Roman" w:cs="Times New Roman"/>
          <w:sz w:val="24"/>
          <w:szCs w:val="24"/>
        </w:rPr>
        <w:t>o their investing portfolios, investors have the opportunity to mitigate risk through diversification across several asset classes. According to a study conducted by Bouri et al. (2017), the inclusion of cryptocurrencies in a conventional portfolio has the</w:t>
      </w:r>
      <w:r>
        <w:rPr>
          <w:rFonts w:ascii="Times New Roman" w:hAnsi="Times New Roman" w:cs="Times New Roman"/>
          <w:sz w:val="24"/>
          <w:szCs w:val="24"/>
        </w:rPr>
        <w:t xml:space="preserve"> potential to augment the advantages of diversity. The study done by Sifat (2021) offers proof in support of the idea that adding cryptocurrencies to a traditional investing portfolio can successfully reduce overall risk by utilizing the benefits of divers</w:t>
      </w:r>
      <w:r>
        <w:rPr>
          <w:rFonts w:ascii="Times New Roman" w:hAnsi="Times New Roman" w:cs="Times New Roman"/>
          <w:sz w:val="24"/>
          <w:szCs w:val="24"/>
        </w:rPr>
        <w:t>ity. Incorporating cryptocurrency with traditional assets such as equities and bonds might potentially enable investors to get enhanced risk-adjusted returns. Certain investors perceive cryptocurrencies, namely Bitcoin, as a means of safeguarding against t</w:t>
      </w:r>
      <w:r>
        <w:rPr>
          <w:rFonts w:ascii="Times New Roman" w:hAnsi="Times New Roman" w:cs="Times New Roman"/>
          <w:sz w:val="24"/>
          <w:szCs w:val="24"/>
        </w:rPr>
        <w:t>he adverse effects of inflation. According to the findings of Gandal et al. (2018), there is empirical evidence suggesting that Bitcoin serves as a means of preserving capital for investors during periods characterised by economic instability and inflation</w:t>
      </w:r>
      <w:r>
        <w:rPr>
          <w:rFonts w:ascii="Times New Roman" w:hAnsi="Times New Roman" w:cs="Times New Roman"/>
          <w:sz w:val="24"/>
          <w:szCs w:val="24"/>
        </w:rPr>
        <w:t xml:space="preserve">ary </w:t>
      </w:r>
      <w:r>
        <w:rPr>
          <w:rFonts w:ascii="Times New Roman" w:hAnsi="Times New Roman" w:cs="Times New Roman"/>
          <w:sz w:val="24"/>
          <w:szCs w:val="24"/>
        </w:rPr>
        <w:lastRenderedPageBreak/>
        <w:t>pressures. According to Ciaian et al. (2018), cryptocurrency provides investors with more liquidity and improved accessibility. They possess the characteristic of being easily reachable by a wider range of investors, including individuals residing in p</w:t>
      </w:r>
      <w:r>
        <w:rPr>
          <w:rFonts w:ascii="Times New Roman" w:hAnsi="Times New Roman" w:cs="Times New Roman"/>
          <w:sz w:val="24"/>
          <w:szCs w:val="24"/>
        </w:rPr>
        <w:t xml:space="preserve">laces with limited access to traditional banking services. The presence of accessibility measures has the potential to generate increased investment in markets that were previously unexplored. However, it is worth noting that a notable aspect of empirical </w:t>
      </w:r>
      <w:r>
        <w:rPr>
          <w:rFonts w:ascii="Times New Roman" w:hAnsi="Times New Roman" w:cs="Times New Roman"/>
          <w:sz w:val="24"/>
          <w:szCs w:val="24"/>
        </w:rPr>
        <w:t>studies is the considerable volatility observed in bitcoin pricing. According to Agree et al (2025), the increased volatility displayed by cryptocurrencies deters risk-averse investors and increases the complexity of the investment decision-making process.</w:t>
      </w:r>
      <w:r>
        <w:rPr>
          <w:rFonts w:ascii="Times New Roman" w:hAnsi="Times New Roman" w:cs="Times New Roman"/>
          <w:sz w:val="24"/>
          <w:szCs w:val="24"/>
        </w:rPr>
        <w:t xml:space="preserve"> Abrupt fluctuations in prices have the potential to result in substantial financial setbacks. The presence of regulatory ambiguities pertaining to cryptocurrencies presents a potential danger to investors. According to Yermack (2018), the influence of reg</w:t>
      </w:r>
      <w:r>
        <w:rPr>
          <w:rFonts w:ascii="Times New Roman" w:hAnsi="Times New Roman" w:cs="Times New Roman"/>
          <w:sz w:val="24"/>
          <w:szCs w:val="24"/>
        </w:rPr>
        <w:t xml:space="preserve">ulatory measures on cryptocurrency markets can have a substantial effect, leading to abrupt decreases in prices. The absence of a well-defined regulatory framework has the potential to discourage the participation of institutional investors. Nevertheless, </w:t>
      </w:r>
      <w:r>
        <w:rPr>
          <w:rFonts w:ascii="Times New Roman" w:hAnsi="Times New Roman" w:cs="Times New Roman"/>
          <w:sz w:val="24"/>
          <w:szCs w:val="24"/>
        </w:rPr>
        <w:t>problems with fraudulent activity and security flaws have plagued the cryptocurrency industry. According to Trozze (2022), instances of fraudulent schemes and hacking have resulted in significant financial losses for investors, hence undermining confidence</w:t>
      </w:r>
      <w:r>
        <w:rPr>
          <w:rFonts w:ascii="Times New Roman" w:hAnsi="Times New Roman" w:cs="Times New Roman"/>
          <w:sz w:val="24"/>
          <w:szCs w:val="24"/>
        </w:rPr>
        <w:t xml:space="preserve"> in the market. The influence of cryptocurrencies on investment is characterised by a range of factors, encompassing both advantageous and disadvantageous dimensions. The allure of diversification advantages and the opportunity for hedging against inflatio</w:t>
      </w:r>
      <w:r>
        <w:rPr>
          <w:rFonts w:ascii="Times New Roman" w:hAnsi="Times New Roman" w:cs="Times New Roman"/>
          <w:sz w:val="24"/>
          <w:szCs w:val="24"/>
        </w:rPr>
        <w:t xml:space="preserve">n has garnered the attention of investors towards the cryptocurrency market. Nevertheless, </w:t>
      </w:r>
      <w:r>
        <w:rPr>
          <w:rFonts w:ascii="Times New Roman" w:hAnsi="Times New Roman" w:cs="Times New Roman"/>
          <w:sz w:val="24"/>
          <w:szCs w:val="24"/>
        </w:rPr>
        <w:t>investors face considerable obstacles because to the market's high volatility, potential regulatory problems, security concerns, and the lack of underlying intrinsic</w:t>
      </w:r>
      <w:r>
        <w:rPr>
          <w:rFonts w:ascii="Times New Roman" w:hAnsi="Times New Roman" w:cs="Times New Roman"/>
          <w:sz w:val="24"/>
          <w:szCs w:val="24"/>
        </w:rPr>
        <w:t xml:space="preserve"> value.</w:t>
      </w:r>
    </w:p>
    <w:p w14:paraId="4708D9CF" w14:textId="77777777" w:rsidR="00B523ED" w:rsidRDefault="00B1179D">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The Role of SWIFT in Cross-Border Transactions</w:t>
      </w:r>
    </w:p>
    <w:p w14:paraId="3998A787"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SWIFT is a cooperative society that provides secure, standardized messaging services to financial institutions worldwide. It plays a pivotal role in facilitating cross-border transactions, ensuring the</w:t>
      </w:r>
      <w:r>
        <w:rPr>
          <w:rFonts w:ascii="Times New Roman" w:hAnsi="Times New Roman" w:cs="Times New Roman"/>
          <w:sz w:val="24"/>
          <w:szCs w:val="24"/>
        </w:rPr>
        <w:t xml:space="preserve"> efficient flow of funds across borders. SWIFT's network connects thousands of banks and financial institutions, enabling them tocommunicate and settle international transactions.In today's interconnected global economy, cross-border transactions are an es</w:t>
      </w:r>
      <w:r>
        <w:rPr>
          <w:rFonts w:ascii="Times New Roman" w:hAnsi="Times New Roman" w:cs="Times New Roman"/>
          <w:sz w:val="24"/>
          <w:szCs w:val="24"/>
        </w:rPr>
        <w:t>sential component of international trade and finance(SWIFT, 2023). These transactions involve the exchange of funds, goods, and services between individuals, businesses, and governments across different countries. To facilitate the smooth flow of cross-bor</w:t>
      </w:r>
      <w:r>
        <w:rPr>
          <w:rFonts w:ascii="Times New Roman" w:hAnsi="Times New Roman" w:cs="Times New Roman"/>
          <w:sz w:val="24"/>
          <w:szCs w:val="24"/>
        </w:rPr>
        <w:t>der transactions, the financial industry relies heavily on the Society for Worldwide Interbank Financial Telecommunication (SWIFT). This international messaging network plays a pivotal role in ensuring the efficiency, security, and transparency of cross-bo</w:t>
      </w:r>
      <w:r>
        <w:rPr>
          <w:rFonts w:ascii="Times New Roman" w:hAnsi="Times New Roman" w:cs="Times New Roman"/>
          <w:sz w:val="24"/>
          <w:szCs w:val="24"/>
        </w:rPr>
        <w:t>rder transactions (Narasimhan, 2019).However, one of SWIFT's primary functions is facilitating cross-border payment transactions. When a customer or business initiates an international payment, the following steps typically occur within the SWIFT system:</w:t>
      </w:r>
    </w:p>
    <w:p w14:paraId="305FAAE7"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E</w:t>
      </w:r>
      <w:r>
        <w:rPr>
          <w:rFonts w:ascii="Times New Roman" w:hAnsi="Times New Roman" w:cs="Times New Roman"/>
          <w:b/>
          <w:bCs/>
          <w:i/>
          <w:iCs/>
          <w:sz w:val="24"/>
          <w:szCs w:val="24"/>
        </w:rPr>
        <w:t>fficiency:</w:t>
      </w:r>
      <w:r>
        <w:rPr>
          <w:rFonts w:ascii="Times New Roman" w:hAnsi="Times New Roman" w:cs="Times New Roman"/>
          <w:sz w:val="24"/>
          <w:szCs w:val="24"/>
        </w:rPr>
        <w:t xml:space="preserve"> SWIFT significantly streamlines the cross-border transaction process by providing a standardized and automated platform for communication. This reduces the time and costs associated with international payments, making it easier for </w:t>
      </w:r>
      <w:r>
        <w:rPr>
          <w:rFonts w:ascii="Times New Roman" w:hAnsi="Times New Roman" w:cs="Times New Roman"/>
          <w:sz w:val="24"/>
          <w:szCs w:val="24"/>
        </w:rPr>
        <w:lastRenderedPageBreak/>
        <w:t>businesses an</w:t>
      </w:r>
      <w:r>
        <w:rPr>
          <w:rFonts w:ascii="Times New Roman" w:hAnsi="Times New Roman" w:cs="Times New Roman"/>
          <w:sz w:val="24"/>
          <w:szCs w:val="24"/>
        </w:rPr>
        <w:t>d individuals to engage in global trade.</w:t>
      </w:r>
    </w:p>
    <w:p w14:paraId="612C36FC"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Transparency:</w:t>
      </w:r>
      <w:r>
        <w:rPr>
          <w:rFonts w:ascii="Times New Roman" w:hAnsi="Times New Roman" w:cs="Times New Roman"/>
          <w:sz w:val="24"/>
          <w:szCs w:val="24"/>
        </w:rPr>
        <w:t xml:space="preserve"> The SWIFT network enhances transparency by providing a traceable record of all communication and transactions. This transparency is critical for regulatory compliance, fraud prevention, and dispute res</w:t>
      </w:r>
      <w:r>
        <w:rPr>
          <w:rFonts w:ascii="Times New Roman" w:hAnsi="Times New Roman" w:cs="Times New Roman"/>
          <w:sz w:val="24"/>
          <w:szCs w:val="24"/>
        </w:rPr>
        <w:t>olution in cross-border transactions(SWIFT, 2023).</w:t>
      </w:r>
    </w:p>
    <w:p w14:paraId="78463DEE"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Risk Mitigation:</w:t>
      </w:r>
      <w:r>
        <w:rPr>
          <w:rFonts w:ascii="Times New Roman" w:hAnsi="Times New Roman" w:cs="Times New Roman"/>
          <w:sz w:val="24"/>
          <w:szCs w:val="24"/>
        </w:rPr>
        <w:t xml:space="preserve"> SWIFT's security measures and authentication processes help mitigate risks associated with cross-border transactions. Financial institutions can trust that the messages they receive are fr</w:t>
      </w:r>
      <w:r>
        <w:rPr>
          <w:rFonts w:ascii="Times New Roman" w:hAnsi="Times New Roman" w:cs="Times New Roman"/>
          <w:sz w:val="24"/>
          <w:szCs w:val="24"/>
        </w:rPr>
        <w:t>om legitimate sources, reducing the risk of fraud and cyberattacks.</w:t>
      </w:r>
    </w:p>
    <w:p w14:paraId="39C2D23E"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Global Reach:</w:t>
      </w:r>
      <w:r>
        <w:rPr>
          <w:rFonts w:ascii="Times New Roman" w:hAnsi="Times New Roman" w:cs="Times New Roman"/>
          <w:sz w:val="24"/>
          <w:szCs w:val="24"/>
        </w:rPr>
        <w:t xml:space="preserve"> SWIFT's extensive network connects over 11,000 financial institutions in more than 200 countries and territories. This global reach enables cross-border transactions to occur</w:t>
      </w:r>
      <w:r>
        <w:rPr>
          <w:rFonts w:ascii="Times New Roman" w:hAnsi="Times New Roman" w:cs="Times New Roman"/>
          <w:sz w:val="24"/>
          <w:szCs w:val="24"/>
        </w:rPr>
        <w:t xml:space="preserve"> seamlessly across borders and currencies, supporting international trade and economic growth.</w:t>
      </w:r>
    </w:p>
    <w:p w14:paraId="020854E4"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b/>
          <w:bCs/>
          <w:i/>
          <w:iCs/>
          <w:sz w:val="24"/>
          <w:szCs w:val="24"/>
        </w:rPr>
        <w:t>Compliance and Regulation:</w:t>
      </w:r>
      <w:r>
        <w:rPr>
          <w:rFonts w:ascii="Times New Roman" w:hAnsi="Times New Roman" w:cs="Times New Roman"/>
          <w:sz w:val="24"/>
          <w:szCs w:val="24"/>
        </w:rPr>
        <w:t xml:space="preserve"> SWIFT plays a crucial role in helping financial institutions comply with international regulations, including anti-money laundering (A</w:t>
      </w:r>
      <w:r>
        <w:rPr>
          <w:rFonts w:ascii="Times New Roman" w:hAnsi="Times New Roman" w:cs="Times New Roman"/>
          <w:sz w:val="24"/>
          <w:szCs w:val="24"/>
        </w:rPr>
        <w:t>ML) and know-your-customer (KYC) requirements. Messages exchanged through SWIFT often contain important compliance-related information(SWIFT, 2023).</w:t>
      </w:r>
    </w:p>
    <w:p w14:paraId="14AD636E" w14:textId="77777777" w:rsidR="00B523ED" w:rsidRDefault="00B1179D">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SWIFT Intermediary in Global Transaction </w:t>
      </w:r>
    </w:p>
    <w:p w14:paraId="5ACC3A12"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The absence of a payment system would render global production an</w:t>
      </w:r>
      <w:r>
        <w:rPr>
          <w:rFonts w:ascii="Times New Roman" w:hAnsi="Times New Roman" w:cs="Times New Roman"/>
          <w:sz w:val="24"/>
          <w:szCs w:val="24"/>
        </w:rPr>
        <w:t>d exchange unfeasible. This sentiment is reiterated in one of the fundamental economic tasks of the financial system, which is to establish a payment system that enables the transfer of money required for the acquisition of various commodities and services</w:t>
      </w:r>
      <w:r>
        <w:rPr>
          <w:rFonts w:ascii="Times New Roman" w:hAnsi="Times New Roman" w:cs="Times New Roman"/>
          <w:sz w:val="24"/>
          <w:szCs w:val="24"/>
        </w:rPr>
        <w:t xml:space="preserve"> (Dixon, 2011). According to Ingves (2018), </w:t>
      </w:r>
      <w:r>
        <w:rPr>
          <w:rFonts w:ascii="Times New Roman" w:hAnsi="Times New Roman" w:cs="Times New Roman"/>
          <w:sz w:val="24"/>
          <w:szCs w:val="24"/>
        </w:rPr>
        <w:t>accessibility to the payments system has emerged as a fundamental component of a nation's fundamental infrastructure, given its crucial role in facilitating daily activities. According to the previous governor of</w:t>
      </w:r>
      <w:r>
        <w:rPr>
          <w:rFonts w:ascii="Times New Roman" w:hAnsi="Times New Roman" w:cs="Times New Roman"/>
          <w:sz w:val="24"/>
          <w:szCs w:val="24"/>
        </w:rPr>
        <w:t xml:space="preserve"> the United States Federal Reserve (the Fed), a potential strategy to severely impact the U.S. economy would involve targeting and disabling the payment networks. In previous times, payments were regarded as a technical concern confined to the back office,</w:t>
      </w:r>
      <w:r>
        <w:rPr>
          <w:rFonts w:ascii="Times New Roman" w:hAnsi="Times New Roman" w:cs="Times New Roman"/>
          <w:sz w:val="24"/>
          <w:szCs w:val="24"/>
        </w:rPr>
        <w:t xml:space="preserve"> characterised by their concealed and enigmatic nature. However, this perception has undergone a significant transformation, as the sector is now recognised to possess strategic importance (Villeroy de Galhau, 2018). Certain regulatory and supervisory enti</w:t>
      </w:r>
      <w:r>
        <w:rPr>
          <w:rFonts w:ascii="Times New Roman" w:hAnsi="Times New Roman" w:cs="Times New Roman"/>
          <w:sz w:val="24"/>
          <w:szCs w:val="24"/>
        </w:rPr>
        <w:t>ties have identified specific Financial Market Infrastructure (FMI) participants as systemically significant due to their crucial function in mitigating and overseeing risk as well as upholding overall stability (Bank of England, 2013; European Commission,</w:t>
      </w:r>
      <w:r>
        <w:rPr>
          <w:rFonts w:ascii="Times New Roman" w:hAnsi="Times New Roman" w:cs="Times New Roman"/>
          <w:sz w:val="24"/>
          <w:szCs w:val="24"/>
        </w:rPr>
        <w:t xml:space="preserve"> n.d.; Financial Stability Oversight Council, 2012). The Committee on Payments and Market Infrastructures (CPMI) serves as the supranational entity responsible for promoting the enhancement of safety and efficiency in the domains of payments, clearing, and</w:t>
      </w:r>
      <w:r>
        <w:rPr>
          <w:rFonts w:ascii="Times New Roman" w:hAnsi="Times New Roman" w:cs="Times New Roman"/>
          <w:sz w:val="24"/>
          <w:szCs w:val="24"/>
        </w:rPr>
        <w:t xml:space="preserve"> settlement. The CPMI, which consists of central banks, lacks formal supranational authority and instead relies entirely on the dedication of its members to fulfil its mandate. This mandate primarily focuses on the intricacies of Financial Market Infrastru</w:t>
      </w:r>
      <w:r>
        <w:rPr>
          <w:rFonts w:ascii="Times New Roman" w:hAnsi="Times New Roman" w:cs="Times New Roman"/>
          <w:sz w:val="24"/>
          <w:szCs w:val="24"/>
        </w:rPr>
        <w:t>cture (FMI) operations, aiming to mitigate risk and foster financial stability by establishing secure and efficient systems for payment, clearing, and settlement (CPMI and IOSCO, 2012). The CPMI offers a comprehensive structure for the management of many f</w:t>
      </w:r>
      <w:r>
        <w:rPr>
          <w:rFonts w:ascii="Times New Roman" w:hAnsi="Times New Roman" w:cs="Times New Roman"/>
          <w:sz w:val="24"/>
          <w:szCs w:val="24"/>
        </w:rPr>
        <w:t xml:space="preserve">orms of risk, and it generally supports the use of market principles to enhance efficiency. However, in certain instances, FMI contradicts this objective by functioning as a monopoly </w:t>
      </w:r>
      <w:r>
        <w:rPr>
          <w:rFonts w:ascii="Times New Roman" w:hAnsi="Times New Roman" w:cs="Times New Roman"/>
          <w:sz w:val="24"/>
          <w:szCs w:val="24"/>
        </w:rPr>
        <w:lastRenderedPageBreak/>
        <w:t>controlled by a small group of members. The CB system, which has a histor</w:t>
      </w:r>
      <w:r>
        <w:rPr>
          <w:rFonts w:ascii="Times New Roman" w:hAnsi="Times New Roman" w:cs="Times New Roman"/>
          <w:sz w:val="24"/>
          <w:szCs w:val="24"/>
        </w:rPr>
        <w:t>y spanning over 500 years, underwent significant developments to facilitate long-distance commerce (Norman, Shaw, and Speight 2011). It may be regarded as the fundamental framework upon which the international financial network was built. Within this parti</w:t>
      </w:r>
      <w:r>
        <w:rPr>
          <w:rFonts w:ascii="Times New Roman" w:hAnsi="Times New Roman" w:cs="Times New Roman"/>
          <w:sz w:val="24"/>
          <w:szCs w:val="24"/>
        </w:rPr>
        <w:t>cular framework, there exists a dynamic where two financial institutions, referred to as the respondent and the correspondent, maintain mutual accounts with one another as part of a correspondent banking relationship (CBR). This CBR is a structured and mut</w:t>
      </w:r>
      <w:r>
        <w:rPr>
          <w:rFonts w:ascii="Times New Roman" w:hAnsi="Times New Roman" w:cs="Times New Roman"/>
          <w:sz w:val="24"/>
          <w:szCs w:val="24"/>
        </w:rPr>
        <w:t>ually agreed-upon arrangement between trusted parties. Over the course of several centuries, the aforementioned system has progressively developed into the contemporary decentralised payment network consisting of segregated national systems. In previous ti</w:t>
      </w:r>
      <w:r>
        <w:rPr>
          <w:rFonts w:ascii="Times New Roman" w:hAnsi="Times New Roman" w:cs="Times New Roman"/>
          <w:sz w:val="24"/>
          <w:szCs w:val="24"/>
        </w:rPr>
        <w:t>mes, domestic payments were facilitated through the use of central banks (CB). However, with the emergence of computerised payment systems in the early 1970s, the process of settling domestic banking transactions became predominantly centralised through ce</w:t>
      </w:r>
      <w:r>
        <w:rPr>
          <w:rFonts w:ascii="Times New Roman" w:hAnsi="Times New Roman" w:cs="Times New Roman"/>
          <w:sz w:val="24"/>
          <w:szCs w:val="24"/>
        </w:rPr>
        <w:t>ntral banks. The implementation of centralization has yielded financial benefits in the form of cost reductions and reduced liquidity demands for banking institutions. Typically, access to a jurisdiction's payment system is limited to banks that possess th</w:t>
      </w:r>
      <w:r>
        <w:rPr>
          <w:rFonts w:ascii="Times New Roman" w:hAnsi="Times New Roman" w:cs="Times New Roman"/>
          <w:sz w:val="24"/>
          <w:szCs w:val="24"/>
        </w:rPr>
        <w:t>e necessary licencing and regulatory approvals within that particular jurisdiction. Due to the cross-border and multi-currency nature of international payments, a centralised payment system for facilitating such transactions is absent. In practice, banks i</w:t>
      </w:r>
      <w:r>
        <w:rPr>
          <w:rFonts w:ascii="Times New Roman" w:hAnsi="Times New Roman" w:cs="Times New Roman"/>
          <w:sz w:val="24"/>
          <w:szCs w:val="24"/>
        </w:rPr>
        <w:t xml:space="preserve">n a particular nation establish a connection with another country's payments system by means of a correspondent banking relationship (CBR) with a partner bank located in the latter country. Rapidly, these linkages assume a hierarchical and layered </w:t>
      </w:r>
      <w:r>
        <w:rPr>
          <w:rFonts w:ascii="Times New Roman" w:hAnsi="Times New Roman" w:cs="Times New Roman"/>
          <w:sz w:val="24"/>
          <w:szCs w:val="24"/>
        </w:rPr>
        <w:t>structur</w:t>
      </w:r>
      <w:r>
        <w:rPr>
          <w:rFonts w:ascii="Times New Roman" w:hAnsi="Times New Roman" w:cs="Times New Roman"/>
          <w:sz w:val="24"/>
          <w:szCs w:val="24"/>
        </w:rPr>
        <w:t>e, as smaller banks within a given jurisdiction depend on larger banks within the same country to facilitate cross-border transactions. According to Zschieschang (2018), the banking industry is projected to have around 1.3 million contractual ties, which a</w:t>
      </w:r>
      <w:r>
        <w:rPr>
          <w:rFonts w:ascii="Times New Roman" w:hAnsi="Times New Roman" w:cs="Times New Roman"/>
          <w:sz w:val="24"/>
          <w:szCs w:val="24"/>
        </w:rPr>
        <w:t>re not of a transactional nature. The banks engage in negotiations regarding the specifics of their revenue-based collaboration, as outlined in their contracts. These negotiations encompass various aspects of payment handling, such as dealing with differen</w:t>
      </w:r>
      <w:r>
        <w:rPr>
          <w:rFonts w:ascii="Times New Roman" w:hAnsi="Times New Roman" w:cs="Times New Roman"/>
          <w:sz w:val="24"/>
          <w:szCs w:val="24"/>
        </w:rPr>
        <w:t>t currencies and countries and differentiating between payments from private individuals and businesses. Additionally, the negotiations involve determining the timing of transaction settlements, deciding whether to pre-fund accounts or extend credit, estab</w:t>
      </w:r>
      <w:r>
        <w:rPr>
          <w:rFonts w:ascii="Times New Roman" w:hAnsi="Times New Roman" w:cs="Times New Roman"/>
          <w:sz w:val="24"/>
          <w:szCs w:val="24"/>
        </w:rPr>
        <w:t>lishing fees and balances, and assigning responsibility for foreign exchange (FX) conversion. According to the Foreign Monetary Fund (2017), over 66% of foreign payments are facilitated by correspondent banking relationships (CBRs). Additionally, 13% of th</w:t>
      </w:r>
      <w:r>
        <w:rPr>
          <w:rFonts w:ascii="Times New Roman" w:hAnsi="Times New Roman" w:cs="Times New Roman"/>
          <w:sz w:val="24"/>
          <w:szCs w:val="24"/>
        </w:rPr>
        <w:t>ese payments are done "on-us," meaning they occur within the branches of a single bank. The other 20% of international payments utilise cross-border retail and high-value payment systems. Therefore, it can be argued that community-based organisations (CBRs</w:t>
      </w:r>
      <w:r>
        <w:rPr>
          <w:rFonts w:ascii="Times New Roman" w:hAnsi="Times New Roman" w:cs="Times New Roman"/>
          <w:sz w:val="24"/>
          <w:szCs w:val="24"/>
        </w:rPr>
        <w:t>) play a pivotal role in facilitating the integration of local economies into the global financial system (World Bank Group et al., 2018). Nevertheless, despite the global distribution of this system, the movement of funds tends to be focused inside system</w:t>
      </w:r>
      <w:r>
        <w:rPr>
          <w:rFonts w:ascii="Times New Roman" w:hAnsi="Times New Roman" w:cs="Times New Roman"/>
          <w:sz w:val="24"/>
          <w:szCs w:val="24"/>
        </w:rPr>
        <w:t xml:space="preserve">ically significant institutions situated in International Financial Centres (IFCs), which serve as the pinnacle of this hierarchical banking structure (Grolleman and Jutrsa, 2017). Since the onset of the 2008 financial crisis, central banks (CB) have been </w:t>
      </w:r>
      <w:r>
        <w:rPr>
          <w:rFonts w:ascii="Times New Roman" w:hAnsi="Times New Roman" w:cs="Times New Roman"/>
          <w:sz w:val="24"/>
          <w:szCs w:val="24"/>
        </w:rPr>
        <w:t xml:space="preserve">the focus of publications that express worries over the growing concentration of major banks. </w:t>
      </w:r>
      <w:r>
        <w:rPr>
          <w:rFonts w:ascii="Times New Roman" w:hAnsi="Times New Roman" w:cs="Times New Roman"/>
          <w:sz w:val="24"/>
          <w:szCs w:val="24"/>
        </w:rPr>
        <w:lastRenderedPageBreak/>
        <w:t>These banks have been seen to withdraw from providing services in some geographic areas due to concerns over poor profitability and compliance with risk regulatio</w:t>
      </w:r>
      <w:r>
        <w:rPr>
          <w:rFonts w:ascii="Times New Roman" w:hAnsi="Times New Roman" w:cs="Times New Roman"/>
          <w:sz w:val="24"/>
          <w:szCs w:val="24"/>
        </w:rPr>
        <w:t>ns. Certain consequences include diminished accessibility to the global financial system and impeded economic expansion (World Bank Group et al., 2018; International Monetary Fund, 2017). In a specific instance, the removal of cash-based remittances (CBRs)</w:t>
      </w:r>
      <w:r>
        <w:rPr>
          <w:rFonts w:ascii="Times New Roman" w:hAnsi="Times New Roman" w:cs="Times New Roman"/>
          <w:sz w:val="24"/>
          <w:szCs w:val="24"/>
        </w:rPr>
        <w:t xml:space="preserve"> denominated in the United States dollar (USD) in Angola, a country with a significant reliance on foreign commerce, resulted in a realignment of trade from the USD to the euro currency. The ensuing scarcity of United States dollars had a widespread impact</w:t>
      </w:r>
      <w:r>
        <w:rPr>
          <w:rFonts w:ascii="Times New Roman" w:hAnsi="Times New Roman" w:cs="Times New Roman"/>
          <w:sz w:val="24"/>
          <w:szCs w:val="24"/>
        </w:rPr>
        <w:t xml:space="preserve"> on many sectors of the economy, encompassing the availability of essential commodities such as food and medication, thus leading to an increase in inflation. In the context of Belize, the decline in correspondent banking relationships (CBRs) has resulted </w:t>
      </w:r>
      <w:r>
        <w:rPr>
          <w:rFonts w:ascii="Times New Roman" w:hAnsi="Times New Roman" w:cs="Times New Roman"/>
          <w:sz w:val="24"/>
          <w:szCs w:val="24"/>
        </w:rPr>
        <w:t xml:space="preserve">in a notable escalation in transaction fees, prolonged payment processing durations, and diminished bank deposits. Figure 2 illustrates the functioning of the CB system. A comprehensive comprehension of the subject matter has significant importance, given </w:t>
      </w:r>
      <w:r>
        <w:rPr>
          <w:rFonts w:ascii="Times New Roman" w:hAnsi="Times New Roman" w:cs="Times New Roman"/>
          <w:sz w:val="24"/>
          <w:szCs w:val="24"/>
        </w:rPr>
        <w:t>that the origins of SWIFT are inherently intertwined with the CB system.</w:t>
      </w:r>
    </w:p>
    <w:p w14:paraId="67DC9D7A" w14:textId="77777777" w:rsidR="00B523ED" w:rsidRDefault="00B1179D">
      <w:pPr>
        <w:spacing w:after="0" w:line="240" w:lineRule="auto"/>
        <w:jc w:val="center"/>
        <w:rPr>
          <w:rFonts w:ascii="Times New Roman" w:hAnsi="Times New Roman" w:cs="Times New Roman"/>
          <w:sz w:val="24"/>
          <w:szCs w:val="24"/>
        </w:rPr>
      </w:pPr>
      <w:r>
        <w:rPr>
          <w:noProof/>
        </w:rPr>
        <w:drawing>
          <wp:inline distT="0" distB="0" distL="0" distR="0" wp14:anchorId="575CCA6C" wp14:editId="1DCE8081">
            <wp:extent cx="2990792" cy="1704152"/>
            <wp:effectExtent l="0" t="0" r="635"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srcRect l="21954" t="26511" r="21795" b="16477"/>
                    <a:stretch/>
                  </pic:blipFill>
                  <pic:spPr>
                    <a:xfrm>
                      <a:off x="0" y="0"/>
                      <a:ext cx="2990792" cy="1704152"/>
                    </a:xfrm>
                    <a:prstGeom prst="rect">
                      <a:avLst/>
                    </a:prstGeom>
                    <a:ln>
                      <a:noFill/>
                    </a:ln>
                  </pic:spPr>
                </pic:pic>
              </a:graphicData>
            </a:graphic>
          </wp:inline>
        </w:drawing>
      </w:r>
    </w:p>
    <w:p w14:paraId="15924277" w14:textId="77777777" w:rsidR="00B523ED" w:rsidRDefault="00B1179D">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Figure 2:</w:t>
      </w:r>
      <w:r>
        <w:rPr>
          <w:rFonts w:ascii="Times New Roman" w:hAnsi="Times New Roman" w:cs="Times New Roman"/>
          <w:sz w:val="24"/>
          <w:szCs w:val="24"/>
        </w:rPr>
        <w:t xml:space="preserve"> The anatomy of an international payment via correspondent banking</w:t>
      </w:r>
    </w:p>
    <w:p w14:paraId="270C8D59" w14:textId="77777777" w:rsidR="00B523ED" w:rsidRDefault="00B1179D">
      <w:pPr>
        <w:spacing w:after="200" w:line="240" w:lineRule="auto"/>
        <w:jc w:val="center"/>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own illustration, based on European Central Bank (2017); Gifford and </w:t>
      </w:r>
      <w:r>
        <w:rPr>
          <w:rFonts w:ascii="Times New Roman" w:hAnsi="Times New Roman" w:cs="Times New Roman"/>
          <w:sz w:val="24"/>
          <w:szCs w:val="24"/>
        </w:rPr>
        <w:t xml:space="preserve">Cheng(2016); McCune (2014); </w:t>
      </w:r>
      <w:r>
        <w:rPr>
          <w:rFonts w:ascii="Times New Roman" w:hAnsi="Times New Roman" w:cs="Times New Roman"/>
          <w:sz w:val="24"/>
          <w:szCs w:val="24"/>
        </w:rPr>
        <w:t>SWIFT (2016; 2018).</w:t>
      </w:r>
    </w:p>
    <w:p w14:paraId="27975910"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Figure 2 shows how correspondent banking relationships between the two correspondent banks transfer funds in a particular currency corridor; it also illustrates those messages but not money across borders. There are a series of domestic</w:t>
      </w:r>
      <w:r>
        <w:rPr>
          <w:rFonts w:ascii="Times New Roman" w:hAnsi="Times New Roman" w:cs="Times New Roman"/>
          <w:sz w:val="24"/>
          <w:szCs w:val="24"/>
        </w:rPr>
        <w:t xml:space="preserve"> transactions, with the two banks ending up with more and less money in their respective correspondent accounts (McCune, 2014). Accounts (a/c) are debited and credited (settled) in response to messages transmitted between banks, all of this via the SWIFT s</w:t>
      </w:r>
      <w:r>
        <w:rPr>
          <w:rFonts w:ascii="Times New Roman" w:hAnsi="Times New Roman" w:cs="Times New Roman"/>
          <w:sz w:val="24"/>
          <w:szCs w:val="24"/>
        </w:rPr>
        <w:t xml:space="preserve">ystem. Until the 1970s, freeform messages were transmitted via telex, which was inefficient and costly. SWIFT was established in 1973 by banks to create a standardised, secure, and reliable messaging system that would overcome the inefficiencies of telex, </w:t>
      </w:r>
      <w:r>
        <w:rPr>
          <w:rFonts w:ascii="Times New Roman" w:hAnsi="Times New Roman" w:cs="Times New Roman"/>
          <w:sz w:val="24"/>
          <w:szCs w:val="24"/>
        </w:rPr>
        <w:t xml:space="preserve">and this is still a mainstay of its operations today. Thus, while the flow of funds in CB is concentrated among large banks that settle payments between each other, a key component and, in practice, the primary way of communicating payment messages is the </w:t>
      </w:r>
      <w:r>
        <w:rPr>
          <w:rFonts w:ascii="Times New Roman" w:hAnsi="Times New Roman" w:cs="Times New Roman"/>
          <w:sz w:val="24"/>
          <w:szCs w:val="24"/>
        </w:rPr>
        <w:t>global messaging network centralised in SWIFT. Messaging and settlement are the two key pillars at the heart of the CB process. The main actors in the settlement pillar are banks, and settlement occurs in their accounts. As portrayed in Figure 2, this is n</w:t>
      </w:r>
      <w:r>
        <w:rPr>
          <w:rFonts w:ascii="Times New Roman" w:hAnsi="Times New Roman" w:cs="Times New Roman"/>
          <w:sz w:val="24"/>
          <w:szCs w:val="24"/>
        </w:rPr>
        <w:t>ot one centralised system but rather a fragmented, distributed network of over a million bilateral contracts. Via double-entry bookkeeping, the acts of changing accounts, ledger entries, and balances involved in settlement make it appear that money has mov</w:t>
      </w:r>
      <w:r>
        <w:rPr>
          <w:rFonts w:ascii="Times New Roman" w:hAnsi="Times New Roman" w:cs="Times New Roman"/>
          <w:sz w:val="24"/>
          <w:szCs w:val="24"/>
        </w:rPr>
        <w:t>ed across borders. These changes are communicated in the messaging pillar via SWIFT, the single main actor or lead entity in this pillar. Mediating between all banks as the monopoly provider of the messaging network to all banks, SWIFT is both intermediary</w:t>
      </w:r>
      <w:r>
        <w:rPr>
          <w:rFonts w:ascii="Times New Roman" w:hAnsi="Times New Roman" w:cs="Times New Roman"/>
          <w:sz w:val="24"/>
          <w:szCs w:val="24"/>
        </w:rPr>
        <w:t xml:space="preserve"> and infrastructure.</w:t>
      </w:r>
    </w:p>
    <w:p w14:paraId="74408A75"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SWIFT’s financial messaging system links global securities and payment systems (Figure 3), making it literally an infrastructure for infrastructure classified as a “critical service provider” by its overseeing central bank (National Ba</w:t>
      </w:r>
      <w:r>
        <w:rPr>
          <w:rFonts w:ascii="Times New Roman" w:hAnsi="Times New Roman" w:cs="Times New Roman"/>
          <w:sz w:val="24"/>
          <w:szCs w:val="24"/>
        </w:rPr>
        <w:t>nk of Belgium, 2017). National payments systems, and, alternatively, payments systems within a currency union like the euro, are supervised and often also run by a national (or, in the case of the euro, the European) central bank. Since no centralised inte</w:t>
      </w:r>
      <w:r>
        <w:rPr>
          <w:rFonts w:ascii="Times New Roman" w:hAnsi="Times New Roman" w:cs="Times New Roman"/>
          <w:sz w:val="24"/>
          <w:szCs w:val="24"/>
        </w:rPr>
        <w:t>rnational payment system exists, one of the basic means by which money moves across borders is via the CB system. The bilateral, hierarchical CBRs are a crucial financial discipline. They support trade and provide domestic and cross-border payments,includi</w:t>
      </w:r>
      <w:r>
        <w:rPr>
          <w:rFonts w:ascii="Times New Roman" w:hAnsi="Times New Roman" w:cs="Times New Roman"/>
          <w:sz w:val="24"/>
          <w:szCs w:val="24"/>
        </w:rPr>
        <w:t>ng remittances. As banks extend credit lines and hold balances with each other in the interbank market, their interdependency contains systemic risk potential (Wandhöfer and Casu, 2018). SWIFT’s financial messaging service transmits instructions between al</w:t>
      </w:r>
      <w:r>
        <w:rPr>
          <w:rFonts w:ascii="Times New Roman" w:hAnsi="Times New Roman" w:cs="Times New Roman"/>
          <w:sz w:val="24"/>
          <w:szCs w:val="24"/>
        </w:rPr>
        <w:t>l participants in this system; SWIFT’s network is therefore essential in allowing banks to manage liquidity and risk. The payments industry in general has been growing and provided 34 percent of banking revenues in 2016 (McKinsey &amp; Company, 2017), with rev</w:t>
      </w:r>
      <w:r>
        <w:rPr>
          <w:rFonts w:ascii="Times New Roman" w:hAnsi="Times New Roman" w:cs="Times New Roman"/>
          <w:sz w:val="24"/>
          <w:szCs w:val="24"/>
        </w:rPr>
        <w:t xml:space="preserve">enue from cross-border payments, FX transactions (Figure 3), and trade services amounting to USD 145 billion (Badi et al., 2017). While it can be difficult to estimate exact revenues from CB specifically, it is also difficult for customers to obtain exact </w:t>
      </w:r>
      <w:r>
        <w:rPr>
          <w:rFonts w:ascii="Times New Roman" w:hAnsi="Times New Roman" w:cs="Times New Roman"/>
          <w:sz w:val="24"/>
          <w:szCs w:val="24"/>
        </w:rPr>
        <w:t>fees until after the payment transaction (Money Mover and Accourt, 2016). Banks’ revenues come from various sources:processing fees charged to the originator and the beneficiary (Figure 3), interest on a float (the value difference between debiting the ori</w:t>
      </w:r>
      <w:r>
        <w:rPr>
          <w:rFonts w:ascii="Times New Roman" w:hAnsi="Times New Roman" w:cs="Times New Roman"/>
          <w:sz w:val="24"/>
          <w:szCs w:val="24"/>
        </w:rPr>
        <w:t xml:space="preserve">ginator and crediting the beneficiary), and FX spreads. The majority of bank profits come from FX </w:t>
      </w:r>
      <w:r>
        <w:rPr>
          <w:rFonts w:ascii="Times New Roman" w:hAnsi="Times New Roman" w:cs="Times New Roman"/>
          <w:sz w:val="24"/>
          <w:szCs w:val="24"/>
        </w:rPr>
        <w:t>margins rather than fees (Collinson, 2017; Money Mover and Accourt, 2016).</w:t>
      </w:r>
    </w:p>
    <w:p w14:paraId="6B0CADED" w14:textId="77777777" w:rsidR="00B523ED" w:rsidRDefault="00B1179D">
      <w:pPr>
        <w:spacing w:after="0" w:line="240" w:lineRule="auto"/>
        <w:jc w:val="center"/>
        <w:rPr>
          <w:rFonts w:ascii="Times New Roman" w:hAnsi="Times New Roman" w:cs="Times New Roman"/>
          <w:sz w:val="24"/>
          <w:szCs w:val="24"/>
        </w:rPr>
      </w:pPr>
      <w:r>
        <w:rPr>
          <w:noProof/>
        </w:rPr>
        <w:drawing>
          <wp:inline distT="0" distB="0" distL="0" distR="0" wp14:anchorId="1624A497" wp14:editId="16CAF286">
            <wp:extent cx="2676272" cy="1533770"/>
            <wp:effectExtent l="0" t="0" r="0" b="9525"/>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5" cstate="print"/>
                    <a:srcRect l="21955" t="24516" r="23237" b="19612"/>
                    <a:stretch/>
                  </pic:blipFill>
                  <pic:spPr>
                    <a:xfrm>
                      <a:off x="0" y="0"/>
                      <a:ext cx="2676272" cy="1533770"/>
                    </a:xfrm>
                    <a:prstGeom prst="rect">
                      <a:avLst/>
                    </a:prstGeom>
                    <a:ln>
                      <a:noFill/>
                    </a:ln>
                  </pic:spPr>
                </pic:pic>
              </a:graphicData>
            </a:graphic>
          </wp:inline>
        </w:drawing>
      </w:r>
    </w:p>
    <w:p w14:paraId="60794E03" w14:textId="77777777" w:rsidR="00B523ED" w:rsidRDefault="00B1179D">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Figure 3:</w:t>
      </w:r>
      <w:r>
        <w:rPr>
          <w:rFonts w:ascii="Times New Roman" w:hAnsi="Times New Roman" w:cs="Times New Roman"/>
          <w:sz w:val="24"/>
          <w:szCs w:val="24"/>
        </w:rPr>
        <w:t xml:space="preserve"> Interlinkages between financial market infrastructures and the critical</w:t>
      </w:r>
      <w:r>
        <w:rPr>
          <w:rFonts w:ascii="Times New Roman" w:hAnsi="Times New Roman" w:cs="Times New Roman"/>
          <w:sz w:val="24"/>
          <w:szCs w:val="24"/>
        </w:rPr>
        <w:t>service providers T2S (unique within the European Union) and SWIFT</w:t>
      </w:r>
    </w:p>
    <w:p w14:paraId="28B2BF1B" w14:textId="77777777" w:rsidR="00B523ED" w:rsidRDefault="00B1179D">
      <w:pPr>
        <w:spacing w:after="200" w:line="240" w:lineRule="auto"/>
        <w:jc w:val="center"/>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xml:space="preserve"> National Bank of Belgium (2017)</w:t>
      </w:r>
    </w:p>
    <w:p w14:paraId="6C5A2581" w14:textId="77777777" w:rsidR="00B523ED" w:rsidRDefault="00B1179D">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SWIFT Statistical Methods of Transactions</w:t>
      </w:r>
    </w:p>
    <w:p w14:paraId="595DB6A1"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The Society for Worldwide Interbank Financial Telecommunication, commonly known as SWIFT, is a global messa</w:t>
      </w:r>
      <w:r>
        <w:rPr>
          <w:rFonts w:ascii="Times New Roman" w:hAnsi="Times New Roman" w:cs="Times New Roman"/>
          <w:sz w:val="24"/>
          <w:szCs w:val="24"/>
        </w:rPr>
        <w:t>ging network that plays a pivotal role in the world of international finance and banking. SWIFT facilitates the secure exchange of financial information and transactions among thousands of financial institutions worldwide. To maintain the integrity and eff</w:t>
      </w:r>
      <w:r>
        <w:rPr>
          <w:rFonts w:ascii="Times New Roman" w:hAnsi="Times New Roman" w:cs="Times New Roman"/>
          <w:sz w:val="24"/>
          <w:szCs w:val="24"/>
        </w:rPr>
        <w:t xml:space="preserve">iciency of this network, SWIFT employs various statistical methods to monitor and analyse transactions. In this article, we will delve into the statistical methods used by SWIFT for transaction analysis, providing insights into their importance and impact </w:t>
      </w:r>
      <w:r>
        <w:rPr>
          <w:rFonts w:ascii="Times New Roman" w:hAnsi="Times New Roman" w:cs="Times New Roman"/>
          <w:sz w:val="24"/>
          <w:szCs w:val="24"/>
        </w:rPr>
        <w:t>on global finance.</w:t>
      </w:r>
    </w:p>
    <w:p w14:paraId="7B34268F" w14:textId="77777777" w:rsidR="00B523ED" w:rsidRDefault="00B1179D">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Data Collection</w:t>
      </w:r>
    </w:p>
    <w:p w14:paraId="1AB8479E"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SWIFT's statistical methods start with the collection of vast amounts of transaction data. Every day, trillions of dollars flow through the SWIFT network, including payments, securities, and trade finance messages. This d</w:t>
      </w:r>
      <w:r>
        <w:rPr>
          <w:rFonts w:ascii="Times New Roman" w:hAnsi="Times New Roman" w:cs="Times New Roman"/>
          <w:sz w:val="24"/>
          <w:szCs w:val="24"/>
        </w:rPr>
        <w:t xml:space="preserve">ata is collected from participating financial institutions worldwide (SWIFT, 2021). It is crucial to </w:t>
      </w:r>
      <w:r>
        <w:rPr>
          <w:rFonts w:ascii="Times New Roman" w:hAnsi="Times New Roman" w:cs="Times New Roman"/>
          <w:sz w:val="24"/>
          <w:szCs w:val="24"/>
        </w:rPr>
        <w:lastRenderedPageBreak/>
        <w:t>note that SWIFT prioritizes data privacy and security, adhering to strict protocols and regulations to protect sensitive information.</w:t>
      </w:r>
    </w:p>
    <w:p w14:paraId="2AA0420E" w14:textId="77777777" w:rsidR="00B523ED" w:rsidRDefault="00B1179D">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Data Normalization</w:t>
      </w:r>
    </w:p>
    <w:p w14:paraId="6112DBC4"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On</w:t>
      </w:r>
      <w:r>
        <w:rPr>
          <w:rFonts w:ascii="Times New Roman" w:hAnsi="Times New Roman" w:cs="Times New Roman"/>
          <w:sz w:val="24"/>
          <w:szCs w:val="24"/>
        </w:rPr>
        <w:t xml:space="preserve">ce the data is collected, SWIFT employs data normalization techniques to ensure consistency and accuracy. This involves standardizing data formats, currencies, and time zones, making it easier to analyze and compare transactions from different regions and </w:t>
      </w:r>
      <w:r>
        <w:rPr>
          <w:rFonts w:ascii="Times New Roman" w:hAnsi="Times New Roman" w:cs="Times New Roman"/>
          <w:sz w:val="24"/>
          <w:szCs w:val="24"/>
        </w:rPr>
        <w:t>institutions (SWIFT, 2021).</w:t>
      </w:r>
    </w:p>
    <w:p w14:paraId="2B85CF63" w14:textId="77777777" w:rsidR="00B523ED" w:rsidRDefault="00B1179D">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Transaction Monitoring</w:t>
      </w:r>
    </w:p>
    <w:p w14:paraId="4771D2FE"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SWIFT uses statistical methods for transaction monitoring to identify unusual or suspicious activities. Statistical models, such as anomaly detection algorithms and regression analysis, are applied to the </w:t>
      </w:r>
      <w:r>
        <w:rPr>
          <w:rFonts w:ascii="Times New Roman" w:hAnsi="Times New Roman" w:cs="Times New Roman"/>
          <w:sz w:val="24"/>
          <w:szCs w:val="24"/>
        </w:rPr>
        <w:t>normalized data. These models can detect deviations from typical transaction patterns, potentially indicating fraud or illicit activities (SWIFT, 2021).</w:t>
      </w:r>
    </w:p>
    <w:p w14:paraId="74B845CB" w14:textId="77777777" w:rsidR="00B523ED" w:rsidRDefault="00B1179D">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Trend Analysis</w:t>
      </w:r>
    </w:p>
    <w:p w14:paraId="5C5A6FAF"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SWIFT also conducts trend analysis to gain insights into the global financial landscape.</w:t>
      </w:r>
      <w:r>
        <w:rPr>
          <w:rFonts w:ascii="Times New Roman" w:hAnsi="Times New Roman" w:cs="Times New Roman"/>
          <w:sz w:val="24"/>
          <w:szCs w:val="24"/>
        </w:rPr>
        <w:t xml:space="preserve"> By analyzing transaction data over time, SWIFT can identify emerging trends, market shifts, and changes in the financial industry's behavior (SWIFT, 2021). This information is valuable for financial institutions and policymakers to make informed decisions</w:t>
      </w:r>
      <w:r>
        <w:rPr>
          <w:rFonts w:ascii="Times New Roman" w:hAnsi="Times New Roman" w:cs="Times New Roman"/>
          <w:sz w:val="24"/>
          <w:szCs w:val="24"/>
        </w:rPr>
        <w:t>.</w:t>
      </w:r>
    </w:p>
    <w:p w14:paraId="147B7EFE" w14:textId="77777777" w:rsidR="00B523ED" w:rsidRDefault="00B1179D">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Risk Assessment</w:t>
      </w:r>
    </w:p>
    <w:p w14:paraId="60C397C2"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Risk assessment is a critical aspect of SWIFT's statistical methods. By analyzing transaction data, SWIFT can assess the risk associated with different financial institutions and counterparties. This information helps financial institutio</w:t>
      </w:r>
      <w:r>
        <w:rPr>
          <w:rFonts w:ascii="Times New Roman" w:hAnsi="Times New Roman" w:cs="Times New Roman"/>
          <w:sz w:val="24"/>
          <w:szCs w:val="24"/>
        </w:rPr>
        <w:t>ns make informed decisions about whom they conduct business with and how to manage risk effectively (SWIFT, 2021).</w:t>
      </w:r>
    </w:p>
    <w:p w14:paraId="4AA1E43D" w14:textId="77777777" w:rsidR="00B523ED" w:rsidRDefault="00B1179D">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Fraud Detection</w:t>
      </w:r>
    </w:p>
    <w:p w14:paraId="3FBDCE2E"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Detecting and preventing fraud is a top priority for SWIFT. Statistical methods, such as machine learning algorithms, are use</w:t>
      </w:r>
      <w:r>
        <w:rPr>
          <w:rFonts w:ascii="Times New Roman" w:hAnsi="Times New Roman" w:cs="Times New Roman"/>
          <w:sz w:val="24"/>
          <w:szCs w:val="24"/>
        </w:rPr>
        <w:t>d to identify potentially fraudulent transactions. SWIFT's fraud detection models continuously evolve to stay ahead of emerging threats in the financial sector (SWIFT, 2021).</w:t>
      </w:r>
    </w:p>
    <w:p w14:paraId="6F9B8244" w14:textId="77777777" w:rsidR="00B523ED" w:rsidRDefault="00B1179D">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Performance Optimization</w:t>
      </w:r>
    </w:p>
    <w:p w14:paraId="3BE15673"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SWIFT uses statistical analysis to optimize the performa</w:t>
      </w:r>
      <w:r>
        <w:rPr>
          <w:rFonts w:ascii="Times New Roman" w:hAnsi="Times New Roman" w:cs="Times New Roman"/>
          <w:sz w:val="24"/>
          <w:szCs w:val="24"/>
        </w:rPr>
        <w:t>nce of its network. By monitoring transaction speeds, routing efficiency, and system reliability, SWIFT can identify areas that need improvement. This ensures that transactions are processed efficiently and reliably, minimizing disruptions in the global fi</w:t>
      </w:r>
      <w:r>
        <w:rPr>
          <w:rFonts w:ascii="Times New Roman" w:hAnsi="Times New Roman" w:cs="Times New Roman"/>
          <w:sz w:val="24"/>
          <w:szCs w:val="24"/>
        </w:rPr>
        <w:t>nancial system (SWIFT, 2021)..</w:t>
      </w:r>
    </w:p>
    <w:p w14:paraId="4EBE5B69" w14:textId="77777777" w:rsidR="00B523ED" w:rsidRDefault="00B1179D">
      <w:pPr>
        <w:spacing w:after="20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Regulatory Compliance</w:t>
      </w:r>
    </w:p>
    <w:p w14:paraId="77C5989E"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SWIFT's statistical methods also play a crucial role in ensuring regulatory compliance. Financial institutions are subject to various regulations and reporting requirements. SWIFT's data analytics capabi</w:t>
      </w:r>
      <w:r>
        <w:rPr>
          <w:rFonts w:ascii="Times New Roman" w:hAnsi="Times New Roman" w:cs="Times New Roman"/>
          <w:sz w:val="24"/>
          <w:szCs w:val="24"/>
        </w:rPr>
        <w:t>lities help institutions meet these obligations by providing accurate and timely transaction data (SWIFT, 2021).</w:t>
      </w:r>
    </w:p>
    <w:p w14:paraId="727CDE8E"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However, SWIFT's statistical methods of transactions are a cornerstone of its operations in the global financial industry. Through data collect</w:t>
      </w:r>
      <w:r>
        <w:rPr>
          <w:rFonts w:ascii="Times New Roman" w:hAnsi="Times New Roman" w:cs="Times New Roman"/>
          <w:sz w:val="24"/>
          <w:szCs w:val="24"/>
        </w:rPr>
        <w:t>ion, normalization, monitoring, and analysis, SWIFT ensures the security, efficiency, and reliability of its network. These methods are essential for detecting fraud, assessing risk, complying with regulations, and providing valuable insights into the ever</w:t>
      </w:r>
      <w:r>
        <w:rPr>
          <w:rFonts w:ascii="Times New Roman" w:hAnsi="Times New Roman" w:cs="Times New Roman"/>
          <w:sz w:val="24"/>
          <w:szCs w:val="24"/>
        </w:rPr>
        <w:t xml:space="preserve">-evolving world of international finance. SWIFT's commitment to data privacy and security, along with its continuous improvement of statistical </w:t>
      </w:r>
      <w:r>
        <w:rPr>
          <w:rFonts w:ascii="Times New Roman" w:hAnsi="Times New Roman" w:cs="Times New Roman"/>
          <w:sz w:val="24"/>
          <w:szCs w:val="24"/>
        </w:rPr>
        <w:lastRenderedPageBreak/>
        <w:t>methods, contributes to the stability and integrity of the global financial system.</w:t>
      </w:r>
    </w:p>
    <w:p w14:paraId="3B72E2D9" w14:textId="77777777" w:rsidR="00B523ED" w:rsidRDefault="00B523ED">
      <w:pPr>
        <w:spacing w:after="200" w:line="240" w:lineRule="auto"/>
        <w:jc w:val="both"/>
        <w:rPr>
          <w:rFonts w:ascii="Times New Roman" w:hAnsi="Times New Roman" w:cs="Times New Roman"/>
          <w:b/>
          <w:bCs/>
          <w:sz w:val="24"/>
          <w:szCs w:val="24"/>
        </w:rPr>
      </w:pPr>
    </w:p>
    <w:p w14:paraId="41758303" w14:textId="77777777" w:rsidR="00B523ED" w:rsidRDefault="00B1179D">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542FDE4F" w14:textId="77777777" w:rsidR="00B523ED" w:rsidRDefault="00B1179D">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In conclusion, c</w:t>
      </w:r>
      <w:r>
        <w:rPr>
          <w:rFonts w:ascii="Times New Roman" w:hAnsi="Times New Roman" w:cs="Times New Roman"/>
          <w:sz w:val="24"/>
          <w:szCs w:val="24"/>
        </w:rPr>
        <w:t>ryptocurrencies have emerged as a disruptive force in the world of finance, offering decentralised, secure, and borderless transactions. Their popularity has grown exponentially, attracting both enthusiasts and skeptics. They have disrupted traditional fin</w:t>
      </w:r>
      <w:r>
        <w:rPr>
          <w:rFonts w:ascii="Times New Roman" w:hAnsi="Times New Roman" w:cs="Times New Roman"/>
          <w:sz w:val="24"/>
          <w:szCs w:val="24"/>
        </w:rPr>
        <w:t>ance by offering decentralised digital assets like Bitcoin and Ethereum. Statistical methods are crucial for monitoring and securing transactions on the SWIFT network, the backbone of global financial messaging. While cryptocurrencies provide financial fre</w:t>
      </w:r>
      <w:r>
        <w:rPr>
          <w:rFonts w:ascii="Times New Roman" w:hAnsi="Times New Roman" w:cs="Times New Roman"/>
          <w:sz w:val="24"/>
          <w:szCs w:val="24"/>
        </w:rPr>
        <w:t>edom and innovation, they also pose regulatory challenges and concerns about their potential misuse. On the other hand, SWIFT transactions, the traditional backbone of global financial communication, rely on statistical methods to ensure efficient and secu</w:t>
      </w:r>
      <w:r>
        <w:rPr>
          <w:rFonts w:ascii="Times New Roman" w:hAnsi="Times New Roman" w:cs="Times New Roman"/>
          <w:sz w:val="24"/>
          <w:szCs w:val="24"/>
        </w:rPr>
        <w:t>re cross-border transfers. These methods involve analysing historical transaction data to detect anomalies, monitor network performance, and enhance security protocols. However, SWIFT faces increasing pressure to adapt to the evolving financial landscape a</w:t>
      </w:r>
      <w:r>
        <w:rPr>
          <w:rFonts w:ascii="Times New Roman" w:hAnsi="Times New Roman" w:cs="Times New Roman"/>
          <w:sz w:val="24"/>
          <w:szCs w:val="24"/>
        </w:rPr>
        <w:t>nd may need to integrate blockchain technology or other innovations to remain competitive. In this evolving financial ecosystem, a balance between cryptocurrencies' innovation and SWIFT's reliability is essential to meet the demands of a rapidly changing w</w:t>
      </w:r>
      <w:r>
        <w:rPr>
          <w:rFonts w:ascii="Times New Roman" w:hAnsi="Times New Roman" w:cs="Times New Roman"/>
          <w:sz w:val="24"/>
          <w:szCs w:val="24"/>
        </w:rPr>
        <w:t>orld.</w:t>
      </w:r>
    </w:p>
    <w:p w14:paraId="4B705CD5" w14:textId="77777777" w:rsidR="00B523ED" w:rsidRDefault="00B1179D">
      <w:pPr>
        <w:spacing w:after="200" w:line="240" w:lineRule="auto"/>
        <w:jc w:val="both"/>
        <w:rPr>
          <w:rFonts w:ascii="Times New Roman" w:hAnsi="Times New Roman" w:cs="Times New Roman"/>
          <w:b/>
          <w:bCs/>
          <w:sz w:val="24"/>
          <w:szCs w:val="24"/>
        </w:rPr>
      </w:pPr>
      <w:r>
        <w:rPr>
          <w:rFonts w:ascii="Times New Roman" w:hAnsi="Times New Roman" w:cs="Times New Roman"/>
          <w:b/>
          <w:bCs/>
          <w:sz w:val="24"/>
          <w:szCs w:val="24"/>
        </w:rPr>
        <w:t>Recommendations</w:t>
      </w:r>
    </w:p>
    <w:p w14:paraId="30A632F1" w14:textId="77777777" w:rsidR="00B523ED" w:rsidRDefault="00B1179D">
      <w:pPr>
        <w:pStyle w:val="ListParagraph"/>
        <w:numPr>
          <w:ilvl w:val="0"/>
          <w:numId w:val="1"/>
        </w:num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Recommendations include advanced data analytics to detect anomalies, trend analysis for fraud prevention, and machine learning algorithms for predictive modeling. </w:t>
      </w:r>
    </w:p>
    <w:p w14:paraId="72FD200A" w14:textId="77777777" w:rsidR="00B523ED" w:rsidRDefault="00B523ED">
      <w:pPr>
        <w:pStyle w:val="ListParagraph"/>
        <w:numPr>
          <w:ilvl w:val="0"/>
          <w:numId w:val="1"/>
        </w:numPr>
        <w:spacing w:after="200" w:line="240" w:lineRule="auto"/>
        <w:jc w:val="both"/>
        <w:rPr>
          <w:rFonts w:ascii="Times New Roman" w:hAnsi="Times New Roman" w:cs="Times New Roman"/>
          <w:sz w:val="24"/>
          <w:szCs w:val="24"/>
        </w:rPr>
      </w:pPr>
    </w:p>
    <w:p w14:paraId="73C30D53"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SWIFT should implement robust statistical techniques that can </w:t>
      </w:r>
      <w:r>
        <w:rPr>
          <w:rFonts w:ascii="Times New Roman" w:hAnsi="Times New Roman" w:cs="Times New Roman"/>
          <w:sz w:val="24"/>
          <w:szCs w:val="24"/>
        </w:rPr>
        <w:t>enhance transaction monitoring, reducing risks and ensuring the integrity of international financial flows in the era of cryptocurrencies.</w:t>
      </w:r>
    </w:p>
    <w:p w14:paraId="1CE3265C"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Regulatory bodies of cryptocurrencies need to develop coherent frameworks to provide investors with more confidenc</w:t>
      </w:r>
      <w:r>
        <w:rPr>
          <w:rFonts w:ascii="Times New Roman" w:hAnsi="Times New Roman" w:cs="Times New Roman"/>
          <w:sz w:val="24"/>
          <w:szCs w:val="24"/>
        </w:rPr>
        <w:t>e and security in the market. While cryptocurrencies have undoubtedly altered the investment landscape, their long-term impact remains a subject of ongoing empirical research.</w:t>
      </w:r>
    </w:p>
    <w:p w14:paraId="51435EFA" w14:textId="77777777" w:rsidR="00B523ED" w:rsidRDefault="00B523ED">
      <w:pPr>
        <w:spacing w:after="200" w:line="240" w:lineRule="auto"/>
        <w:jc w:val="both"/>
        <w:rPr>
          <w:rFonts w:ascii="Times New Roman" w:hAnsi="Times New Roman" w:cs="Times New Roman"/>
          <w:sz w:val="24"/>
          <w:szCs w:val="24"/>
        </w:rPr>
      </w:pPr>
    </w:p>
    <w:p w14:paraId="209F8892" w14:textId="77777777" w:rsidR="00B523ED" w:rsidRDefault="00B523ED">
      <w:pPr>
        <w:spacing w:after="200" w:line="240" w:lineRule="auto"/>
        <w:jc w:val="both"/>
        <w:rPr>
          <w:rFonts w:ascii="Times New Roman" w:hAnsi="Times New Roman" w:cs="Times New Roman"/>
          <w:sz w:val="24"/>
          <w:szCs w:val="24"/>
        </w:rPr>
      </w:pPr>
    </w:p>
    <w:p w14:paraId="23470429" w14:textId="77777777" w:rsidR="00B523ED" w:rsidRDefault="00B523ED">
      <w:pPr>
        <w:spacing w:after="200" w:line="240" w:lineRule="auto"/>
        <w:jc w:val="both"/>
        <w:rPr>
          <w:rFonts w:ascii="Times New Roman" w:hAnsi="Times New Roman" w:cs="Times New Roman"/>
          <w:sz w:val="24"/>
          <w:szCs w:val="24"/>
        </w:rPr>
      </w:pPr>
    </w:p>
    <w:p w14:paraId="7677586E" w14:textId="77777777" w:rsidR="00B523ED" w:rsidRDefault="00B523ED">
      <w:pPr>
        <w:spacing w:after="200" w:line="240" w:lineRule="auto"/>
        <w:jc w:val="both"/>
        <w:rPr>
          <w:rFonts w:ascii="Times New Roman" w:hAnsi="Times New Roman" w:cs="Times New Roman"/>
          <w:sz w:val="24"/>
          <w:szCs w:val="24"/>
        </w:rPr>
      </w:pPr>
    </w:p>
    <w:p w14:paraId="5B88755C" w14:textId="77777777" w:rsidR="00B523ED" w:rsidRDefault="00B1179D">
      <w:pPr>
        <w:rPr>
          <w:rFonts w:ascii="Times New Roman" w:hAnsi="Times New Roman" w:cs="Times New Roman"/>
          <w:sz w:val="24"/>
          <w:szCs w:val="24"/>
        </w:rPr>
      </w:pPr>
      <w:r>
        <w:rPr>
          <w:rFonts w:ascii="Times New Roman" w:hAnsi="Times New Roman" w:cs="Times New Roman"/>
          <w:sz w:val="24"/>
          <w:szCs w:val="24"/>
        </w:rPr>
        <w:br w:type="page"/>
      </w:r>
    </w:p>
    <w:p w14:paraId="1D0B3EF0" w14:textId="77777777" w:rsidR="00B523ED" w:rsidRDefault="00B1179D">
      <w:pPr>
        <w:rPr>
          <w:highlight w:val="yellow"/>
        </w:rPr>
      </w:pPr>
      <w:r>
        <w:rPr>
          <w:highlight w:val="yellow"/>
        </w:rPr>
        <w:lastRenderedPageBreak/>
        <w:t>Disclaimer (Artificial intelligence)</w:t>
      </w:r>
    </w:p>
    <w:p w14:paraId="537A41F9" w14:textId="77777777" w:rsidR="00B523ED" w:rsidRDefault="00B1179D">
      <w:pPr>
        <w:rPr>
          <w:highlight w:val="yellow"/>
        </w:rPr>
      </w:pPr>
      <w:r>
        <w:rPr>
          <w:highlight w:val="yellow"/>
        </w:rPr>
        <w:t xml:space="preserve">Option 1: </w:t>
      </w:r>
    </w:p>
    <w:p w14:paraId="1441BD8F" w14:textId="77777777" w:rsidR="00B523ED" w:rsidRDefault="00B1179D">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3911D118" w14:textId="77777777" w:rsidR="00B523ED" w:rsidRDefault="00B1179D">
      <w:pPr>
        <w:rPr>
          <w:highlight w:val="yellow"/>
        </w:rPr>
      </w:pPr>
      <w:r>
        <w:rPr>
          <w:highlight w:val="yellow"/>
        </w:rPr>
        <w:t xml:space="preserve">Option 2: </w:t>
      </w:r>
    </w:p>
    <w:p w14:paraId="7B8F5DC2" w14:textId="77777777" w:rsidR="00B523ED" w:rsidRDefault="00B1179D">
      <w:pPr>
        <w:rPr>
          <w:highlight w:val="yellow"/>
        </w:rPr>
      </w:pPr>
      <w:r>
        <w:rPr>
          <w:highlight w:val="yellow"/>
        </w:rPr>
        <w:t>Author(s) hereby declare that gener</w:t>
      </w:r>
      <w:r>
        <w:rPr>
          <w:highlight w:val="yellow"/>
        </w:rPr>
        <w:t>ative AI technologies such as Large Language Models, etc. have been used during the writing or editing of manuscripts. This explanation will include the name, version, model, and source of the generative AI technology and as well as all input prompts provi</w:t>
      </w:r>
      <w:r>
        <w:rPr>
          <w:highlight w:val="yellow"/>
        </w:rPr>
        <w:t>ded to the generative AI technology</w:t>
      </w:r>
    </w:p>
    <w:p w14:paraId="460CC5BA" w14:textId="77777777" w:rsidR="00B523ED" w:rsidRDefault="00B1179D">
      <w:pPr>
        <w:rPr>
          <w:highlight w:val="yellow"/>
        </w:rPr>
      </w:pPr>
      <w:r>
        <w:rPr>
          <w:highlight w:val="yellow"/>
        </w:rPr>
        <w:t>Details of the AI usage are given below:</w:t>
      </w:r>
    </w:p>
    <w:p w14:paraId="730A39EC" w14:textId="77777777" w:rsidR="00B523ED" w:rsidRDefault="00B1179D">
      <w:pPr>
        <w:rPr>
          <w:highlight w:val="yellow"/>
        </w:rPr>
      </w:pPr>
      <w:r>
        <w:rPr>
          <w:highlight w:val="yellow"/>
        </w:rPr>
        <w:t>1.</w:t>
      </w:r>
    </w:p>
    <w:p w14:paraId="6A5D0C44" w14:textId="77777777" w:rsidR="00B523ED" w:rsidRDefault="00B1179D">
      <w:pPr>
        <w:rPr>
          <w:highlight w:val="yellow"/>
        </w:rPr>
      </w:pPr>
      <w:r>
        <w:rPr>
          <w:highlight w:val="yellow"/>
        </w:rPr>
        <w:t>2.</w:t>
      </w:r>
    </w:p>
    <w:p w14:paraId="0EAC7E86" w14:textId="77777777" w:rsidR="00B523ED" w:rsidRDefault="00B1179D">
      <w:r>
        <w:rPr>
          <w:highlight w:val="yellow"/>
        </w:rPr>
        <w:t>3.</w:t>
      </w:r>
    </w:p>
    <w:p w14:paraId="0A7E8ACA" w14:textId="77777777" w:rsidR="00B523ED" w:rsidRDefault="00B1179D">
      <w:pPr>
        <w:spacing w:after="200"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339F0C06" w14:textId="77777777" w:rsidR="00B523ED" w:rsidRDefault="00B1179D">
      <w:pPr>
        <w:spacing w:after="200" w:line="276" w:lineRule="auto"/>
        <w:ind w:left="1134" w:hanging="560"/>
        <w:rPr>
          <w:rFonts w:ascii="Times New Roman" w:hAnsi="Times New Roman" w:cs="Times New Roman"/>
          <w:sz w:val="24"/>
          <w:szCs w:val="24"/>
        </w:rPr>
      </w:pPr>
      <w:r>
        <w:rPr>
          <w:rFonts w:ascii="Cambria" w:eastAsia="MS Mincho" w:hAnsi="Cambria"/>
        </w:rPr>
        <w:t>Atree, M. K., Khan, M. K., &amp; Ali, I. (2025). Cryptocurrency research: Bibliometric review and content analysis. Journal of Finance and Data Science. Advance on</w:t>
      </w:r>
      <w:r>
        <w:rPr>
          <w:rFonts w:ascii="Cambria" w:eastAsia="MS Mincho" w:hAnsi="Cambria"/>
        </w:rPr>
        <w:t>line publication. https://doi.org/10.1016/j.jfds.2025.100349</w:t>
      </w:r>
    </w:p>
    <w:p w14:paraId="779D1532"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Badi, Mohammed, Stefan Dab, Pierre Paoli, Maarten Peeters, Prateek Roongta,Olivier Sampieri, and Yann Sénant. 2017. Global Payments 2017: Deepeningthe Customer Relationship. Boston Consulting Gro</w:t>
      </w:r>
      <w:r>
        <w:rPr>
          <w:rFonts w:ascii="Times New Roman" w:hAnsi="Times New Roman" w:cs="Times New Roman"/>
          <w:sz w:val="24"/>
          <w:szCs w:val="24"/>
        </w:rPr>
        <w:t>up &amp; SWIFT. Retrieved from: https://www.bcg.com/publications/20</w:t>
      </w:r>
      <w:r>
        <w:rPr>
          <w:rFonts w:ascii="Times New Roman" w:hAnsi="Times New Roman" w:cs="Times New Roman"/>
          <w:sz w:val="24"/>
          <w:szCs w:val="24"/>
        </w:rPr>
        <w:t>17/transaction-banking-financialinstitutions-global-payments-2017-deepening-customer-relationship.aspx.</w:t>
      </w:r>
    </w:p>
    <w:p w14:paraId="60432941" w14:textId="77777777" w:rsidR="00B523ED" w:rsidRDefault="00B1179D">
      <w:pPr>
        <w:spacing w:after="200" w:line="276" w:lineRule="auto"/>
        <w:ind w:left="1134" w:hanging="560"/>
        <w:rPr>
          <w:rFonts w:ascii="Times New Roman" w:hAnsi="Times New Roman" w:cs="Times New Roman"/>
          <w:sz w:val="24"/>
          <w:szCs w:val="24"/>
        </w:rPr>
      </w:pPr>
      <w:r>
        <w:rPr>
          <w:rFonts w:ascii="Cambria" w:eastAsia="MS Mincho" w:hAnsi="Cambria"/>
        </w:rPr>
        <w:t>Bank of England. (2013, April). The Bank of England’s approach to the supervision of fina</w:t>
      </w:r>
      <w:r>
        <w:rPr>
          <w:rFonts w:ascii="Cambria" w:eastAsia="MS Mincho" w:hAnsi="Cambria"/>
        </w:rPr>
        <w:t>ncial market infrastructures. Bank of England. https://www.bankofengland.co.uk/-/media/boe/files/financial-stability/financial-market-infrastructure-supervision/the-boe-approach-to-the-supervision-of-fmi.pdf</w:t>
      </w:r>
    </w:p>
    <w:p w14:paraId="0B9299D4" w14:textId="77777777" w:rsidR="00B523ED" w:rsidRDefault="00B523ED">
      <w:pPr>
        <w:spacing w:after="200"/>
        <w:ind w:left="720" w:hanging="720"/>
        <w:rPr>
          <w:rFonts w:ascii="Times New Roman" w:hAnsi="Times New Roman" w:cs="Times New Roman"/>
          <w:sz w:val="24"/>
          <w:szCs w:val="24"/>
        </w:rPr>
      </w:pPr>
    </w:p>
    <w:p w14:paraId="12240D1F"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Blume, S. N. (2014). cryptocurrency. The New Pa</w:t>
      </w:r>
      <w:r>
        <w:rPr>
          <w:rFonts w:ascii="Times New Roman" w:hAnsi="Times New Roman" w:cs="Times New Roman"/>
          <w:sz w:val="24"/>
          <w:szCs w:val="24"/>
        </w:rPr>
        <w:t>lgrave Dictionary of Economics.</w:t>
      </w:r>
    </w:p>
    <w:p w14:paraId="0C180D18"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Bouri, E., Molnár, P., Azzi, G., Roubaud, D., &amp; Hagfors, L. I. (2017). On the hedge and safe haven properties of Bitcoin: Is it really more than a diversifier? </w:t>
      </w:r>
      <w:r>
        <w:rPr>
          <w:rFonts w:ascii="Times New Roman" w:hAnsi="Times New Roman" w:cs="Times New Roman"/>
          <w:i/>
          <w:iCs/>
          <w:sz w:val="24"/>
          <w:szCs w:val="24"/>
        </w:rPr>
        <w:t>Finance Research Letters</w:t>
      </w:r>
      <w:r>
        <w:rPr>
          <w:rFonts w:ascii="Times New Roman" w:hAnsi="Times New Roman" w:cs="Times New Roman"/>
          <w:sz w:val="24"/>
          <w:szCs w:val="24"/>
        </w:rPr>
        <w:t>, 20, 192-198.</w:t>
      </w:r>
    </w:p>
    <w:p w14:paraId="11BB195A"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Buterin, V (2014) A next-</w:t>
      </w:r>
      <w:r>
        <w:rPr>
          <w:rFonts w:ascii="Times New Roman" w:hAnsi="Times New Roman" w:cs="Times New Roman"/>
          <w:sz w:val="24"/>
          <w:szCs w:val="24"/>
        </w:rPr>
        <w:t>generation smart contract and decentralized application platform. White Paper.</w:t>
      </w:r>
    </w:p>
    <w:p w14:paraId="51C85E0C" w14:textId="77777777" w:rsidR="00B523ED" w:rsidRDefault="00B1179D">
      <w:pPr>
        <w:spacing w:after="200" w:line="240" w:lineRule="auto"/>
        <w:ind w:left="720" w:hanging="720"/>
        <w:jc w:val="both"/>
        <w:rPr>
          <w:rFonts w:ascii="Times New Roman" w:hAnsi="Times New Roman" w:cs="Times New Roman"/>
          <w:sz w:val="24"/>
          <w:szCs w:val="24"/>
        </w:rPr>
      </w:pPr>
      <w:bookmarkStart w:id="1" w:name="_Hlk146268859"/>
      <w:r>
        <w:rPr>
          <w:rFonts w:ascii="Times New Roman" w:hAnsi="Times New Roman" w:cs="Times New Roman"/>
          <w:sz w:val="24"/>
          <w:szCs w:val="24"/>
        </w:rPr>
        <w:t xml:space="preserve">Castor, A. (2017). </w:t>
      </w:r>
      <w:bookmarkEnd w:id="1"/>
      <w:r>
        <w:rPr>
          <w:rFonts w:ascii="Times New Roman" w:hAnsi="Times New Roman" w:cs="Times New Roman"/>
          <w:sz w:val="24"/>
          <w:szCs w:val="24"/>
        </w:rPr>
        <w:t>A (Short) Guide to Blockchain Consensus Protocols.CoinDesk: https://www.coindesk.com/short-guide-blockchain-consensus-protocols/</w:t>
      </w:r>
    </w:p>
    <w:p w14:paraId="0ECCCFB9"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Chan, S., Chu, J., Nadarajah,</w:t>
      </w:r>
      <w:r>
        <w:rPr>
          <w:rFonts w:ascii="Times New Roman" w:hAnsi="Times New Roman" w:cs="Times New Roman"/>
          <w:sz w:val="24"/>
          <w:szCs w:val="24"/>
        </w:rPr>
        <w:t xml:space="preserve"> S., &amp;Osterrieder, J. (2017). A Statistical Analysis of Cryptocurrencies. Journal of Risk and Financial Management, 10(2), 12.</w:t>
      </w:r>
    </w:p>
    <w:p w14:paraId="6249AC1E"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Ciaian, P., Rajcaniova, M., &amp;Kancs, D. (2018). The economics of BitCoin price formation. </w:t>
      </w:r>
      <w:r>
        <w:rPr>
          <w:rFonts w:ascii="Times New Roman" w:hAnsi="Times New Roman" w:cs="Times New Roman"/>
          <w:i/>
          <w:iCs/>
          <w:sz w:val="24"/>
          <w:szCs w:val="24"/>
        </w:rPr>
        <w:t>Applied Economics</w:t>
      </w:r>
      <w:r>
        <w:rPr>
          <w:rFonts w:ascii="Times New Roman" w:hAnsi="Times New Roman" w:cs="Times New Roman"/>
          <w:sz w:val="24"/>
          <w:szCs w:val="24"/>
        </w:rPr>
        <w:t>, 50(19), 2129-2140.</w:t>
      </w:r>
    </w:p>
    <w:p w14:paraId="3F5CF8C7"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Co</w:t>
      </w:r>
      <w:r>
        <w:rPr>
          <w:rFonts w:ascii="Times New Roman" w:hAnsi="Times New Roman" w:cs="Times New Roman"/>
          <w:sz w:val="24"/>
          <w:szCs w:val="24"/>
        </w:rPr>
        <w:t>inMarketCap(2017). Crypto-Currency Market Capitalizations. Retrieved from: https://coinmarketcap.com/</w:t>
      </w:r>
    </w:p>
    <w:p w14:paraId="6CC0CA20"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Collinson, P. (2017). Revealed: The Huge Profits Earned by Big Banks onOverseas Money Transfers. The Guardian, April 8, Money. Retrieved from: https://www</w:t>
      </w:r>
      <w:r>
        <w:rPr>
          <w:rFonts w:ascii="Times New Roman" w:hAnsi="Times New Roman" w:cs="Times New Roman"/>
          <w:sz w:val="24"/>
          <w:szCs w:val="24"/>
        </w:rPr>
        <w:t>.theguardian.com/money/2017/apr/08/leaked-santanderinternational-money-transfers-transferwise.</w:t>
      </w:r>
    </w:p>
    <w:p w14:paraId="3B1713AE"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CPMI, and IOSCO (2012). Principles for Financial Market Infrastructures. Retrieved from:  https://www.bis.org/cpmi/publ/d101.htm.</w:t>
      </w:r>
    </w:p>
    <w:p w14:paraId="7F5ABCF8"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Dasgupta, S. &amp;Grover, P. (2019). Critically Evaluating SWIFT’s Strategy as aMonopoly in the Fintech Business. </w:t>
      </w:r>
      <w:r>
        <w:rPr>
          <w:rFonts w:ascii="Times New Roman" w:hAnsi="Times New Roman" w:cs="Times New Roman"/>
          <w:i/>
          <w:iCs/>
          <w:sz w:val="24"/>
          <w:szCs w:val="24"/>
        </w:rPr>
        <w:t>International Journal of Innovative Technology and Exploring Engineering</w:t>
      </w:r>
      <w:r>
        <w:rPr>
          <w:rFonts w:ascii="Times New Roman" w:hAnsi="Times New Roman" w:cs="Times New Roman"/>
          <w:sz w:val="24"/>
          <w:szCs w:val="24"/>
        </w:rPr>
        <w:t>, 8(12), 3839 – 3844.</w:t>
      </w:r>
    </w:p>
    <w:p w14:paraId="5710703A"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DeVries, P. D. (2016). An Analysis of Cryptocurrency</w:t>
      </w:r>
      <w:r>
        <w:rPr>
          <w:rFonts w:ascii="Times New Roman" w:hAnsi="Times New Roman" w:cs="Times New Roman"/>
          <w:sz w:val="24"/>
          <w:szCs w:val="24"/>
        </w:rPr>
        <w:t xml:space="preserve">, Bitcoin, and the Future. </w:t>
      </w:r>
      <w:r>
        <w:rPr>
          <w:rFonts w:ascii="Times New Roman" w:hAnsi="Times New Roman" w:cs="Times New Roman"/>
          <w:i/>
          <w:iCs/>
          <w:sz w:val="24"/>
          <w:szCs w:val="24"/>
        </w:rPr>
        <w:t>International Journal of Business Management and Commerce</w:t>
      </w:r>
      <w:r>
        <w:rPr>
          <w:rFonts w:ascii="Times New Roman" w:hAnsi="Times New Roman" w:cs="Times New Roman"/>
          <w:sz w:val="24"/>
          <w:szCs w:val="24"/>
        </w:rPr>
        <w:t>, 19(4), 407-425</w:t>
      </w:r>
    </w:p>
    <w:p w14:paraId="2CAE3DE8"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Dixon, A.D. (2011). The Geography of Finance: Form and Functions. </w:t>
      </w:r>
      <w:r>
        <w:rPr>
          <w:rFonts w:ascii="Times New Roman" w:hAnsi="Times New Roman" w:cs="Times New Roman"/>
          <w:i/>
          <w:iCs/>
          <w:sz w:val="24"/>
          <w:szCs w:val="24"/>
        </w:rPr>
        <w:t>GeographyCompass</w:t>
      </w:r>
      <w:r>
        <w:rPr>
          <w:rFonts w:ascii="Times New Roman" w:hAnsi="Times New Roman" w:cs="Times New Roman"/>
          <w:sz w:val="24"/>
          <w:szCs w:val="24"/>
        </w:rPr>
        <w:t>, 5 (11): 851–862.</w:t>
      </w:r>
    </w:p>
    <w:p w14:paraId="3389C925"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Dostov, V., &amp; Shust, P. (2016). Cryptocurrencies: an unconventional challenge to the </w:t>
      </w:r>
      <w:r>
        <w:rPr>
          <w:rFonts w:ascii="Times New Roman" w:hAnsi="Times New Roman" w:cs="Times New Roman"/>
          <w:sz w:val="24"/>
          <w:szCs w:val="24"/>
        </w:rPr>
        <w:t xml:space="preserve">AML/CFTregulators? </w:t>
      </w:r>
      <w:r>
        <w:rPr>
          <w:rFonts w:ascii="Times New Roman" w:hAnsi="Times New Roman" w:cs="Times New Roman"/>
          <w:i/>
          <w:iCs/>
          <w:sz w:val="24"/>
          <w:szCs w:val="24"/>
        </w:rPr>
        <w:t>Journal of Financial Crime</w:t>
      </w:r>
      <w:r>
        <w:rPr>
          <w:rFonts w:ascii="Times New Roman" w:hAnsi="Times New Roman" w:cs="Times New Roman"/>
          <w:sz w:val="24"/>
          <w:szCs w:val="24"/>
        </w:rPr>
        <w:t>, 21(3), 249-263.</w:t>
      </w:r>
    </w:p>
    <w:p w14:paraId="47F65E71"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Duffield, E. &amp;Diaz, D. (2014). Dash: A payments-focused cryptocurrency. White Paper.</w:t>
      </w:r>
    </w:p>
    <w:p w14:paraId="5191F243"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Dyussembekova, Z. (2017</w:t>
      </w:r>
      <w:r>
        <w:rPr>
          <w:rFonts w:ascii="Times New Roman" w:hAnsi="Times New Roman" w:cs="Times New Roman"/>
          <w:sz w:val="24"/>
          <w:szCs w:val="24"/>
        </w:rPr>
        <w:t>). Kazakh Organizations form Blockchain and CryptocurrencyAssociation. Astana Times, retrieved from: https://astanatimes.com/kazakhorganisations-form-blockchain-and-cryptocurrency-association/</w:t>
      </w:r>
    </w:p>
    <w:p w14:paraId="6707CCAE"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European Central Bank (2017). Tenth Survey on Correspondent Ban</w:t>
      </w:r>
      <w:r>
        <w:rPr>
          <w:rFonts w:ascii="Times New Roman" w:hAnsi="Times New Roman" w:cs="Times New Roman"/>
          <w:sz w:val="24"/>
          <w:szCs w:val="24"/>
        </w:rPr>
        <w:t>king in Euro2016. Retrieved from: https://publications.europa.eu/en/publication-detail/-/publication/8828d161-28b4-11e7-ab65-01aa75ed71a1/language-en.</w:t>
      </w:r>
    </w:p>
    <w:p w14:paraId="31440EF8"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European Commission. n.d. ‘Financial Markets Infrastructure Policy (2012). Text. EuropeanCommission. Retr</w:t>
      </w:r>
      <w:r>
        <w:rPr>
          <w:rFonts w:ascii="Times New Roman" w:hAnsi="Times New Roman" w:cs="Times New Roman"/>
          <w:sz w:val="24"/>
          <w:szCs w:val="24"/>
        </w:rPr>
        <w:t>ieved from: https://ec.europa.eu/info/business-economy-euro/banking-andfinance/financial-markets/post-trade-services/financial-markets-infrastructurepolicy_en.</w:t>
      </w:r>
    </w:p>
    <w:p w14:paraId="1AFF1F2E"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Frankenfield, J. (2021). Cryptocurrency explained with pros and cons for investment. Retrieved f</w:t>
      </w:r>
      <w:r>
        <w:rPr>
          <w:rFonts w:ascii="Times New Roman" w:hAnsi="Times New Roman" w:cs="Times New Roman"/>
          <w:sz w:val="24"/>
          <w:szCs w:val="24"/>
        </w:rPr>
        <w:t>rom: https://www.investopedia.com/c/cryptocurrency</w:t>
      </w:r>
    </w:p>
    <w:p w14:paraId="485BEE71"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Gandal, N., Hamrick, J. T., Moore, T., &amp; Oberman, T. (2018). Price manipulation in the Bitcoin ecosystem. </w:t>
      </w:r>
      <w:r>
        <w:rPr>
          <w:rFonts w:ascii="Times New Roman" w:hAnsi="Times New Roman" w:cs="Times New Roman"/>
          <w:i/>
          <w:iCs/>
          <w:sz w:val="24"/>
          <w:szCs w:val="24"/>
        </w:rPr>
        <w:t>Journal of Monetary Economics</w:t>
      </w:r>
      <w:r>
        <w:rPr>
          <w:rFonts w:ascii="Times New Roman" w:hAnsi="Times New Roman" w:cs="Times New Roman"/>
          <w:sz w:val="24"/>
          <w:szCs w:val="24"/>
        </w:rPr>
        <w:t>, 95, 86-96.</w:t>
      </w:r>
    </w:p>
    <w:p w14:paraId="09D750E0"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Gensler, G. (2021). Remarks before the Aspen Security For</w:t>
      </w:r>
      <w:r>
        <w:rPr>
          <w:rFonts w:ascii="Times New Roman" w:hAnsi="Times New Roman" w:cs="Times New Roman"/>
          <w:sz w:val="24"/>
          <w:szCs w:val="24"/>
        </w:rPr>
        <w:t xml:space="preserve">um. U.S. </w:t>
      </w:r>
      <w:r>
        <w:rPr>
          <w:rFonts w:ascii="Times New Roman" w:hAnsi="Times New Roman" w:cs="Times New Roman"/>
          <w:sz w:val="24"/>
          <w:szCs w:val="24"/>
        </w:rPr>
        <w:lastRenderedPageBreak/>
        <w:t>Securities and Exchange Commission.</w:t>
      </w:r>
    </w:p>
    <w:p w14:paraId="24466377"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Gifford, K. and Cheng, J.(2016). Implementation of Real-Time Settlement forBanks Using Decentralised Ledger Technology: Policy and Legal Implications.</w:t>
      </w:r>
      <w:r>
        <w:rPr>
          <w:rFonts w:ascii="Times New Roman" w:hAnsi="Times New Roman" w:cs="Times New Roman"/>
          <w:i/>
          <w:iCs/>
          <w:sz w:val="24"/>
          <w:szCs w:val="24"/>
        </w:rPr>
        <w:t>Financial Stability Review</w:t>
      </w:r>
      <w:r>
        <w:rPr>
          <w:rFonts w:ascii="Times New Roman" w:hAnsi="Times New Roman" w:cs="Times New Roman"/>
          <w:sz w:val="24"/>
          <w:szCs w:val="24"/>
        </w:rPr>
        <w:t>, 20, 143–151.</w:t>
      </w:r>
    </w:p>
    <w:p w14:paraId="3B6287A6"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Grolleman, D.J. and </w:t>
      </w:r>
      <w:r>
        <w:rPr>
          <w:rFonts w:ascii="Times New Roman" w:hAnsi="Times New Roman" w:cs="Times New Roman"/>
          <w:sz w:val="24"/>
          <w:szCs w:val="24"/>
        </w:rPr>
        <w:t>Jutrsa, D. (2017). Understanding Correspondent BankingTrends: A Monitoring Framework. Working Paper 17/216. IMF Working Paper.International Monetary Fund. Retrieved from: https://www.imf.org/en/Publications/WP/Issues/UnderstandingCorrespondent-Banking-Tren</w:t>
      </w:r>
      <w:r>
        <w:rPr>
          <w:rFonts w:ascii="Times New Roman" w:hAnsi="Times New Roman" w:cs="Times New Roman"/>
          <w:sz w:val="24"/>
          <w:szCs w:val="24"/>
        </w:rPr>
        <w:t>ds-A-Monitoring-Framework-45318.</w:t>
      </w:r>
    </w:p>
    <w:p w14:paraId="4DFAC6B7"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Harwick, C. (2016). Cryptocurrency and the Problem of Intermediation. </w:t>
      </w:r>
      <w:r>
        <w:rPr>
          <w:rFonts w:ascii="Times New Roman" w:hAnsi="Times New Roman" w:cs="Times New Roman"/>
          <w:i/>
          <w:iCs/>
          <w:sz w:val="24"/>
          <w:szCs w:val="24"/>
        </w:rPr>
        <w:t>The Independent Review</w:t>
      </w:r>
      <w:r>
        <w:rPr>
          <w:rFonts w:ascii="Times New Roman" w:hAnsi="Times New Roman" w:cs="Times New Roman"/>
          <w:sz w:val="24"/>
          <w:szCs w:val="24"/>
        </w:rPr>
        <w:t xml:space="preserve">,20(4). </w:t>
      </w:r>
    </w:p>
    <w:p w14:paraId="28A64B66"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Heid, A. (2013, June). Hackmiami. Retrieved from: http :// www. HackMiami. org</w:t>
      </w:r>
    </w:p>
    <w:p w14:paraId="0EA757A2"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Helms, K. (2018). Five Siberian Power Plant</w:t>
      </w:r>
      <w:r>
        <w:rPr>
          <w:rFonts w:ascii="Times New Roman" w:hAnsi="Times New Roman" w:cs="Times New Roman"/>
          <w:sz w:val="24"/>
          <w:szCs w:val="24"/>
        </w:rPr>
        <w:t>s Attracting Crypto Miners with SurplusElectricity. Retrieved from: https://news.bitcoin.com/five-siberian-power-plants-attractingcryptocurrency-miners-surplus-electricity/</w:t>
      </w:r>
    </w:p>
    <w:p w14:paraId="44D99195"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Hopwood, D., Bowe, S., Hornby, T.&amp;Wilcox, N. (2018).Zcash protocol specification. W</w:t>
      </w:r>
      <w:r>
        <w:rPr>
          <w:rFonts w:ascii="Times New Roman" w:hAnsi="Times New Roman" w:cs="Times New Roman"/>
          <w:sz w:val="24"/>
          <w:szCs w:val="24"/>
        </w:rPr>
        <w:t>hite Paper.</w:t>
      </w:r>
    </w:p>
    <w:p w14:paraId="69B2CFA7"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 xml:space="preserve">Ingves, S. (2018).Money and Payments - Where Are We Heading? Speechpresented at the Stockholm School of Economics, Stockholm.Retrieved from: </w:t>
      </w:r>
      <w:r>
        <w:rPr>
          <w:rFonts w:ascii="Times New Roman" w:hAnsi="Times New Roman" w:cs="Times New Roman"/>
          <w:sz w:val="24"/>
          <w:szCs w:val="24"/>
        </w:rPr>
        <w:t>https://www.bis.org/review/r180725e.htm.</w:t>
      </w:r>
    </w:p>
    <w:p w14:paraId="0BD5214C" w14:textId="77777777" w:rsidR="00B523ED" w:rsidRDefault="00B1179D">
      <w:pPr>
        <w:spacing w:after="200" w:line="276" w:lineRule="auto"/>
        <w:ind w:left="1134" w:hanging="560"/>
        <w:rPr>
          <w:rFonts w:ascii="Times New Roman" w:hAnsi="Times New Roman" w:cs="Times New Roman"/>
          <w:sz w:val="24"/>
          <w:szCs w:val="24"/>
        </w:rPr>
      </w:pPr>
      <w:r>
        <w:rPr>
          <w:rFonts w:ascii="Cambria" w:eastAsia="MS Mincho" w:hAnsi="Cambria"/>
        </w:rPr>
        <w:t>International Monetary Fund. (2017, April 21). Recent trends i</w:t>
      </w:r>
      <w:r>
        <w:rPr>
          <w:rFonts w:ascii="Cambria" w:eastAsia="MS Mincho" w:hAnsi="Cambria"/>
        </w:rPr>
        <w:t>n correspondent banking relationships: Further considerations. Policy paper. International Monetary Fund. https://www.imf.org/en/Publications/Policy-Papers/Issues/2017/04/21/recent-trends-in-correspondent-banking-relationships-further-considerations</w:t>
      </w:r>
    </w:p>
    <w:p w14:paraId="0A6B1C1B"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Liteco</w:t>
      </w:r>
      <w:r>
        <w:rPr>
          <w:rFonts w:ascii="Times New Roman" w:hAnsi="Times New Roman" w:cs="Times New Roman"/>
          <w:sz w:val="24"/>
          <w:szCs w:val="24"/>
        </w:rPr>
        <w:t xml:space="preserve">in (2019). Open-source P2P digital currency. Retrieved from: https://litecoin.org. </w:t>
      </w:r>
    </w:p>
    <w:p w14:paraId="4A21F3D3"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McCune, E. (2014). There is no such thing as an international wire. Glenbrook. Retrieved from: https://pv.glenbrook.com/there-is-no-such-thing-as-an-international-wire/.</w:t>
      </w:r>
    </w:p>
    <w:p w14:paraId="1393D274"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Mc</w:t>
      </w:r>
      <w:r>
        <w:rPr>
          <w:rFonts w:ascii="Times New Roman" w:hAnsi="Times New Roman" w:cs="Times New Roman"/>
          <w:sz w:val="24"/>
          <w:szCs w:val="24"/>
        </w:rPr>
        <w:t>Kinsey &amp; Company (2017). Global Payments 2017: Amid Rapid Change, anUpward Trajectory. Global Banking Practice. Retrieved from: https://www.mckinsey.com/industries/financial-services/our-insights/globalpayments-2017-amid-rapid-change-an-upward-trajectory.</w:t>
      </w:r>
    </w:p>
    <w:p w14:paraId="28FD55BA"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Money Mover, and Accourt (2016). The Hidden Cost of Moving MoneyInternationally. Retrieved from: https://www.moneymover.com/bank-charges/.</w:t>
      </w:r>
    </w:p>
    <w:p w14:paraId="19CE9325"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Motamed, A.P.&amp;Bahrak, B. (2019). Quantitative analysis of </w:t>
      </w:r>
      <w:r>
        <w:rPr>
          <w:rFonts w:ascii="Times New Roman" w:hAnsi="Times New Roman" w:cs="Times New Roman"/>
          <w:sz w:val="24"/>
          <w:szCs w:val="24"/>
        </w:rPr>
        <w:lastRenderedPageBreak/>
        <w:t xml:space="preserve">cryptocurrencies transaction graph. </w:t>
      </w:r>
      <w:r>
        <w:rPr>
          <w:rFonts w:ascii="Times New Roman" w:hAnsi="Times New Roman" w:cs="Times New Roman"/>
          <w:i/>
          <w:iCs/>
          <w:sz w:val="24"/>
          <w:szCs w:val="24"/>
        </w:rPr>
        <w:t>Appl Netw Sci.</w:t>
      </w:r>
      <w:r>
        <w:rPr>
          <w:rFonts w:ascii="Times New Roman" w:hAnsi="Times New Roman" w:cs="Times New Roman"/>
          <w:sz w:val="24"/>
          <w:szCs w:val="24"/>
        </w:rPr>
        <w:t>, 4, 131.</w:t>
      </w:r>
    </w:p>
    <w:p w14:paraId="24EFAC5D"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Mougayar, W. (2016). The Business Blockchain: Promise, Practice, and Application of the Next Internet Technology. Wiley.</w:t>
      </w:r>
    </w:p>
    <w:p w14:paraId="19B42EEC"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Narasimhan, S. (2019). Cyber-Attacks on Banks through SWIFT System: Analysis and Measures. </w:t>
      </w:r>
      <w:r>
        <w:rPr>
          <w:rFonts w:ascii="Times New Roman" w:hAnsi="Times New Roman" w:cs="Times New Roman"/>
          <w:i/>
          <w:iCs/>
          <w:sz w:val="24"/>
          <w:szCs w:val="24"/>
        </w:rPr>
        <w:t>Indian Journal of Science and Technology</w:t>
      </w:r>
      <w:r>
        <w:rPr>
          <w:rFonts w:ascii="Times New Roman" w:hAnsi="Times New Roman" w:cs="Times New Roman"/>
          <w:sz w:val="24"/>
          <w:szCs w:val="24"/>
        </w:rPr>
        <w:t xml:space="preserve">, </w:t>
      </w:r>
      <w:r>
        <w:rPr>
          <w:rFonts w:ascii="Times New Roman" w:hAnsi="Times New Roman" w:cs="Times New Roman"/>
          <w:sz w:val="24"/>
          <w:szCs w:val="24"/>
        </w:rPr>
        <w:t>12(17), 142-159</w:t>
      </w:r>
    </w:p>
    <w:p w14:paraId="3078E3FC"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National Bank of Belgium (2017). Financial Market Infrastructures and PaymentServices Report 2017. National Bank of Belgium. Retrieved from: https://www.nbb.be/en/articles/financial-market-infrastructures-and-paymentservices-report-2017-0.</w:t>
      </w:r>
    </w:p>
    <w:p w14:paraId="28CF02A1" w14:textId="77777777" w:rsidR="00B523ED" w:rsidRDefault="00B1179D">
      <w:pPr>
        <w:spacing w:after="200"/>
        <w:ind w:left="720" w:hanging="720"/>
        <w:jc w:val="both"/>
        <w:rPr>
          <w:rFonts w:ascii="Times New Roman" w:hAnsi="Times New Roman" w:cs="Times New Roman"/>
          <w:sz w:val="24"/>
          <w:szCs w:val="24"/>
        </w:rPr>
      </w:pPr>
      <w:r>
        <w:rPr>
          <w:rFonts w:ascii="Times New Roman" w:hAnsi="Times New Roman" w:cs="Times New Roman"/>
          <w:sz w:val="24"/>
          <w:szCs w:val="24"/>
        </w:rPr>
        <w:t>Norman, B., Shaw, R. and Speight, G.(2011). The History of InterbankSettlement Arrangements: Exploring Central Banks’ Role in the PaymentSystem. Working Paper 412. Bank of England Working Paper. Bank ofEngland. Retrieved from: https://www.ecb.europa.eu/hom</w:t>
      </w:r>
      <w:r>
        <w:rPr>
          <w:rFonts w:ascii="Times New Roman" w:hAnsi="Times New Roman" w:cs="Times New Roman"/>
          <w:sz w:val="24"/>
          <w:szCs w:val="24"/>
        </w:rPr>
        <w:t>e/pdf/research/Working_Paper_412.pdf</w:t>
      </w:r>
    </w:p>
    <w:p w14:paraId="28A4AA4A" w14:textId="77777777" w:rsidR="00B523ED" w:rsidRDefault="00B1179D">
      <w:pPr>
        <w:spacing w:after="200" w:line="276" w:lineRule="auto"/>
        <w:ind w:left="1134" w:hanging="560"/>
        <w:rPr>
          <w:rFonts w:ascii="Times New Roman" w:hAnsi="Times New Roman" w:cs="Times New Roman"/>
          <w:sz w:val="24"/>
          <w:szCs w:val="24"/>
        </w:rPr>
      </w:pPr>
      <w:r>
        <w:rPr>
          <w:rFonts w:ascii="Cambria" w:eastAsia="MS Mincho" w:hAnsi="Cambria"/>
        </w:rPr>
        <w:t>Sifat, I. (2021). On cryptocurrencies as an independent asset class: Long-horizon and COVID-19 pandemic era decoupling from global sentiments. Finance Research Letters, 43, 102013. https://doi.org/10.1016/j.frl.2021.102</w:t>
      </w:r>
      <w:r>
        <w:rPr>
          <w:rFonts w:ascii="Cambria" w:eastAsia="MS Mincho" w:hAnsi="Cambria"/>
        </w:rPr>
        <w:t>013</w:t>
      </w:r>
    </w:p>
    <w:p w14:paraId="50259D84" w14:textId="77777777" w:rsidR="00B523ED" w:rsidRDefault="00B523ED">
      <w:pPr>
        <w:spacing w:after="200"/>
        <w:ind w:left="720" w:hanging="720"/>
        <w:jc w:val="both"/>
        <w:rPr>
          <w:rFonts w:ascii="Times New Roman" w:hAnsi="Times New Roman" w:cs="Times New Roman"/>
          <w:sz w:val="24"/>
          <w:szCs w:val="24"/>
        </w:rPr>
      </w:pPr>
    </w:p>
    <w:p w14:paraId="4E18B97A" w14:textId="77777777" w:rsidR="00B523ED" w:rsidRDefault="00B523ED">
      <w:pPr>
        <w:spacing w:after="200"/>
        <w:ind w:left="720" w:hanging="720"/>
        <w:jc w:val="both"/>
        <w:rPr>
          <w:rFonts w:ascii="Times New Roman" w:hAnsi="Times New Roman" w:cs="Times New Roman"/>
          <w:sz w:val="24"/>
          <w:szCs w:val="24"/>
        </w:rPr>
      </w:pPr>
    </w:p>
    <w:p w14:paraId="25906612"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Sufian Hameed, S. F. (2016). The Art of Crypto Currencies. </w:t>
      </w:r>
      <w:r>
        <w:rPr>
          <w:rFonts w:ascii="Times New Roman" w:hAnsi="Times New Roman" w:cs="Times New Roman"/>
          <w:i/>
          <w:iCs/>
          <w:sz w:val="24"/>
          <w:szCs w:val="24"/>
        </w:rPr>
        <w:t>(IJACSA) International Journal of Advanced Computer Science and Applications</w:t>
      </w:r>
      <w:r>
        <w:rPr>
          <w:rFonts w:ascii="Times New Roman" w:hAnsi="Times New Roman" w:cs="Times New Roman"/>
          <w:sz w:val="24"/>
          <w:szCs w:val="24"/>
        </w:rPr>
        <w:t>, 10(2).</w:t>
      </w:r>
    </w:p>
    <w:p w14:paraId="2FA897D5"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 - Society for Worldwide Interbank Financial Telecommunication. Retrieved from: https:/</w:t>
      </w:r>
      <w:r>
        <w:rPr>
          <w:rFonts w:ascii="Times New Roman" w:hAnsi="Times New Roman" w:cs="Times New Roman"/>
          <w:sz w:val="24"/>
          <w:szCs w:val="24"/>
        </w:rPr>
        <w:t>/www.swift.com/</w:t>
      </w:r>
    </w:p>
    <w:p w14:paraId="71D5914E"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(2022). SWIFT Explained: What Is It and How Does It Work? (Investopedia) - Retrieved from: https://www.investopedia.com/swift-explained-4582035</w:t>
      </w:r>
    </w:p>
    <w:p w14:paraId="29344FC1"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SWIFT. (2016). SWIFT: The Global Financial Messaging Provider. SWIFT.https://www.swift.com</w:t>
      </w:r>
      <w:r>
        <w:rPr>
          <w:rFonts w:ascii="Times New Roman" w:hAnsi="Times New Roman" w:cs="Times New Roman"/>
          <w:sz w:val="24"/>
          <w:szCs w:val="24"/>
        </w:rPr>
        <w:t>/sites/default/files/resources/swift_corporate_brochure.pdf.</w:t>
      </w:r>
    </w:p>
    <w:p w14:paraId="56E460AD"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SWIFT. (2018). Annex to the Annual Review 2017: Consolidated FinancialStatements. SWIFT. https://www.swift.com/about-us/financials</w:t>
      </w:r>
    </w:p>
    <w:p w14:paraId="125DA438" w14:textId="77777777" w:rsidR="00B523ED" w:rsidRDefault="00B1179D">
      <w:pPr>
        <w:spacing w:after="200" w:line="276" w:lineRule="auto"/>
        <w:ind w:left="1134" w:hanging="560"/>
        <w:rPr>
          <w:rFonts w:ascii="Times New Roman" w:hAnsi="Times New Roman" w:cs="Times New Roman"/>
          <w:sz w:val="24"/>
          <w:szCs w:val="24"/>
        </w:rPr>
      </w:pPr>
      <w:r>
        <w:rPr>
          <w:rFonts w:ascii="Cambria" w:eastAsia="MS Mincho" w:hAnsi="Cambria"/>
        </w:rPr>
        <w:t>SWIFT. (2021). Protecting the integrity of the SWIFT network. SW</w:t>
      </w:r>
      <w:r>
        <w:rPr>
          <w:rFonts w:ascii="Cambria" w:eastAsia="MS Mincho" w:hAnsi="Cambria"/>
        </w:rPr>
        <w:t>IFT. https://www.swift.com/about-us/who-we-are/swift-security</w:t>
      </w:r>
    </w:p>
    <w:p w14:paraId="2D71A3E1" w14:textId="77777777" w:rsidR="00B523ED" w:rsidRDefault="00B523ED">
      <w:pPr>
        <w:spacing w:after="200" w:line="240" w:lineRule="auto"/>
        <w:ind w:left="720" w:hanging="720"/>
        <w:jc w:val="both"/>
        <w:rPr>
          <w:rFonts w:ascii="Times New Roman" w:hAnsi="Times New Roman" w:cs="Times New Roman"/>
          <w:sz w:val="24"/>
          <w:szCs w:val="24"/>
        </w:rPr>
      </w:pPr>
    </w:p>
    <w:p w14:paraId="7BA8B6AB"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 Business Intelligence. Retrieved from https://www.swift.com/insights/industry-topics/swift-business-intelligence</w:t>
      </w:r>
    </w:p>
    <w:p w14:paraId="1274A659"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 for compliance. SWIFT. https://www.swi</w:t>
      </w:r>
      <w:r>
        <w:rPr>
          <w:rFonts w:ascii="Times New Roman" w:hAnsi="Times New Roman" w:cs="Times New Roman"/>
          <w:sz w:val="24"/>
          <w:szCs w:val="24"/>
        </w:rPr>
        <w:t>ft.com/insights/industry-topics/swift-for-compliance</w:t>
      </w:r>
    </w:p>
    <w:p w14:paraId="201E7149" w14:textId="77777777" w:rsidR="00B523ED" w:rsidRDefault="00B523ED">
      <w:pPr>
        <w:spacing w:after="200" w:line="240" w:lineRule="auto"/>
        <w:ind w:left="720" w:hanging="720"/>
        <w:jc w:val="both"/>
        <w:rPr>
          <w:rFonts w:ascii="Times New Roman" w:hAnsi="Times New Roman" w:cs="Times New Roman"/>
          <w:sz w:val="24"/>
          <w:szCs w:val="24"/>
        </w:rPr>
      </w:pPr>
    </w:p>
    <w:p w14:paraId="4AECC5E6"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SWIFT. (2021). SWIFT for Corporates: Mitigating Counterparty Risk. Retrieved from https://www.swift.com/insights/industry-topics/swift-corporates-mitigating-counterparty-risk</w:t>
      </w:r>
    </w:p>
    <w:p w14:paraId="7870F439" w14:textId="77777777" w:rsidR="00B523ED" w:rsidRDefault="00B1179D">
      <w:pPr>
        <w:spacing w:after="200" w:line="276" w:lineRule="auto"/>
        <w:ind w:left="1134" w:hanging="560"/>
        <w:rPr>
          <w:rFonts w:ascii="Times New Roman" w:hAnsi="Times New Roman" w:cs="Times New Roman"/>
          <w:sz w:val="24"/>
          <w:szCs w:val="24"/>
        </w:rPr>
      </w:pPr>
      <w:r>
        <w:rPr>
          <w:rFonts w:ascii="Cambria" w:eastAsia="MS Mincho" w:hAnsi="Cambria"/>
        </w:rPr>
        <w:t xml:space="preserve">SWIFT. (2021). SWIFT </w:t>
      </w:r>
      <w:r>
        <w:rPr>
          <w:rFonts w:ascii="Cambria" w:eastAsia="MS Mincho" w:hAnsi="Cambria"/>
        </w:rPr>
        <w:t>infrastructure. SWIFT. https://www.swift.com/about-us/who-we-are/swift-infrastructure</w:t>
      </w:r>
    </w:p>
    <w:p w14:paraId="20562F96" w14:textId="77777777" w:rsidR="00B523ED" w:rsidRDefault="00B523ED">
      <w:pPr>
        <w:spacing w:after="200" w:line="240" w:lineRule="auto"/>
        <w:ind w:left="720" w:hanging="720"/>
        <w:jc w:val="both"/>
        <w:rPr>
          <w:rFonts w:ascii="Times New Roman" w:hAnsi="Times New Roman" w:cs="Times New Roman"/>
          <w:sz w:val="24"/>
          <w:szCs w:val="24"/>
        </w:rPr>
      </w:pPr>
    </w:p>
    <w:p w14:paraId="256C5128"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 Standards. Retrieved from https://www.swift.com/standards</w:t>
      </w:r>
    </w:p>
    <w:p w14:paraId="47721FD5"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SWIFT's Approach to Compliance. Retrieved from https://www.swift.com/about-</w:t>
      </w:r>
      <w:r>
        <w:rPr>
          <w:rFonts w:ascii="Times New Roman" w:hAnsi="Times New Roman" w:cs="Times New Roman"/>
          <w:sz w:val="24"/>
          <w:szCs w:val="24"/>
        </w:rPr>
        <w:t>us/who-we-are/swift-compliance</w:t>
      </w:r>
    </w:p>
    <w:p w14:paraId="003BFFFB"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SWIFT. (2021). SWIFT's Approach to Data Privacy. Retrieved from https://www.swift.com/about-us/who-we-are/swift-privacy</w:t>
      </w:r>
    </w:p>
    <w:p w14:paraId="18D7EC3F" w14:textId="77777777" w:rsidR="00B523ED" w:rsidRDefault="00B1179D">
      <w:pPr>
        <w:spacing w:after="200" w:line="276" w:lineRule="auto"/>
        <w:ind w:left="1134" w:hanging="560"/>
        <w:rPr>
          <w:rFonts w:ascii="Times New Roman" w:hAnsi="Times New Roman" w:cs="Times New Roman"/>
          <w:sz w:val="24"/>
          <w:szCs w:val="24"/>
        </w:rPr>
      </w:pPr>
      <w:r>
        <w:rPr>
          <w:rFonts w:ascii="Cambria" w:eastAsia="MS Mincho" w:hAnsi="Cambria"/>
        </w:rPr>
        <w:t>SWIFT. (2023). About SWIFT. SWIFT. https://www.swift.com/about-us</w:t>
      </w:r>
    </w:p>
    <w:p w14:paraId="2E8ED8DF" w14:textId="77777777" w:rsidR="00B523ED" w:rsidRDefault="00B523ED">
      <w:pPr>
        <w:spacing w:after="200" w:line="240" w:lineRule="auto"/>
        <w:ind w:left="720" w:hanging="720"/>
        <w:jc w:val="both"/>
        <w:rPr>
          <w:rFonts w:ascii="Times New Roman" w:hAnsi="Times New Roman" w:cs="Times New Roman"/>
          <w:sz w:val="24"/>
          <w:szCs w:val="24"/>
        </w:rPr>
      </w:pPr>
    </w:p>
    <w:p w14:paraId="3922BCC2" w14:textId="77777777" w:rsidR="00B523ED" w:rsidRPr="00CF42EF" w:rsidRDefault="00B1179D">
      <w:pPr>
        <w:spacing w:after="200" w:line="276" w:lineRule="auto"/>
        <w:ind w:left="1134" w:hanging="560"/>
        <w:rPr>
          <w:rFonts w:ascii="Times New Roman" w:hAnsi="Times New Roman" w:cs="Times New Roman"/>
          <w:sz w:val="24"/>
          <w:szCs w:val="24"/>
          <w:lang w:val="nl-BE"/>
        </w:rPr>
      </w:pPr>
      <w:r>
        <w:rPr>
          <w:rFonts w:ascii="Cambria" w:eastAsia="MS Mincho" w:hAnsi="Cambria"/>
        </w:rPr>
        <w:t xml:space="preserve">Taylor, M. (2015, March). Cryptocurrency: Has its time come? </w:t>
      </w:r>
      <w:r w:rsidRPr="00CF42EF">
        <w:rPr>
          <w:rFonts w:ascii="Cambria" w:eastAsia="MS Mincho" w:hAnsi="Cambria"/>
          <w:lang w:val="nl-BE"/>
        </w:rPr>
        <w:t>Capgemini. https://www.capgemini.com/wp-content/uploads/cryptocurrency-has_its_time_come.pdf</w:t>
      </w:r>
    </w:p>
    <w:p w14:paraId="04B0310D" w14:textId="77777777" w:rsidR="00B523ED" w:rsidRDefault="00B1179D">
      <w:pPr>
        <w:spacing w:after="200"/>
        <w:ind w:left="720" w:hanging="720"/>
        <w:rPr>
          <w:rFonts w:ascii="Times New Roman" w:hAnsi="Times New Roman" w:cs="Times New Roman"/>
          <w:sz w:val="24"/>
          <w:szCs w:val="24"/>
        </w:rPr>
      </w:pPr>
      <w:r>
        <w:rPr>
          <w:rFonts w:ascii="Cambria" w:eastAsia="MS Mincho" w:hAnsi="Cambria"/>
        </w:rPr>
        <w:t>Trozze, A. (2022). Cryptocurrencies and future financial crime: A scoping review. Crime Science, 11, 1</w:t>
      </w:r>
      <w:r>
        <w:rPr>
          <w:rFonts w:ascii="Cambria" w:eastAsia="MS Mincho" w:hAnsi="Cambria"/>
        </w:rPr>
        <w:t>–19. https://doi.org/10.1186/s40163-021-00163-8</w:t>
      </w:r>
    </w:p>
    <w:p w14:paraId="765679A4"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Villeroy de Galhau, F. (2018). Europe in a Disruptive World. Speechpresented at the Paris Europlace International Financial Forum, Paris. Retrieved from: https://www.bis.org/review/r180724h.htm.</w:t>
      </w:r>
    </w:p>
    <w:p w14:paraId="6E857213"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Wandhöfer, R.</w:t>
      </w:r>
      <w:r>
        <w:rPr>
          <w:rFonts w:ascii="Times New Roman" w:hAnsi="Times New Roman" w:cs="Times New Roman"/>
          <w:sz w:val="24"/>
          <w:szCs w:val="24"/>
        </w:rPr>
        <w:t xml:space="preserve"> and Casu, B. (2018). The Future of Correspondent BankingCross-Border Payments. 2017–001. SWIFT Institute Working Paper. SWIFTInstitute. Retrieved from:  https://swiftinstitute.org/research/the-future-of-correspondentbanking/?dm_i=47RJ,DW4K,2UJEB5,1K9DS,1.</w:t>
      </w:r>
    </w:p>
    <w:p w14:paraId="10763984"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World Bank Group, Van Der Does De Willebois, Emile J. M, Ricardo David Valencia,Ana Maria Aviles, Karol Karpinski, Sameer Goyal, et al. (2018). The Decline inAccess to Correspondent Banking Services in Emerging Markets: Trends,Impacts, and Solutions - Les</w:t>
      </w:r>
      <w:r>
        <w:rPr>
          <w:rFonts w:ascii="Times New Roman" w:hAnsi="Times New Roman" w:cs="Times New Roman"/>
          <w:sz w:val="24"/>
          <w:szCs w:val="24"/>
        </w:rPr>
        <w:t>sons Learned from Eight Country Case Studies.Working Paper 125422. Washington, DC: The World Bank. Retrieved from: https://openknowledge.worldbank.org/handle/10986/29778.</w:t>
      </w:r>
    </w:p>
    <w:p w14:paraId="2289451C" w14:textId="77777777" w:rsidR="00B523ED" w:rsidRDefault="00B1179D">
      <w:pPr>
        <w:spacing w:after="20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Yermack, D. (2018). Is Bitcoin a real currency? An economic appraisal. </w:t>
      </w:r>
      <w:r>
        <w:rPr>
          <w:rFonts w:ascii="Times New Roman" w:hAnsi="Times New Roman" w:cs="Times New Roman"/>
          <w:i/>
          <w:iCs/>
          <w:sz w:val="24"/>
          <w:szCs w:val="24"/>
        </w:rPr>
        <w:t>Brookings Pape</w:t>
      </w:r>
      <w:r>
        <w:rPr>
          <w:rFonts w:ascii="Times New Roman" w:hAnsi="Times New Roman" w:cs="Times New Roman"/>
          <w:i/>
          <w:iCs/>
          <w:sz w:val="24"/>
          <w:szCs w:val="24"/>
        </w:rPr>
        <w:t>rs on Economic Activity</w:t>
      </w:r>
      <w:r>
        <w:rPr>
          <w:rFonts w:ascii="Times New Roman" w:hAnsi="Times New Roman" w:cs="Times New Roman"/>
          <w:sz w:val="24"/>
          <w:szCs w:val="24"/>
        </w:rPr>
        <w:t>, 2018(1), 457-502.</w:t>
      </w:r>
    </w:p>
    <w:p w14:paraId="072D19F1" w14:textId="77777777" w:rsidR="00B523ED" w:rsidRDefault="00B1179D">
      <w:pPr>
        <w:spacing w:after="200"/>
        <w:ind w:left="720" w:hanging="720"/>
        <w:rPr>
          <w:rFonts w:ascii="Times New Roman" w:hAnsi="Times New Roman" w:cs="Times New Roman"/>
          <w:sz w:val="24"/>
          <w:szCs w:val="24"/>
        </w:rPr>
      </w:pPr>
      <w:r>
        <w:rPr>
          <w:rFonts w:ascii="Times New Roman" w:hAnsi="Times New Roman" w:cs="Times New Roman"/>
          <w:sz w:val="24"/>
          <w:szCs w:val="24"/>
        </w:rPr>
        <w:t>Zschieschang, K. (2018). KYC – Why Not Come Together? Know Your Customer.The Banker, July, 115–116.</w:t>
      </w:r>
    </w:p>
    <w:p w14:paraId="6848F310" w14:textId="77777777" w:rsidR="00B523ED" w:rsidRDefault="00B523ED">
      <w:pPr>
        <w:spacing w:after="200"/>
        <w:rPr>
          <w:rFonts w:ascii="Times New Roman" w:hAnsi="Times New Roman" w:cs="Times New Roman"/>
          <w:sz w:val="24"/>
          <w:szCs w:val="24"/>
        </w:rPr>
        <w:sectPr w:rsidR="00B523ED">
          <w:type w:val="continuous"/>
          <w:pgSz w:w="12240" w:h="15840"/>
          <w:pgMar w:top="1440" w:right="1440" w:bottom="1440" w:left="1440" w:header="720" w:footer="720" w:gutter="0"/>
          <w:cols w:num="2" w:space="720"/>
          <w:docGrid w:linePitch="360"/>
        </w:sectPr>
      </w:pPr>
    </w:p>
    <w:p w14:paraId="51A195B6" w14:textId="77777777" w:rsidR="00B523ED" w:rsidRDefault="00B523ED">
      <w:pPr>
        <w:spacing w:after="200"/>
        <w:rPr>
          <w:rFonts w:ascii="Times New Roman" w:hAnsi="Times New Roman" w:cs="Times New Roman"/>
          <w:sz w:val="24"/>
          <w:szCs w:val="24"/>
        </w:rPr>
      </w:pPr>
    </w:p>
    <w:p w14:paraId="3EF94C58" w14:textId="77777777" w:rsidR="00B523ED" w:rsidRDefault="00B523ED">
      <w:pPr>
        <w:spacing w:after="200"/>
        <w:rPr>
          <w:rFonts w:ascii="Times New Roman" w:hAnsi="Times New Roman" w:cs="Times New Roman"/>
          <w:sz w:val="24"/>
          <w:szCs w:val="24"/>
        </w:rPr>
      </w:pPr>
    </w:p>
    <w:p w14:paraId="7CF2B504" w14:textId="77777777" w:rsidR="00B523ED" w:rsidRDefault="00B523ED">
      <w:pPr>
        <w:spacing w:after="200"/>
        <w:rPr>
          <w:rFonts w:ascii="Times New Roman" w:hAnsi="Times New Roman" w:cs="Times New Roman"/>
          <w:sz w:val="24"/>
          <w:szCs w:val="24"/>
        </w:rPr>
      </w:pPr>
    </w:p>
    <w:p w14:paraId="06174D9F" w14:textId="77777777" w:rsidR="00B523ED" w:rsidRDefault="00B523ED">
      <w:pPr>
        <w:spacing w:after="200"/>
        <w:rPr>
          <w:rFonts w:ascii="Times New Roman" w:hAnsi="Times New Roman" w:cs="Times New Roman"/>
          <w:sz w:val="24"/>
          <w:szCs w:val="24"/>
        </w:rPr>
      </w:pPr>
    </w:p>
    <w:p w14:paraId="47098748" w14:textId="77777777" w:rsidR="00B523ED" w:rsidRDefault="00B523ED">
      <w:pPr>
        <w:spacing w:after="200"/>
        <w:rPr>
          <w:rFonts w:ascii="Times New Roman" w:hAnsi="Times New Roman" w:cs="Times New Roman"/>
          <w:sz w:val="24"/>
          <w:szCs w:val="24"/>
        </w:rPr>
      </w:pPr>
    </w:p>
    <w:p w14:paraId="5397A9AD" w14:textId="77777777" w:rsidR="00B523ED" w:rsidRDefault="00B523ED">
      <w:pPr>
        <w:spacing w:after="200"/>
        <w:rPr>
          <w:rFonts w:ascii="Times New Roman" w:hAnsi="Times New Roman" w:cs="Times New Roman"/>
          <w:sz w:val="24"/>
          <w:szCs w:val="24"/>
        </w:rPr>
      </w:pPr>
    </w:p>
    <w:p w14:paraId="7C55277D" w14:textId="77777777" w:rsidR="00B523ED" w:rsidRDefault="00B523ED">
      <w:pPr>
        <w:spacing w:after="200"/>
        <w:rPr>
          <w:rFonts w:ascii="Times New Roman" w:hAnsi="Times New Roman" w:cs="Times New Roman"/>
          <w:sz w:val="24"/>
          <w:szCs w:val="24"/>
        </w:rPr>
      </w:pPr>
    </w:p>
    <w:sectPr w:rsidR="00B523E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01B75" w14:textId="77777777" w:rsidR="00B1179D" w:rsidRDefault="00B1179D">
      <w:pPr>
        <w:spacing w:after="0" w:line="240" w:lineRule="auto"/>
      </w:pPr>
      <w:r>
        <w:separator/>
      </w:r>
    </w:p>
  </w:endnote>
  <w:endnote w:type="continuationSeparator" w:id="0">
    <w:p w14:paraId="70D41B41" w14:textId="77777777" w:rsidR="00B1179D" w:rsidRDefault="00B1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00"/>
    <w:family w:val="roman"/>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29C44" w14:textId="77777777" w:rsidR="00B523ED" w:rsidRDefault="00B52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08A1F" w14:textId="77777777" w:rsidR="00B523ED" w:rsidRDefault="00B1179D">
    <w:pPr>
      <w:pStyle w:val="Footer"/>
      <w:jc w:val="center"/>
    </w:pPr>
    <w:r>
      <w:fldChar w:fldCharType="begin"/>
    </w:r>
    <w:r>
      <w:instrText xml:space="preserve"> PAGE   \* MERGEFORMAT </w:instrText>
    </w:r>
    <w:r>
      <w:fldChar w:fldCharType="separate"/>
    </w:r>
    <w:r>
      <w:rPr>
        <w:noProof/>
      </w:rPr>
      <w:t>14</w:t>
    </w:r>
    <w:r>
      <w:rPr>
        <w:noProof/>
      </w:rPr>
      <w:fldChar w:fldCharType="end"/>
    </w:r>
  </w:p>
  <w:p w14:paraId="312F780B" w14:textId="77777777" w:rsidR="00B523ED" w:rsidRDefault="00B52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EE274" w14:textId="77777777" w:rsidR="00B1179D" w:rsidRDefault="00B1179D">
      <w:pPr>
        <w:spacing w:after="0" w:line="240" w:lineRule="auto"/>
      </w:pPr>
      <w:r>
        <w:separator/>
      </w:r>
    </w:p>
  </w:footnote>
  <w:footnote w:type="continuationSeparator" w:id="0">
    <w:p w14:paraId="4A35C3D8" w14:textId="77777777" w:rsidR="00B1179D" w:rsidRDefault="00B11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CBCC4" w14:textId="77777777" w:rsidR="00B523ED" w:rsidRDefault="00B1179D">
    <w:pPr>
      <w:pStyle w:val="Header"/>
    </w:pPr>
    <w:r>
      <w:rPr>
        <w:noProof/>
      </w:rPr>
      <w:pict w14:anchorId="7F87F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6pt;height:104.1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2425" w14:textId="77777777" w:rsidR="00B523ED" w:rsidRDefault="00B1179D">
    <w:pPr>
      <w:pStyle w:val="Header"/>
    </w:pPr>
    <w:r>
      <w:rPr>
        <w:noProof/>
      </w:rPr>
      <w:pict w14:anchorId="1E786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6pt;height:104.1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59034" w14:textId="77777777" w:rsidR="00B523ED" w:rsidRDefault="00B1179D">
    <w:pPr>
      <w:pStyle w:val="Header"/>
    </w:pPr>
    <w:r>
      <w:rPr>
        <w:noProof/>
      </w:rPr>
      <w:pict w14:anchorId="0D47A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6pt;height:104.1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30CD2"/>
    <w:multiLevelType w:val="hybridMultilevel"/>
    <w:tmpl w:val="09DA3A9C"/>
    <w:lvl w:ilvl="0" w:tplc="978C77E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23ED"/>
    <w:rsid w:val="001014CE"/>
    <w:rsid w:val="009B75C5"/>
    <w:rsid w:val="00B1179D"/>
    <w:rsid w:val="00B523ED"/>
    <w:rsid w:val="00CF42EF"/>
    <w:rsid w:val="00D550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516500"/>
  <w15:docId w15:val="{28C1E25D-9121-4BB0-8B75-D6A2FFC4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keepNext/>
      <w:keepLines/>
      <w:widowControl w:val="0"/>
      <w:spacing w:before="480" w:after="0"/>
      <w:outlineLvl w:val="0"/>
    </w:pPr>
    <w:rPr>
      <w:rFonts w:ascii="Cambria" w:eastAsia="SimSun" w:hAnsi="Cambria" w:cs="Cambria"/>
      <w:b/>
      <w:color w:val="365F91"/>
      <w:sz w:val="28"/>
      <w:szCs w:val="28"/>
    </w:rPr>
  </w:style>
  <w:style w:type="paragraph" w:styleId="Heading2">
    <w:name w:val="heading 2"/>
    <w:basedOn w:val="Normal"/>
    <w:uiPriority w:val="9"/>
    <w:semiHidden/>
    <w:unhideWhenUsed/>
    <w:qFormat/>
    <w:pPr>
      <w:keepNext/>
      <w:keepLines/>
      <w:widowControl w:val="0"/>
      <w:spacing w:before="200" w:after="0"/>
      <w:outlineLvl w:val="1"/>
    </w:pPr>
    <w:rPr>
      <w:rFonts w:ascii="Cambria" w:eastAsia="SimSun" w:hAnsi="Cambria" w:cs="Cambria"/>
      <w:b/>
      <w:color w:val="4F81BD"/>
      <w:sz w:val="26"/>
      <w:szCs w:val="26"/>
    </w:rPr>
  </w:style>
  <w:style w:type="paragraph" w:styleId="Heading3">
    <w:name w:val="heading 3"/>
    <w:basedOn w:val="Normal"/>
    <w:uiPriority w:val="9"/>
    <w:semiHidden/>
    <w:unhideWhenUsed/>
    <w:qFormat/>
    <w:pPr>
      <w:keepNext/>
      <w:keepLines/>
      <w:widowControl w:val="0"/>
      <w:spacing w:before="200" w:after="0"/>
      <w:outlineLvl w:val="2"/>
    </w:pPr>
    <w:rPr>
      <w:rFonts w:ascii="Cambria" w:eastAsia="SimSun" w:hAnsi="Cambria" w:cs="Cambria"/>
      <w:b/>
      <w:color w:val="4F81BD"/>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Pr>
      <w:rFonts w:ascii="Times New Roman" w:eastAsia="SimSun" w:hAnsi="Times New Roman" w:cs="Times New Roman"/>
      <w:b/>
      <w:sz w:val="21"/>
    </w:rPr>
  </w:style>
  <w:style w:type="character" w:customStyle="1" w:styleId="UnresolvedMention2">
    <w:name w:val="Unresolved Mention2"/>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A9EBC-74AA-4E4F-8D37-EBF1F0D7B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Pages>
  <Words>8652</Words>
  <Characters>49317</Characters>
  <Application>Microsoft Office Word</Application>
  <DocSecurity>0</DocSecurity>
  <Lines>410</Lines>
  <Paragraphs>115</Paragraphs>
  <ScaleCrop>false</ScaleCrop>
  <Company/>
  <LinksUpToDate>false</LinksUpToDate>
  <CharactersWithSpaces>57854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ures</dc:creator>
  <cp:lastModifiedBy>SDI PC New 16</cp:lastModifiedBy>
  <cp:revision>695</cp:revision>
  <dcterms:created xsi:type="dcterms:W3CDTF">2023-09-20T17:09:00Z</dcterms:created>
  <dcterms:modified xsi:type="dcterms:W3CDTF">2025-09-26T08:40:00Z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e7d26b1ecdd24adbadd578eb9b0085e3</vt:lpwstr>
  </property>
</Properties>
</file>