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A2FCE" w14:textId="084CF779" w:rsidR="00164E8A" w:rsidRPr="00C84D78" w:rsidRDefault="00A1297C" w:rsidP="00C84D78">
      <w:pPr>
        <w:jc w:val="center"/>
        <w:rPr>
          <w:rFonts w:ascii="Times New Roman" w:hAnsi="Times New Roman" w:cs="Times New Roman"/>
        </w:rPr>
      </w:pPr>
      <w:r w:rsidRPr="00C84D78">
        <w:rPr>
          <w:rFonts w:ascii="Times New Roman" w:hAnsi="Times New Roman" w:cs="Times New Roman"/>
          <w:b/>
        </w:rPr>
        <w:t xml:space="preserve">Business Taxation </w:t>
      </w:r>
      <w:proofErr w:type="gramStart"/>
      <w:r w:rsidRPr="00C84D78">
        <w:rPr>
          <w:rFonts w:ascii="Times New Roman" w:hAnsi="Times New Roman" w:cs="Times New Roman"/>
          <w:b/>
        </w:rPr>
        <w:t>And</w:t>
      </w:r>
      <w:proofErr w:type="gramEnd"/>
      <w:r w:rsidRPr="00C84D78">
        <w:rPr>
          <w:rFonts w:ascii="Times New Roman" w:hAnsi="Times New Roman" w:cs="Times New Roman"/>
          <w:b/>
        </w:rPr>
        <w:t xml:space="preserve"> Profitability Of Agrochemical Dealer</w:t>
      </w:r>
      <w:r>
        <w:rPr>
          <w:rFonts w:ascii="Times New Roman" w:hAnsi="Times New Roman" w:cs="Times New Roman"/>
          <w:b/>
        </w:rPr>
        <w:t>s In Nairobi City County, Kenya</w:t>
      </w:r>
    </w:p>
    <w:p w14:paraId="1C88E082" w14:textId="77777777" w:rsidR="00164E8A" w:rsidRDefault="00164E8A" w:rsidP="00164E8A">
      <w:pPr>
        <w:widowControl w:val="0"/>
        <w:autoSpaceDE w:val="0"/>
        <w:autoSpaceDN w:val="0"/>
        <w:adjustRightInd w:val="0"/>
        <w:spacing w:before="3" w:after="0" w:line="110" w:lineRule="exact"/>
        <w:rPr>
          <w:rFonts w:ascii="Times New Roman" w:hAnsi="Times New Roman"/>
          <w:sz w:val="11"/>
          <w:szCs w:val="11"/>
        </w:rPr>
      </w:pPr>
    </w:p>
    <w:p w14:paraId="7BDD0BB0" w14:textId="77777777" w:rsidR="00586943" w:rsidRDefault="00586943" w:rsidP="00164E8A">
      <w:pPr>
        <w:widowControl w:val="0"/>
        <w:autoSpaceDE w:val="0"/>
        <w:autoSpaceDN w:val="0"/>
        <w:adjustRightInd w:val="0"/>
        <w:spacing w:after="0" w:line="276" w:lineRule="exact"/>
        <w:ind w:left="483" w:right="503"/>
        <w:jc w:val="center"/>
        <w:rPr>
          <w:rFonts w:ascii="Times New Roman" w:hAnsi="Times New Roman"/>
          <w:sz w:val="24"/>
          <w:szCs w:val="24"/>
        </w:rPr>
      </w:pPr>
    </w:p>
    <w:p w14:paraId="2CBF1285" w14:textId="5A0BD8C3" w:rsidR="00164E8A" w:rsidRDefault="00164E8A" w:rsidP="00164E8A">
      <w:pPr>
        <w:widowControl w:val="0"/>
        <w:autoSpaceDE w:val="0"/>
        <w:autoSpaceDN w:val="0"/>
        <w:adjustRightInd w:val="0"/>
        <w:spacing w:before="11" w:after="0" w:line="200" w:lineRule="exact"/>
        <w:rPr>
          <w:rFonts w:ascii="Times New Roman" w:hAnsi="Times New Roman"/>
          <w:sz w:val="20"/>
          <w:szCs w:val="20"/>
        </w:rPr>
      </w:pPr>
    </w:p>
    <w:p w14:paraId="39363828" w14:textId="18334E11" w:rsidR="00164E8A" w:rsidRDefault="00164E8A" w:rsidP="00164E8A">
      <w:pPr>
        <w:widowControl w:val="0"/>
        <w:autoSpaceDE w:val="0"/>
        <w:autoSpaceDN w:val="0"/>
        <w:adjustRightInd w:val="0"/>
        <w:spacing w:after="0" w:line="240" w:lineRule="auto"/>
        <w:ind w:left="4011" w:right="3852"/>
        <w:jc w:val="center"/>
        <w:rPr>
          <w:rFonts w:ascii="Times New Roman" w:hAnsi="Times New Roman"/>
          <w:sz w:val="24"/>
          <w:szCs w:val="24"/>
        </w:rPr>
      </w:pPr>
      <w:r>
        <w:rPr>
          <w:rFonts w:ascii="Times New Roman" w:hAnsi="Times New Roman"/>
          <w:b/>
          <w:bCs/>
          <w:sz w:val="24"/>
          <w:szCs w:val="24"/>
        </w:rPr>
        <w:t>AB</w:t>
      </w:r>
      <w:r>
        <w:rPr>
          <w:rFonts w:ascii="Times New Roman" w:hAnsi="Times New Roman"/>
          <w:b/>
          <w:bCs/>
          <w:spacing w:val="1"/>
          <w:sz w:val="24"/>
          <w:szCs w:val="24"/>
        </w:rPr>
        <w:t>S</w:t>
      </w:r>
      <w:r>
        <w:rPr>
          <w:rFonts w:ascii="Times New Roman" w:hAnsi="Times New Roman"/>
          <w:b/>
          <w:bCs/>
          <w:sz w:val="24"/>
          <w:szCs w:val="24"/>
        </w:rPr>
        <w:t>TR</w:t>
      </w:r>
      <w:r>
        <w:rPr>
          <w:rFonts w:ascii="Times New Roman" w:hAnsi="Times New Roman"/>
          <w:b/>
          <w:bCs/>
          <w:spacing w:val="-1"/>
          <w:sz w:val="24"/>
          <w:szCs w:val="24"/>
        </w:rPr>
        <w:t>A</w:t>
      </w:r>
      <w:r>
        <w:rPr>
          <w:rFonts w:ascii="Times New Roman" w:hAnsi="Times New Roman"/>
          <w:b/>
          <w:bCs/>
          <w:sz w:val="24"/>
          <w:szCs w:val="24"/>
        </w:rPr>
        <w:t>CT</w:t>
      </w:r>
    </w:p>
    <w:p w14:paraId="684DAAAE" w14:textId="0364DA86" w:rsidR="00430658" w:rsidRPr="00C84D78" w:rsidRDefault="00C84D78" w:rsidP="000E7BC3">
      <w:pPr>
        <w:spacing w:after="0" w:line="240" w:lineRule="auto"/>
        <w:jc w:val="both"/>
        <w:rPr>
          <w:rFonts w:ascii="Times New Roman" w:eastAsia="Times New Roman" w:hAnsi="Times New Roman" w:cs="Times New Roman"/>
          <w:i/>
          <w:sz w:val="24"/>
          <w:szCs w:val="24"/>
        </w:rPr>
      </w:pPr>
      <w:bookmarkStart w:id="0" w:name="_Toc231058606"/>
      <w:bookmarkStart w:id="1" w:name="_Toc231058710"/>
      <w:bookmarkStart w:id="2" w:name="_Toc231059635"/>
      <w:bookmarkStart w:id="3" w:name="_Toc231059845"/>
      <w:bookmarkStart w:id="4" w:name="_Toc231059996"/>
      <w:bookmarkStart w:id="5" w:name="_Toc231060121"/>
      <w:r w:rsidRPr="00C84D78">
        <w:rPr>
          <w:rFonts w:ascii="Times New Roman" w:hAnsi="Times New Roman" w:cs="Times New Roman"/>
          <w:i/>
          <w:sz w:val="24"/>
          <w:szCs w:val="24"/>
        </w:rPr>
        <w:t xml:space="preserve">The profitability of agrochemical dealers is essential for the sustainability of Kenya’s agricultural sector, a cornerstone of the national economy. However, between 2018 and 2025, leading agrochemical firms reported a decline in profit margins by approximately 8%. This study assessed the effect of business taxation on the profitability of agrochemical dealers in Nairobi City County, focusing on four tax categories: Value Added Tax (VAT), corporate tax, excise duty, and import levy. The study was guided by the theories of optimal taxation, the </w:t>
      </w:r>
      <w:proofErr w:type="spellStart"/>
      <w:r w:rsidRPr="00C84D78">
        <w:rPr>
          <w:rFonts w:ascii="Times New Roman" w:hAnsi="Times New Roman" w:cs="Times New Roman"/>
          <w:i/>
          <w:sz w:val="24"/>
          <w:szCs w:val="24"/>
        </w:rPr>
        <w:t>Laffer</w:t>
      </w:r>
      <w:proofErr w:type="spellEnd"/>
      <w:r w:rsidRPr="00C84D78">
        <w:rPr>
          <w:rFonts w:ascii="Times New Roman" w:hAnsi="Times New Roman" w:cs="Times New Roman"/>
          <w:i/>
          <w:sz w:val="24"/>
          <w:szCs w:val="24"/>
        </w:rPr>
        <w:t xml:space="preserve"> </w:t>
      </w:r>
      <w:proofErr w:type="gramStart"/>
      <w:r w:rsidRPr="00C84D78">
        <w:rPr>
          <w:rFonts w:ascii="Times New Roman" w:hAnsi="Times New Roman" w:cs="Times New Roman"/>
          <w:i/>
          <w:sz w:val="24"/>
          <w:szCs w:val="24"/>
        </w:rPr>
        <w:t>Curve</w:t>
      </w:r>
      <w:proofErr w:type="gramEnd"/>
      <w:r w:rsidRPr="00C84D78">
        <w:rPr>
          <w:rFonts w:ascii="Times New Roman" w:hAnsi="Times New Roman" w:cs="Times New Roman"/>
          <w:i/>
          <w:sz w:val="24"/>
          <w:szCs w:val="24"/>
        </w:rPr>
        <w:t xml:space="preserve">, and profit maximization. A causal (explanatory) research design was adopted, targeting 110 registered agrochemical dealers. Data were collected through structured questionnaires, following a pilot test and reliability checks. Quantitative analysis involved descriptive statistics and inferential methods, including correlation and multiple </w:t>
      </w:r>
      <w:proofErr w:type="gramStart"/>
      <w:r w:rsidRPr="00C84D78">
        <w:rPr>
          <w:rFonts w:ascii="Times New Roman" w:hAnsi="Times New Roman" w:cs="Times New Roman"/>
          <w:i/>
          <w:sz w:val="24"/>
          <w:szCs w:val="24"/>
        </w:rPr>
        <w:t>regression</w:t>
      </w:r>
      <w:proofErr w:type="gramEnd"/>
      <w:r w:rsidRPr="00C84D78">
        <w:rPr>
          <w:rFonts w:ascii="Times New Roman" w:hAnsi="Times New Roman" w:cs="Times New Roman"/>
          <w:i/>
          <w:sz w:val="24"/>
          <w:szCs w:val="24"/>
        </w:rPr>
        <w:t xml:space="preserve">. The results revealed that all tax types had a statistically significant negative impact on profitability, with VAT having the strongest effect (β = -0.483, p &lt; 0.001). The regression model explained 62.7% of the variance in profitability (R² = 0.627). The study concluded that high tax burdens significantly constrain profitability in the agrochemical sector. It recommends tax reforms such as graduated tax rates, VAT exemptions for essential inputs, and incentives for local manufacturing. Agrochemical dealers are also encouraged to adopt strategic pricing, local sourcing, and sound tax planning </w:t>
      </w:r>
      <w:proofErr w:type="gramStart"/>
      <w:r w:rsidRPr="00C84D78">
        <w:rPr>
          <w:rFonts w:ascii="Times New Roman" w:hAnsi="Times New Roman" w:cs="Times New Roman"/>
          <w:i/>
          <w:sz w:val="24"/>
          <w:szCs w:val="24"/>
        </w:rPr>
        <w:t>to</w:t>
      </w:r>
      <w:proofErr w:type="gramEnd"/>
      <w:r w:rsidRPr="00C84D78">
        <w:rPr>
          <w:rFonts w:ascii="Times New Roman" w:hAnsi="Times New Roman" w:cs="Times New Roman"/>
          <w:i/>
          <w:sz w:val="24"/>
          <w:szCs w:val="24"/>
        </w:rPr>
        <w:t xml:space="preserve"> enhance profitability.</w:t>
      </w:r>
    </w:p>
    <w:p w14:paraId="453C3BD6" w14:textId="77777777" w:rsidR="004856F5" w:rsidRDefault="004856F5" w:rsidP="004856F5">
      <w:pPr>
        <w:spacing w:line="240" w:lineRule="auto"/>
        <w:jc w:val="both"/>
        <w:rPr>
          <w:rFonts w:ascii="Times New Roman" w:hAnsi="Times New Roman" w:cs="Times New Roman"/>
          <w:i/>
          <w:sz w:val="24"/>
          <w:szCs w:val="24"/>
        </w:rPr>
      </w:pPr>
    </w:p>
    <w:p w14:paraId="1B440D65" w14:textId="07ABDA42" w:rsidR="005A3233" w:rsidRPr="00C342DE" w:rsidRDefault="003B75B0" w:rsidP="004856F5">
      <w:pPr>
        <w:spacing w:line="240" w:lineRule="auto"/>
        <w:jc w:val="both"/>
        <w:rPr>
          <w:rFonts w:ascii="Times New Roman" w:hAnsi="Times New Roman" w:cs="Times New Roman"/>
          <w:sz w:val="24"/>
          <w:szCs w:val="24"/>
        </w:rPr>
      </w:pPr>
      <w:r w:rsidRPr="00C342DE">
        <w:rPr>
          <w:rFonts w:ascii="Times New Roman" w:hAnsi="Times New Roman" w:cs="Times New Roman"/>
          <w:i/>
          <w:sz w:val="24"/>
          <w:szCs w:val="24"/>
        </w:rPr>
        <w:t xml:space="preserve">Key </w:t>
      </w:r>
      <w:r w:rsidR="00F44243" w:rsidRPr="00C342DE">
        <w:rPr>
          <w:rFonts w:ascii="Times New Roman" w:hAnsi="Times New Roman" w:cs="Times New Roman"/>
          <w:i/>
          <w:sz w:val="24"/>
          <w:szCs w:val="24"/>
        </w:rPr>
        <w:t>words:</w:t>
      </w:r>
      <w:r w:rsidR="00C84D78" w:rsidRPr="00C84D78">
        <w:t xml:space="preserve"> </w:t>
      </w:r>
      <w:r w:rsidR="00C84D78" w:rsidRPr="00C84D78">
        <w:rPr>
          <w:rFonts w:ascii="Times New Roman" w:hAnsi="Times New Roman" w:cs="Times New Roman"/>
          <w:i/>
          <w:sz w:val="24"/>
          <w:szCs w:val="24"/>
        </w:rPr>
        <w:t>Business Taxation, Profitability, Agrochemical Dealers, Value Added Tax (VAT), Corporate Tax, Excise Duty, Import Levy, Nairobi City County, Causal Research Design, Tax Policy Reform.</w:t>
      </w:r>
    </w:p>
    <w:p w14:paraId="1CC2AD97" w14:textId="30653D15" w:rsidR="003B75B0" w:rsidRPr="00C342DE" w:rsidRDefault="008051D5" w:rsidP="008051D5">
      <w:pPr>
        <w:pStyle w:val="Heading1"/>
        <w:spacing w:before="0" w:after="240"/>
        <w:rPr>
          <w:rFonts w:cs="Times New Roman"/>
          <w:i/>
          <w:iCs/>
          <w:color w:val="000000" w:themeColor="text1"/>
          <w:szCs w:val="24"/>
        </w:rPr>
      </w:pPr>
      <w:bookmarkStart w:id="6" w:name="_Toc231058609"/>
      <w:bookmarkStart w:id="7" w:name="_Toc231058713"/>
      <w:bookmarkStart w:id="8" w:name="_Toc231059638"/>
      <w:bookmarkStart w:id="9" w:name="_Toc231059848"/>
      <w:bookmarkStart w:id="10" w:name="_Toc231059999"/>
      <w:bookmarkStart w:id="11" w:name="_Toc231060124"/>
      <w:bookmarkStart w:id="12" w:name="_Toc233521147"/>
      <w:bookmarkStart w:id="13" w:name="_Toc233521468"/>
      <w:bookmarkStart w:id="14" w:name="_Toc233521538"/>
      <w:bookmarkStart w:id="15" w:name="_Toc233521614"/>
      <w:bookmarkStart w:id="16" w:name="_Toc233536571"/>
      <w:bookmarkStart w:id="17" w:name="_Toc233541506"/>
      <w:bookmarkStart w:id="18" w:name="_Toc233542982"/>
      <w:bookmarkStart w:id="19" w:name="_Toc84465430"/>
      <w:bookmarkStart w:id="20" w:name="_Toc84467319"/>
      <w:bookmarkStart w:id="21" w:name="_Toc241141553"/>
      <w:bookmarkStart w:id="22" w:name="_Toc92710709"/>
      <w:bookmarkStart w:id="23" w:name="_Toc92710848"/>
      <w:bookmarkStart w:id="24" w:name="_Toc92710942"/>
      <w:bookmarkStart w:id="25" w:name="_Toc92713594"/>
      <w:bookmarkStart w:id="26" w:name="_Toc92896934"/>
      <w:bookmarkStart w:id="27" w:name="_Toc98459687"/>
      <w:bookmarkStart w:id="28" w:name="_Toc98465876"/>
      <w:bookmarkStart w:id="29" w:name="_Toc252005425"/>
      <w:bookmarkStart w:id="30" w:name="_Toc252005653"/>
      <w:bookmarkEnd w:id="0"/>
      <w:bookmarkEnd w:id="1"/>
      <w:bookmarkEnd w:id="2"/>
      <w:bookmarkEnd w:id="3"/>
      <w:bookmarkEnd w:id="4"/>
      <w:bookmarkEnd w:id="5"/>
      <w:r w:rsidRPr="00C342DE">
        <w:rPr>
          <w:rFonts w:cs="Times New Roman"/>
          <w:color w:val="000000" w:themeColor="text1"/>
          <w:szCs w:val="24"/>
        </w:rPr>
        <w:t xml:space="preserve">1.0 </w:t>
      </w:r>
      <w:r w:rsidR="003B75B0" w:rsidRPr="00C342DE">
        <w:rPr>
          <w:rFonts w:cs="Times New Roman"/>
          <w:color w:val="000000" w:themeColor="text1"/>
          <w:szCs w:val="24"/>
        </w:rPr>
        <w:t>I</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003B75B0" w:rsidRPr="00C342DE">
        <w:rPr>
          <w:rFonts w:cs="Times New Roman"/>
          <w:color w:val="000000" w:themeColor="text1"/>
          <w:szCs w:val="24"/>
        </w:rPr>
        <w:t>ntroduction</w:t>
      </w:r>
    </w:p>
    <w:p w14:paraId="3FAE796C" w14:textId="0DFC296C"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The agrochemical industry is a vital contributor to global agricultural productivity and food security, with profitability closely linked to both macroeconomic conditions and industry-specific dynamics</w:t>
      </w:r>
      <w:r w:rsidR="000A5317">
        <w:rPr>
          <w:rFonts w:ascii="Times New Roman" w:eastAsia="Aptos" w:hAnsi="Times New Roman" w:cs="Times New Roman"/>
          <w:kern w:val="2"/>
          <w:sz w:val="24"/>
          <w:szCs w:val="24"/>
          <w14:ligatures w14:val="standardContextual"/>
        </w:rPr>
        <w:t xml:space="preserve"> </w:t>
      </w:r>
      <w:r w:rsidRPr="00491FAD">
        <w:rPr>
          <w:rFonts w:ascii="Times New Roman" w:eastAsia="Aptos" w:hAnsi="Times New Roman" w:cs="Times New Roman"/>
          <w:kern w:val="2"/>
          <w:sz w:val="24"/>
          <w:szCs w:val="24"/>
          <w14:ligatures w14:val="standardContextual"/>
        </w:rPr>
        <w:t xml:space="preserve">(Smith, 2024). Since the mid-20th century, the sector has experienced significant growth, largely due to the increasing need to enhance crop yields through the use of pesticides, herbicides, fungicides, and fertilizers (Phillips, 2019). However, profitability across the agrochemical industry has become increasingly volatile in recent decades due to shifts in market structures, regulation, and input costs (Samson, </w:t>
      </w:r>
      <w:proofErr w:type="spellStart"/>
      <w:r w:rsidRPr="00491FAD">
        <w:rPr>
          <w:rFonts w:ascii="Times New Roman" w:eastAsia="Aptos" w:hAnsi="Times New Roman" w:cs="Times New Roman"/>
          <w:kern w:val="2"/>
          <w:sz w:val="24"/>
          <w:szCs w:val="24"/>
          <w14:ligatures w14:val="standardContextual"/>
        </w:rPr>
        <w:t>Chege</w:t>
      </w:r>
      <w:proofErr w:type="spellEnd"/>
      <w:r w:rsidRPr="00491FAD">
        <w:rPr>
          <w:rFonts w:ascii="Times New Roman" w:eastAsia="Aptos" w:hAnsi="Times New Roman" w:cs="Times New Roman"/>
          <w:kern w:val="2"/>
          <w:sz w:val="24"/>
          <w:szCs w:val="24"/>
          <w14:ligatures w14:val="standardContextual"/>
        </w:rPr>
        <w:t xml:space="preserve"> and </w:t>
      </w:r>
      <w:proofErr w:type="spellStart"/>
      <w:r w:rsidRPr="00491FAD">
        <w:rPr>
          <w:rFonts w:ascii="Times New Roman" w:eastAsia="Aptos" w:hAnsi="Times New Roman" w:cs="Times New Roman"/>
          <w:kern w:val="2"/>
          <w:sz w:val="24"/>
          <w:szCs w:val="24"/>
          <w14:ligatures w14:val="standardContextual"/>
        </w:rPr>
        <w:t>Mwangi</w:t>
      </w:r>
      <w:proofErr w:type="spellEnd"/>
      <w:r w:rsidRPr="00491FAD">
        <w:rPr>
          <w:rFonts w:ascii="Times New Roman" w:eastAsia="Aptos" w:hAnsi="Times New Roman" w:cs="Times New Roman"/>
          <w:kern w:val="2"/>
          <w:sz w:val="24"/>
          <w:szCs w:val="24"/>
          <w14:ligatures w14:val="standardContextual"/>
        </w:rPr>
        <w:t>, 2024). Despite the essential role of agrochemicals in boosting agricultural output, firms in this sector face increasing pressure to balance profitability with environmental and health considerations (</w:t>
      </w:r>
      <w:proofErr w:type="spellStart"/>
      <w:r w:rsidRPr="00491FAD">
        <w:rPr>
          <w:rFonts w:ascii="Times New Roman" w:eastAsia="Aptos" w:hAnsi="Times New Roman" w:cs="Times New Roman"/>
          <w:kern w:val="2"/>
          <w:sz w:val="24"/>
          <w:szCs w:val="24"/>
          <w14:ligatures w14:val="standardContextual"/>
        </w:rPr>
        <w:t>Muriithi</w:t>
      </w:r>
      <w:proofErr w:type="spellEnd"/>
      <w:r w:rsidRPr="00491FAD">
        <w:rPr>
          <w:rFonts w:ascii="Times New Roman" w:eastAsia="Aptos" w:hAnsi="Times New Roman" w:cs="Times New Roman"/>
          <w:kern w:val="2"/>
          <w:sz w:val="24"/>
          <w:szCs w:val="24"/>
          <w14:ligatures w14:val="standardContextual"/>
        </w:rPr>
        <w:t xml:space="preserve"> &amp; </w:t>
      </w:r>
      <w:proofErr w:type="spellStart"/>
      <w:r w:rsidRPr="00491FAD">
        <w:rPr>
          <w:rFonts w:ascii="Times New Roman" w:eastAsia="Aptos" w:hAnsi="Times New Roman" w:cs="Times New Roman"/>
          <w:kern w:val="2"/>
          <w:sz w:val="24"/>
          <w:szCs w:val="24"/>
          <w14:ligatures w14:val="standardContextual"/>
        </w:rPr>
        <w:t>Waithaka</w:t>
      </w:r>
      <w:proofErr w:type="spellEnd"/>
      <w:r w:rsidRPr="00491FAD">
        <w:rPr>
          <w:rFonts w:ascii="Times New Roman" w:eastAsia="Aptos" w:hAnsi="Times New Roman" w:cs="Times New Roman"/>
          <w:kern w:val="2"/>
          <w:sz w:val="24"/>
          <w:szCs w:val="24"/>
          <w14:ligatures w14:val="standardContextual"/>
        </w:rPr>
        <w:t>, 2020).</w:t>
      </w:r>
    </w:p>
    <w:p w14:paraId="2375075E"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Globally, several structural and operational factors affect the profitability of agrochemical firms. These include high research and development (R&amp;D) costs, patent expiration, price competition </w:t>
      </w:r>
      <w:r w:rsidRPr="00491FAD">
        <w:rPr>
          <w:rFonts w:ascii="Times New Roman" w:eastAsia="Aptos" w:hAnsi="Times New Roman" w:cs="Times New Roman"/>
          <w:kern w:val="2"/>
          <w:sz w:val="24"/>
          <w:szCs w:val="24"/>
          <w14:ligatures w14:val="standardContextual"/>
        </w:rPr>
        <w:lastRenderedPageBreak/>
        <w:t>from generic producers, and the growing use of genetically modified organisms (GMOs), which reduce the need for traditional agrochemicals (Phillips, 2019). The expiration of patents has opened opportunities for generic producers, increasing competition and leading to downward pressure on prices and profit margins (</w:t>
      </w:r>
      <w:proofErr w:type="spellStart"/>
      <w:r w:rsidRPr="00491FAD">
        <w:rPr>
          <w:rFonts w:ascii="Times New Roman" w:eastAsia="Aptos" w:hAnsi="Times New Roman" w:cs="Times New Roman"/>
          <w:kern w:val="2"/>
          <w:sz w:val="24"/>
          <w:szCs w:val="24"/>
          <w14:ligatures w14:val="standardContextual"/>
        </w:rPr>
        <w:t>BlueQuark</w:t>
      </w:r>
      <w:proofErr w:type="spellEnd"/>
      <w:r w:rsidRPr="00491FAD">
        <w:rPr>
          <w:rFonts w:ascii="Times New Roman" w:eastAsia="Aptos" w:hAnsi="Times New Roman" w:cs="Times New Roman"/>
          <w:kern w:val="2"/>
          <w:sz w:val="24"/>
          <w:szCs w:val="24"/>
          <w14:ligatures w14:val="standardContextual"/>
        </w:rPr>
        <w:t xml:space="preserve">, 2024). </w:t>
      </w:r>
    </w:p>
    <w:p w14:paraId="5BA86089"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Regionally, the profitability of the agrochemical sector varies significantly. For instance, in Africa, the industry is poised for growth due to increasing food demand, population pressure, and evolving farming practices. Nevertheless, profitability is tempered by market fragmentation, inadequate distribution networks, and low purchasing power among smallholder farmers (</w:t>
      </w:r>
      <w:proofErr w:type="spellStart"/>
      <w:r w:rsidRPr="00491FAD">
        <w:rPr>
          <w:rFonts w:ascii="Times New Roman" w:eastAsia="Aptos" w:hAnsi="Times New Roman" w:cs="Times New Roman"/>
          <w:kern w:val="2"/>
          <w:sz w:val="24"/>
          <w:szCs w:val="24"/>
          <w14:ligatures w14:val="standardContextual"/>
        </w:rPr>
        <w:t>Ayinde</w:t>
      </w:r>
      <w:proofErr w:type="spellEnd"/>
      <w:r w:rsidRPr="00491FAD">
        <w:rPr>
          <w:rFonts w:ascii="Times New Roman" w:eastAsia="Aptos" w:hAnsi="Times New Roman" w:cs="Times New Roman"/>
          <w:kern w:val="2"/>
          <w:sz w:val="24"/>
          <w:szCs w:val="24"/>
          <w14:ligatures w14:val="standardContextual"/>
        </w:rPr>
        <w:t xml:space="preserve"> &amp; </w:t>
      </w:r>
      <w:proofErr w:type="spellStart"/>
      <w:r w:rsidRPr="00491FAD">
        <w:rPr>
          <w:rFonts w:ascii="Times New Roman" w:eastAsia="Aptos" w:hAnsi="Times New Roman" w:cs="Times New Roman"/>
          <w:kern w:val="2"/>
          <w:sz w:val="24"/>
          <w:szCs w:val="24"/>
          <w14:ligatures w14:val="standardContextual"/>
        </w:rPr>
        <w:t>Ojo</w:t>
      </w:r>
      <w:proofErr w:type="spellEnd"/>
      <w:r w:rsidRPr="00491FAD">
        <w:rPr>
          <w:rFonts w:ascii="Times New Roman" w:eastAsia="Aptos" w:hAnsi="Times New Roman" w:cs="Times New Roman"/>
          <w:kern w:val="2"/>
          <w:sz w:val="24"/>
          <w:szCs w:val="24"/>
          <w14:ligatures w14:val="standardContextual"/>
        </w:rPr>
        <w:t>, 2020). In countries like Nigeria and Ethiopia, government-backed agricultural development programs have increased agrochemical usage, which positively impacts firm revenues (</w:t>
      </w:r>
      <w:proofErr w:type="spellStart"/>
      <w:r w:rsidRPr="00491FAD">
        <w:rPr>
          <w:rFonts w:ascii="Times New Roman" w:eastAsia="Aptos" w:hAnsi="Times New Roman" w:cs="Times New Roman"/>
          <w:kern w:val="2"/>
          <w:sz w:val="24"/>
          <w:szCs w:val="24"/>
          <w14:ligatures w14:val="standardContextual"/>
        </w:rPr>
        <w:t>Gebremariam</w:t>
      </w:r>
      <w:proofErr w:type="spellEnd"/>
      <w:r w:rsidRPr="00491FAD">
        <w:rPr>
          <w:rFonts w:ascii="Times New Roman" w:eastAsia="Aptos" w:hAnsi="Times New Roman" w:cs="Times New Roman"/>
          <w:kern w:val="2"/>
          <w:sz w:val="24"/>
          <w:szCs w:val="24"/>
          <w14:ligatures w14:val="standardContextual"/>
        </w:rPr>
        <w:t>, 2020). However, high input costs, exchange rate fluctuations, and limited access to affordable credit still pose profitability challenges.</w:t>
      </w:r>
    </w:p>
    <w:p w14:paraId="658C5B3B" w14:textId="77777777" w:rsidR="00C84D78"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In Kenya, the agrochemical dealers play a significant role in supporting the profitability of the broader agricultural sector, which is a cornerstone of the national economy. Agriculture contributed approximately 21.3% to Kenya’s GDP in 2023, a decline from 40% in 1963, but still a vital sector (KIPPRA, 2023). Agrochemical companies in Kenya face both opportunities and constraints in achieving profitability. On the one hand, the increasing demand for food and the intensification of agriculture create a large market for crop protection products. On the other hand, the industry’s profitability is threatened by counterfeit products, fluctuating global chemical prices, climate variability, and regulatory burdens (</w:t>
      </w:r>
      <w:proofErr w:type="spellStart"/>
      <w:r w:rsidRPr="00491FAD">
        <w:rPr>
          <w:rFonts w:ascii="Times New Roman" w:eastAsia="Aptos" w:hAnsi="Times New Roman" w:cs="Times New Roman"/>
          <w:kern w:val="2"/>
          <w:sz w:val="24"/>
          <w:szCs w:val="24"/>
          <w14:ligatures w14:val="standardContextual"/>
        </w:rPr>
        <w:t>Odhiambo</w:t>
      </w:r>
      <w:proofErr w:type="spellEnd"/>
      <w:r w:rsidRPr="00491FAD">
        <w:rPr>
          <w:rFonts w:ascii="Times New Roman" w:eastAsia="Aptos" w:hAnsi="Times New Roman" w:cs="Times New Roman"/>
          <w:kern w:val="2"/>
          <w:sz w:val="24"/>
          <w:szCs w:val="24"/>
          <w14:ligatures w14:val="standardContextual"/>
        </w:rPr>
        <w:t xml:space="preserve">, </w:t>
      </w:r>
      <w:proofErr w:type="spellStart"/>
      <w:r w:rsidRPr="00491FAD">
        <w:rPr>
          <w:rFonts w:ascii="Times New Roman" w:eastAsia="Aptos" w:hAnsi="Times New Roman" w:cs="Times New Roman"/>
          <w:kern w:val="2"/>
          <w:sz w:val="24"/>
          <w:szCs w:val="24"/>
          <w14:ligatures w14:val="standardContextual"/>
        </w:rPr>
        <w:t>Weke</w:t>
      </w:r>
      <w:proofErr w:type="spellEnd"/>
      <w:r w:rsidRPr="00491FAD">
        <w:rPr>
          <w:rFonts w:ascii="Times New Roman" w:eastAsia="Aptos" w:hAnsi="Times New Roman" w:cs="Times New Roman"/>
          <w:kern w:val="2"/>
          <w:sz w:val="24"/>
          <w:szCs w:val="24"/>
          <w14:ligatures w14:val="standardContextual"/>
        </w:rPr>
        <w:t xml:space="preserve"> &amp; </w:t>
      </w:r>
      <w:proofErr w:type="spellStart"/>
      <w:r w:rsidRPr="00491FAD">
        <w:rPr>
          <w:rFonts w:ascii="Times New Roman" w:eastAsia="Aptos" w:hAnsi="Times New Roman" w:cs="Times New Roman"/>
          <w:kern w:val="2"/>
          <w:sz w:val="24"/>
          <w:szCs w:val="24"/>
          <w14:ligatures w14:val="standardContextual"/>
        </w:rPr>
        <w:t>Ngare</w:t>
      </w:r>
      <w:proofErr w:type="spellEnd"/>
      <w:r w:rsidRPr="00491FAD">
        <w:rPr>
          <w:rFonts w:ascii="Times New Roman" w:eastAsia="Aptos" w:hAnsi="Times New Roman" w:cs="Times New Roman"/>
          <w:kern w:val="2"/>
          <w:sz w:val="24"/>
          <w:szCs w:val="24"/>
          <w14:ligatures w14:val="standardContextual"/>
        </w:rPr>
        <w:t>, 2020).</w:t>
      </w:r>
    </w:p>
    <w:p w14:paraId="1360C6A3" w14:textId="5494E31D" w:rsidR="00E60B8A"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Despite these challenges, the Kenyan agrochemical market has shown steady growth. Valued at approximately </w:t>
      </w:r>
      <w:proofErr w:type="spellStart"/>
      <w:r w:rsidRPr="00491FAD">
        <w:rPr>
          <w:rFonts w:ascii="Times New Roman" w:eastAsia="Aptos" w:hAnsi="Times New Roman" w:cs="Times New Roman"/>
          <w:kern w:val="2"/>
          <w:sz w:val="24"/>
          <w:szCs w:val="24"/>
          <w14:ligatures w14:val="standardContextual"/>
        </w:rPr>
        <w:t>KSh</w:t>
      </w:r>
      <w:proofErr w:type="spellEnd"/>
      <w:r w:rsidRPr="00491FAD">
        <w:rPr>
          <w:rFonts w:ascii="Times New Roman" w:eastAsia="Aptos" w:hAnsi="Times New Roman" w:cs="Times New Roman"/>
          <w:kern w:val="2"/>
          <w:sz w:val="24"/>
          <w:szCs w:val="24"/>
          <w14:ligatures w14:val="standardContextual"/>
        </w:rPr>
        <w:t xml:space="preserve"> 20 billion ($140 million) in 2022, the industry has experienced annual growth rates of around 5%, driven primarily by demand among smallholder farmers who represent over 80% of the farming population (Kenya Crop Protection Association, 2023). The use of agrochemicals enhances farm-level profitability by minimizing crop losses and improving yields. Without chemical inputs, farmers would face significant production losses, up to 78% in fruits, 54% in vegetables, and 32% in cereals (</w:t>
      </w:r>
      <w:proofErr w:type="spellStart"/>
      <w:r w:rsidRPr="00491FAD">
        <w:rPr>
          <w:rFonts w:ascii="Times New Roman" w:eastAsia="Aptos" w:hAnsi="Times New Roman" w:cs="Times New Roman"/>
          <w:kern w:val="2"/>
          <w:sz w:val="24"/>
          <w:szCs w:val="24"/>
          <w14:ligatures w14:val="standardContextual"/>
        </w:rPr>
        <w:t>Tudi</w:t>
      </w:r>
      <w:proofErr w:type="spellEnd"/>
      <w:r w:rsidRPr="00491FAD">
        <w:rPr>
          <w:rFonts w:ascii="Times New Roman" w:eastAsia="Aptos" w:hAnsi="Times New Roman" w:cs="Times New Roman"/>
          <w:kern w:val="2"/>
          <w:sz w:val="24"/>
          <w:szCs w:val="24"/>
          <w14:ligatures w14:val="standardContextual"/>
        </w:rPr>
        <w:t>, 2021). Thus, while agrochemicals are an added expense, they ultimately improve farm revenue and profitability when used correctly</w:t>
      </w:r>
      <w:r w:rsidR="00E60B8A" w:rsidRPr="00491FAD">
        <w:rPr>
          <w:rFonts w:ascii="Times New Roman" w:eastAsia="Aptos" w:hAnsi="Times New Roman" w:cs="Times New Roman"/>
          <w:kern w:val="2"/>
          <w:sz w:val="24"/>
          <w:szCs w:val="24"/>
          <w14:ligatures w14:val="standardContextual"/>
        </w:rPr>
        <w:t>.</w:t>
      </w:r>
    </w:p>
    <w:p w14:paraId="789598EB" w14:textId="5141BEAD" w:rsidR="0031477D" w:rsidRPr="00491FAD" w:rsidRDefault="008051D5" w:rsidP="00491FAD">
      <w:pPr>
        <w:pStyle w:val="Heading1"/>
        <w:spacing w:before="0" w:after="240" w:line="360" w:lineRule="auto"/>
        <w:rPr>
          <w:rFonts w:cs="Times New Roman"/>
          <w:szCs w:val="24"/>
        </w:rPr>
      </w:pPr>
      <w:r w:rsidRPr="00491FAD">
        <w:rPr>
          <w:rFonts w:cs="Times New Roman"/>
          <w:szCs w:val="24"/>
        </w:rPr>
        <w:t xml:space="preserve">1.1 </w:t>
      </w:r>
      <w:r w:rsidR="0031477D" w:rsidRPr="00491FAD">
        <w:rPr>
          <w:rFonts w:cs="Times New Roman"/>
          <w:szCs w:val="24"/>
        </w:rPr>
        <w:t>Statement of the problem</w:t>
      </w:r>
    </w:p>
    <w:p w14:paraId="285683F1" w14:textId="77777777" w:rsidR="00C84D78" w:rsidRPr="00491FAD" w:rsidRDefault="00C84D78" w:rsidP="00491FAD">
      <w:pPr>
        <w:spacing w:after="0" w:line="360" w:lineRule="auto"/>
        <w:jc w:val="both"/>
        <w:rPr>
          <w:rFonts w:ascii="Times New Roman" w:eastAsia="Aptos" w:hAnsi="Times New Roman" w:cs="Times New Roman"/>
          <w:bCs/>
          <w:kern w:val="2"/>
          <w:sz w:val="24"/>
          <w:szCs w:val="24"/>
          <w14:ligatures w14:val="standardContextual"/>
        </w:rPr>
      </w:pPr>
      <w:r w:rsidRPr="00491FAD">
        <w:rPr>
          <w:rFonts w:ascii="Times New Roman" w:eastAsia="Aptos" w:hAnsi="Times New Roman" w:cs="Times New Roman"/>
          <w:bCs/>
          <w:kern w:val="2"/>
          <w:sz w:val="24"/>
          <w:szCs w:val="24"/>
          <w14:ligatures w14:val="standardContextual"/>
        </w:rPr>
        <w:t xml:space="preserve">The performance and growth of agrochemical dealers is crucial to the productivity of agricultural sector, which is the backbone of Kenyan economy. Agrochemicals are essential for controlling </w:t>
      </w:r>
      <w:r w:rsidRPr="00491FAD">
        <w:rPr>
          <w:rFonts w:ascii="Times New Roman" w:eastAsia="Aptos" w:hAnsi="Times New Roman" w:cs="Times New Roman"/>
          <w:bCs/>
          <w:kern w:val="2"/>
          <w:sz w:val="24"/>
          <w:szCs w:val="24"/>
          <w14:ligatures w14:val="standardContextual"/>
        </w:rPr>
        <w:lastRenderedPageBreak/>
        <w:t>pests, diseases, and weeds, thereby boosting crop yields and minimizing losses, especially in a country where over 40% of the population relies on agriculture for their livelihoods (</w:t>
      </w:r>
      <w:proofErr w:type="spellStart"/>
      <w:r w:rsidRPr="00491FAD">
        <w:rPr>
          <w:rFonts w:ascii="Times New Roman" w:eastAsia="Aptos" w:hAnsi="Times New Roman" w:cs="Times New Roman"/>
          <w:bCs/>
          <w:kern w:val="2"/>
          <w:sz w:val="24"/>
          <w:szCs w:val="24"/>
          <w14:ligatures w14:val="standardContextual"/>
        </w:rPr>
        <w:t>Odhiambo</w:t>
      </w:r>
      <w:proofErr w:type="spellEnd"/>
      <w:r w:rsidRPr="00491FAD">
        <w:rPr>
          <w:rFonts w:ascii="Times New Roman" w:eastAsia="Aptos" w:hAnsi="Times New Roman" w:cs="Times New Roman"/>
          <w:bCs/>
          <w:kern w:val="2"/>
          <w:sz w:val="24"/>
          <w:szCs w:val="24"/>
          <w14:ligatures w14:val="standardContextual"/>
        </w:rPr>
        <w:t xml:space="preserve"> et al., 2020). However, the profitability of agrochemical dealers in Kenya has been on the decline. According to a report by the Kenya Crop Protection Association (2023), profit margins for top firms have decreased by around 32% between 2018 and 2023. Additionally, </w:t>
      </w:r>
      <w:proofErr w:type="spellStart"/>
      <w:r w:rsidRPr="00491FAD">
        <w:rPr>
          <w:rFonts w:ascii="Times New Roman" w:eastAsia="Aptos" w:hAnsi="Times New Roman" w:cs="Times New Roman"/>
          <w:bCs/>
          <w:kern w:val="2"/>
          <w:sz w:val="24"/>
          <w:szCs w:val="24"/>
          <w14:ligatures w14:val="standardContextual"/>
        </w:rPr>
        <w:t>Lusenaka</w:t>
      </w:r>
      <w:proofErr w:type="spellEnd"/>
      <w:r w:rsidRPr="00491FAD">
        <w:rPr>
          <w:rFonts w:ascii="Times New Roman" w:eastAsia="Aptos" w:hAnsi="Times New Roman" w:cs="Times New Roman"/>
          <w:bCs/>
          <w:kern w:val="2"/>
          <w:sz w:val="24"/>
          <w:szCs w:val="24"/>
          <w14:ligatures w14:val="standardContextual"/>
        </w:rPr>
        <w:t xml:space="preserve"> (2021) argues that the introduction of 16 percent VAT on imported ingredients of pest control products for local processing or formulation has threatened the survival of the 17 companies that manufacture pesticides. Consequently, manufacturers are scaling down their operations and investments in local formulation of pesticides by up to 88% (</w:t>
      </w:r>
      <w:proofErr w:type="spellStart"/>
      <w:r w:rsidRPr="00491FAD">
        <w:rPr>
          <w:rFonts w:ascii="Times New Roman" w:eastAsia="Aptos" w:hAnsi="Times New Roman" w:cs="Times New Roman"/>
          <w:bCs/>
          <w:kern w:val="2"/>
          <w:sz w:val="24"/>
          <w:szCs w:val="24"/>
          <w14:ligatures w14:val="standardContextual"/>
        </w:rPr>
        <w:t>MarketPublishers</w:t>
      </w:r>
      <w:proofErr w:type="spellEnd"/>
      <w:r w:rsidRPr="00491FAD">
        <w:rPr>
          <w:rFonts w:ascii="Times New Roman" w:eastAsia="Aptos" w:hAnsi="Times New Roman" w:cs="Times New Roman"/>
          <w:bCs/>
          <w:kern w:val="2"/>
          <w:sz w:val="24"/>
          <w:szCs w:val="24"/>
          <w14:ligatures w14:val="standardContextual"/>
        </w:rPr>
        <w:t xml:space="preserve">, 2024). Business taxation levels could be the reason for scale down and business </w:t>
      </w:r>
      <w:proofErr w:type="gramStart"/>
      <w:r w:rsidRPr="00491FAD">
        <w:rPr>
          <w:rFonts w:ascii="Times New Roman" w:eastAsia="Aptos" w:hAnsi="Times New Roman" w:cs="Times New Roman"/>
          <w:bCs/>
          <w:kern w:val="2"/>
          <w:sz w:val="24"/>
          <w:szCs w:val="24"/>
          <w14:ligatures w14:val="standardContextual"/>
        </w:rPr>
        <w:t>closure,</w:t>
      </w:r>
      <w:proofErr w:type="gramEnd"/>
      <w:r w:rsidRPr="00491FAD">
        <w:rPr>
          <w:rFonts w:ascii="Times New Roman" w:eastAsia="Aptos" w:hAnsi="Times New Roman" w:cs="Times New Roman"/>
          <w:bCs/>
          <w:kern w:val="2"/>
          <w:sz w:val="24"/>
          <w:szCs w:val="24"/>
          <w14:ligatures w14:val="standardContextual"/>
        </w:rPr>
        <w:t xml:space="preserve"> however, as noted by Samson et al. (2024) the effect of taxation levels on agrochemical firm’s performance is yet to be determined in Kenya. Therefore, this research is seeking to investigate the influence of taxation levels on the profitability of agro-dealers in Nairobi County. </w:t>
      </w:r>
    </w:p>
    <w:p w14:paraId="11AE3426" w14:textId="1A106A6D" w:rsidR="000408C7" w:rsidRPr="00491FAD" w:rsidRDefault="00C84D78"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bCs/>
          <w:kern w:val="2"/>
          <w:sz w:val="24"/>
          <w:szCs w:val="24"/>
          <w14:ligatures w14:val="standardContextual"/>
        </w:rPr>
        <w:t xml:space="preserve">Although studies have been conducted in regard to taxation levels and business profitability, no such study has been conducted in the context of agrochemical dealers in Nairobi. For instance, in Nigeria </w:t>
      </w:r>
      <w:proofErr w:type="spellStart"/>
      <w:r w:rsidRPr="00491FAD">
        <w:rPr>
          <w:rFonts w:ascii="Times New Roman" w:eastAsia="Aptos" w:hAnsi="Times New Roman" w:cs="Times New Roman"/>
          <w:bCs/>
          <w:kern w:val="2"/>
          <w:sz w:val="24"/>
          <w:szCs w:val="24"/>
          <w14:ligatures w14:val="standardContextual"/>
        </w:rPr>
        <w:t>Barokah</w:t>
      </w:r>
      <w:proofErr w:type="spellEnd"/>
      <w:r w:rsidRPr="00491FAD">
        <w:rPr>
          <w:rFonts w:ascii="Times New Roman" w:eastAsia="Aptos" w:hAnsi="Times New Roman" w:cs="Times New Roman"/>
          <w:bCs/>
          <w:kern w:val="2"/>
          <w:sz w:val="24"/>
          <w:szCs w:val="24"/>
          <w14:ligatures w14:val="standardContextual"/>
        </w:rPr>
        <w:t xml:space="preserve"> (2024) found a strong positive impact of excise duty on net profit however, it was conducted in a different jurisdiction. </w:t>
      </w:r>
      <w:proofErr w:type="spellStart"/>
      <w:r w:rsidRPr="00491FAD">
        <w:rPr>
          <w:rFonts w:ascii="Times New Roman" w:eastAsia="Aptos" w:hAnsi="Times New Roman" w:cs="Times New Roman"/>
          <w:bCs/>
          <w:kern w:val="2"/>
          <w:sz w:val="24"/>
          <w:szCs w:val="24"/>
          <w14:ligatures w14:val="standardContextual"/>
        </w:rPr>
        <w:t>Ochieng</w:t>
      </w:r>
      <w:proofErr w:type="spellEnd"/>
      <w:r w:rsidRPr="00491FAD">
        <w:rPr>
          <w:rFonts w:ascii="Times New Roman" w:eastAsia="Aptos" w:hAnsi="Times New Roman" w:cs="Times New Roman"/>
          <w:bCs/>
          <w:kern w:val="2"/>
          <w:sz w:val="24"/>
          <w:szCs w:val="24"/>
          <w14:ligatures w14:val="standardContextual"/>
        </w:rPr>
        <w:t xml:space="preserve"> (2020) noted that tax incentives improved the financial performance of Export Processing Zone firms in Kenya, but their focus was on EPZs and not agrochemical dealers. </w:t>
      </w:r>
      <w:proofErr w:type="spellStart"/>
      <w:r w:rsidRPr="00491FAD">
        <w:rPr>
          <w:rFonts w:ascii="Times New Roman" w:eastAsia="Aptos" w:hAnsi="Times New Roman" w:cs="Times New Roman"/>
          <w:bCs/>
          <w:kern w:val="2"/>
          <w:sz w:val="24"/>
          <w:szCs w:val="24"/>
          <w14:ligatures w14:val="standardContextual"/>
        </w:rPr>
        <w:t>Chesire</w:t>
      </w:r>
      <w:proofErr w:type="spellEnd"/>
      <w:r w:rsidRPr="00491FAD">
        <w:rPr>
          <w:rFonts w:ascii="Times New Roman" w:eastAsia="Aptos" w:hAnsi="Times New Roman" w:cs="Times New Roman"/>
          <w:bCs/>
          <w:kern w:val="2"/>
          <w:sz w:val="24"/>
          <w:szCs w:val="24"/>
          <w14:ligatures w14:val="standardContextual"/>
        </w:rPr>
        <w:t xml:space="preserve"> (2018) and </w:t>
      </w:r>
      <w:proofErr w:type="spellStart"/>
      <w:r w:rsidRPr="00491FAD">
        <w:rPr>
          <w:rFonts w:ascii="Times New Roman" w:eastAsia="Aptos" w:hAnsi="Times New Roman" w:cs="Times New Roman"/>
          <w:bCs/>
          <w:kern w:val="2"/>
          <w:sz w:val="24"/>
          <w:szCs w:val="24"/>
          <w14:ligatures w14:val="standardContextual"/>
        </w:rPr>
        <w:t>Lito</w:t>
      </w:r>
      <w:proofErr w:type="spellEnd"/>
      <w:r w:rsidRPr="00491FAD">
        <w:rPr>
          <w:rFonts w:ascii="Times New Roman" w:eastAsia="Aptos" w:hAnsi="Times New Roman" w:cs="Times New Roman"/>
          <w:bCs/>
          <w:kern w:val="2"/>
          <w:sz w:val="24"/>
          <w:szCs w:val="24"/>
          <w14:ligatures w14:val="standardContextual"/>
        </w:rPr>
        <w:t xml:space="preserve"> et al. (2024) revealed that excise taxes negatively affected the profitability of alcohol, tobacco, and SMMEs in Kenya. These studies were conducted in other countries and industries hence presenting contextual gaps, which the current study seeks to fill by studying agro-chemical dealers in Nairobi</w:t>
      </w:r>
      <w:r w:rsidR="0092657B" w:rsidRPr="00491FAD">
        <w:rPr>
          <w:rFonts w:ascii="Times New Roman" w:eastAsia="Aptos" w:hAnsi="Times New Roman" w:cs="Times New Roman"/>
          <w:bCs/>
          <w:kern w:val="2"/>
          <w:sz w:val="24"/>
          <w:szCs w:val="24"/>
          <w14:ligatures w14:val="standardContextual"/>
        </w:rPr>
        <w:t>.</w:t>
      </w:r>
    </w:p>
    <w:p w14:paraId="150F2B6C" w14:textId="0208FA13" w:rsidR="0031477D" w:rsidRPr="00491FAD" w:rsidRDefault="0031477D" w:rsidP="00491FAD">
      <w:pPr>
        <w:pStyle w:val="Heading1"/>
        <w:spacing w:before="0" w:after="240" w:line="360" w:lineRule="auto"/>
        <w:rPr>
          <w:rFonts w:cs="Times New Roman"/>
          <w:szCs w:val="24"/>
        </w:rPr>
      </w:pPr>
      <w:r w:rsidRPr="00491FAD">
        <w:rPr>
          <w:rFonts w:cs="Times New Roman"/>
          <w:szCs w:val="24"/>
        </w:rPr>
        <w:t>1.2 Objectives of the Study</w:t>
      </w:r>
    </w:p>
    <w:p w14:paraId="16825440" w14:textId="705E192E" w:rsidR="00C84D78" w:rsidRPr="00491FAD" w:rsidRDefault="008D3273" w:rsidP="00491FAD">
      <w:pPr>
        <w:spacing w:after="0" w:line="360" w:lineRule="auto"/>
        <w:jc w:val="both"/>
        <w:rPr>
          <w:rFonts w:ascii="Times New Roman" w:hAnsi="Times New Roman" w:cs="Times New Roman"/>
          <w:sz w:val="24"/>
          <w:szCs w:val="24"/>
        </w:rPr>
      </w:pPr>
      <w:bookmarkStart w:id="31" w:name="_Toc231058616"/>
      <w:bookmarkStart w:id="32" w:name="_Toc231058720"/>
      <w:bookmarkStart w:id="33" w:name="_Toc231059645"/>
      <w:bookmarkStart w:id="34" w:name="_Toc231059855"/>
      <w:bookmarkStart w:id="35" w:name="_Toc231060006"/>
      <w:bookmarkStart w:id="36" w:name="_Toc231060131"/>
      <w:bookmarkStart w:id="37" w:name="_Toc233521154"/>
      <w:bookmarkStart w:id="38" w:name="_Toc233521475"/>
      <w:bookmarkStart w:id="39" w:name="_Toc233521545"/>
      <w:bookmarkStart w:id="40" w:name="_Toc233521621"/>
      <w:bookmarkStart w:id="41" w:name="_Toc233536578"/>
      <w:bookmarkStart w:id="42" w:name="_Toc233541513"/>
      <w:bookmarkStart w:id="43" w:name="_Toc233542989"/>
      <w:bookmarkStart w:id="44" w:name="_Toc84465437"/>
      <w:bookmarkStart w:id="45" w:name="_Toc84467326"/>
      <w:bookmarkStart w:id="46" w:name="_Toc241141565"/>
      <w:bookmarkStart w:id="47" w:name="_Toc92710721"/>
      <w:bookmarkStart w:id="48" w:name="_Toc92710860"/>
      <w:bookmarkStart w:id="49" w:name="_Toc92710954"/>
      <w:bookmarkStart w:id="50" w:name="_Toc92713606"/>
      <w:bookmarkStart w:id="51" w:name="_Toc92896946"/>
      <w:bookmarkStart w:id="52" w:name="_Toc98459699"/>
      <w:bookmarkStart w:id="53" w:name="_Toc98465888"/>
      <w:bookmarkStart w:id="54" w:name="_Toc252005437"/>
      <w:bookmarkStart w:id="55" w:name="_Toc252005665"/>
      <w:proofErr w:type="spellStart"/>
      <w:r w:rsidRPr="00491FAD">
        <w:rPr>
          <w:rFonts w:ascii="Times New Roman" w:hAnsi="Times New Roman" w:cs="Times New Roman"/>
          <w:sz w:val="24"/>
          <w:szCs w:val="24"/>
        </w:rPr>
        <w:t>i</w:t>
      </w:r>
      <w:proofErr w:type="spellEnd"/>
      <w:r w:rsidRPr="00491FAD">
        <w:rPr>
          <w:rFonts w:ascii="Times New Roman" w:hAnsi="Times New Roman" w:cs="Times New Roman"/>
          <w:sz w:val="24"/>
          <w:szCs w:val="24"/>
        </w:rPr>
        <w:t>.</w:t>
      </w:r>
      <w:r w:rsidR="00C84D78" w:rsidRPr="00491FAD">
        <w:rPr>
          <w:rFonts w:ascii="Times New Roman" w:hAnsi="Times New Roman" w:cs="Times New Roman"/>
          <w:sz w:val="24"/>
          <w:szCs w:val="24"/>
        </w:rPr>
        <w:t xml:space="preserve"> To examine the influence of Value Added Tax on the profitability of agrochemical dealers in Nairobi County, in Kenya.</w:t>
      </w:r>
    </w:p>
    <w:p w14:paraId="20E6CF1A" w14:textId="3C1FF435" w:rsidR="00C84D78" w:rsidRPr="00491FAD" w:rsidRDefault="00C84D78" w:rsidP="00491FAD">
      <w:pPr>
        <w:spacing w:after="0" w:line="360" w:lineRule="auto"/>
        <w:jc w:val="both"/>
        <w:rPr>
          <w:rFonts w:ascii="Times New Roman" w:hAnsi="Times New Roman" w:cs="Times New Roman"/>
          <w:sz w:val="24"/>
          <w:szCs w:val="24"/>
        </w:rPr>
      </w:pPr>
      <w:r w:rsidRPr="00491FAD">
        <w:rPr>
          <w:rFonts w:ascii="Times New Roman" w:hAnsi="Times New Roman" w:cs="Times New Roman"/>
          <w:sz w:val="24"/>
          <w:szCs w:val="24"/>
        </w:rPr>
        <w:t>ii. To examine the influence of effective corporate tax on the profitability of agrochemical dealers in Nairobi County, in Kenya.</w:t>
      </w:r>
    </w:p>
    <w:p w14:paraId="51A3E698" w14:textId="30E86787" w:rsidR="00C84D78" w:rsidRPr="00491FAD" w:rsidRDefault="00C84D78" w:rsidP="00491FAD">
      <w:pPr>
        <w:spacing w:after="0" w:line="360" w:lineRule="auto"/>
        <w:jc w:val="both"/>
        <w:rPr>
          <w:rFonts w:ascii="Times New Roman" w:hAnsi="Times New Roman" w:cs="Times New Roman"/>
          <w:sz w:val="24"/>
          <w:szCs w:val="24"/>
        </w:rPr>
      </w:pPr>
      <w:proofErr w:type="spellStart"/>
      <w:proofErr w:type="gramStart"/>
      <w:r w:rsidRPr="00491FAD">
        <w:rPr>
          <w:rFonts w:ascii="Times New Roman" w:hAnsi="Times New Roman" w:cs="Times New Roman"/>
          <w:sz w:val="24"/>
          <w:szCs w:val="24"/>
        </w:rPr>
        <w:t>iii.To</w:t>
      </w:r>
      <w:proofErr w:type="spellEnd"/>
      <w:proofErr w:type="gramEnd"/>
      <w:r w:rsidRPr="00491FAD">
        <w:rPr>
          <w:rFonts w:ascii="Times New Roman" w:hAnsi="Times New Roman" w:cs="Times New Roman"/>
          <w:sz w:val="24"/>
          <w:szCs w:val="24"/>
        </w:rPr>
        <w:t xml:space="preserve"> examine the influence of excise duty on the profitability of agrochemical dealers in Nairobi County, in Kenya.</w:t>
      </w:r>
    </w:p>
    <w:p w14:paraId="3B135867" w14:textId="2F78B7C3" w:rsidR="008D3273" w:rsidRPr="00491FAD" w:rsidRDefault="00C84D78" w:rsidP="00491FAD">
      <w:pPr>
        <w:spacing w:after="0" w:line="360" w:lineRule="auto"/>
        <w:jc w:val="both"/>
        <w:rPr>
          <w:rFonts w:ascii="Times New Roman" w:hAnsi="Times New Roman" w:cs="Times New Roman"/>
          <w:sz w:val="24"/>
          <w:szCs w:val="24"/>
        </w:rPr>
      </w:pPr>
      <w:proofErr w:type="spellStart"/>
      <w:proofErr w:type="gramStart"/>
      <w:r w:rsidRPr="00491FAD">
        <w:rPr>
          <w:rFonts w:ascii="Times New Roman" w:hAnsi="Times New Roman" w:cs="Times New Roman"/>
          <w:sz w:val="24"/>
          <w:szCs w:val="24"/>
        </w:rPr>
        <w:t>iv.To</w:t>
      </w:r>
      <w:proofErr w:type="spellEnd"/>
      <w:proofErr w:type="gramEnd"/>
      <w:r w:rsidRPr="00491FAD">
        <w:rPr>
          <w:rFonts w:ascii="Times New Roman" w:hAnsi="Times New Roman" w:cs="Times New Roman"/>
          <w:sz w:val="24"/>
          <w:szCs w:val="24"/>
        </w:rPr>
        <w:t xml:space="preserve"> examine the influence of import levy on the profitability of agrochemical dealers in Nairobi County, in Kenya</w:t>
      </w:r>
      <w:r w:rsidR="008D3273" w:rsidRPr="00491FAD">
        <w:rPr>
          <w:rFonts w:ascii="Times New Roman" w:hAnsi="Times New Roman" w:cs="Times New Roman"/>
          <w:sz w:val="24"/>
          <w:szCs w:val="24"/>
        </w:rPr>
        <w:t xml:space="preserve"> </w:t>
      </w:r>
    </w:p>
    <w:p w14:paraId="738A41C9" w14:textId="20AA4589" w:rsidR="003B75B0" w:rsidRPr="00491FAD" w:rsidRDefault="00630BCD" w:rsidP="00491FAD">
      <w:pPr>
        <w:pStyle w:val="Heading1"/>
        <w:spacing w:before="0" w:line="360" w:lineRule="auto"/>
        <w:rPr>
          <w:rFonts w:cs="Times New Roman"/>
          <w:szCs w:val="24"/>
        </w:rPr>
      </w:pPr>
      <w:r w:rsidRPr="00491FAD">
        <w:rPr>
          <w:rFonts w:cs="Times New Roman"/>
          <w:szCs w:val="24"/>
        </w:rPr>
        <w:lastRenderedPageBreak/>
        <w:t>2.0 Review</w:t>
      </w:r>
      <w:r w:rsidR="00C16F9F" w:rsidRPr="00491FAD">
        <w:rPr>
          <w:rFonts w:cs="Times New Roman"/>
          <w:szCs w:val="24"/>
        </w:rPr>
        <w:t xml:space="preserve"> of Literature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A0AA43F" w14:textId="77777777" w:rsidR="00C16F9F" w:rsidRPr="00491FAD" w:rsidRDefault="00C16F9F" w:rsidP="00491FAD">
      <w:pPr>
        <w:pStyle w:val="Heading1"/>
        <w:spacing w:before="0" w:after="240" w:line="360" w:lineRule="auto"/>
        <w:rPr>
          <w:rFonts w:cs="Times New Roman"/>
          <w:szCs w:val="24"/>
        </w:rPr>
      </w:pPr>
      <w:r w:rsidRPr="00491FAD">
        <w:rPr>
          <w:rFonts w:cs="Times New Roman"/>
          <w:szCs w:val="24"/>
        </w:rPr>
        <w:t>2.1 Theoretical Review</w:t>
      </w:r>
    </w:p>
    <w:p w14:paraId="21D676BE"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The Theory of Optimal Taxation was advanced by </w:t>
      </w:r>
      <w:proofErr w:type="spellStart"/>
      <w:r w:rsidRPr="00491FAD">
        <w:rPr>
          <w:rFonts w:ascii="Times New Roman" w:eastAsia="Aptos" w:hAnsi="Times New Roman" w:cs="Times New Roman"/>
          <w:kern w:val="2"/>
          <w:sz w:val="24"/>
          <w:szCs w:val="24"/>
          <w14:ligatures w14:val="standardContextual"/>
        </w:rPr>
        <w:t>Mirrlees</w:t>
      </w:r>
      <w:proofErr w:type="spellEnd"/>
      <w:r w:rsidRPr="00491FAD">
        <w:rPr>
          <w:rFonts w:ascii="Times New Roman" w:eastAsia="Aptos" w:hAnsi="Times New Roman" w:cs="Times New Roman"/>
          <w:kern w:val="2"/>
          <w:sz w:val="24"/>
          <w:szCs w:val="24"/>
          <w14:ligatures w14:val="standardContextual"/>
        </w:rPr>
        <w:t xml:space="preserve"> (1970).  The theory has several assumptions. First, it focuses on the optimal structure of taxation that can maximize social welfare while minimizing the negative effects of taxation on economic </w:t>
      </w:r>
      <w:proofErr w:type="spellStart"/>
      <w:r w:rsidRPr="00491FAD">
        <w:rPr>
          <w:rFonts w:ascii="Times New Roman" w:eastAsia="Aptos" w:hAnsi="Times New Roman" w:cs="Times New Roman"/>
          <w:kern w:val="2"/>
          <w:sz w:val="24"/>
          <w:szCs w:val="24"/>
          <w14:ligatures w14:val="standardContextual"/>
        </w:rPr>
        <w:t>behaviour</w:t>
      </w:r>
      <w:proofErr w:type="spellEnd"/>
      <w:r w:rsidRPr="00491FAD">
        <w:rPr>
          <w:rFonts w:ascii="Times New Roman" w:eastAsia="Aptos" w:hAnsi="Times New Roman" w:cs="Times New Roman"/>
          <w:kern w:val="2"/>
          <w:sz w:val="24"/>
          <w:szCs w:val="24"/>
          <w14:ligatures w14:val="standardContextual"/>
        </w:rPr>
        <w:t xml:space="preserve">, particularly </w:t>
      </w:r>
      <w:proofErr w:type="spellStart"/>
      <w:r w:rsidRPr="00491FAD">
        <w:rPr>
          <w:rFonts w:ascii="Times New Roman" w:eastAsia="Aptos" w:hAnsi="Times New Roman" w:cs="Times New Roman"/>
          <w:kern w:val="2"/>
          <w:sz w:val="24"/>
          <w:szCs w:val="24"/>
          <w14:ligatures w14:val="standardContextual"/>
        </w:rPr>
        <w:t>labour</w:t>
      </w:r>
      <w:proofErr w:type="spellEnd"/>
      <w:r w:rsidRPr="00491FAD">
        <w:rPr>
          <w:rFonts w:ascii="Times New Roman" w:eastAsia="Aptos" w:hAnsi="Times New Roman" w:cs="Times New Roman"/>
          <w:kern w:val="2"/>
          <w:sz w:val="24"/>
          <w:szCs w:val="24"/>
          <w14:ligatures w14:val="standardContextual"/>
        </w:rPr>
        <w:t xml:space="preserve"> supply and investment decisions (Lu &amp; Chen, 2015). Under this assumption, it asserts that taxation should achieve two main objectives: first, it should promote equity by redistributing income from wealthier individuals to those with lower incomes, thereby reducing inequality (</w:t>
      </w:r>
      <w:proofErr w:type="spellStart"/>
      <w:r w:rsidRPr="00491FAD">
        <w:rPr>
          <w:rFonts w:ascii="Times New Roman" w:eastAsia="Aptos" w:hAnsi="Times New Roman" w:cs="Times New Roman"/>
          <w:kern w:val="2"/>
          <w:sz w:val="24"/>
          <w:szCs w:val="24"/>
          <w14:ligatures w14:val="standardContextual"/>
        </w:rPr>
        <w:t>Mirrlees</w:t>
      </w:r>
      <w:proofErr w:type="spellEnd"/>
      <w:r w:rsidRPr="00491FAD">
        <w:rPr>
          <w:rFonts w:ascii="Times New Roman" w:eastAsia="Aptos" w:hAnsi="Times New Roman" w:cs="Times New Roman"/>
          <w:kern w:val="2"/>
          <w:sz w:val="24"/>
          <w:szCs w:val="24"/>
          <w14:ligatures w14:val="standardContextual"/>
        </w:rPr>
        <w:t>, 1986). Second, it should maintain efficiency by ensuring that taxes do not overly distort individuals’ incentives to work, save, or invest (</w:t>
      </w:r>
      <w:proofErr w:type="spellStart"/>
      <w:r w:rsidRPr="00491FAD">
        <w:rPr>
          <w:rFonts w:ascii="Times New Roman" w:eastAsia="Aptos" w:hAnsi="Times New Roman" w:cs="Times New Roman"/>
          <w:kern w:val="2"/>
          <w:sz w:val="24"/>
          <w:szCs w:val="24"/>
          <w14:ligatures w14:val="standardContextual"/>
        </w:rPr>
        <w:t>Sørensen</w:t>
      </w:r>
      <w:proofErr w:type="spellEnd"/>
      <w:r w:rsidRPr="00491FAD">
        <w:rPr>
          <w:rFonts w:ascii="Times New Roman" w:eastAsia="Aptos" w:hAnsi="Times New Roman" w:cs="Times New Roman"/>
          <w:kern w:val="2"/>
          <w:sz w:val="24"/>
          <w:szCs w:val="24"/>
          <w14:ligatures w14:val="standardContextual"/>
        </w:rPr>
        <w:t>, 2007). The balance between these objectives is critical because higher taxes may achieve greater fairness but could discourage productive economic activities, reducing overall economic welfare (</w:t>
      </w:r>
      <w:proofErr w:type="spellStart"/>
      <w:r w:rsidRPr="00491FAD">
        <w:rPr>
          <w:rFonts w:ascii="Times New Roman" w:eastAsia="Aptos" w:hAnsi="Times New Roman" w:cs="Times New Roman"/>
          <w:kern w:val="2"/>
          <w:sz w:val="24"/>
          <w:szCs w:val="24"/>
          <w14:ligatures w14:val="standardContextual"/>
        </w:rPr>
        <w:t>Schwerhoff</w:t>
      </w:r>
      <w:proofErr w:type="spellEnd"/>
      <w:r w:rsidRPr="00491FAD">
        <w:rPr>
          <w:rFonts w:ascii="Times New Roman" w:eastAsia="Aptos" w:hAnsi="Times New Roman" w:cs="Times New Roman"/>
          <w:kern w:val="2"/>
          <w:sz w:val="24"/>
          <w:szCs w:val="24"/>
          <w14:ligatures w14:val="standardContextual"/>
        </w:rPr>
        <w:t xml:space="preserve"> &amp; Franks, 2017).</w:t>
      </w:r>
    </w:p>
    <w:p w14:paraId="3B960DDF"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A major critique lies in its highly theoretical nature and reliance on ideal conditions that may not hold in practice, particularly in developing economies like Kenya. For example, informal markets, tax evasion, corruption, and administrative inefficiencies can severely distort the assumed outcomes of tax policies (</w:t>
      </w:r>
      <w:proofErr w:type="spellStart"/>
      <w:r w:rsidRPr="00491FAD">
        <w:rPr>
          <w:rFonts w:ascii="Times New Roman" w:eastAsia="Aptos" w:hAnsi="Times New Roman" w:cs="Times New Roman"/>
          <w:kern w:val="2"/>
          <w:sz w:val="24"/>
          <w:szCs w:val="24"/>
          <w14:ligatures w14:val="standardContextual"/>
        </w:rPr>
        <w:t>Sørensen</w:t>
      </w:r>
      <w:proofErr w:type="spellEnd"/>
      <w:r w:rsidRPr="00491FAD">
        <w:rPr>
          <w:rFonts w:ascii="Times New Roman" w:eastAsia="Aptos" w:hAnsi="Times New Roman" w:cs="Times New Roman"/>
          <w:kern w:val="2"/>
          <w:sz w:val="24"/>
          <w:szCs w:val="24"/>
          <w14:ligatures w14:val="standardContextual"/>
        </w:rPr>
        <w:t xml:space="preserve">, 2007; </w:t>
      </w:r>
      <w:proofErr w:type="spellStart"/>
      <w:r w:rsidRPr="00491FAD">
        <w:rPr>
          <w:rFonts w:ascii="Times New Roman" w:eastAsia="Aptos" w:hAnsi="Times New Roman" w:cs="Times New Roman"/>
          <w:kern w:val="2"/>
          <w:sz w:val="24"/>
          <w:szCs w:val="24"/>
          <w14:ligatures w14:val="standardContextual"/>
        </w:rPr>
        <w:t>Schwerhoff</w:t>
      </w:r>
      <w:proofErr w:type="spellEnd"/>
      <w:r w:rsidRPr="00491FAD">
        <w:rPr>
          <w:rFonts w:ascii="Times New Roman" w:eastAsia="Aptos" w:hAnsi="Times New Roman" w:cs="Times New Roman"/>
          <w:kern w:val="2"/>
          <w:sz w:val="24"/>
          <w:szCs w:val="24"/>
          <w14:ligatures w14:val="standardContextual"/>
        </w:rPr>
        <w:t xml:space="preserve"> &amp; Franks, 2017). Additionally, the theory tends to underemphasize political constraints and institutional factors that often shape tax policy far more than theoretical optimality.</w:t>
      </w:r>
    </w:p>
    <w:p w14:paraId="069EFC5B" w14:textId="77777777" w:rsidR="00C84D78"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Several scholars have utilized the Theory of Optimal Taxation in their research. </w:t>
      </w:r>
      <w:proofErr w:type="spellStart"/>
      <w:r w:rsidRPr="00491FAD">
        <w:rPr>
          <w:rFonts w:ascii="Times New Roman" w:eastAsia="Aptos" w:hAnsi="Times New Roman" w:cs="Times New Roman"/>
          <w:kern w:val="2"/>
          <w:sz w:val="24"/>
          <w:szCs w:val="24"/>
          <w14:ligatures w14:val="standardContextual"/>
        </w:rPr>
        <w:t>Saez</w:t>
      </w:r>
      <w:proofErr w:type="spellEnd"/>
      <w:r w:rsidRPr="00491FAD">
        <w:rPr>
          <w:rFonts w:ascii="Times New Roman" w:eastAsia="Aptos" w:hAnsi="Times New Roman" w:cs="Times New Roman"/>
          <w:kern w:val="2"/>
          <w:sz w:val="24"/>
          <w:szCs w:val="24"/>
          <w14:ligatures w14:val="standardContextual"/>
        </w:rPr>
        <w:t xml:space="preserve"> (2011) used the theory to argue for progressive income taxation. Their research suggests that higher taxes on the wealthy can promote fairness, but the design of these taxes must ensure that economic incentives, such as those to work and invest, are not heavily compromised. Similarly, Thomas </w:t>
      </w:r>
      <w:proofErr w:type="spellStart"/>
      <w:r w:rsidRPr="00491FAD">
        <w:rPr>
          <w:rFonts w:ascii="Times New Roman" w:eastAsia="Aptos" w:hAnsi="Times New Roman" w:cs="Times New Roman"/>
          <w:kern w:val="2"/>
          <w:sz w:val="24"/>
          <w:szCs w:val="24"/>
          <w14:ligatures w14:val="standardContextual"/>
        </w:rPr>
        <w:t>Piketty</w:t>
      </w:r>
      <w:proofErr w:type="spellEnd"/>
      <w:r w:rsidRPr="00491FAD">
        <w:rPr>
          <w:rFonts w:ascii="Times New Roman" w:eastAsia="Aptos" w:hAnsi="Times New Roman" w:cs="Times New Roman"/>
          <w:kern w:val="2"/>
          <w:sz w:val="24"/>
          <w:szCs w:val="24"/>
          <w14:ligatures w14:val="standardContextual"/>
        </w:rPr>
        <w:t xml:space="preserve"> and Emmanuel </w:t>
      </w:r>
      <w:proofErr w:type="spellStart"/>
      <w:r w:rsidRPr="00491FAD">
        <w:rPr>
          <w:rFonts w:ascii="Times New Roman" w:eastAsia="Aptos" w:hAnsi="Times New Roman" w:cs="Times New Roman"/>
          <w:kern w:val="2"/>
          <w:sz w:val="24"/>
          <w:szCs w:val="24"/>
          <w14:ligatures w14:val="standardContextual"/>
        </w:rPr>
        <w:t>Saez</w:t>
      </w:r>
      <w:proofErr w:type="spellEnd"/>
      <w:r w:rsidRPr="00491FAD">
        <w:rPr>
          <w:rFonts w:ascii="Times New Roman" w:eastAsia="Aptos" w:hAnsi="Times New Roman" w:cs="Times New Roman"/>
          <w:kern w:val="2"/>
          <w:sz w:val="24"/>
          <w:szCs w:val="24"/>
          <w14:ligatures w14:val="standardContextual"/>
        </w:rPr>
        <w:t xml:space="preserve"> (2013) applied the theory in their work on income inequality, advocating for a more progressive tax system to address rising disparities in income and wealth. Their research explores how optimal taxation can curb extreme inequalities while preserving economic efficiency.</w:t>
      </w:r>
    </w:p>
    <w:p w14:paraId="102C2828" w14:textId="74398939" w:rsidR="008E19BD" w:rsidRPr="00491FAD" w:rsidRDefault="00C84D78"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the context of this study, which focuses on the effect of business taxation on the profitability of agrochemical dealers, the Theory of Optimal Taxation helps explain how different types of </w:t>
      </w:r>
      <w:r w:rsidRPr="00491FAD">
        <w:rPr>
          <w:rFonts w:ascii="Times New Roman" w:eastAsia="Aptos" w:hAnsi="Times New Roman" w:cs="Times New Roman"/>
          <w:kern w:val="2"/>
          <w:sz w:val="24"/>
          <w:szCs w:val="24"/>
          <w14:ligatures w14:val="standardContextual"/>
        </w:rPr>
        <w:lastRenderedPageBreak/>
        <w:t xml:space="preserve">taxes (Value Added Tax, corporate tax, excise duty) can impact business profitability (Phelan, 2021). It anchors variables such as taxation levels and profitability by examining how taxation influences a firm's operational costs, investment decisions, and ultimately, its financial performance. For instance, according to the Theory of Optimal Taxation, VAT, if set too high, can lead to reduced demand for agrochemical products as higher prices discourage consumption (Phelan, 2021; </w:t>
      </w:r>
      <w:proofErr w:type="spellStart"/>
      <w:r w:rsidRPr="00491FAD">
        <w:rPr>
          <w:rFonts w:ascii="Times New Roman" w:eastAsia="Aptos" w:hAnsi="Times New Roman" w:cs="Times New Roman"/>
          <w:kern w:val="2"/>
          <w:sz w:val="24"/>
          <w:szCs w:val="24"/>
          <w14:ligatures w14:val="standardContextual"/>
        </w:rPr>
        <w:t>Ocheni</w:t>
      </w:r>
      <w:proofErr w:type="spellEnd"/>
      <w:r w:rsidRPr="00491FAD">
        <w:rPr>
          <w:rFonts w:ascii="Times New Roman" w:eastAsia="Aptos" w:hAnsi="Times New Roman" w:cs="Times New Roman"/>
          <w:kern w:val="2"/>
          <w:sz w:val="24"/>
          <w:szCs w:val="24"/>
          <w14:ligatures w14:val="standardContextual"/>
        </w:rPr>
        <w:t xml:space="preserve">, &amp; </w:t>
      </w:r>
      <w:proofErr w:type="spellStart"/>
      <w:r w:rsidRPr="00491FAD">
        <w:rPr>
          <w:rFonts w:ascii="Times New Roman" w:eastAsia="Aptos" w:hAnsi="Times New Roman" w:cs="Times New Roman"/>
          <w:kern w:val="2"/>
          <w:sz w:val="24"/>
          <w:szCs w:val="24"/>
          <w14:ligatures w14:val="standardContextual"/>
        </w:rPr>
        <w:t>Gemade</w:t>
      </w:r>
      <w:proofErr w:type="spellEnd"/>
      <w:r w:rsidRPr="00491FAD">
        <w:rPr>
          <w:rFonts w:ascii="Times New Roman" w:eastAsia="Aptos" w:hAnsi="Times New Roman" w:cs="Times New Roman"/>
          <w:kern w:val="2"/>
          <w:sz w:val="24"/>
          <w:szCs w:val="24"/>
          <w14:ligatures w14:val="standardContextual"/>
        </w:rPr>
        <w:t>, 2015). For agrochemical dealers, this reduced demand can translate into lower sales revenue, thus negatively affecting their profitability. At the same time, the theory suggests that governments should seek a VAT rate that balances revenue collection without significantly distorting the market by driving customers away (</w:t>
      </w:r>
      <w:proofErr w:type="spellStart"/>
      <w:r w:rsidRPr="00491FAD">
        <w:rPr>
          <w:rFonts w:ascii="Times New Roman" w:eastAsia="Aptos" w:hAnsi="Times New Roman" w:cs="Times New Roman"/>
          <w:kern w:val="2"/>
          <w:sz w:val="24"/>
          <w:szCs w:val="24"/>
          <w14:ligatures w14:val="standardContextual"/>
        </w:rPr>
        <w:t>Ocheni</w:t>
      </w:r>
      <w:proofErr w:type="spellEnd"/>
      <w:r w:rsidRPr="00491FAD">
        <w:rPr>
          <w:rFonts w:ascii="Times New Roman" w:eastAsia="Aptos" w:hAnsi="Times New Roman" w:cs="Times New Roman"/>
          <w:kern w:val="2"/>
          <w:sz w:val="24"/>
          <w:szCs w:val="24"/>
          <w14:ligatures w14:val="standardContextual"/>
        </w:rPr>
        <w:t xml:space="preserve">, &amp; </w:t>
      </w:r>
      <w:proofErr w:type="spellStart"/>
      <w:r w:rsidRPr="00491FAD">
        <w:rPr>
          <w:rFonts w:ascii="Times New Roman" w:eastAsia="Aptos" w:hAnsi="Times New Roman" w:cs="Times New Roman"/>
          <w:kern w:val="2"/>
          <w:sz w:val="24"/>
          <w:szCs w:val="24"/>
          <w14:ligatures w14:val="standardContextual"/>
        </w:rPr>
        <w:t>Gemade</w:t>
      </w:r>
      <w:proofErr w:type="spellEnd"/>
      <w:r w:rsidRPr="00491FAD">
        <w:rPr>
          <w:rFonts w:ascii="Times New Roman" w:eastAsia="Aptos" w:hAnsi="Times New Roman" w:cs="Times New Roman"/>
          <w:kern w:val="2"/>
          <w:sz w:val="24"/>
          <w:szCs w:val="24"/>
          <w14:ligatures w14:val="standardContextual"/>
        </w:rPr>
        <w:t>, 2015). Therefore, the underlying argument is that excessive taxation could reduce profitability by increasing costs, while well-designed taxes might achieve revenue goals without heavily burdening businesses. From this argument, the theory supports the hypotheses that higher levels of VAT, corporate tax and excise duty will have negative impact on the profitability of agrochemical dealers in Nairobi County Kenya.</w:t>
      </w:r>
      <w:r w:rsidR="008E19BD" w:rsidRPr="00491FAD">
        <w:rPr>
          <w:rFonts w:ascii="Times New Roman" w:eastAsia="Aptos" w:hAnsi="Times New Roman" w:cs="Times New Roman"/>
          <w:kern w:val="2"/>
          <w:sz w:val="24"/>
          <w:szCs w:val="24"/>
          <w14:ligatures w14:val="standardContextual"/>
        </w:rPr>
        <w:t xml:space="preserve"> </w:t>
      </w:r>
    </w:p>
    <w:p w14:paraId="254BD1D7" w14:textId="090D5223" w:rsidR="00C16F9F" w:rsidRPr="00491FAD" w:rsidRDefault="00C16F9F" w:rsidP="00491FAD">
      <w:pPr>
        <w:spacing w:after="0" w:line="360" w:lineRule="auto"/>
        <w:jc w:val="both"/>
        <w:rPr>
          <w:rFonts w:ascii="Times New Roman" w:eastAsia="Aptos" w:hAnsi="Times New Roman" w:cs="Times New Roman"/>
          <w:b/>
          <w:kern w:val="2"/>
          <w:sz w:val="24"/>
          <w:szCs w:val="24"/>
          <w14:ligatures w14:val="standardContextual"/>
        </w:rPr>
      </w:pPr>
      <w:r w:rsidRPr="00491FAD">
        <w:rPr>
          <w:rFonts w:ascii="Times New Roman" w:hAnsi="Times New Roman" w:cs="Times New Roman"/>
          <w:b/>
          <w:sz w:val="24"/>
          <w:szCs w:val="24"/>
        </w:rPr>
        <w:t>2.2 Empirical Review</w:t>
      </w:r>
    </w:p>
    <w:p w14:paraId="7C75A385"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bookmarkStart w:id="56" w:name="_Hlk168929702"/>
      <w:bookmarkStart w:id="57" w:name="_Toc231058624"/>
      <w:bookmarkStart w:id="58" w:name="_Toc231058728"/>
      <w:bookmarkStart w:id="59" w:name="_Toc231059653"/>
      <w:bookmarkStart w:id="60" w:name="_Toc231059863"/>
      <w:bookmarkStart w:id="61" w:name="_Toc231060014"/>
      <w:bookmarkStart w:id="62" w:name="_Toc231060139"/>
      <w:bookmarkStart w:id="63" w:name="_Toc233521162"/>
      <w:bookmarkStart w:id="64" w:name="_Toc233521483"/>
      <w:bookmarkStart w:id="65" w:name="_Toc233521553"/>
      <w:bookmarkStart w:id="66" w:name="_Toc233521629"/>
      <w:bookmarkStart w:id="67" w:name="_Toc233536586"/>
      <w:bookmarkStart w:id="68" w:name="_Toc233541521"/>
      <w:bookmarkStart w:id="69" w:name="_Toc233542997"/>
      <w:bookmarkStart w:id="70" w:name="_Toc84465445"/>
      <w:bookmarkStart w:id="71" w:name="_Toc84467334"/>
      <w:bookmarkStart w:id="72" w:name="_Toc241141582"/>
      <w:bookmarkStart w:id="73" w:name="_Toc92710738"/>
      <w:bookmarkStart w:id="74" w:name="_Toc92710877"/>
      <w:bookmarkStart w:id="75" w:name="_Toc92710971"/>
      <w:bookmarkStart w:id="76" w:name="_Toc92713623"/>
      <w:bookmarkStart w:id="77" w:name="_Toc92896963"/>
      <w:bookmarkStart w:id="78" w:name="_Toc98459716"/>
      <w:bookmarkStart w:id="79" w:name="_Toc98465905"/>
      <w:bookmarkStart w:id="80" w:name="_Toc252005454"/>
      <w:bookmarkStart w:id="81" w:name="_Toc252005682"/>
      <w:r w:rsidRPr="00491FAD">
        <w:rPr>
          <w:rFonts w:ascii="Times New Roman" w:eastAsia="Aptos" w:hAnsi="Times New Roman" w:cs="Times New Roman"/>
          <w:kern w:val="2"/>
          <w:sz w:val="24"/>
          <w:szCs w:val="24"/>
          <w14:ligatures w14:val="standardContextual"/>
        </w:rPr>
        <w:t xml:space="preserve">Sun, Zhan and Du (2020) focused on evaluating the effect of VAT incentives on the return on equity (ROE) of new energy listed companies in China, particularly addressing the gap in understanding how tax incentives impact firms across different parts of the energy industry value chain. The study employed a Difference-in-Differences (DID) approach, treating wind and nuclear power companies as the experimental group and solar PV and new energy vehicle (NEV) companies as the control group. Profitability was measured using ROE. The findings indicated that VAT incentives led to a 4.7% decrease in profitability for new energy companies, with the negative effects becoming more pronounced over time. This study highlights the complexity of tax incentives, showing that while they aim to stimulate investment in certain sectors, their impact may vary depending on the industry’s structure and market conditions. The results suggest that policymakers need to consider the time-lag effects and unintended consequences of tax incentives on profitability. However, the study was conducted in China hence presenting a contextual gap since the current study focuses on agro-chemical dealers in Nairobi Kenya. </w:t>
      </w:r>
    </w:p>
    <w:p w14:paraId="480F1B1A"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Tanzania, </w:t>
      </w:r>
      <w:proofErr w:type="spellStart"/>
      <w:r w:rsidRPr="00491FAD">
        <w:rPr>
          <w:rFonts w:ascii="Times New Roman" w:eastAsia="Aptos" w:hAnsi="Times New Roman" w:cs="Times New Roman"/>
          <w:kern w:val="2"/>
          <w:sz w:val="24"/>
          <w:szCs w:val="24"/>
          <w14:ligatures w14:val="standardContextual"/>
        </w:rPr>
        <w:t>Ngowi</w:t>
      </w:r>
      <w:proofErr w:type="spellEnd"/>
      <w:r w:rsidRPr="00491FAD">
        <w:rPr>
          <w:rFonts w:ascii="Times New Roman" w:eastAsia="Aptos" w:hAnsi="Times New Roman" w:cs="Times New Roman"/>
          <w:kern w:val="2"/>
          <w:sz w:val="24"/>
          <w:szCs w:val="24"/>
          <w14:ligatures w14:val="standardContextual"/>
        </w:rPr>
        <w:t xml:space="preserve"> and </w:t>
      </w:r>
      <w:proofErr w:type="spellStart"/>
      <w:r w:rsidRPr="00491FAD">
        <w:rPr>
          <w:rFonts w:ascii="Times New Roman" w:eastAsia="Aptos" w:hAnsi="Times New Roman" w:cs="Times New Roman"/>
          <w:kern w:val="2"/>
          <w:sz w:val="24"/>
          <w:szCs w:val="24"/>
          <w14:ligatures w14:val="standardContextual"/>
        </w:rPr>
        <w:t>Milanzi</w:t>
      </w:r>
      <w:proofErr w:type="spellEnd"/>
      <w:r w:rsidRPr="00491FAD">
        <w:rPr>
          <w:rFonts w:ascii="Times New Roman" w:eastAsia="Aptos" w:hAnsi="Times New Roman" w:cs="Times New Roman"/>
          <w:kern w:val="2"/>
          <w:sz w:val="24"/>
          <w:szCs w:val="24"/>
          <w14:ligatures w14:val="standardContextual"/>
        </w:rPr>
        <w:t xml:space="preserve"> (2020) conducted a study on the impact of VAT on small and medium enterprises (SMEs) in the </w:t>
      </w:r>
      <w:proofErr w:type="spellStart"/>
      <w:r w:rsidRPr="00491FAD">
        <w:rPr>
          <w:rFonts w:ascii="Times New Roman" w:eastAsia="Aptos" w:hAnsi="Times New Roman" w:cs="Times New Roman"/>
          <w:kern w:val="2"/>
          <w:sz w:val="24"/>
          <w:szCs w:val="24"/>
          <w14:ligatures w14:val="standardContextual"/>
        </w:rPr>
        <w:t>Arusha</w:t>
      </w:r>
      <w:proofErr w:type="spellEnd"/>
      <w:r w:rsidRPr="00491FAD">
        <w:rPr>
          <w:rFonts w:ascii="Times New Roman" w:eastAsia="Aptos" w:hAnsi="Times New Roman" w:cs="Times New Roman"/>
          <w:kern w:val="2"/>
          <w:sz w:val="24"/>
          <w:szCs w:val="24"/>
          <w14:ligatures w14:val="standardContextual"/>
        </w:rPr>
        <w:t xml:space="preserve"> region. Using a survey-based descriptive research design involving 120 SMEs, the study found that VAT compliance significantly reduced </w:t>
      </w:r>
      <w:r w:rsidRPr="00491FAD">
        <w:rPr>
          <w:rFonts w:ascii="Times New Roman" w:eastAsia="Aptos" w:hAnsi="Times New Roman" w:cs="Times New Roman"/>
          <w:kern w:val="2"/>
          <w:sz w:val="24"/>
          <w:szCs w:val="24"/>
          <w14:ligatures w14:val="standardContextual"/>
        </w:rPr>
        <w:lastRenderedPageBreak/>
        <w:t>profitability among small firms due to high administrative burdens and limited capacity to reclaim input VAT. The study noted that while VAT collection contributed to national revenue targets, over 62% of SME respondents reported reduced net profit margins post-VAT registration. Furthermore, firms in the retail and agro-processing sectors experienced the sharpest declines in profitability due to reduced consumer demand following VAT-induced price increases.</w:t>
      </w:r>
    </w:p>
    <w:p w14:paraId="068FA2F8"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Similarly, </w:t>
      </w:r>
      <w:proofErr w:type="spellStart"/>
      <w:r w:rsidRPr="00491FAD">
        <w:rPr>
          <w:rFonts w:ascii="Times New Roman" w:eastAsia="Aptos" w:hAnsi="Times New Roman" w:cs="Times New Roman"/>
          <w:kern w:val="2"/>
          <w:sz w:val="24"/>
          <w:szCs w:val="24"/>
          <w14:ligatures w14:val="standardContextual"/>
        </w:rPr>
        <w:t>Mwasenga</w:t>
      </w:r>
      <w:proofErr w:type="spellEnd"/>
      <w:r w:rsidRPr="00491FAD">
        <w:rPr>
          <w:rFonts w:ascii="Times New Roman" w:eastAsia="Aptos" w:hAnsi="Times New Roman" w:cs="Times New Roman"/>
          <w:kern w:val="2"/>
          <w:sz w:val="24"/>
          <w:szCs w:val="24"/>
          <w14:ligatures w14:val="standardContextual"/>
        </w:rPr>
        <w:t xml:space="preserve"> and </w:t>
      </w:r>
      <w:proofErr w:type="spellStart"/>
      <w:r w:rsidRPr="00491FAD">
        <w:rPr>
          <w:rFonts w:ascii="Times New Roman" w:eastAsia="Aptos" w:hAnsi="Times New Roman" w:cs="Times New Roman"/>
          <w:kern w:val="2"/>
          <w:sz w:val="24"/>
          <w:szCs w:val="24"/>
          <w14:ligatures w14:val="standardContextual"/>
        </w:rPr>
        <w:t>Nuhu</w:t>
      </w:r>
      <w:proofErr w:type="spellEnd"/>
      <w:r w:rsidRPr="00491FAD">
        <w:rPr>
          <w:rFonts w:ascii="Times New Roman" w:eastAsia="Aptos" w:hAnsi="Times New Roman" w:cs="Times New Roman"/>
          <w:kern w:val="2"/>
          <w:sz w:val="24"/>
          <w:szCs w:val="24"/>
          <w14:ligatures w14:val="standardContextual"/>
        </w:rPr>
        <w:t xml:space="preserve"> (2018) examined the effect of VAT on the profitability of manufacturing firms in Dar </w:t>
      </w:r>
      <w:proofErr w:type="spellStart"/>
      <w:r w:rsidRPr="00491FAD">
        <w:rPr>
          <w:rFonts w:ascii="Times New Roman" w:eastAsia="Aptos" w:hAnsi="Times New Roman" w:cs="Times New Roman"/>
          <w:kern w:val="2"/>
          <w:sz w:val="24"/>
          <w:szCs w:val="24"/>
          <w14:ligatures w14:val="standardContextual"/>
        </w:rPr>
        <w:t>es</w:t>
      </w:r>
      <w:proofErr w:type="spellEnd"/>
      <w:r w:rsidRPr="00491FAD">
        <w:rPr>
          <w:rFonts w:ascii="Times New Roman" w:eastAsia="Aptos" w:hAnsi="Times New Roman" w:cs="Times New Roman"/>
          <w:kern w:val="2"/>
          <w:sz w:val="24"/>
          <w:szCs w:val="24"/>
          <w14:ligatures w14:val="standardContextual"/>
        </w:rPr>
        <w:t xml:space="preserve"> Salaam. Using panel data from 15 firms between 2010 and 2016, their regression analysis showed a statistically significant negative relationship between effective VAT rates and net profit margins. The study argued that VAT amplified the cost of doing business by increasing product prices, reducing sales volumes, and tightening cash flows—especially for firms unable to claim timely refunds due to bureaucratic inefficiencies.</w:t>
      </w:r>
    </w:p>
    <w:p w14:paraId="4F6BB47F" w14:textId="77777777"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In Uganda, </w:t>
      </w:r>
      <w:proofErr w:type="spellStart"/>
      <w:r w:rsidRPr="00491FAD">
        <w:rPr>
          <w:rFonts w:ascii="Times New Roman" w:eastAsia="Aptos" w:hAnsi="Times New Roman" w:cs="Times New Roman"/>
          <w:kern w:val="2"/>
          <w:sz w:val="24"/>
          <w:szCs w:val="24"/>
          <w14:ligatures w14:val="standardContextual"/>
        </w:rPr>
        <w:t>Nkundabanyanga</w:t>
      </w:r>
      <w:proofErr w:type="spellEnd"/>
      <w:r w:rsidRPr="00491FAD">
        <w:rPr>
          <w:rFonts w:ascii="Times New Roman" w:eastAsia="Aptos" w:hAnsi="Times New Roman" w:cs="Times New Roman"/>
          <w:kern w:val="2"/>
          <w:sz w:val="24"/>
          <w:szCs w:val="24"/>
          <w14:ligatures w14:val="standardContextual"/>
        </w:rPr>
        <w:t xml:space="preserve"> (2017) explored the relationship between tax administration, VAT compliance, and business performance among SMEs in Kampala. The study employed both qualitative interviews and quantitative regression analysis on a sample of 150 SMEs. It found that poor VAT administration—including delays in refund processing and inconsistent enforcement—had a negative impact on profitability. Firms viewed VAT as a distortionary tax, especially when input-output mismatches occurred. The study recommended simplification of VAT procedures and expansion of electronic filing to minimize compliance costs.</w:t>
      </w:r>
    </w:p>
    <w:p w14:paraId="236987CE" w14:textId="7305CF2B" w:rsidR="00A45352"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proofErr w:type="spellStart"/>
      <w:r w:rsidRPr="00491FAD">
        <w:rPr>
          <w:rFonts w:ascii="Times New Roman" w:eastAsia="Aptos" w:hAnsi="Times New Roman" w:cs="Times New Roman"/>
          <w:kern w:val="2"/>
          <w:sz w:val="24"/>
          <w:szCs w:val="24"/>
          <w14:ligatures w14:val="standardContextual"/>
        </w:rPr>
        <w:t>Chege</w:t>
      </w:r>
      <w:proofErr w:type="spellEnd"/>
      <w:r w:rsidRPr="00491FAD">
        <w:rPr>
          <w:rFonts w:ascii="Times New Roman" w:eastAsia="Aptos" w:hAnsi="Times New Roman" w:cs="Times New Roman"/>
          <w:kern w:val="2"/>
          <w:sz w:val="24"/>
          <w:szCs w:val="24"/>
          <w14:ligatures w14:val="standardContextual"/>
        </w:rPr>
        <w:t xml:space="preserve"> (2022) aimed to investigate the effect of VAT exemption on the financial performance of domestic airline companies in Kenya, addressing a research gap where few studies have explored the impact of tax incentives on the domestic airline sector. The study employed a descriptive research design, focusing on all 15 domestic airlines in Kenya, with data collected from their financial reports for the period 2014 to 2018. Financial performance was measured using return on investment (ROI) as the dependent variable, and the analysis involved both descriptive and inferential statistics. The findings revealed that VAT exemptions had a significant positive effect on the financial performance of domestic airlines, increasing their ROI. The study highlighted the importance of tax incentives in enhancing the profitability of airlines, suggesting that similar incentives could be applied in other sectors to boost economic growth. This research underscores the value of fiscal policies in improving the competitiveness of domestic industries. However, the study focused on domestic airline </w:t>
      </w:r>
      <w:proofErr w:type="gramStart"/>
      <w:r w:rsidRPr="00491FAD">
        <w:rPr>
          <w:rFonts w:ascii="Times New Roman" w:eastAsia="Aptos" w:hAnsi="Times New Roman" w:cs="Times New Roman"/>
          <w:kern w:val="2"/>
          <w:sz w:val="24"/>
          <w:szCs w:val="24"/>
          <w14:ligatures w14:val="standardContextual"/>
        </w:rPr>
        <w:t>companies,</w:t>
      </w:r>
      <w:proofErr w:type="gramEnd"/>
      <w:r w:rsidRPr="00491FAD">
        <w:rPr>
          <w:rFonts w:ascii="Times New Roman" w:eastAsia="Aptos" w:hAnsi="Times New Roman" w:cs="Times New Roman"/>
          <w:kern w:val="2"/>
          <w:sz w:val="24"/>
          <w:szCs w:val="24"/>
          <w14:ligatures w14:val="standardContextual"/>
        </w:rPr>
        <w:t xml:space="preserve"> hence a contextual gap since the current study focus is on agro-chemical dealers in Nairobi Kenya.</w:t>
      </w:r>
    </w:p>
    <w:p w14:paraId="40E99889" w14:textId="50C565E8"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proofErr w:type="spellStart"/>
      <w:r w:rsidRPr="00491FAD">
        <w:rPr>
          <w:rFonts w:ascii="Times New Roman" w:eastAsia="Aptos" w:hAnsi="Times New Roman" w:cs="Times New Roman"/>
          <w:kern w:val="2"/>
          <w:sz w:val="24"/>
          <w:szCs w:val="24"/>
          <w14:ligatures w14:val="standardContextual"/>
        </w:rPr>
        <w:lastRenderedPageBreak/>
        <w:t>Ombati</w:t>
      </w:r>
      <w:proofErr w:type="spellEnd"/>
      <w:r w:rsidRPr="00491FAD">
        <w:rPr>
          <w:rFonts w:ascii="Times New Roman" w:eastAsia="Aptos" w:hAnsi="Times New Roman" w:cs="Times New Roman"/>
          <w:kern w:val="2"/>
          <w:sz w:val="24"/>
          <w:szCs w:val="24"/>
          <w14:ligatures w14:val="standardContextual"/>
        </w:rPr>
        <w:t xml:space="preserve"> (2021) set out to establish the effect of corporate tax on the performance of listed manufacturing firms. The study was motivated by the need to fill a gap in understanding how corporate tax impacts the financial outcomes of manufacturing firms listed on the stock exchange. A descriptive research design was employed, and data was </w:t>
      </w:r>
      <w:proofErr w:type="spellStart"/>
      <w:r w:rsidRPr="00491FAD">
        <w:rPr>
          <w:rFonts w:ascii="Times New Roman" w:eastAsia="Aptos" w:hAnsi="Times New Roman" w:cs="Times New Roman"/>
          <w:kern w:val="2"/>
          <w:sz w:val="24"/>
          <w:szCs w:val="24"/>
          <w14:ligatures w14:val="standardContextual"/>
        </w:rPr>
        <w:t>analysed</w:t>
      </w:r>
      <w:proofErr w:type="spellEnd"/>
      <w:r w:rsidRPr="00491FAD">
        <w:rPr>
          <w:rFonts w:ascii="Times New Roman" w:eastAsia="Aptos" w:hAnsi="Times New Roman" w:cs="Times New Roman"/>
          <w:kern w:val="2"/>
          <w:sz w:val="24"/>
          <w:szCs w:val="24"/>
          <w14:ligatures w14:val="standardContextual"/>
        </w:rPr>
        <w:t xml:space="preserve"> using SPSS. The study analytical techniques were descriptive statistics and inferential statistics such as correlation and regression analysis. The study measured corporate tax by assessing the amount paid by the firms, while profitability was quantified using return on assets (ROA), calculated as net income divided by total assets. The findings showed that both corporate </w:t>
      </w:r>
      <w:proofErr w:type="gramStart"/>
      <w:r w:rsidRPr="00491FAD">
        <w:rPr>
          <w:rFonts w:ascii="Times New Roman" w:eastAsia="Aptos" w:hAnsi="Times New Roman" w:cs="Times New Roman"/>
          <w:kern w:val="2"/>
          <w:sz w:val="24"/>
          <w:szCs w:val="24"/>
          <w14:ligatures w14:val="standardContextual"/>
        </w:rPr>
        <w:t>tax</w:t>
      </w:r>
      <w:proofErr w:type="gramEnd"/>
      <w:r w:rsidRPr="00491FAD">
        <w:rPr>
          <w:rFonts w:ascii="Times New Roman" w:eastAsia="Aptos" w:hAnsi="Times New Roman" w:cs="Times New Roman"/>
          <w:kern w:val="2"/>
          <w:sz w:val="24"/>
          <w:szCs w:val="24"/>
          <w14:ligatures w14:val="standardContextual"/>
        </w:rPr>
        <w:t xml:space="preserve"> had a significant positive effect on the financial performance of these firms. This research contributes to literature by suggesting that while corporate tax is often seen as a financial burden, it can also be indicative of robust profitability, especially for larger firms.</w:t>
      </w:r>
    </w:p>
    <w:p w14:paraId="3FE3648D" w14:textId="7811CFEC" w:rsidR="00A66B3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proofErr w:type="spellStart"/>
      <w:r w:rsidRPr="00491FAD">
        <w:rPr>
          <w:rFonts w:ascii="Times New Roman" w:eastAsia="Aptos" w:hAnsi="Times New Roman" w:cs="Times New Roman"/>
          <w:kern w:val="2"/>
          <w:sz w:val="24"/>
          <w:szCs w:val="24"/>
          <w14:ligatures w14:val="standardContextual"/>
        </w:rPr>
        <w:t>Lito</w:t>
      </w:r>
      <w:proofErr w:type="spellEnd"/>
      <w:r w:rsidRPr="00491FAD">
        <w:rPr>
          <w:rFonts w:ascii="Times New Roman" w:eastAsia="Aptos" w:hAnsi="Times New Roman" w:cs="Times New Roman"/>
          <w:kern w:val="2"/>
          <w:sz w:val="24"/>
          <w:szCs w:val="24"/>
          <w14:ligatures w14:val="standardContextual"/>
        </w:rPr>
        <w:t xml:space="preserve"> et al. (2024) sought to determine whether excise taxation on tobacco and alcohol products negatively influences the financial sustainability of South African SMMEs. The research filled a gap in understanding how sin taxes impact small and medium-sized enterprises (SMMEs) in South Africa, particularly in the tobacco and alcohol sectors. The study used an exploratory and empirical research design, with data collected via a survey questionnaire targeting SMME management. The study found that increases in excise taxes led to a reduction in sales for tobacco and alcohol products, significantly impacting the profitability of these SMMEs. The liquidity of the businesses was also negatively affected, though not as severely as profitability. This research highlighted the financial challenges small businesses face when subject to stringent sin taxes and offers insights for policymakers to consider the broader economic implications of excise tax regimes</w:t>
      </w:r>
    </w:p>
    <w:bookmarkEnd w:id="56"/>
    <w:p w14:paraId="594C99B8" w14:textId="596D3B94" w:rsidR="003B75B0" w:rsidRPr="00491FAD" w:rsidRDefault="003B75B0" w:rsidP="00491FAD">
      <w:pPr>
        <w:pStyle w:val="Heading1"/>
        <w:spacing w:before="0" w:after="240" w:line="360" w:lineRule="auto"/>
        <w:rPr>
          <w:rFonts w:cs="Times New Roman"/>
          <w:szCs w:val="24"/>
        </w:rPr>
      </w:pPr>
      <w:r w:rsidRPr="00491FAD">
        <w:rPr>
          <w:rFonts w:cs="Times New Roman"/>
          <w:szCs w:val="24"/>
        </w:rPr>
        <w:t>3.0 Methodology</w:t>
      </w:r>
      <w:bookmarkStart w:id="82" w:name="_GoBack"/>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1E3CDD8" w14:textId="6207460B" w:rsidR="003B75B0" w:rsidRPr="00491FAD" w:rsidRDefault="00A66B30" w:rsidP="00491FAD">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This study adopted a causal (explanatory) research design to examine the effect of business taxation on the profitability of agrochemical dealers in Nairobi City County. The design enabled testing of cause-and-effect relationships between four independent variables—Value Added Tax, corporate tax, excise duty, and import levy—and profitability as the dependent variable. The target population comprised 110 registered agrochemical dealers, and a census approach was used to collect data from all dealers due to the manageable population size. Primary data were collected using structured questionnaires, while secondary data came from audited financial reports. A pilot study involving 10 dealers confirmed the instrument’s reliability (</w:t>
      </w:r>
      <w:proofErr w:type="spellStart"/>
      <w:r w:rsidRPr="00491FAD">
        <w:rPr>
          <w:rFonts w:ascii="Times New Roman" w:eastAsia="Aptos" w:hAnsi="Times New Roman" w:cs="Times New Roman"/>
          <w:kern w:val="2"/>
          <w:sz w:val="24"/>
          <w:szCs w:val="24"/>
          <w14:ligatures w14:val="standardContextual"/>
        </w:rPr>
        <w:t>Cronbach's</w:t>
      </w:r>
      <w:proofErr w:type="spellEnd"/>
      <w:r w:rsidRPr="00491FAD">
        <w:rPr>
          <w:rFonts w:ascii="Times New Roman" w:eastAsia="Aptos" w:hAnsi="Times New Roman" w:cs="Times New Roman"/>
          <w:kern w:val="2"/>
          <w:sz w:val="24"/>
          <w:szCs w:val="24"/>
          <w14:ligatures w14:val="standardContextual"/>
        </w:rPr>
        <w:t xml:space="preserve"> </w:t>
      </w:r>
      <w:r w:rsidRPr="00491FAD">
        <w:rPr>
          <w:rFonts w:ascii="Times New Roman" w:eastAsia="Aptos" w:hAnsi="Times New Roman" w:cs="Times New Roman"/>
          <w:kern w:val="2"/>
          <w:sz w:val="24"/>
          <w:szCs w:val="24"/>
          <w14:ligatures w14:val="standardContextual"/>
        </w:rPr>
        <w:lastRenderedPageBreak/>
        <w:t xml:space="preserve">Alpha = 0.828) and validity through content and construct analysis. Data were analyzed using SPSS, applying both descriptive and inferential statistics including multiple regression analysis. Diagnostic tests for normality, </w:t>
      </w:r>
      <w:proofErr w:type="spellStart"/>
      <w:r w:rsidRPr="00491FAD">
        <w:rPr>
          <w:rFonts w:ascii="Times New Roman" w:eastAsia="Aptos" w:hAnsi="Times New Roman" w:cs="Times New Roman"/>
          <w:kern w:val="2"/>
          <w:sz w:val="24"/>
          <w:szCs w:val="24"/>
          <w14:ligatures w14:val="standardContextual"/>
        </w:rPr>
        <w:t>multicollinearity</w:t>
      </w:r>
      <w:proofErr w:type="spellEnd"/>
      <w:r w:rsidRPr="00491FAD">
        <w:rPr>
          <w:rFonts w:ascii="Times New Roman" w:eastAsia="Aptos" w:hAnsi="Times New Roman" w:cs="Times New Roman"/>
          <w:kern w:val="2"/>
          <w:sz w:val="24"/>
          <w:szCs w:val="24"/>
          <w14:ligatures w14:val="standardContextual"/>
        </w:rPr>
        <w:t xml:space="preserve">, and </w:t>
      </w:r>
      <w:proofErr w:type="spellStart"/>
      <w:r w:rsidRPr="00491FAD">
        <w:rPr>
          <w:rFonts w:ascii="Times New Roman" w:eastAsia="Aptos" w:hAnsi="Times New Roman" w:cs="Times New Roman"/>
          <w:kern w:val="2"/>
          <w:sz w:val="24"/>
          <w:szCs w:val="24"/>
          <w14:ligatures w14:val="standardContextual"/>
        </w:rPr>
        <w:t>heteroskedasticity</w:t>
      </w:r>
      <w:proofErr w:type="spellEnd"/>
      <w:r w:rsidRPr="00491FAD">
        <w:rPr>
          <w:rFonts w:ascii="Times New Roman" w:eastAsia="Aptos" w:hAnsi="Times New Roman" w:cs="Times New Roman"/>
          <w:kern w:val="2"/>
          <w:sz w:val="24"/>
          <w:szCs w:val="24"/>
          <w14:ligatures w14:val="standardContextual"/>
        </w:rPr>
        <w:t xml:space="preserve"> were conducted to ensure the validity of the regression model</w:t>
      </w:r>
      <w:r w:rsidR="00A1297C">
        <w:rPr>
          <w:rFonts w:ascii="Times New Roman" w:eastAsia="Aptos" w:hAnsi="Times New Roman" w:cs="Times New Roman"/>
          <w:kern w:val="2"/>
          <w:sz w:val="24"/>
          <w:szCs w:val="24"/>
          <w14:ligatures w14:val="standardContextual"/>
        </w:rPr>
        <w:t>.</w:t>
      </w:r>
    </w:p>
    <w:p w14:paraId="05FE36B1" w14:textId="560C4E0C" w:rsidR="00990069" w:rsidRPr="00491FAD" w:rsidRDefault="003B75B0" w:rsidP="00491FAD">
      <w:pPr>
        <w:pStyle w:val="Heading1"/>
        <w:spacing w:before="0" w:after="240" w:line="360" w:lineRule="auto"/>
        <w:rPr>
          <w:rFonts w:cs="Times New Roman"/>
          <w:szCs w:val="24"/>
        </w:rPr>
      </w:pPr>
      <w:r w:rsidRPr="00491FAD">
        <w:rPr>
          <w:rFonts w:cs="Times New Roman"/>
          <w:szCs w:val="24"/>
        </w:rPr>
        <w:t xml:space="preserve">4.0 </w:t>
      </w:r>
      <w:bookmarkStart w:id="83" w:name="_Toc241141594"/>
      <w:bookmarkStart w:id="84" w:name="_Toc92710750"/>
      <w:bookmarkStart w:id="85" w:name="_Toc92710889"/>
      <w:bookmarkStart w:id="86" w:name="_Toc92710983"/>
      <w:bookmarkStart w:id="87" w:name="_Toc92713635"/>
      <w:bookmarkStart w:id="88" w:name="_Toc92896975"/>
      <w:r w:rsidR="00851D63">
        <w:rPr>
          <w:rFonts w:cs="Times New Roman"/>
          <w:szCs w:val="24"/>
        </w:rPr>
        <w:t>Result</w:t>
      </w:r>
      <w:r w:rsidRPr="00491FAD">
        <w:rPr>
          <w:rFonts w:cs="Times New Roman"/>
          <w:szCs w:val="24"/>
        </w:rPr>
        <w:t xml:space="preserve"> </w:t>
      </w:r>
      <w:bookmarkEnd w:id="83"/>
      <w:bookmarkEnd w:id="84"/>
      <w:bookmarkEnd w:id="85"/>
      <w:bookmarkEnd w:id="86"/>
      <w:bookmarkEnd w:id="87"/>
      <w:bookmarkEnd w:id="88"/>
      <w:r w:rsidRPr="00491FAD">
        <w:rPr>
          <w:rFonts w:cs="Times New Roman"/>
          <w:szCs w:val="24"/>
        </w:rPr>
        <w:t>and Discussion</w:t>
      </w:r>
    </w:p>
    <w:p w14:paraId="4C67C2BB" w14:textId="06AA9767" w:rsidR="00491FAD" w:rsidRPr="00491FAD" w:rsidRDefault="00491FAD" w:rsidP="00491FAD">
      <w:pPr>
        <w:spacing w:line="360" w:lineRule="auto"/>
        <w:jc w:val="both"/>
        <w:rPr>
          <w:rFonts w:ascii="Times New Roman" w:hAnsi="Times New Roman" w:cs="Times New Roman"/>
          <w:sz w:val="24"/>
          <w:szCs w:val="24"/>
        </w:rPr>
      </w:pPr>
      <w:r w:rsidRPr="00491FAD">
        <w:rPr>
          <w:rFonts w:ascii="Times New Roman" w:hAnsi="Times New Roman" w:cs="Times New Roman"/>
          <w:sz w:val="24"/>
          <w:szCs w:val="24"/>
        </w:rPr>
        <w:t>This section presented the analysis and interpretation of data collected from agrochemical dealers in Nairobi County to assess the influence of taxation policies on business profitability. The findings were organized around key tax categories—Value Added Tax (VAT), Excise Tax, Corporate Tax, and Import Levy—as well as profitability metrics of the firms. Descriptive statistics, diagnostic tests, and correlation analysis were used to identify patterns, relationships, and insights relevant to the study’s objective</w:t>
      </w:r>
    </w:p>
    <w:p w14:paraId="668148DD" w14:textId="48B01E2C" w:rsidR="00491FAD" w:rsidRPr="00491FAD" w:rsidRDefault="00491FAD" w:rsidP="00491FAD">
      <w:pPr>
        <w:keepNext/>
        <w:keepLines/>
        <w:spacing w:before="40" w:after="0" w:line="360" w:lineRule="auto"/>
        <w:jc w:val="both"/>
        <w:outlineLvl w:val="1"/>
        <w:rPr>
          <w:rFonts w:ascii="Times New Roman" w:eastAsia="Times New Roman" w:hAnsi="Times New Roman" w:cs="Times New Roman"/>
          <w:b/>
          <w:sz w:val="24"/>
          <w:szCs w:val="24"/>
          <w:lang w:val="en-ZA"/>
        </w:rPr>
      </w:pPr>
      <w:bookmarkStart w:id="89" w:name="_Toc196320783"/>
      <w:r w:rsidRPr="00491FAD">
        <w:rPr>
          <w:rFonts w:ascii="Times New Roman" w:eastAsia="Times New Roman" w:hAnsi="Times New Roman" w:cs="Times New Roman"/>
          <w:b/>
          <w:sz w:val="24"/>
          <w:szCs w:val="24"/>
          <w:lang w:val="en-ZA"/>
        </w:rPr>
        <w:t>Descriptive Statistics</w:t>
      </w:r>
    </w:p>
    <w:p w14:paraId="08D53568" w14:textId="4BF964F9" w:rsidR="00491FAD" w:rsidRPr="00491FAD" w:rsidRDefault="00491FAD" w:rsidP="00491FAD">
      <w:pPr>
        <w:keepNext/>
        <w:keepLines/>
        <w:spacing w:before="40" w:after="0" w:line="360" w:lineRule="auto"/>
        <w:jc w:val="both"/>
        <w:outlineLvl w:val="2"/>
        <w:rPr>
          <w:rFonts w:ascii="Times New Roman" w:eastAsia="Times New Roman" w:hAnsi="Times New Roman" w:cs="Times New Roman"/>
          <w:b/>
          <w:sz w:val="24"/>
          <w:szCs w:val="24"/>
          <w:lang w:val="en-ZA"/>
        </w:rPr>
      </w:pPr>
      <w:bookmarkStart w:id="90" w:name="_Toc196320773"/>
      <w:r w:rsidRPr="00491FAD">
        <w:rPr>
          <w:rFonts w:ascii="Times New Roman" w:eastAsia="Times New Roman" w:hAnsi="Times New Roman" w:cs="Times New Roman"/>
          <w:b/>
          <w:sz w:val="24"/>
          <w:szCs w:val="24"/>
          <w:lang w:val="en-ZA"/>
        </w:rPr>
        <w:t>Value Added Tax (VAT) Paid by Agrochemical Dealers</w:t>
      </w:r>
      <w:bookmarkEnd w:id="90"/>
    </w:p>
    <w:p w14:paraId="766E9891" w14:textId="12720510"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The study sought to establish the amount of VAT paid by agrochemical dealers from 2020 to 2024. Table </w:t>
      </w:r>
      <w:r w:rsidR="00683658">
        <w:rPr>
          <w:rFonts w:ascii="Times New Roman" w:eastAsia="Times New Roman" w:hAnsi="Times New Roman" w:cs="Times New Roman"/>
          <w:sz w:val="24"/>
          <w:szCs w:val="24"/>
          <w:lang w:val="en-ZA"/>
        </w:rPr>
        <w:t>1</w:t>
      </w:r>
      <w:r w:rsidRPr="00491FAD">
        <w:rPr>
          <w:rFonts w:ascii="Times New Roman" w:eastAsia="Times New Roman" w:hAnsi="Times New Roman" w:cs="Times New Roman"/>
          <w:sz w:val="24"/>
          <w:szCs w:val="24"/>
          <w:lang w:val="en-ZA"/>
        </w:rPr>
        <w:t xml:space="preserve"> presents the findings.</w:t>
      </w:r>
    </w:p>
    <w:p w14:paraId="0BDFDEF3" w14:textId="11F3E562"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91" w:name="_Toc195640671"/>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1</w:t>
      </w:r>
      <w:r w:rsidRPr="00491FAD">
        <w:rPr>
          <w:rFonts w:ascii="Times New Roman" w:eastAsia="Times New Roman" w:hAnsi="Times New Roman" w:cs="Times New Roman"/>
          <w:b/>
          <w:bCs/>
          <w:sz w:val="24"/>
          <w:szCs w:val="24"/>
          <w:lang w:val="en-ZA"/>
        </w:rPr>
        <w:t>: Value Added Tax Paid by Agrochemical Dealers (2020-2024)</w:t>
      </w:r>
      <w:bookmarkEnd w:id="91"/>
    </w:p>
    <w:tbl>
      <w:tblPr>
        <w:tblStyle w:val="TableGrid"/>
        <w:tblW w:w="0" w:type="auto"/>
        <w:tblLook w:val="04A0" w:firstRow="1" w:lastRow="0" w:firstColumn="1" w:lastColumn="0" w:noHBand="0" w:noVBand="1"/>
      </w:tblPr>
      <w:tblGrid>
        <w:gridCol w:w="990"/>
        <w:gridCol w:w="1830"/>
        <w:gridCol w:w="1343"/>
        <w:gridCol w:w="1463"/>
        <w:gridCol w:w="1843"/>
        <w:gridCol w:w="803"/>
        <w:gridCol w:w="1083"/>
      </w:tblGrid>
      <w:tr w:rsidR="00491FAD" w:rsidRPr="00491FAD" w14:paraId="72D8AC84" w14:textId="77777777" w:rsidTr="0079674E">
        <w:tc>
          <w:tcPr>
            <w:tcW w:w="0" w:type="auto"/>
            <w:hideMark/>
          </w:tcPr>
          <w:p w14:paraId="2678D5E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04B2357E"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43BAD5F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71AEA770"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545A5D8F"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29C42A1E"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Mean</w:t>
            </w:r>
          </w:p>
        </w:tc>
        <w:tc>
          <w:tcPr>
            <w:tcW w:w="0" w:type="auto"/>
            <w:hideMark/>
          </w:tcPr>
          <w:p w14:paraId="65907B5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 xml:space="preserve">Std. </w:t>
            </w:r>
            <w:proofErr w:type="spellStart"/>
            <w:r w:rsidRPr="00491FAD">
              <w:rPr>
                <w:rFonts w:ascii="Times New Roman" w:eastAsia="Times New Roman" w:hAnsi="Times New Roman" w:cs="Times New Roman"/>
                <w:b/>
                <w:bCs/>
                <w:sz w:val="24"/>
                <w:szCs w:val="24"/>
                <w:lang w:val="en-ZA"/>
              </w:rPr>
              <w:t>Dev</w:t>
            </w:r>
            <w:proofErr w:type="spellEnd"/>
          </w:p>
        </w:tc>
      </w:tr>
      <w:tr w:rsidR="00491FAD" w:rsidRPr="00491FAD" w14:paraId="784932FA" w14:textId="77777777" w:rsidTr="0079674E">
        <w:tc>
          <w:tcPr>
            <w:tcW w:w="0" w:type="auto"/>
            <w:hideMark/>
          </w:tcPr>
          <w:p w14:paraId="7D5F441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4AC3A47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4E89EE3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37.1%</w:t>
            </w:r>
          </w:p>
        </w:tc>
        <w:tc>
          <w:tcPr>
            <w:tcW w:w="0" w:type="auto"/>
            <w:hideMark/>
          </w:tcPr>
          <w:p w14:paraId="1C8433D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0" w:type="auto"/>
            <w:hideMark/>
          </w:tcPr>
          <w:p w14:paraId="16C53E4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27F32A1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2.8</w:t>
            </w:r>
          </w:p>
        </w:tc>
        <w:tc>
          <w:tcPr>
            <w:tcW w:w="0" w:type="auto"/>
            <w:hideMark/>
          </w:tcPr>
          <w:p w14:paraId="36A1CD2E"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0.87</w:t>
            </w:r>
          </w:p>
        </w:tc>
      </w:tr>
      <w:tr w:rsidR="00491FAD" w:rsidRPr="00491FAD" w14:paraId="6E38FACA" w14:textId="77777777" w:rsidTr="0079674E">
        <w:tc>
          <w:tcPr>
            <w:tcW w:w="0" w:type="auto"/>
            <w:hideMark/>
          </w:tcPr>
          <w:p w14:paraId="2B3595C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41C0085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7F0C3CD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39.2%</w:t>
            </w:r>
          </w:p>
        </w:tc>
        <w:tc>
          <w:tcPr>
            <w:tcW w:w="0" w:type="auto"/>
            <w:hideMark/>
          </w:tcPr>
          <w:p w14:paraId="13877C3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16.5%</w:t>
            </w:r>
          </w:p>
        </w:tc>
        <w:tc>
          <w:tcPr>
            <w:tcW w:w="0" w:type="auto"/>
            <w:hideMark/>
          </w:tcPr>
          <w:p w14:paraId="4FB44D8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0" w:type="auto"/>
            <w:hideMark/>
          </w:tcPr>
          <w:p w14:paraId="530EF2D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w:t>
            </w:r>
          </w:p>
        </w:tc>
        <w:tc>
          <w:tcPr>
            <w:tcW w:w="0" w:type="auto"/>
            <w:hideMark/>
          </w:tcPr>
          <w:p w14:paraId="7F86B77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0.94</w:t>
            </w:r>
          </w:p>
        </w:tc>
      </w:tr>
      <w:tr w:rsidR="00491FAD" w:rsidRPr="00491FAD" w14:paraId="69BD30E4" w14:textId="77777777" w:rsidTr="0079674E">
        <w:tc>
          <w:tcPr>
            <w:tcW w:w="0" w:type="auto"/>
            <w:hideMark/>
          </w:tcPr>
          <w:p w14:paraId="1AF9F7D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02A4DE1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29.9%</w:t>
            </w:r>
          </w:p>
        </w:tc>
        <w:tc>
          <w:tcPr>
            <w:tcW w:w="0" w:type="auto"/>
            <w:hideMark/>
          </w:tcPr>
          <w:p w14:paraId="09E84D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41.2%</w:t>
            </w:r>
          </w:p>
        </w:tc>
        <w:tc>
          <w:tcPr>
            <w:tcW w:w="0" w:type="auto"/>
            <w:hideMark/>
          </w:tcPr>
          <w:p w14:paraId="3000757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17.5%</w:t>
            </w:r>
          </w:p>
        </w:tc>
        <w:tc>
          <w:tcPr>
            <w:tcW w:w="0" w:type="auto"/>
            <w:hideMark/>
          </w:tcPr>
          <w:p w14:paraId="1CA69CE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3EDE163C"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3.1</w:t>
            </w:r>
          </w:p>
        </w:tc>
        <w:tc>
          <w:tcPr>
            <w:tcW w:w="0" w:type="auto"/>
            <w:hideMark/>
          </w:tcPr>
          <w:p w14:paraId="6907C27D"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0.96</w:t>
            </w:r>
          </w:p>
        </w:tc>
      </w:tr>
      <w:tr w:rsidR="00491FAD" w:rsidRPr="00491FAD" w14:paraId="44EB8E79" w14:textId="77777777" w:rsidTr="0079674E">
        <w:tc>
          <w:tcPr>
            <w:tcW w:w="0" w:type="auto"/>
            <w:hideMark/>
          </w:tcPr>
          <w:p w14:paraId="1A0981D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79C77F0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24.7%</w:t>
            </w:r>
          </w:p>
        </w:tc>
        <w:tc>
          <w:tcPr>
            <w:tcW w:w="0" w:type="auto"/>
            <w:hideMark/>
          </w:tcPr>
          <w:p w14:paraId="756132E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43.3%</w:t>
            </w:r>
          </w:p>
        </w:tc>
        <w:tc>
          <w:tcPr>
            <w:tcW w:w="0" w:type="auto"/>
            <w:hideMark/>
          </w:tcPr>
          <w:p w14:paraId="2CEA3EB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20.6%</w:t>
            </w:r>
          </w:p>
        </w:tc>
        <w:tc>
          <w:tcPr>
            <w:tcW w:w="0" w:type="auto"/>
            <w:hideMark/>
          </w:tcPr>
          <w:p w14:paraId="31744C3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559BD49B"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w:t>
            </w:r>
          </w:p>
        </w:tc>
        <w:tc>
          <w:tcPr>
            <w:tcW w:w="0" w:type="auto"/>
            <w:hideMark/>
          </w:tcPr>
          <w:p w14:paraId="5638323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491FAD" w:rsidRPr="00491FAD" w14:paraId="6548D312" w14:textId="77777777" w:rsidTr="0079674E">
        <w:tc>
          <w:tcPr>
            <w:tcW w:w="0" w:type="auto"/>
            <w:hideMark/>
          </w:tcPr>
          <w:p w14:paraId="1BC582A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3326AE9"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20.6%</w:t>
            </w:r>
          </w:p>
        </w:tc>
        <w:tc>
          <w:tcPr>
            <w:tcW w:w="0" w:type="auto"/>
            <w:hideMark/>
          </w:tcPr>
          <w:p w14:paraId="403C1422"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5BDD2BA0"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23.7%</w:t>
            </w:r>
          </w:p>
        </w:tc>
        <w:tc>
          <w:tcPr>
            <w:tcW w:w="0" w:type="auto"/>
            <w:hideMark/>
          </w:tcPr>
          <w:p w14:paraId="4EDF90B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71BF6C0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3.3</w:t>
            </w:r>
          </w:p>
        </w:tc>
        <w:tc>
          <w:tcPr>
            <w:tcW w:w="0" w:type="auto"/>
            <w:hideMark/>
          </w:tcPr>
          <w:p w14:paraId="57A16266"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0.96</w:t>
            </w:r>
          </w:p>
        </w:tc>
      </w:tr>
      <w:tr w:rsidR="00491FAD" w:rsidRPr="00491FAD" w14:paraId="12317C9B" w14:textId="77777777" w:rsidTr="0079674E">
        <w:tc>
          <w:tcPr>
            <w:tcW w:w="0" w:type="auto"/>
            <w:hideMark/>
          </w:tcPr>
          <w:p w14:paraId="35D6489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78AB5D4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30.9%</w:t>
            </w:r>
          </w:p>
        </w:tc>
        <w:tc>
          <w:tcPr>
            <w:tcW w:w="0" w:type="auto"/>
            <w:hideMark/>
          </w:tcPr>
          <w:p w14:paraId="61279017"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40.6%</w:t>
            </w:r>
          </w:p>
        </w:tc>
        <w:tc>
          <w:tcPr>
            <w:tcW w:w="0" w:type="auto"/>
            <w:hideMark/>
          </w:tcPr>
          <w:p w14:paraId="45CFAD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18.1%</w:t>
            </w:r>
          </w:p>
        </w:tc>
        <w:tc>
          <w:tcPr>
            <w:tcW w:w="0" w:type="auto"/>
            <w:hideMark/>
          </w:tcPr>
          <w:p w14:paraId="4B4E5D5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10.3%</w:t>
            </w:r>
          </w:p>
        </w:tc>
        <w:tc>
          <w:tcPr>
            <w:tcW w:w="0" w:type="auto"/>
            <w:hideMark/>
          </w:tcPr>
          <w:p w14:paraId="185EB855"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3.1</w:t>
            </w:r>
          </w:p>
        </w:tc>
        <w:tc>
          <w:tcPr>
            <w:tcW w:w="0" w:type="auto"/>
            <w:hideMark/>
          </w:tcPr>
          <w:p w14:paraId="04D2486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0.94</w:t>
            </w:r>
          </w:p>
        </w:tc>
      </w:tr>
    </w:tbl>
    <w:p w14:paraId="0F85F538" w14:textId="77777777" w:rsidR="00491FAD" w:rsidRPr="00491FAD" w:rsidRDefault="00491FAD" w:rsidP="00491FAD">
      <w:pPr>
        <w:spacing w:after="100" w:afterAutospacing="1"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bookmarkStart w:id="92" w:name="_Toc196320774"/>
    </w:p>
    <w:p w14:paraId="211D0D95" w14:textId="0C3E2729" w:rsidR="00491FAD" w:rsidRPr="00491FAD" w:rsidRDefault="00491FAD" w:rsidP="00491FAD">
      <w:pPr>
        <w:spacing w:after="100" w:afterAutospacing="1" w:line="360" w:lineRule="auto"/>
        <w:jc w:val="both"/>
        <w:rPr>
          <w:rFonts w:ascii="Times New Roman" w:eastAsia="Times New Roman" w:hAnsi="Times New Roman" w:cs="Times New Roman"/>
          <w:b/>
          <w:bCs/>
          <w:strike/>
          <w:sz w:val="24"/>
          <w:szCs w:val="24"/>
          <w:lang w:val="en-ZA"/>
        </w:rPr>
      </w:pPr>
      <w:r w:rsidRPr="00491FAD">
        <w:rPr>
          <w:rFonts w:ascii="Times New Roman" w:eastAsia="Times New Roman" w:hAnsi="Times New Roman" w:cs="Times New Roman"/>
          <w:bCs/>
          <w:sz w:val="24"/>
          <w:szCs w:val="24"/>
          <w:lang w:val="en-ZA"/>
        </w:rPr>
        <w:t xml:space="preserve">Table </w:t>
      </w:r>
      <w:r w:rsidR="00683658">
        <w:rPr>
          <w:rFonts w:ascii="Times New Roman" w:eastAsia="Times New Roman" w:hAnsi="Times New Roman" w:cs="Times New Roman"/>
          <w:bCs/>
          <w:sz w:val="24"/>
          <w:szCs w:val="24"/>
          <w:lang w:val="en-ZA"/>
        </w:rPr>
        <w:t>1</w:t>
      </w:r>
      <w:r w:rsidRPr="00491FAD">
        <w:rPr>
          <w:rFonts w:ascii="Times New Roman" w:eastAsia="Times New Roman" w:hAnsi="Times New Roman" w:cs="Times New Roman"/>
          <w:bCs/>
          <w:sz w:val="24"/>
          <w:szCs w:val="24"/>
          <w:lang w:val="en-ZA"/>
        </w:rPr>
        <w:t xml:space="preserve"> presented the trends in Value Added Tax (VAT) paid by agrochemical dealers in Nairobi County between 2020 and 2024. The results showed a consistent upward shift in VAT brackets </w:t>
      </w:r>
      <w:r w:rsidRPr="00491FAD">
        <w:rPr>
          <w:rFonts w:ascii="Times New Roman" w:eastAsia="Times New Roman" w:hAnsi="Times New Roman" w:cs="Times New Roman"/>
          <w:bCs/>
          <w:sz w:val="24"/>
          <w:szCs w:val="24"/>
          <w:lang w:val="en-ZA"/>
        </w:rPr>
        <w:lastRenderedPageBreak/>
        <w:t xml:space="preserve">over the five-year period. Specifically, the proportion of dealers who paid less than KES 1 million in VAT declined from 44.3% in 2020 to 20.6% in 2024. In contrast, the percentage of those who paid over KES 11 million increased from 6.2% to 13.4%, indicating growth in the number of high-revenue businesses within the sector. The overall mean VAT score across the period was 3.1, with a standard deviation of 0.94. This meant that the majority of agrochemical dealers fell within the KES 1–5 million VAT bracket, corresponding to the third point on the </w:t>
      </w:r>
      <w:proofErr w:type="spellStart"/>
      <w:r w:rsidRPr="00491FAD">
        <w:rPr>
          <w:rFonts w:ascii="Times New Roman" w:eastAsia="Times New Roman" w:hAnsi="Times New Roman" w:cs="Times New Roman"/>
          <w:bCs/>
          <w:sz w:val="24"/>
          <w:szCs w:val="24"/>
          <w:lang w:val="en-ZA"/>
        </w:rPr>
        <w:t>Likert</w:t>
      </w:r>
      <w:proofErr w:type="spellEnd"/>
      <w:r w:rsidRPr="00491FAD">
        <w:rPr>
          <w:rFonts w:ascii="Times New Roman" w:eastAsia="Times New Roman" w:hAnsi="Times New Roman" w:cs="Times New Roman"/>
          <w:bCs/>
          <w:sz w:val="24"/>
          <w:szCs w:val="24"/>
          <w:lang w:val="en-ZA"/>
        </w:rPr>
        <w:t xml:space="preserve"> scale used. The relatively low standard deviation indicated limited variation in VAT payment amounts among the dealers, suggesting consistent VAT payment </w:t>
      </w:r>
      <w:proofErr w:type="spellStart"/>
      <w:r w:rsidRPr="00491FAD">
        <w:rPr>
          <w:rFonts w:ascii="Times New Roman" w:eastAsia="Times New Roman" w:hAnsi="Times New Roman" w:cs="Times New Roman"/>
          <w:bCs/>
          <w:sz w:val="24"/>
          <w:szCs w:val="24"/>
          <w:lang w:val="en-ZA"/>
        </w:rPr>
        <w:t>behaviors</w:t>
      </w:r>
      <w:proofErr w:type="spellEnd"/>
      <w:r w:rsidRPr="00491FAD">
        <w:rPr>
          <w:rFonts w:ascii="Times New Roman" w:eastAsia="Times New Roman" w:hAnsi="Times New Roman" w:cs="Times New Roman"/>
          <w:bCs/>
          <w:sz w:val="24"/>
          <w:szCs w:val="24"/>
          <w:lang w:val="en-ZA"/>
        </w:rPr>
        <w:t xml:space="preserve"> over the years. These findings implied a positive trend in business expansion and tax contribution, likely influenced by increased formalization, improved profitability, and stronger tax compliance measures (KRA, 2023; OECD, 2020).</w:t>
      </w:r>
    </w:p>
    <w:p w14:paraId="729ED55B" w14:textId="7C83163F" w:rsidR="00491FAD" w:rsidRPr="00491FAD" w:rsidRDefault="00491FAD" w:rsidP="00491FAD">
      <w:pPr>
        <w:keepNext/>
        <w:keepLines/>
        <w:spacing w:before="40" w:after="0" w:line="360" w:lineRule="auto"/>
        <w:jc w:val="both"/>
        <w:outlineLvl w:val="2"/>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Excise Taxes Paid by Agrochemical Dealers</w:t>
      </w:r>
      <w:bookmarkEnd w:id="92"/>
    </w:p>
    <w:p w14:paraId="526C0828" w14:textId="7F5B4066"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also examined the excise taxes paid by agrochemical dealers over the five-year period. Table </w:t>
      </w:r>
      <w:r w:rsidR="00683658">
        <w:rPr>
          <w:rFonts w:ascii="Times New Roman" w:eastAsia="Times New Roman" w:hAnsi="Times New Roman" w:cs="Times New Roman"/>
          <w:bCs/>
          <w:sz w:val="24"/>
          <w:szCs w:val="24"/>
          <w:lang w:val="en-ZA"/>
        </w:rPr>
        <w:t>2</w:t>
      </w:r>
      <w:r w:rsidRPr="00491FAD">
        <w:rPr>
          <w:rFonts w:ascii="Times New Roman" w:eastAsia="Times New Roman" w:hAnsi="Times New Roman" w:cs="Times New Roman"/>
          <w:bCs/>
          <w:sz w:val="24"/>
          <w:szCs w:val="24"/>
          <w:lang w:val="en-ZA"/>
        </w:rPr>
        <w:t xml:space="preserve"> presents the findings.</w:t>
      </w:r>
    </w:p>
    <w:p w14:paraId="1581C95D" w14:textId="410A9DE6"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93" w:name="_Toc195640672"/>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2</w:t>
      </w:r>
      <w:r w:rsidRPr="00491FAD">
        <w:rPr>
          <w:rFonts w:ascii="Times New Roman" w:eastAsia="Times New Roman" w:hAnsi="Times New Roman" w:cs="Times New Roman"/>
          <w:b/>
          <w:sz w:val="24"/>
          <w:szCs w:val="24"/>
          <w:lang w:val="en-ZA"/>
        </w:rPr>
        <w:t>: Excise Taxes Paid by Agrochemical Dealers (2020-2024)</w:t>
      </w:r>
      <w:bookmarkEnd w:id="93"/>
    </w:p>
    <w:tbl>
      <w:tblPr>
        <w:tblStyle w:val="TableGrid"/>
        <w:tblW w:w="0" w:type="auto"/>
        <w:tblLook w:val="04A0" w:firstRow="1" w:lastRow="0" w:firstColumn="1" w:lastColumn="0" w:noHBand="0" w:noVBand="1"/>
      </w:tblPr>
      <w:tblGrid>
        <w:gridCol w:w="990"/>
        <w:gridCol w:w="1830"/>
        <w:gridCol w:w="1343"/>
        <w:gridCol w:w="1463"/>
        <w:gridCol w:w="1843"/>
        <w:gridCol w:w="1083"/>
      </w:tblGrid>
      <w:tr w:rsidR="00527AFE" w:rsidRPr="00491FAD" w14:paraId="3C879FE9" w14:textId="77777777" w:rsidTr="0079674E">
        <w:tc>
          <w:tcPr>
            <w:tcW w:w="0" w:type="auto"/>
            <w:hideMark/>
          </w:tcPr>
          <w:p w14:paraId="2F16BEA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169D5D59"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2E12CDC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226D898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5F422DB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3DCB54F9"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 xml:space="preserve">Std. </w:t>
            </w:r>
            <w:proofErr w:type="spellStart"/>
            <w:r w:rsidRPr="00491FAD">
              <w:rPr>
                <w:rFonts w:ascii="Times New Roman" w:eastAsia="Times New Roman" w:hAnsi="Times New Roman" w:cs="Times New Roman"/>
                <w:b/>
                <w:bCs/>
                <w:sz w:val="24"/>
                <w:szCs w:val="24"/>
                <w:lang w:val="en-ZA"/>
              </w:rPr>
              <w:t>Dev</w:t>
            </w:r>
            <w:proofErr w:type="spellEnd"/>
          </w:p>
        </w:tc>
      </w:tr>
      <w:tr w:rsidR="00527AFE" w:rsidRPr="00491FAD" w14:paraId="012F400C" w14:textId="77777777" w:rsidTr="0079674E">
        <w:tc>
          <w:tcPr>
            <w:tcW w:w="0" w:type="auto"/>
            <w:hideMark/>
          </w:tcPr>
          <w:p w14:paraId="3A0E841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59EF178A"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57.7%</w:t>
            </w:r>
          </w:p>
        </w:tc>
        <w:tc>
          <w:tcPr>
            <w:tcW w:w="0" w:type="auto"/>
            <w:hideMark/>
          </w:tcPr>
          <w:p w14:paraId="4466DC2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3918A7E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8.2%</w:t>
            </w:r>
          </w:p>
        </w:tc>
        <w:tc>
          <w:tcPr>
            <w:tcW w:w="0" w:type="auto"/>
            <w:hideMark/>
          </w:tcPr>
          <w:p w14:paraId="01EDF35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3.1%</w:t>
            </w:r>
          </w:p>
        </w:tc>
        <w:tc>
          <w:tcPr>
            <w:tcW w:w="0" w:type="auto"/>
            <w:hideMark/>
          </w:tcPr>
          <w:p w14:paraId="36193C6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0.82</w:t>
            </w:r>
          </w:p>
        </w:tc>
      </w:tr>
      <w:tr w:rsidR="00527AFE" w:rsidRPr="00491FAD" w14:paraId="4031B4A7" w14:textId="77777777" w:rsidTr="0079674E">
        <w:tc>
          <w:tcPr>
            <w:tcW w:w="0" w:type="auto"/>
            <w:hideMark/>
          </w:tcPr>
          <w:p w14:paraId="0CB8ACC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23CA274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53.6%</w:t>
            </w:r>
          </w:p>
        </w:tc>
        <w:tc>
          <w:tcPr>
            <w:tcW w:w="0" w:type="auto"/>
            <w:hideMark/>
          </w:tcPr>
          <w:p w14:paraId="1D51252C"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32.0%</w:t>
            </w:r>
          </w:p>
        </w:tc>
        <w:tc>
          <w:tcPr>
            <w:tcW w:w="0" w:type="auto"/>
            <w:hideMark/>
          </w:tcPr>
          <w:p w14:paraId="4D0BD36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59BAD4E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w:t>
            </w:r>
          </w:p>
        </w:tc>
        <w:tc>
          <w:tcPr>
            <w:tcW w:w="0" w:type="auto"/>
            <w:hideMark/>
          </w:tcPr>
          <w:p w14:paraId="12C58FF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0.85</w:t>
            </w:r>
          </w:p>
        </w:tc>
      </w:tr>
      <w:tr w:rsidR="00527AFE" w:rsidRPr="00491FAD" w14:paraId="5E1790D5" w14:textId="77777777" w:rsidTr="0079674E">
        <w:tc>
          <w:tcPr>
            <w:tcW w:w="0" w:type="auto"/>
            <w:hideMark/>
          </w:tcPr>
          <w:p w14:paraId="4DEC390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7A5534A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48.5%</w:t>
            </w:r>
          </w:p>
        </w:tc>
        <w:tc>
          <w:tcPr>
            <w:tcW w:w="0" w:type="auto"/>
            <w:hideMark/>
          </w:tcPr>
          <w:p w14:paraId="31D307A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07DA331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58E7D360"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5FB2814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0.89</w:t>
            </w:r>
          </w:p>
        </w:tc>
      </w:tr>
      <w:tr w:rsidR="00527AFE" w:rsidRPr="00491FAD" w14:paraId="71C86AF8" w14:textId="77777777" w:rsidTr="0079674E">
        <w:tc>
          <w:tcPr>
            <w:tcW w:w="0" w:type="auto"/>
            <w:hideMark/>
          </w:tcPr>
          <w:p w14:paraId="491C331D"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59E1C36A"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4512983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37.1%</w:t>
            </w:r>
          </w:p>
        </w:tc>
        <w:tc>
          <w:tcPr>
            <w:tcW w:w="0" w:type="auto"/>
            <w:hideMark/>
          </w:tcPr>
          <w:p w14:paraId="7566669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747AD5A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1C43D82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0.87</w:t>
            </w:r>
          </w:p>
        </w:tc>
      </w:tr>
      <w:tr w:rsidR="00527AFE" w:rsidRPr="00491FAD" w14:paraId="36C6C26D" w14:textId="77777777" w:rsidTr="0079674E">
        <w:tc>
          <w:tcPr>
            <w:tcW w:w="0" w:type="auto"/>
            <w:hideMark/>
          </w:tcPr>
          <w:p w14:paraId="30BC9046"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4CF7A1B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40.2%</w:t>
            </w:r>
          </w:p>
        </w:tc>
        <w:tc>
          <w:tcPr>
            <w:tcW w:w="0" w:type="auto"/>
            <w:hideMark/>
          </w:tcPr>
          <w:p w14:paraId="53041D4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39.2%</w:t>
            </w:r>
          </w:p>
        </w:tc>
        <w:tc>
          <w:tcPr>
            <w:tcW w:w="0" w:type="auto"/>
            <w:hideMark/>
          </w:tcPr>
          <w:p w14:paraId="5FE5372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14.4%</w:t>
            </w:r>
          </w:p>
        </w:tc>
        <w:tc>
          <w:tcPr>
            <w:tcW w:w="0" w:type="auto"/>
            <w:hideMark/>
          </w:tcPr>
          <w:p w14:paraId="778138F1"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45CF24E2"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0.90</w:t>
            </w:r>
          </w:p>
        </w:tc>
      </w:tr>
      <w:tr w:rsidR="00527AFE" w:rsidRPr="00491FAD" w14:paraId="130BB4E5" w14:textId="77777777" w:rsidTr="0079674E">
        <w:tc>
          <w:tcPr>
            <w:tcW w:w="0" w:type="auto"/>
            <w:hideMark/>
          </w:tcPr>
          <w:p w14:paraId="021D9EA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455C11F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48.9%</w:t>
            </w:r>
          </w:p>
        </w:tc>
        <w:tc>
          <w:tcPr>
            <w:tcW w:w="0" w:type="auto"/>
            <w:hideMark/>
          </w:tcPr>
          <w:p w14:paraId="782AB58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34.9%</w:t>
            </w:r>
          </w:p>
        </w:tc>
        <w:tc>
          <w:tcPr>
            <w:tcW w:w="0" w:type="auto"/>
            <w:hideMark/>
          </w:tcPr>
          <w:p w14:paraId="1984049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11.5%</w:t>
            </w:r>
          </w:p>
        </w:tc>
        <w:tc>
          <w:tcPr>
            <w:tcW w:w="0" w:type="auto"/>
            <w:hideMark/>
          </w:tcPr>
          <w:p w14:paraId="78B1065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4.7%</w:t>
            </w:r>
          </w:p>
        </w:tc>
        <w:tc>
          <w:tcPr>
            <w:tcW w:w="0" w:type="auto"/>
            <w:hideMark/>
          </w:tcPr>
          <w:p w14:paraId="68B2163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0.87</w:t>
            </w:r>
          </w:p>
        </w:tc>
      </w:tr>
    </w:tbl>
    <w:p w14:paraId="43277867" w14:textId="77777777" w:rsidR="00491FAD" w:rsidRPr="00491FAD" w:rsidRDefault="00491FAD" w:rsidP="00491FAD">
      <w:pPr>
        <w:spacing w:before="120" w:after="12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5C42DEA2" w14:textId="0DCCACA1" w:rsidR="00491FAD" w:rsidRPr="00491FAD" w:rsidRDefault="00491FAD" w:rsidP="00491FAD">
      <w:pPr>
        <w:spacing w:before="120" w:after="120" w:line="360" w:lineRule="auto"/>
        <w:jc w:val="both"/>
        <w:rPr>
          <w:rFonts w:ascii="Times New Roman" w:eastAsia="Calibri" w:hAnsi="Times New Roman" w:cs="Times New Roman"/>
          <w:strike/>
          <w:sz w:val="24"/>
          <w:szCs w:val="24"/>
          <w:lang w:val="en-ZA"/>
        </w:rPr>
      </w:pPr>
      <w:r w:rsidRPr="00491FAD">
        <w:rPr>
          <w:rFonts w:ascii="Times New Roman" w:eastAsia="Calibri" w:hAnsi="Times New Roman" w:cs="Times New Roman"/>
          <w:sz w:val="24"/>
          <w:szCs w:val="24"/>
          <w:lang w:val="en-ZA"/>
        </w:rPr>
        <w:t xml:space="preserve">Table </w:t>
      </w:r>
      <w:r w:rsidR="00683658">
        <w:rPr>
          <w:rFonts w:ascii="Times New Roman" w:eastAsia="Calibri" w:hAnsi="Times New Roman" w:cs="Times New Roman"/>
          <w:sz w:val="24"/>
          <w:szCs w:val="24"/>
          <w:lang w:val="en-ZA"/>
        </w:rPr>
        <w:t>2</w:t>
      </w:r>
      <w:r w:rsidRPr="00491FAD">
        <w:rPr>
          <w:rFonts w:ascii="Times New Roman" w:eastAsia="Calibri" w:hAnsi="Times New Roman" w:cs="Times New Roman"/>
          <w:sz w:val="24"/>
          <w:szCs w:val="24"/>
          <w:lang w:val="en-ZA"/>
        </w:rPr>
        <w:t xml:space="preserve"> highlights that excise tax payments by agrochemical dealers remained significantly lower compared to VAT and corporate tax contributions. In 2020, a large proportion of manufacturers paid less than KES 1 million in excise duties, a figure that declined to 40.2% by </w:t>
      </w:r>
      <w:r w:rsidRPr="00491FAD">
        <w:rPr>
          <w:rFonts w:ascii="Times New Roman" w:eastAsia="Calibri" w:hAnsi="Times New Roman" w:cs="Times New Roman"/>
          <w:sz w:val="24"/>
          <w:szCs w:val="24"/>
          <w:lang w:val="en-ZA"/>
        </w:rPr>
        <w:lastRenderedPageBreak/>
        <w:t>2024. Simultaneously, the percentage of dealers paying more than KES 11 million showed a slight increase, rising from 3.1% in 2020 to 6.2% in 2024</w:t>
      </w:r>
      <w:proofErr w:type="gramStart"/>
      <w:r w:rsidRPr="00491FAD">
        <w:rPr>
          <w:rFonts w:ascii="Times New Roman" w:eastAsia="Calibri" w:hAnsi="Times New Roman" w:cs="Times New Roman"/>
          <w:sz w:val="24"/>
          <w:szCs w:val="24"/>
          <w:lang w:val="en-ZA"/>
        </w:rPr>
        <w:t>..</w:t>
      </w:r>
      <w:proofErr w:type="gramEnd"/>
    </w:p>
    <w:p w14:paraId="0C63D72E" w14:textId="39A3887D"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bookmarkStart w:id="94" w:name="_Toc196320775"/>
      <w:r w:rsidRPr="00491FAD">
        <w:rPr>
          <w:rFonts w:ascii="Times New Roman" w:eastAsia="Times New Roman" w:hAnsi="Times New Roman" w:cs="Times New Roman"/>
          <w:b/>
          <w:bCs/>
          <w:sz w:val="24"/>
          <w:szCs w:val="24"/>
          <w:lang w:val="en-ZA"/>
        </w:rPr>
        <w:t>Corporate Taxes Paid by Agrochemical Dealers</w:t>
      </w:r>
      <w:bookmarkEnd w:id="94"/>
    </w:p>
    <w:p w14:paraId="6D42A985" w14:textId="37173FED"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further examined the corporate taxes paid by agrochemical dealers. Table </w:t>
      </w:r>
      <w:r w:rsidR="00683658">
        <w:rPr>
          <w:rFonts w:ascii="Times New Roman" w:eastAsia="Times New Roman" w:hAnsi="Times New Roman" w:cs="Times New Roman"/>
          <w:bCs/>
          <w:sz w:val="24"/>
          <w:szCs w:val="24"/>
          <w:lang w:val="en-ZA"/>
        </w:rPr>
        <w:t>3</w:t>
      </w:r>
      <w:r w:rsidRPr="00491FAD">
        <w:rPr>
          <w:rFonts w:ascii="Times New Roman" w:eastAsia="Times New Roman" w:hAnsi="Times New Roman" w:cs="Times New Roman"/>
          <w:bCs/>
          <w:sz w:val="24"/>
          <w:szCs w:val="24"/>
          <w:lang w:val="en-ZA"/>
        </w:rPr>
        <w:t xml:space="preserve"> presents the findings.</w:t>
      </w:r>
    </w:p>
    <w:p w14:paraId="316E3ACB" w14:textId="11ADE088"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95" w:name="_Toc195640673"/>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3</w:t>
      </w:r>
      <w:r w:rsidRPr="00491FAD">
        <w:rPr>
          <w:rFonts w:ascii="Times New Roman" w:eastAsia="Times New Roman" w:hAnsi="Times New Roman" w:cs="Times New Roman"/>
          <w:b/>
          <w:sz w:val="24"/>
          <w:szCs w:val="24"/>
          <w:lang w:val="en-ZA"/>
        </w:rPr>
        <w:t>: Corporate Taxes Paid by Agrochemical Dealers (2020-2024)</w:t>
      </w:r>
      <w:bookmarkEnd w:id="95"/>
    </w:p>
    <w:tbl>
      <w:tblPr>
        <w:tblStyle w:val="TableGrid"/>
        <w:tblW w:w="0" w:type="auto"/>
        <w:tblLook w:val="04A0" w:firstRow="1" w:lastRow="0" w:firstColumn="1" w:lastColumn="0" w:noHBand="0" w:noVBand="1"/>
      </w:tblPr>
      <w:tblGrid>
        <w:gridCol w:w="990"/>
        <w:gridCol w:w="1830"/>
        <w:gridCol w:w="1343"/>
        <w:gridCol w:w="1463"/>
        <w:gridCol w:w="1843"/>
        <w:gridCol w:w="1069"/>
      </w:tblGrid>
      <w:tr w:rsidR="00527AFE" w:rsidRPr="00491FAD" w14:paraId="25E46F02" w14:textId="77777777" w:rsidTr="00527AFE">
        <w:tc>
          <w:tcPr>
            <w:tcW w:w="0" w:type="auto"/>
            <w:hideMark/>
          </w:tcPr>
          <w:p w14:paraId="6CD251BD"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5B96B140"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3F1ACC2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0217B1B8"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62098B60"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1069" w:type="dxa"/>
            <w:hideMark/>
          </w:tcPr>
          <w:p w14:paraId="3C2300DA"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 xml:space="preserve">Std. </w:t>
            </w:r>
            <w:proofErr w:type="spellStart"/>
            <w:r w:rsidRPr="00491FAD">
              <w:rPr>
                <w:rFonts w:ascii="Times New Roman" w:eastAsia="Times New Roman" w:hAnsi="Times New Roman" w:cs="Times New Roman"/>
                <w:b/>
                <w:bCs/>
                <w:sz w:val="24"/>
                <w:szCs w:val="24"/>
                <w:lang w:val="en-ZA"/>
              </w:rPr>
              <w:t>Dev</w:t>
            </w:r>
            <w:proofErr w:type="spellEnd"/>
          </w:p>
        </w:tc>
      </w:tr>
      <w:tr w:rsidR="00527AFE" w:rsidRPr="00491FAD" w14:paraId="6F731EAC" w14:textId="77777777" w:rsidTr="00527AFE">
        <w:tc>
          <w:tcPr>
            <w:tcW w:w="0" w:type="auto"/>
            <w:hideMark/>
          </w:tcPr>
          <w:p w14:paraId="478361F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16520A1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6459C12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625433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15.5%</w:t>
            </w:r>
          </w:p>
        </w:tc>
        <w:tc>
          <w:tcPr>
            <w:tcW w:w="0" w:type="auto"/>
            <w:hideMark/>
          </w:tcPr>
          <w:p w14:paraId="534AE3D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1069" w:type="dxa"/>
            <w:hideMark/>
          </w:tcPr>
          <w:p w14:paraId="3C3C46C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0.91</w:t>
            </w:r>
          </w:p>
        </w:tc>
      </w:tr>
      <w:tr w:rsidR="00527AFE" w:rsidRPr="00491FAD" w14:paraId="4442E29A" w14:textId="77777777" w:rsidTr="00527AFE">
        <w:tc>
          <w:tcPr>
            <w:tcW w:w="0" w:type="auto"/>
            <w:hideMark/>
          </w:tcPr>
          <w:p w14:paraId="2E6C8E0B"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2021</w:t>
            </w:r>
          </w:p>
        </w:tc>
        <w:tc>
          <w:tcPr>
            <w:tcW w:w="0" w:type="auto"/>
            <w:hideMark/>
          </w:tcPr>
          <w:p w14:paraId="159202A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1D7CA58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45.4%</w:t>
            </w:r>
          </w:p>
        </w:tc>
        <w:tc>
          <w:tcPr>
            <w:tcW w:w="0" w:type="auto"/>
            <w:hideMark/>
          </w:tcPr>
          <w:p w14:paraId="51E6CBE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16.5%</w:t>
            </w:r>
          </w:p>
        </w:tc>
        <w:tc>
          <w:tcPr>
            <w:tcW w:w="0" w:type="auto"/>
            <w:hideMark/>
          </w:tcPr>
          <w:p w14:paraId="1E28A4E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1069" w:type="dxa"/>
            <w:hideMark/>
          </w:tcPr>
          <w:p w14:paraId="64D46C1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0.89</w:t>
            </w:r>
          </w:p>
        </w:tc>
      </w:tr>
      <w:tr w:rsidR="00527AFE" w:rsidRPr="00491FAD" w14:paraId="6CD7CEAA" w14:textId="77777777" w:rsidTr="00527AFE">
        <w:tc>
          <w:tcPr>
            <w:tcW w:w="0" w:type="auto"/>
            <w:hideMark/>
          </w:tcPr>
          <w:p w14:paraId="54FC15A5"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65D743C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27.8%</w:t>
            </w:r>
          </w:p>
        </w:tc>
        <w:tc>
          <w:tcPr>
            <w:tcW w:w="0" w:type="auto"/>
            <w:hideMark/>
          </w:tcPr>
          <w:p w14:paraId="0E4F947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1DFF600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18.6%</w:t>
            </w:r>
          </w:p>
        </w:tc>
        <w:tc>
          <w:tcPr>
            <w:tcW w:w="0" w:type="auto"/>
            <w:hideMark/>
          </w:tcPr>
          <w:p w14:paraId="69142C0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1069" w:type="dxa"/>
            <w:hideMark/>
          </w:tcPr>
          <w:p w14:paraId="682EF77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0.93</w:t>
            </w:r>
          </w:p>
        </w:tc>
      </w:tr>
      <w:tr w:rsidR="00527AFE" w:rsidRPr="00491FAD" w14:paraId="2948F133" w14:textId="77777777" w:rsidTr="00527AFE">
        <w:tc>
          <w:tcPr>
            <w:tcW w:w="0" w:type="auto"/>
            <w:hideMark/>
          </w:tcPr>
          <w:p w14:paraId="2E20526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29073DC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25.8%</w:t>
            </w:r>
          </w:p>
        </w:tc>
        <w:tc>
          <w:tcPr>
            <w:tcW w:w="0" w:type="auto"/>
            <w:hideMark/>
          </w:tcPr>
          <w:p w14:paraId="15D999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57DF521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2D5D53B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1069" w:type="dxa"/>
            <w:hideMark/>
          </w:tcPr>
          <w:p w14:paraId="5E6D7C5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527AFE" w:rsidRPr="00491FAD" w14:paraId="4BA8B68E" w14:textId="77777777" w:rsidTr="00527AFE">
        <w:tc>
          <w:tcPr>
            <w:tcW w:w="0" w:type="auto"/>
            <w:hideMark/>
          </w:tcPr>
          <w:p w14:paraId="6E59FD3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D539F4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5C11B2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40.2%</w:t>
            </w:r>
          </w:p>
        </w:tc>
        <w:tc>
          <w:tcPr>
            <w:tcW w:w="0" w:type="auto"/>
            <w:hideMark/>
          </w:tcPr>
          <w:p w14:paraId="2DF68DF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25.8%</w:t>
            </w:r>
          </w:p>
        </w:tc>
        <w:tc>
          <w:tcPr>
            <w:tcW w:w="0" w:type="auto"/>
            <w:hideMark/>
          </w:tcPr>
          <w:p w14:paraId="66B1D19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1069" w:type="dxa"/>
            <w:hideMark/>
          </w:tcPr>
          <w:p w14:paraId="13FF7E9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0.97</w:t>
            </w:r>
          </w:p>
        </w:tc>
      </w:tr>
      <w:tr w:rsidR="00527AFE" w:rsidRPr="00491FAD" w14:paraId="266CEE31" w14:textId="77777777" w:rsidTr="00527AFE">
        <w:tc>
          <w:tcPr>
            <w:tcW w:w="0" w:type="auto"/>
            <w:hideMark/>
          </w:tcPr>
          <w:p w14:paraId="227052E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4A2968A5"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28.2%</w:t>
            </w:r>
          </w:p>
        </w:tc>
        <w:tc>
          <w:tcPr>
            <w:tcW w:w="0" w:type="auto"/>
            <w:hideMark/>
          </w:tcPr>
          <w:p w14:paraId="31A05E0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42.9%</w:t>
            </w:r>
          </w:p>
        </w:tc>
        <w:tc>
          <w:tcPr>
            <w:tcW w:w="0" w:type="auto"/>
            <w:hideMark/>
          </w:tcPr>
          <w:p w14:paraId="7044157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19.6%</w:t>
            </w:r>
          </w:p>
        </w:tc>
        <w:tc>
          <w:tcPr>
            <w:tcW w:w="0" w:type="auto"/>
            <w:hideMark/>
          </w:tcPr>
          <w:p w14:paraId="7EF7AD9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9.3%</w:t>
            </w:r>
          </w:p>
        </w:tc>
        <w:tc>
          <w:tcPr>
            <w:tcW w:w="1069" w:type="dxa"/>
            <w:hideMark/>
          </w:tcPr>
          <w:p w14:paraId="0D08D1F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0.93</w:t>
            </w:r>
          </w:p>
        </w:tc>
      </w:tr>
    </w:tbl>
    <w:p w14:paraId="3BFA9D60" w14:textId="77777777"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bookmarkStart w:id="96" w:name="_Toc196320776"/>
    </w:p>
    <w:p w14:paraId="187441F8" w14:textId="1083C471"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Cs/>
          <w:sz w:val="24"/>
          <w:szCs w:val="24"/>
          <w:lang w:val="en-ZA"/>
        </w:rPr>
        <w:t xml:space="preserve">As presented in Table </w:t>
      </w:r>
      <w:r w:rsidR="00683658">
        <w:rPr>
          <w:rFonts w:ascii="Times New Roman" w:eastAsia="Times New Roman" w:hAnsi="Times New Roman" w:cs="Times New Roman"/>
          <w:bCs/>
          <w:sz w:val="24"/>
          <w:szCs w:val="24"/>
          <w:lang w:val="en-ZA"/>
        </w:rPr>
        <w:t>3</w:t>
      </w:r>
      <w:r w:rsidRPr="00491FAD">
        <w:rPr>
          <w:rFonts w:ascii="Times New Roman" w:eastAsia="Times New Roman" w:hAnsi="Times New Roman" w:cs="Times New Roman"/>
          <w:bCs/>
          <w:sz w:val="24"/>
          <w:szCs w:val="24"/>
          <w:lang w:val="en-ZA"/>
        </w:rPr>
        <w:t xml:space="preserve">, corporate tax payments to the government showed a notable increase. The percentage of dealers paying less than KES 1 million dropped from 35.1% in 2020 to 21.6% in 2024, while those paying more than KES 11 million rose slightly from 7.2% to 12.4%. This suggests improved corporate earnings and profitability, which enhance the capacity to meet higher tax obligations. With a mean corporate tax score of 3.1 and a standard deviation of 0.93, most firms were likely within the 1–5 million payment range. </w:t>
      </w:r>
    </w:p>
    <w:p w14:paraId="3F13959E" w14:textId="43A66A55"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Import Levy Paid by Agrochemical Dealers</w:t>
      </w:r>
      <w:bookmarkEnd w:id="96"/>
    </w:p>
    <w:p w14:paraId="6D5FB606" w14:textId="5689E5AC"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The study also examined the import levy paid by agrochemical dealers. Table 4 presents the findings.</w:t>
      </w:r>
    </w:p>
    <w:p w14:paraId="0BD6E60A" w14:textId="033CC99C"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97" w:name="_Toc195640674"/>
      <w:r w:rsidRPr="00491FAD">
        <w:rPr>
          <w:rFonts w:ascii="Times New Roman" w:eastAsia="Calibri" w:hAnsi="Times New Roman" w:cs="Times New Roman"/>
          <w:b/>
          <w:bCs/>
          <w:sz w:val="24"/>
          <w:szCs w:val="24"/>
          <w:lang w:val="en-ZA"/>
        </w:rPr>
        <w:t xml:space="preserve">Table </w:t>
      </w:r>
      <w:proofErr w:type="gramStart"/>
      <w:r w:rsidRPr="00491FAD">
        <w:rPr>
          <w:rFonts w:ascii="Times New Roman" w:eastAsia="Calibri" w:hAnsi="Times New Roman" w:cs="Times New Roman"/>
          <w:b/>
          <w:bCs/>
          <w:sz w:val="24"/>
          <w:szCs w:val="24"/>
          <w:lang w:val="en-ZA"/>
        </w:rPr>
        <w:t>4.</w:t>
      </w:r>
      <w:r w:rsidRPr="00491FAD">
        <w:rPr>
          <w:rFonts w:ascii="Times New Roman" w:eastAsia="Times New Roman" w:hAnsi="Times New Roman" w:cs="Times New Roman"/>
          <w:b/>
          <w:sz w:val="24"/>
          <w:szCs w:val="24"/>
          <w:lang w:val="en-ZA"/>
        </w:rPr>
        <w:t>:</w:t>
      </w:r>
      <w:proofErr w:type="gramEnd"/>
      <w:r w:rsidRPr="00491FAD">
        <w:rPr>
          <w:rFonts w:ascii="Times New Roman" w:eastAsia="Times New Roman" w:hAnsi="Times New Roman" w:cs="Times New Roman"/>
          <w:b/>
          <w:sz w:val="24"/>
          <w:szCs w:val="24"/>
          <w:lang w:val="en-ZA"/>
        </w:rPr>
        <w:t xml:space="preserve"> Import Levy Paid by Agrochemical Dealers (2020-2024)</w:t>
      </w:r>
      <w:bookmarkEnd w:id="97"/>
    </w:p>
    <w:tbl>
      <w:tblPr>
        <w:tblStyle w:val="TableGrid"/>
        <w:tblW w:w="0" w:type="auto"/>
        <w:tblLook w:val="04A0" w:firstRow="1" w:lastRow="0" w:firstColumn="1" w:lastColumn="0" w:noHBand="0" w:noVBand="1"/>
      </w:tblPr>
      <w:tblGrid>
        <w:gridCol w:w="990"/>
        <w:gridCol w:w="1830"/>
        <w:gridCol w:w="1343"/>
        <w:gridCol w:w="1463"/>
        <w:gridCol w:w="1843"/>
        <w:gridCol w:w="1083"/>
      </w:tblGrid>
      <w:tr w:rsidR="00527AFE" w:rsidRPr="00491FAD" w14:paraId="3B3103C9" w14:textId="77777777" w:rsidTr="0079674E">
        <w:tc>
          <w:tcPr>
            <w:tcW w:w="0" w:type="auto"/>
            <w:hideMark/>
          </w:tcPr>
          <w:p w14:paraId="4E43C9CD"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Year</w:t>
            </w:r>
          </w:p>
        </w:tc>
        <w:tc>
          <w:tcPr>
            <w:tcW w:w="0" w:type="auto"/>
            <w:hideMark/>
          </w:tcPr>
          <w:p w14:paraId="19A191D8"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6664D32C"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450638AB"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1AB8D15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464AB5E6"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 xml:space="preserve">Std. </w:t>
            </w:r>
            <w:proofErr w:type="spellStart"/>
            <w:r w:rsidRPr="00491FAD">
              <w:rPr>
                <w:rFonts w:ascii="Times New Roman" w:eastAsia="Times New Roman" w:hAnsi="Times New Roman" w:cs="Times New Roman"/>
                <w:b/>
                <w:bCs/>
                <w:sz w:val="24"/>
                <w:szCs w:val="24"/>
                <w:lang w:val="en-ZA"/>
              </w:rPr>
              <w:t>Dev</w:t>
            </w:r>
            <w:proofErr w:type="spellEnd"/>
          </w:p>
        </w:tc>
      </w:tr>
      <w:tr w:rsidR="00527AFE" w:rsidRPr="00491FAD" w14:paraId="20C6835F" w14:textId="77777777" w:rsidTr="0079674E">
        <w:tc>
          <w:tcPr>
            <w:tcW w:w="0" w:type="auto"/>
            <w:hideMark/>
          </w:tcPr>
          <w:p w14:paraId="626AF794"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2020</w:t>
            </w:r>
          </w:p>
        </w:tc>
        <w:tc>
          <w:tcPr>
            <w:tcW w:w="0" w:type="auto"/>
            <w:hideMark/>
          </w:tcPr>
          <w:p w14:paraId="3CA8E67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61.9%</w:t>
            </w:r>
          </w:p>
        </w:tc>
        <w:tc>
          <w:tcPr>
            <w:tcW w:w="0" w:type="auto"/>
            <w:hideMark/>
          </w:tcPr>
          <w:p w14:paraId="369F680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24.7%</w:t>
            </w:r>
          </w:p>
        </w:tc>
        <w:tc>
          <w:tcPr>
            <w:tcW w:w="0" w:type="auto"/>
            <w:hideMark/>
          </w:tcPr>
          <w:p w14:paraId="1C66E93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9.3%</w:t>
            </w:r>
          </w:p>
        </w:tc>
        <w:tc>
          <w:tcPr>
            <w:tcW w:w="0" w:type="auto"/>
            <w:hideMark/>
          </w:tcPr>
          <w:p w14:paraId="330D31C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4.1%</w:t>
            </w:r>
          </w:p>
        </w:tc>
        <w:tc>
          <w:tcPr>
            <w:tcW w:w="0" w:type="auto"/>
            <w:hideMark/>
          </w:tcPr>
          <w:p w14:paraId="0C3322B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0.78</w:t>
            </w:r>
          </w:p>
        </w:tc>
      </w:tr>
      <w:tr w:rsidR="00527AFE" w:rsidRPr="00491FAD" w14:paraId="541373FA" w14:textId="77777777" w:rsidTr="0079674E">
        <w:tc>
          <w:tcPr>
            <w:tcW w:w="0" w:type="auto"/>
            <w:hideMark/>
          </w:tcPr>
          <w:p w14:paraId="7AAA874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lastRenderedPageBreak/>
              <w:t>2021</w:t>
            </w:r>
          </w:p>
        </w:tc>
        <w:tc>
          <w:tcPr>
            <w:tcW w:w="0" w:type="auto"/>
            <w:hideMark/>
          </w:tcPr>
          <w:p w14:paraId="7B14E91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56.7%</w:t>
            </w:r>
          </w:p>
        </w:tc>
        <w:tc>
          <w:tcPr>
            <w:tcW w:w="0" w:type="auto"/>
            <w:hideMark/>
          </w:tcPr>
          <w:p w14:paraId="6C3DFA3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27.8%</w:t>
            </w:r>
          </w:p>
        </w:tc>
        <w:tc>
          <w:tcPr>
            <w:tcW w:w="0" w:type="auto"/>
            <w:hideMark/>
          </w:tcPr>
          <w:p w14:paraId="20B5872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6F0F5F7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5CC0308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0.81</w:t>
            </w:r>
          </w:p>
        </w:tc>
      </w:tr>
      <w:tr w:rsidR="00527AFE" w:rsidRPr="00491FAD" w14:paraId="2C556B6E" w14:textId="77777777" w:rsidTr="0079674E">
        <w:tc>
          <w:tcPr>
            <w:tcW w:w="0" w:type="auto"/>
            <w:hideMark/>
          </w:tcPr>
          <w:p w14:paraId="09552719"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2022</w:t>
            </w:r>
          </w:p>
        </w:tc>
        <w:tc>
          <w:tcPr>
            <w:tcW w:w="0" w:type="auto"/>
            <w:hideMark/>
          </w:tcPr>
          <w:p w14:paraId="22C9A56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52.6%</w:t>
            </w:r>
          </w:p>
        </w:tc>
        <w:tc>
          <w:tcPr>
            <w:tcW w:w="0" w:type="auto"/>
            <w:hideMark/>
          </w:tcPr>
          <w:p w14:paraId="2CDC1B0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30.9%</w:t>
            </w:r>
          </w:p>
        </w:tc>
        <w:tc>
          <w:tcPr>
            <w:tcW w:w="0" w:type="auto"/>
            <w:hideMark/>
          </w:tcPr>
          <w:p w14:paraId="130643A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725EECAE"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5.2%</w:t>
            </w:r>
          </w:p>
        </w:tc>
        <w:tc>
          <w:tcPr>
            <w:tcW w:w="0" w:type="auto"/>
            <w:hideMark/>
          </w:tcPr>
          <w:p w14:paraId="39DB4791"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0.83</w:t>
            </w:r>
          </w:p>
        </w:tc>
      </w:tr>
      <w:tr w:rsidR="00527AFE" w:rsidRPr="00491FAD" w14:paraId="2385F653" w14:textId="77777777" w:rsidTr="0079674E">
        <w:tc>
          <w:tcPr>
            <w:tcW w:w="0" w:type="auto"/>
            <w:hideMark/>
          </w:tcPr>
          <w:p w14:paraId="6407280F"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2023</w:t>
            </w:r>
          </w:p>
        </w:tc>
        <w:tc>
          <w:tcPr>
            <w:tcW w:w="0" w:type="auto"/>
            <w:hideMark/>
          </w:tcPr>
          <w:p w14:paraId="0198C4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48.5%</w:t>
            </w:r>
          </w:p>
        </w:tc>
        <w:tc>
          <w:tcPr>
            <w:tcW w:w="0" w:type="auto"/>
            <w:hideMark/>
          </w:tcPr>
          <w:p w14:paraId="5CA909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32.0%</w:t>
            </w:r>
          </w:p>
        </w:tc>
        <w:tc>
          <w:tcPr>
            <w:tcW w:w="0" w:type="auto"/>
            <w:hideMark/>
          </w:tcPr>
          <w:p w14:paraId="5BDB29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13.4%</w:t>
            </w:r>
          </w:p>
        </w:tc>
        <w:tc>
          <w:tcPr>
            <w:tcW w:w="0" w:type="auto"/>
            <w:hideMark/>
          </w:tcPr>
          <w:p w14:paraId="01C5EBC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6.2%</w:t>
            </w:r>
          </w:p>
        </w:tc>
        <w:tc>
          <w:tcPr>
            <w:tcW w:w="0" w:type="auto"/>
            <w:hideMark/>
          </w:tcPr>
          <w:p w14:paraId="423C6F4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0.85</w:t>
            </w:r>
          </w:p>
        </w:tc>
      </w:tr>
      <w:tr w:rsidR="00527AFE" w:rsidRPr="00491FAD" w14:paraId="32152E9E" w14:textId="77777777" w:rsidTr="0079674E">
        <w:tc>
          <w:tcPr>
            <w:tcW w:w="0" w:type="auto"/>
            <w:hideMark/>
          </w:tcPr>
          <w:p w14:paraId="6547877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2024</w:t>
            </w:r>
          </w:p>
        </w:tc>
        <w:tc>
          <w:tcPr>
            <w:tcW w:w="0" w:type="auto"/>
            <w:hideMark/>
          </w:tcPr>
          <w:p w14:paraId="0425051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44.3%</w:t>
            </w:r>
          </w:p>
        </w:tc>
        <w:tc>
          <w:tcPr>
            <w:tcW w:w="0" w:type="auto"/>
            <w:hideMark/>
          </w:tcPr>
          <w:p w14:paraId="1B4074C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34.0%</w:t>
            </w:r>
          </w:p>
        </w:tc>
        <w:tc>
          <w:tcPr>
            <w:tcW w:w="0" w:type="auto"/>
            <w:hideMark/>
          </w:tcPr>
          <w:p w14:paraId="12CBFB9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14.4%</w:t>
            </w:r>
          </w:p>
        </w:tc>
        <w:tc>
          <w:tcPr>
            <w:tcW w:w="0" w:type="auto"/>
            <w:hideMark/>
          </w:tcPr>
          <w:p w14:paraId="367E88E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7.2%</w:t>
            </w:r>
          </w:p>
        </w:tc>
        <w:tc>
          <w:tcPr>
            <w:tcW w:w="0" w:type="auto"/>
            <w:hideMark/>
          </w:tcPr>
          <w:p w14:paraId="4E190D04"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0.88</w:t>
            </w:r>
          </w:p>
        </w:tc>
      </w:tr>
      <w:tr w:rsidR="00527AFE" w:rsidRPr="00491FAD" w14:paraId="390DBB67" w14:textId="77777777" w:rsidTr="0079674E">
        <w:tc>
          <w:tcPr>
            <w:tcW w:w="0" w:type="auto"/>
            <w:hideMark/>
          </w:tcPr>
          <w:p w14:paraId="71AA26E8"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27A3855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52.8%</w:t>
            </w:r>
          </w:p>
        </w:tc>
        <w:tc>
          <w:tcPr>
            <w:tcW w:w="0" w:type="auto"/>
            <w:hideMark/>
          </w:tcPr>
          <w:p w14:paraId="4740675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29.9%</w:t>
            </w:r>
          </w:p>
        </w:tc>
        <w:tc>
          <w:tcPr>
            <w:tcW w:w="0" w:type="auto"/>
            <w:hideMark/>
          </w:tcPr>
          <w:p w14:paraId="0CC9B95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11.7%</w:t>
            </w:r>
          </w:p>
        </w:tc>
        <w:tc>
          <w:tcPr>
            <w:tcW w:w="0" w:type="auto"/>
            <w:hideMark/>
          </w:tcPr>
          <w:p w14:paraId="31D9248A"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5.6%</w:t>
            </w:r>
          </w:p>
        </w:tc>
        <w:tc>
          <w:tcPr>
            <w:tcW w:w="0" w:type="auto"/>
            <w:hideMark/>
          </w:tcPr>
          <w:p w14:paraId="3DBDE52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0.83</w:t>
            </w:r>
          </w:p>
        </w:tc>
      </w:tr>
    </w:tbl>
    <w:p w14:paraId="5EDB1FE7" w14:textId="77777777" w:rsidR="00491FAD" w:rsidRPr="00491FAD" w:rsidRDefault="00491FAD" w:rsidP="00491FAD">
      <w:pPr>
        <w:spacing w:after="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1763D7AF" w14:textId="4E0F1C25" w:rsidR="00491FAD" w:rsidRPr="00491FAD" w:rsidRDefault="00491FAD" w:rsidP="00491FAD">
      <w:pPr>
        <w:spacing w:after="100" w:afterAutospacing="1" w:line="360" w:lineRule="auto"/>
        <w:jc w:val="both"/>
        <w:rPr>
          <w:rFonts w:ascii="Times New Roman" w:eastAsia="Times New Roman" w:hAnsi="Times New Roman" w:cs="Times New Roman"/>
          <w:bCs/>
          <w:strike/>
          <w:sz w:val="24"/>
          <w:szCs w:val="24"/>
          <w:lang w:val="en-ZA"/>
        </w:rPr>
      </w:pPr>
      <w:r w:rsidRPr="00491FAD">
        <w:rPr>
          <w:rFonts w:ascii="Times New Roman" w:eastAsia="Times New Roman" w:hAnsi="Times New Roman" w:cs="Times New Roman"/>
          <w:bCs/>
          <w:sz w:val="24"/>
          <w:szCs w:val="24"/>
          <w:lang w:val="en-ZA"/>
        </w:rPr>
        <w:t xml:space="preserve">As shown in Table 4, the payments made on import levy have been rising steadily, but most of the dealers have been paying less than one million Kenyan shillings. The percentage dropped from 61.9% in the year 2020 to 44.3% in the year 2024 for those in the over 11 million categories it slightly increased from 4.1% to 7.2%. The average of 2.5 and standard deviation of 0.83 represent a middle value near the range of 1-5 million and low variability demonstrating low dispersion of payment among firms. </w:t>
      </w:r>
    </w:p>
    <w:p w14:paraId="6C56043A" w14:textId="624A1605" w:rsidR="00491FAD" w:rsidRPr="00491FAD" w:rsidRDefault="00491FAD" w:rsidP="00491FAD">
      <w:pPr>
        <w:keepNext/>
        <w:keepLines/>
        <w:spacing w:after="0" w:line="360" w:lineRule="auto"/>
        <w:jc w:val="both"/>
        <w:outlineLvl w:val="2"/>
        <w:rPr>
          <w:rFonts w:ascii="Times New Roman" w:eastAsia="Times New Roman" w:hAnsi="Times New Roman" w:cs="Times New Roman"/>
          <w:b/>
          <w:bCs/>
          <w:sz w:val="24"/>
          <w:szCs w:val="24"/>
          <w:lang w:val="en-ZA"/>
        </w:rPr>
      </w:pPr>
      <w:bookmarkStart w:id="98" w:name="_Toc196320777"/>
      <w:r w:rsidRPr="00491FAD">
        <w:rPr>
          <w:rFonts w:ascii="Times New Roman" w:eastAsia="Times New Roman" w:hAnsi="Times New Roman" w:cs="Times New Roman"/>
          <w:b/>
          <w:bCs/>
          <w:sz w:val="24"/>
          <w:szCs w:val="24"/>
          <w:lang w:val="en-ZA"/>
        </w:rPr>
        <w:t>Profitability of Agrochemical Dealers</w:t>
      </w:r>
      <w:bookmarkEnd w:id="98"/>
    </w:p>
    <w:p w14:paraId="3AED12FE" w14:textId="019AFC58" w:rsidR="00491FAD" w:rsidRPr="00491FAD" w:rsidRDefault="00491FAD" w:rsidP="00491FAD">
      <w:pPr>
        <w:spacing w:after="120"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The study sought to establish the profitability of agrochemical dealers in terms of net profit, profit before tax, and sales revenue. Table </w:t>
      </w:r>
      <w:r w:rsidR="00683658">
        <w:rPr>
          <w:rFonts w:ascii="Times New Roman" w:eastAsia="Times New Roman" w:hAnsi="Times New Roman" w:cs="Times New Roman"/>
          <w:bCs/>
          <w:sz w:val="24"/>
          <w:szCs w:val="24"/>
          <w:lang w:val="en-ZA"/>
        </w:rPr>
        <w:t>5</w:t>
      </w:r>
      <w:r w:rsidRPr="00491FAD">
        <w:rPr>
          <w:rFonts w:ascii="Times New Roman" w:eastAsia="Times New Roman" w:hAnsi="Times New Roman" w:cs="Times New Roman"/>
          <w:bCs/>
          <w:sz w:val="24"/>
          <w:szCs w:val="24"/>
          <w:lang w:val="en-ZA"/>
        </w:rPr>
        <w:t xml:space="preserve"> presents the findings.</w:t>
      </w:r>
    </w:p>
    <w:p w14:paraId="33FE5FBC" w14:textId="7D18C3EA" w:rsidR="00491FAD" w:rsidRPr="00491FAD" w:rsidRDefault="00491FAD" w:rsidP="00491FAD">
      <w:pPr>
        <w:spacing w:after="0" w:line="360" w:lineRule="auto"/>
        <w:jc w:val="both"/>
        <w:rPr>
          <w:rFonts w:ascii="Times New Roman" w:eastAsia="Times New Roman" w:hAnsi="Times New Roman" w:cs="Times New Roman"/>
          <w:b/>
          <w:bCs/>
          <w:sz w:val="24"/>
          <w:szCs w:val="24"/>
          <w:lang w:val="en-ZA"/>
        </w:rPr>
      </w:pPr>
      <w:bookmarkStart w:id="99" w:name="_Toc195640675"/>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5</w:t>
      </w:r>
      <w:r w:rsidRPr="00491FAD">
        <w:rPr>
          <w:rFonts w:ascii="Times New Roman" w:eastAsia="Times New Roman" w:hAnsi="Times New Roman" w:cs="Times New Roman"/>
          <w:b/>
          <w:sz w:val="24"/>
          <w:szCs w:val="24"/>
          <w:lang w:val="en-ZA"/>
        </w:rPr>
        <w:t>: Profitability of Agrochemical Dealers</w:t>
      </w:r>
      <w:bookmarkEnd w:id="99"/>
    </w:p>
    <w:tbl>
      <w:tblPr>
        <w:tblStyle w:val="TableGrid"/>
        <w:tblW w:w="0" w:type="auto"/>
        <w:tblLook w:val="04A0" w:firstRow="1" w:lastRow="0" w:firstColumn="1" w:lastColumn="0" w:noHBand="0" w:noVBand="1"/>
      </w:tblPr>
      <w:tblGrid>
        <w:gridCol w:w="1909"/>
        <w:gridCol w:w="1830"/>
        <w:gridCol w:w="1343"/>
        <w:gridCol w:w="1463"/>
        <w:gridCol w:w="1843"/>
        <w:gridCol w:w="1083"/>
      </w:tblGrid>
      <w:tr w:rsidR="00527AFE" w:rsidRPr="00491FAD" w14:paraId="516B19A7" w14:textId="77777777" w:rsidTr="00527AFE">
        <w:tc>
          <w:tcPr>
            <w:tcW w:w="0" w:type="auto"/>
            <w:hideMark/>
          </w:tcPr>
          <w:p w14:paraId="40AB7162" w14:textId="77777777" w:rsidR="00527AFE" w:rsidRPr="00491FAD" w:rsidRDefault="00527AFE" w:rsidP="00491FAD">
            <w:pPr>
              <w:spacing w:before="120" w:line="360" w:lineRule="auto"/>
              <w:jc w:val="both"/>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Measure</w:t>
            </w:r>
          </w:p>
        </w:tc>
        <w:tc>
          <w:tcPr>
            <w:tcW w:w="0" w:type="auto"/>
            <w:hideMark/>
          </w:tcPr>
          <w:p w14:paraId="0C299E63"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Below 1 Million</w:t>
            </w:r>
          </w:p>
        </w:tc>
        <w:tc>
          <w:tcPr>
            <w:tcW w:w="0" w:type="auto"/>
            <w:hideMark/>
          </w:tcPr>
          <w:p w14:paraId="33ADF104"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1-5 Million</w:t>
            </w:r>
          </w:p>
        </w:tc>
        <w:tc>
          <w:tcPr>
            <w:tcW w:w="0" w:type="auto"/>
            <w:hideMark/>
          </w:tcPr>
          <w:p w14:paraId="3303F102"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6-10 Million</w:t>
            </w:r>
          </w:p>
        </w:tc>
        <w:tc>
          <w:tcPr>
            <w:tcW w:w="0" w:type="auto"/>
            <w:hideMark/>
          </w:tcPr>
          <w:p w14:paraId="3941A94D"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Over 11 Million</w:t>
            </w:r>
          </w:p>
        </w:tc>
        <w:tc>
          <w:tcPr>
            <w:tcW w:w="0" w:type="auto"/>
            <w:hideMark/>
          </w:tcPr>
          <w:p w14:paraId="167CEBB4" w14:textId="77777777" w:rsidR="00527AFE" w:rsidRPr="00491FAD" w:rsidRDefault="00527AFE"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 xml:space="preserve">Std. </w:t>
            </w:r>
            <w:proofErr w:type="spellStart"/>
            <w:r w:rsidRPr="00491FAD">
              <w:rPr>
                <w:rFonts w:ascii="Times New Roman" w:eastAsia="Times New Roman" w:hAnsi="Times New Roman" w:cs="Times New Roman"/>
                <w:b/>
                <w:bCs/>
                <w:sz w:val="24"/>
                <w:szCs w:val="24"/>
                <w:lang w:val="en-ZA"/>
              </w:rPr>
              <w:t>Dev</w:t>
            </w:r>
            <w:proofErr w:type="spellEnd"/>
          </w:p>
        </w:tc>
      </w:tr>
      <w:tr w:rsidR="00527AFE" w:rsidRPr="00491FAD" w14:paraId="7953B5D7" w14:textId="77777777" w:rsidTr="00527AFE">
        <w:tc>
          <w:tcPr>
            <w:tcW w:w="0" w:type="auto"/>
            <w:hideMark/>
          </w:tcPr>
          <w:p w14:paraId="14C3FD87"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Net Profit</w:t>
            </w:r>
          </w:p>
        </w:tc>
        <w:tc>
          <w:tcPr>
            <w:tcW w:w="0" w:type="auto"/>
            <w:hideMark/>
          </w:tcPr>
          <w:p w14:paraId="3DE1E01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21.6%</w:t>
            </w:r>
          </w:p>
        </w:tc>
        <w:tc>
          <w:tcPr>
            <w:tcW w:w="0" w:type="auto"/>
            <w:hideMark/>
          </w:tcPr>
          <w:p w14:paraId="1D5D8C3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45.4%</w:t>
            </w:r>
          </w:p>
        </w:tc>
        <w:tc>
          <w:tcPr>
            <w:tcW w:w="0" w:type="auto"/>
            <w:hideMark/>
          </w:tcPr>
          <w:p w14:paraId="28DA1CD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22.7%</w:t>
            </w:r>
          </w:p>
        </w:tc>
        <w:tc>
          <w:tcPr>
            <w:tcW w:w="0" w:type="auto"/>
            <w:hideMark/>
          </w:tcPr>
          <w:p w14:paraId="52911050"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10.3%</w:t>
            </w:r>
          </w:p>
        </w:tc>
        <w:tc>
          <w:tcPr>
            <w:tcW w:w="0" w:type="auto"/>
            <w:hideMark/>
          </w:tcPr>
          <w:p w14:paraId="00A5F279"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0.92</w:t>
            </w:r>
          </w:p>
        </w:tc>
      </w:tr>
      <w:tr w:rsidR="00527AFE" w:rsidRPr="00491FAD" w14:paraId="316E3CFE" w14:textId="77777777" w:rsidTr="00527AFE">
        <w:tc>
          <w:tcPr>
            <w:tcW w:w="0" w:type="auto"/>
            <w:hideMark/>
          </w:tcPr>
          <w:p w14:paraId="1B73E78E"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Profit Before Tax</w:t>
            </w:r>
          </w:p>
        </w:tc>
        <w:tc>
          <w:tcPr>
            <w:tcW w:w="0" w:type="auto"/>
            <w:hideMark/>
          </w:tcPr>
          <w:p w14:paraId="4886E7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18.6%</w:t>
            </w:r>
          </w:p>
        </w:tc>
        <w:tc>
          <w:tcPr>
            <w:tcW w:w="0" w:type="auto"/>
            <w:hideMark/>
          </w:tcPr>
          <w:p w14:paraId="7A6E42E5"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42.3%</w:t>
            </w:r>
          </w:p>
        </w:tc>
        <w:tc>
          <w:tcPr>
            <w:tcW w:w="0" w:type="auto"/>
            <w:hideMark/>
          </w:tcPr>
          <w:p w14:paraId="7309453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26.8%</w:t>
            </w:r>
          </w:p>
        </w:tc>
        <w:tc>
          <w:tcPr>
            <w:tcW w:w="0" w:type="auto"/>
            <w:hideMark/>
          </w:tcPr>
          <w:p w14:paraId="45B27E0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12.4%</w:t>
            </w:r>
          </w:p>
        </w:tc>
        <w:tc>
          <w:tcPr>
            <w:tcW w:w="0" w:type="auto"/>
            <w:hideMark/>
          </w:tcPr>
          <w:p w14:paraId="185935B6"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0.95</w:t>
            </w:r>
          </w:p>
        </w:tc>
      </w:tr>
      <w:tr w:rsidR="00527AFE" w:rsidRPr="00491FAD" w14:paraId="274C91C5" w14:textId="77777777" w:rsidTr="00527AFE">
        <w:tc>
          <w:tcPr>
            <w:tcW w:w="0" w:type="auto"/>
            <w:hideMark/>
          </w:tcPr>
          <w:p w14:paraId="6D26A6C0"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Sales Revenue</w:t>
            </w:r>
          </w:p>
        </w:tc>
        <w:tc>
          <w:tcPr>
            <w:tcW w:w="0" w:type="auto"/>
            <w:hideMark/>
          </w:tcPr>
          <w:p w14:paraId="7ED802B7"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11.3%</w:t>
            </w:r>
          </w:p>
        </w:tc>
        <w:tc>
          <w:tcPr>
            <w:tcW w:w="0" w:type="auto"/>
            <w:hideMark/>
          </w:tcPr>
          <w:p w14:paraId="3FED272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35.1%</w:t>
            </w:r>
          </w:p>
        </w:tc>
        <w:tc>
          <w:tcPr>
            <w:tcW w:w="0" w:type="auto"/>
            <w:hideMark/>
          </w:tcPr>
          <w:p w14:paraId="0803188C"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36.1%</w:t>
            </w:r>
          </w:p>
        </w:tc>
        <w:tc>
          <w:tcPr>
            <w:tcW w:w="0" w:type="auto"/>
            <w:hideMark/>
          </w:tcPr>
          <w:p w14:paraId="79D17A7D"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17.5%</w:t>
            </w:r>
          </w:p>
        </w:tc>
        <w:tc>
          <w:tcPr>
            <w:tcW w:w="0" w:type="auto"/>
            <w:hideMark/>
          </w:tcPr>
          <w:p w14:paraId="7BF2A90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0.98</w:t>
            </w:r>
          </w:p>
        </w:tc>
      </w:tr>
      <w:tr w:rsidR="00527AFE" w:rsidRPr="00491FAD" w14:paraId="16D7B153" w14:textId="77777777" w:rsidTr="00527AFE">
        <w:tc>
          <w:tcPr>
            <w:tcW w:w="0" w:type="auto"/>
            <w:hideMark/>
          </w:tcPr>
          <w:p w14:paraId="3F810D01" w14:textId="77777777" w:rsidR="00527AFE" w:rsidRPr="00491FAD" w:rsidRDefault="00527AFE"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Overall</w:t>
            </w:r>
          </w:p>
        </w:tc>
        <w:tc>
          <w:tcPr>
            <w:tcW w:w="0" w:type="auto"/>
            <w:hideMark/>
          </w:tcPr>
          <w:p w14:paraId="54DCC26B"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17.2%</w:t>
            </w:r>
          </w:p>
        </w:tc>
        <w:tc>
          <w:tcPr>
            <w:tcW w:w="0" w:type="auto"/>
            <w:hideMark/>
          </w:tcPr>
          <w:p w14:paraId="341B61A8"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40.9%</w:t>
            </w:r>
          </w:p>
        </w:tc>
        <w:tc>
          <w:tcPr>
            <w:tcW w:w="0" w:type="auto"/>
            <w:hideMark/>
          </w:tcPr>
          <w:p w14:paraId="197E3B42"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28.5%</w:t>
            </w:r>
          </w:p>
        </w:tc>
        <w:tc>
          <w:tcPr>
            <w:tcW w:w="0" w:type="auto"/>
            <w:hideMark/>
          </w:tcPr>
          <w:p w14:paraId="1AB4028F"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13.4%</w:t>
            </w:r>
          </w:p>
        </w:tc>
        <w:tc>
          <w:tcPr>
            <w:tcW w:w="0" w:type="auto"/>
            <w:hideMark/>
          </w:tcPr>
          <w:p w14:paraId="642FBFA3" w14:textId="77777777" w:rsidR="00527AFE" w:rsidRPr="00491FAD" w:rsidRDefault="00527AFE"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b/>
                <w:bCs/>
                <w:sz w:val="24"/>
                <w:szCs w:val="24"/>
                <w:lang w:val="en-ZA"/>
              </w:rPr>
              <w:t>0.95</w:t>
            </w:r>
          </w:p>
        </w:tc>
      </w:tr>
    </w:tbl>
    <w:p w14:paraId="6BBA8036" w14:textId="77777777" w:rsidR="00491FAD" w:rsidRPr="00491FAD" w:rsidRDefault="00491FAD" w:rsidP="00491FAD">
      <w:pPr>
        <w:spacing w:after="100" w:afterAutospacing="1"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6CD58742" w14:textId="1852E5AE" w:rsidR="00491FAD" w:rsidRPr="00491FAD" w:rsidRDefault="00491F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491FAD">
        <w:rPr>
          <w:rFonts w:ascii="Times New Roman" w:eastAsia="Times New Roman" w:hAnsi="Times New Roman" w:cs="Times New Roman"/>
          <w:bCs/>
          <w:sz w:val="24"/>
          <w:szCs w:val="24"/>
          <w:lang w:val="en-ZA"/>
        </w:rPr>
        <w:t xml:space="preserve">To understand the profitability levels of agrochemical dealers, information contained in Table </w:t>
      </w:r>
      <w:r w:rsidR="00683658">
        <w:rPr>
          <w:rFonts w:ascii="Times New Roman" w:eastAsia="Times New Roman" w:hAnsi="Times New Roman" w:cs="Times New Roman"/>
          <w:bCs/>
          <w:sz w:val="24"/>
          <w:szCs w:val="24"/>
          <w:lang w:val="en-ZA"/>
        </w:rPr>
        <w:t>5</w:t>
      </w:r>
      <w:r w:rsidRPr="00491FAD">
        <w:rPr>
          <w:rFonts w:ascii="Times New Roman" w:eastAsia="Times New Roman" w:hAnsi="Times New Roman" w:cs="Times New Roman"/>
          <w:bCs/>
          <w:sz w:val="24"/>
          <w:szCs w:val="24"/>
          <w:lang w:val="en-ZA"/>
        </w:rPr>
        <w:t xml:space="preserve"> is of paramount importance. The largest proportion (45.4%) attested to having made a net profit ranging between 1- 5 million while 36.1% of them sold products with </w:t>
      </w:r>
      <w:proofErr w:type="gramStart"/>
      <w:r w:rsidRPr="00491FAD">
        <w:rPr>
          <w:rFonts w:ascii="Times New Roman" w:eastAsia="Times New Roman" w:hAnsi="Times New Roman" w:cs="Times New Roman"/>
          <w:bCs/>
          <w:sz w:val="24"/>
          <w:szCs w:val="24"/>
          <w:lang w:val="en-ZA"/>
        </w:rPr>
        <w:t>a revenue</w:t>
      </w:r>
      <w:proofErr w:type="gramEnd"/>
      <w:r w:rsidRPr="00491FAD">
        <w:rPr>
          <w:rFonts w:ascii="Times New Roman" w:eastAsia="Times New Roman" w:hAnsi="Times New Roman" w:cs="Times New Roman"/>
          <w:bCs/>
          <w:sz w:val="24"/>
          <w:szCs w:val="24"/>
          <w:lang w:val="en-ZA"/>
        </w:rPr>
        <w:t xml:space="preserve"> of between 6-10 million. The average profitability of the dealers was 3.4 with SD of 0.95 lower than 4 which </w:t>
      </w:r>
      <w:proofErr w:type="gramStart"/>
      <w:r w:rsidRPr="00491FAD">
        <w:rPr>
          <w:rFonts w:ascii="Times New Roman" w:eastAsia="Times New Roman" w:hAnsi="Times New Roman" w:cs="Times New Roman"/>
          <w:bCs/>
          <w:sz w:val="24"/>
          <w:szCs w:val="24"/>
          <w:lang w:val="en-ZA"/>
        </w:rPr>
        <w:lastRenderedPageBreak/>
        <w:t>shows</w:t>
      </w:r>
      <w:proofErr w:type="gramEnd"/>
      <w:r w:rsidRPr="00491FAD">
        <w:rPr>
          <w:rFonts w:ascii="Times New Roman" w:eastAsia="Times New Roman" w:hAnsi="Times New Roman" w:cs="Times New Roman"/>
          <w:bCs/>
          <w:sz w:val="24"/>
          <w:szCs w:val="24"/>
          <w:lang w:val="en-ZA"/>
        </w:rPr>
        <w:t xml:space="preserve"> that the dealers earned moderate amounts of money with fairly stable income. It is rather peculiar that the upward movement of VAT, corporate tax and import levy payments correspond to the upward movement of the revenue and profitability, which suggests that firms that are capable of bearing the higher tax costs are also capable of generating higher returns. </w:t>
      </w:r>
    </w:p>
    <w:p w14:paraId="61856245" w14:textId="3AA6DB2F" w:rsidR="00491FAD" w:rsidRPr="00491FAD" w:rsidRDefault="00491FAD" w:rsidP="00491FAD">
      <w:pPr>
        <w:keepNext/>
        <w:keepLines/>
        <w:spacing w:after="0" w:line="360" w:lineRule="auto"/>
        <w:jc w:val="both"/>
        <w:outlineLvl w:val="1"/>
        <w:rPr>
          <w:rFonts w:ascii="Times New Roman" w:eastAsia="Times New Roman" w:hAnsi="Times New Roman" w:cs="Times New Roman"/>
          <w:b/>
          <w:sz w:val="24"/>
          <w:szCs w:val="24"/>
          <w:lang w:val="en-ZA"/>
        </w:rPr>
      </w:pPr>
      <w:bookmarkStart w:id="100" w:name="_Toc196320782"/>
      <w:r w:rsidRPr="00491FAD">
        <w:rPr>
          <w:rFonts w:ascii="Times New Roman" w:eastAsia="Times New Roman" w:hAnsi="Times New Roman" w:cs="Times New Roman"/>
          <w:b/>
          <w:sz w:val="24"/>
          <w:szCs w:val="24"/>
          <w:lang w:val="en-ZA"/>
        </w:rPr>
        <w:t xml:space="preserve"> Correlation Analysis</w:t>
      </w:r>
      <w:bookmarkEnd w:id="100"/>
    </w:p>
    <w:p w14:paraId="5517DAB7" w14:textId="6309B29D"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Pearson correlation analysis was conducted to determine the relationship between the study variables. Table </w:t>
      </w:r>
      <w:r w:rsidR="00683658">
        <w:rPr>
          <w:rFonts w:ascii="Times New Roman" w:eastAsia="Times New Roman" w:hAnsi="Times New Roman" w:cs="Times New Roman"/>
          <w:sz w:val="24"/>
          <w:szCs w:val="24"/>
          <w:lang w:val="en-ZA"/>
        </w:rPr>
        <w:t>6</w:t>
      </w:r>
      <w:r w:rsidRPr="00491FAD">
        <w:rPr>
          <w:rFonts w:ascii="Times New Roman" w:eastAsia="Times New Roman" w:hAnsi="Times New Roman" w:cs="Times New Roman"/>
          <w:sz w:val="24"/>
          <w:szCs w:val="24"/>
          <w:lang w:val="en-ZA"/>
        </w:rPr>
        <w:t xml:space="preserve"> presents the results.</w:t>
      </w:r>
    </w:p>
    <w:p w14:paraId="0F2E7CAB" w14:textId="18F38ACC" w:rsidR="00491FAD" w:rsidRPr="00491FAD" w:rsidRDefault="00491FAD" w:rsidP="00491FAD">
      <w:pPr>
        <w:spacing w:after="0" w:line="360" w:lineRule="auto"/>
        <w:jc w:val="both"/>
        <w:rPr>
          <w:rFonts w:ascii="Times New Roman" w:eastAsia="Times New Roman" w:hAnsi="Times New Roman" w:cs="Times New Roman"/>
          <w:bCs/>
          <w:sz w:val="24"/>
          <w:szCs w:val="24"/>
          <w:lang w:val="en-ZA"/>
        </w:rPr>
      </w:pPr>
      <w:bookmarkStart w:id="101" w:name="_Toc195640679"/>
      <w:r w:rsidRPr="00491F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6</w:t>
      </w:r>
      <w:r w:rsidRPr="00491FAD">
        <w:rPr>
          <w:rFonts w:ascii="Times New Roman" w:eastAsia="Times New Roman" w:hAnsi="Times New Roman" w:cs="Times New Roman"/>
          <w:b/>
          <w:bCs/>
          <w:sz w:val="24"/>
          <w:szCs w:val="24"/>
          <w:lang w:val="en-ZA"/>
        </w:rPr>
        <w:t>: Correlation Matrix</w:t>
      </w:r>
      <w:bookmarkEnd w:id="101"/>
    </w:p>
    <w:tbl>
      <w:tblPr>
        <w:tblStyle w:val="TableGrid"/>
        <w:tblW w:w="0" w:type="auto"/>
        <w:tblLook w:val="04A0" w:firstRow="1" w:lastRow="0" w:firstColumn="1" w:lastColumn="0" w:noHBand="0" w:noVBand="1"/>
      </w:tblPr>
      <w:tblGrid>
        <w:gridCol w:w="1609"/>
        <w:gridCol w:w="1470"/>
        <w:gridCol w:w="876"/>
        <w:gridCol w:w="1330"/>
        <w:gridCol w:w="1743"/>
        <w:gridCol w:w="1516"/>
      </w:tblGrid>
      <w:tr w:rsidR="00491FAD" w:rsidRPr="00491FAD" w14:paraId="43072814" w14:textId="77777777" w:rsidTr="0079674E">
        <w:tc>
          <w:tcPr>
            <w:tcW w:w="0" w:type="auto"/>
            <w:hideMark/>
          </w:tcPr>
          <w:p w14:paraId="05716BF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Variable</w:t>
            </w:r>
          </w:p>
        </w:tc>
        <w:tc>
          <w:tcPr>
            <w:tcW w:w="0" w:type="auto"/>
            <w:hideMark/>
          </w:tcPr>
          <w:p w14:paraId="6B478CEA"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Profitability</w:t>
            </w:r>
          </w:p>
        </w:tc>
        <w:tc>
          <w:tcPr>
            <w:tcW w:w="0" w:type="auto"/>
            <w:hideMark/>
          </w:tcPr>
          <w:p w14:paraId="32F5D0F7"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VAT</w:t>
            </w:r>
          </w:p>
        </w:tc>
        <w:tc>
          <w:tcPr>
            <w:tcW w:w="0" w:type="auto"/>
            <w:hideMark/>
          </w:tcPr>
          <w:p w14:paraId="1B5E5333"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Excise Tax</w:t>
            </w:r>
          </w:p>
        </w:tc>
        <w:tc>
          <w:tcPr>
            <w:tcW w:w="0" w:type="auto"/>
            <w:hideMark/>
          </w:tcPr>
          <w:p w14:paraId="0CAA793D"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Corporate Tax</w:t>
            </w:r>
          </w:p>
        </w:tc>
        <w:tc>
          <w:tcPr>
            <w:tcW w:w="0" w:type="auto"/>
            <w:hideMark/>
          </w:tcPr>
          <w:p w14:paraId="02F9C4FF" w14:textId="77777777" w:rsidR="00491FAD" w:rsidRPr="00491FAD" w:rsidRDefault="00491FAD" w:rsidP="00491FAD">
            <w:pPr>
              <w:spacing w:before="120" w:line="360" w:lineRule="auto"/>
              <w:jc w:val="center"/>
              <w:rPr>
                <w:rFonts w:ascii="Times New Roman" w:eastAsia="Times New Roman" w:hAnsi="Times New Roman" w:cs="Times New Roman"/>
                <w:b/>
                <w:bCs/>
                <w:sz w:val="24"/>
                <w:szCs w:val="24"/>
                <w:lang w:val="en-ZA"/>
              </w:rPr>
            </w:pPr>
            <w:r w:rsidRPr="00491FAD">
              <w:rPr>
                <w:rFonts w:ascii="Times New Roman" w:eastAsia="Times New Roman" w:hAnsi="Times New Roman" w:cs="Times New Roman"/>
                <w:b/>
                <w:bCs/>
                <w:sz w:val="24"/>
                <w:szCs w:val="24"/>
                <w:lang w:val="en-ZA"/>
              </w:rPr>
              <w:t>Import Levy</w:t>
            </w:r>
          </w:p>
        </w:tc>
      </w:tr>
      <w:tr w:rsidR="00491FAD" w:rsidRPr="00491FAD" w14:paraId="111D6B94" w14:textId="77777777" w:rsidTr="0079674E">
        <w:tc>
          <w:tcPr>
            <w:tcW w:w="0" w:type="auto"/>
            <w:hideMark/>
          </w:tcPr>
          <w:p w14:paraId="04995F03"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Profitability</w:t>
            </w:r>
          </w:p>
        </w:tc>
        <w:tc>
          <w:tcPr>
            <w:tcW w:w="0" w:type="auto"/>
            <w:hideMark/>
          </w:tcPr>
          <w:p w14:paraId="0ADEB51C"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1CD69D6F"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70626FE2"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0B6B12A9"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25B7A40E"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4425D4EA" w14:textId="77777777" w:rsidTr="0079674E">
        <w:tc>
          <w:tcPr>
            <w:tcW w:w="0" w:type="auto"/>
            <w:hideMark/>
          </w:tcPr>
          <w:p w14:paraId="30B4D2F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VAT</w:t>
            </w:r>
          </w:p>
        </w:tc>
        <w:tc>
          <w:tcPr>
            <w:tcW w:w="0" w:type="auto"/>
            <w:hideMark/>
          </w:tcPr>
          <w:p w14:paraId="240E7BDE"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-0.687*</w:t>
            </w:r>
          </w:p>
        </w:tc>
        <w:tc>
          <w:tcPr>
            <w:tcW w:w="0" w:type="auto"/>
            <w:hideMark/>
          </w:tcPr>
          <w:p w14:paraId="5AB2AC38"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1385BF8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0D10859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4DE0CD03"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58FDCBEB" w14:textId="77777777" w:rsidTr="0079674E">
        <w:tc>
          <w:tcPr>
            <w:tcW w:w="0" w:type="auto"/>
            <w:hideMark/>
          </w:tcPr>
          <w:p w14:paraId="7A65F34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Excise Tax</w:t>
            </w:r>
          </w:p>
        </w:tc>
        <w:tc>
          <w:tcPr>
            <w:tcW w:w="0" w:type="auto"/>
            <w:hideMark/>
          </w:tcPr>
          <w:p w14:paraId="343264E0"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-0.542*</w:t>
            </w:r>
          </w:p>
        </w:tc>
        <w:tc>
          <w:tcPr>
            <w:tcW w:w="0" w:type="auto"/>
            <w:hideMark/>
          </w:tcPr>
          <w:p w14:paraId="0C54B1E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0.417*</w:t>
            </w:r>
          </w:p>
        </w:tc>
        <w:tc>
          <w:tcPr>
            <w:tcW w:w="0" w:type="auto"/>
            <w:hideMark/>
          </w:tcPr>
          <w:p w14:paraId="2838C9AD"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259DA985"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2C7D2B95"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122710E7" w14:textId="77777777" w:rsidTr="0079674E">
        <w:tc>
          <w:tcPr>
            <w:tcW w:w="0" w:type="auto"/>
            <w:hideMark/>
          </w:tcPr>
          <w:p w14:paraId="1B84D994"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Corporate Tax</w:t>
            </w:r>
          </w:p>
        </w:tc>
        <w:tc>
          <w:tcPr>
            <w:tcW w:w="0" w:type="auto"/>
            <w:hideMark/>
          </w:tcPr>
          <w:p w14:paraId="529BC91F"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-0.623*</w:t>
            </w:r>
          </w:p>
        </w:tc>
        <w:tc>
          <w:tcPr>
            <w:tcW w:w="0" w:type="auto"/>
            <w:hideMark/>
          </w:tcPr>
          <w:p w14:paraId="3D7F999B"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0.382*</w:t>
            </w:r>
          </w:p>
        </w:tc>
        <w:tc>
          <w:tcPr>
            <w:tcW w:w="0" w:type="auto"/>
            <w:hideMark/>
          </w:tcPr>
          <w:p w14:paraId="6334A600"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0.423*</w:t>
            </w:r>
          </w:p>
        </w:tc>
        <w:tc>
          <w:tcPr>
            <w:tcW w:w="0" w:type="auto"/>
            <w:hideMark/>
          </w:tcPr>
          <w:p w14:paraId="75D12DE8"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c>
          <w:tcPr>
            <w:tcW w:w="0" w:type="auto"/>
            <w:hideMark/>
          </w:tcPr>
          <w:p w14:paraId="74DB0A4D"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p>
        </w:tc>
      </w:tr>
      <w:tr w:rsidR="00491FAD" w:rsidRPr="00491FAD" w14:paraId="07553EFC" w14:textId="77777777" w:rsidTr="0079674E">
        <w:tc>
          <w:tcPr>
            <w:tcW w:w="0" w:type="auto"/>
            <w:hideMark/>
          </w:tcPr>
          <w:p w14:paraId="7FC03B2A"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Import Levy</w:t>
            </w:r>
          </w:p>
        </w:tc>
        <w:tc>
          <w:tcPr>
            <w:tcW w:w="0" w:type="auto"/>
            <w:hideMark/>
          </w:tcPr>
          <w:p w14:paraId="0CAAC4E1" w14:textId="77777777" w:rsidR="00491FAD" w:rsidRPr="00491FAD" w:rsidRDefault="00491FAD" w:rsidP="00491FAD">
            <w:pPr>
              <w:spacing w:before="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-0.498*</w:t>
            </w:r>
          </w:p>
        </w:tc>
        <w:tc>
          <w:tcPr>
            <w:tcW w:w="0" w:type="auto"/>
            <w:hideMark/>
          </w:tcPr>
          <w:p w14:paraId="0E4FA0B7"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0.356*</w:t>
            </w:r>
          </w:p>
        </w:tc>
        <w:tc>
          <w:tcPr>
            <w:tcW w:w="0" w:type="auto"/>
            <w:hideMark/>
          </w:tcPr>
          <w:p w14:paraId="1FD55011"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0.376*</w:t>
            </w:r>
          </w:p>
        </w:tc>
        <w:tc>
          <w:tcPr>
            <w:tcW w:w="0" w:type="auto"/>
            <w:hideMark/>
          </w:tcPr>
          <w:p w14:paraId="556D6FDF"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0.341*</w:t>
            </w:r>
          </w:p>
        </w:tc>
        <w:tc>
          <w:tcPr>
            <w:tcW w:w="0" w:type="auto"/>
            <w:hideMark/>
          </w:tcPr>
          <w:p w14:paraId="626993BA" w14:textId="77777777" w:rsidR="00491FAD" w:rsidRPr="00491FAD" w:rsidRDefault="00491FAD" w:rsidP="00491FAD">
            <w:pPr>
              <w:spacing w:before="120" w:line="360" w:lineRule="auto"/>
              <w:jc w:val="center"/>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1.000</w:t>
            </w:r>
          </w:p>
        </w:tc>
      </w:tr>
    </w:tbl>
    <w:p w14:paraId="6C5DF90D" w14:textId="77777777" w:rsidR="00491FAD" w:rsidRPr="00491FAD" w:rsidRDefault="00491FAD" w:rsidP="00491FAD">
      <w:pPr>
        <w:spacing w:after="0" w:line="360" w:lineRule="auto"/>
        <w:jc w:val="both"/>
        <w:rPr>
          <w:rFonts w:ascii="Times New Roman" w:eastAsia="Times New Roman" w:hAnsi="Times New Roman" w:cs="Times New Roman"/>
          <w:b/>
          <w:sz w:val="24"/>
          <w:szCs w:val="24"/>
          <w:lang w:val="en-ZA"/>
        </w:rPr>
      </w:pPr>
      <w:r w:rsidRPr="00491FAD">
        <w:rPr>
          <w:rFonts w:ascii="Times New Roman" w:eastAsia="Times New Roman" w:hAnsi="Times New Roman" w:cs="Times New Roman"/>
          <w:b/>
          <w:sz w:val="24"/>
          <w:szCs w:val="24"/>
          <w:lang w:val="en-ZA"/>
        </w:rPr>
        <w:t>*Correlation is significant at the 0.05 level (2-tailed)</w:t>
      </w:r>
    </w:p>
    <w:p w14:paraId="6C2847B4" w14:textId="77777777" w:rsidR="00491FAD" w:rsidRPr="00491FAD" w:rsidRDefault="00491FAD" w:rsidP="00491FAD">
      <w:pPr>
        <w:spacing w:after="120" w:line="360" w:lineRule="auto"/>
        <w:jc w:val="both"/>
        <w:rPr>
          <w:rFonts w:ascii="Times New Roman" w:eastAsia="Times New Roman" w:hAnsi="Times New Roman" w:cs="Times New Roman"/>
          <w:b/>
          <w:bCs/>
          <w:sz w:val="24"/>
          <w:szCs w:val="24"/>
        </w:rPr>
      </w:pPr>
      <w:r w:rsidRPr="00491FAD">
        <w:rPr>
          <w:rFonts w:ascii="Times New Roman" w:eastAsia="Times New Roman" w:hAnsi="Times New Roman" w:cs="Times New Roman"/>
          <w:b/>
          <w:bCs/>
          <w:sz w:val="24"/>
          <w:szCs w:val="24"/>
        </w:rPr>
        <w:t>Source: Survey Data (2025)</w:t>
      </w:r>
    </w:p>
    <w:p w14:paraId="6053B874" w14:textId="413E0B23" w:rsidR="00491FAD" w:rsidRPr="00491FAD" w:rsidRDefault="00491FAD" w:rsidP="00491FAD">
      <w:pPr>
        <w:spacing w:after="0" w:line="360" w:lineRule="auto"/>
        <w:jc w:val="both"/>
        <w:rPr>
          <w:rFonts w:ascii="Times New Roman" w:eastAsia="Times New Roman" w:hAnsi="Times New Roman" w:cs="Times New Roman"/>
          <w:b/>
          <w:sz w:val="24"/>
          <w:szCs w:val="24"/>
          <w:lang w:val="en-ZA"/>
        </w:rPr>
      </w:pPr>
      <w:r w:rsidRPr="00491FAD">
        <w:rPr>
          <w:rFonts w:ascii="Times New Roman" w:eastAsia="Times New Roman" w:hAnsi="Times New Roman" w:cs="Times New Roman"/>
          <w:sz w:val="24"/>
          <w:szCs w:val="24"/>
          <w:lang w:val="en-ZA"/>
        </w:rPr>
        <w:t xml:space="preserve">The results in Table </w:t>
      </w:r>
      <w:r w:rsidR="00683658">
        <w:rPr>
          <w:rFonts w:ascii="Times New Roman" w:eastAsia="Times New Roman" w:hAnsi="Times New Roman" w:cs="Times New Roman"/>
          <w:sz w:val="24"/>
          <w:szCs w:val="24"/>
          <w:lang w:val="en-ZA"/>
        </w:rPr>
        <w:t>6</w:t>
      </w:r>
      <w:r w:rsidRPr="00491FAD">
        <w:rPr>
          <w:rFonts w:ascii="Times New Roman" w:eastAsia="Times New Roman" w:hAnsi="Times New Roman" w:cs="Times New Roman"/>
          <w:sz w:val="24"/>
          <w:szCs w:val="24"/>
          <w:lang w:val="en-ZA"/>
        </w:rPr>
        <w:t xml:space="preserve"> indicate that there was a significant negative correlation between all the independent variables (VAT, Excise Tax, Corporate Tax, and Import </w:t>
      </w:r>
      <w:r w:rsidRPr="00491FAD">
        <w:rPr>
          <w:rFonts w:ascii="Times New Roman" w:eastAsia="Times New Roman" w:hAnsi="Times New Roman" w:cs="Times New Roman"/>
          <w:bCs/>
          <w:sz w:val="24"/>
          <w:szCs w:val="24"/>
          <w:lang w:val="en-ZA"/>
        </w:rPr>
        <w:t>Levy</w:t>
      </w:r>
      <w:r w:rsidRPr="00491FAD">
        <w:rPr>
          <w:rFonts w:ascii="Times New Roman" w:eastAsia="Times New Roman" w:hAnsi="Times New Roman" w:cs="Times New Roman"/>
          <w:b/>
          <w:sz w:val="24"/>
          <w:szCs w:val="24"/>
          <w:lang w:val="en-ZA"/>
        </w:rPr>
        <w:t xml:space="preserve">). </w:t>
      </w:r>
    </w:p>
    <w:p w14:paraId="06D821EC" w14:textId="77777777"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VAT had the highest negative relationship with profitability with a correlation coefficient of -0.687 at 5% level of significance, meaning that high VAT has a very strong negative effect on business profitability. This is due to the fact that VAT leads to increased prices of products, which reduces the demand and sales volumes. </w:t>
      </w:r>
      <w:proofErr w:type="spellStart"/>
      <w:r w:rsidRPr="00491FAD">
        <w:rPr>
          <w:rFonts w:ascii="Times New Roman" w:eastAsia="Calibri" w:hAnsi="Times New Roman" w:cs="Times New Roman"/>
          <w:sz w:val="24"/>
          <w:szCs w:val="24"/>
          <w:shd w:val="clear" w:color="auto" w:fill="FFFFFF"/>
          <w:lang w:val="en-ZA"/>
        </w:rPr>
        <w:t>Wadesango</w:t>
      </w:r>
      <w:proofErr w:type="spellEnd"/>
      <w:r w:rsidRPr="00491FAD">
        <w:rPr>
          <w:rFonts w:ascii="Times New Roman" w:eastAsia="Calibri" w:hAnsi="Times New Roman" w:cs="Times New Roman"/>
          <w:sz w:val="24"/>
          <w:szCs w:val="24"/>
          <w:shd w:val="clear" w:color="auto" w:fill="FFFFFF"/>
          <w:lang w:val="en-ZA"/>
        </w:rPr>
        <w:t xml:space="preserve"> and </w:t>
      </w:r>
      <w:proofErr w:type="spellStart"/>
      <w:r w:rsidRPr="00491FAD">
        <w:rPr>
          <w:rFonts w:ascii="Times New Roman" w:eastAsia="Calibri" w:hAnsi="Times New Roman" w:cs="Times New Roman"/>
          <w:sz w:val="24"/>
          <w:szCs w:val="24"/>
          <w:shd w:val="clear" w:color="auto" w:fill="FFFFFF"/>
          <w:lang w:val="en-ZA"/>
        </w:rPr>
        <w:t>Chirebvu</w:t>
      </w:r>
      <w:proofErr w:type="spellEnd"/>
      <w:r w:rsidRPr="00491FAD">
        <w:rPr>
          <w:rFonts w:ascii="Times New Roman" w:eastAsia="Calibri" w:hAnsi="Times New Roman" w:cs="Times New Roman"/>
          <w:sz w:val="24"/>
          <w:szCs w:val="24"/>
          <w:shd w:val="clear" w:color="auto" w:fill="FFFFFF"/>
          <w:lang w:val="en-ZA"/>
        </w:rPr>
        <w:t xml:space="preserve"> (2020</w:t>
      </w:r>
      <w:r w:rsidRPr="00491FAD">
        <w:rPr>
          <w:rFonts w:ascii="Times New Roman" w:eastAsia="Times New Roman" w:hAnsi="Times New Roman" w:cs="Times New Roman"/>
          <w:sz w:val="24"/>
          <w:szCs w:val="24"/>
          <w:lang w:val="en-ZA"/>
        </w:rPr>
        <w:t>) state that due to poor input tax credit, VAT negatively affects the net margins and hence the investment capacities of the business in developing economies, as this study has also pointed out.</w:t>
      </w:r>
    </w:p>
    <w:p w14:paraId="2C99FDCD" w14:textId="77777777" w:rsidR="00491FAD" w:rsidRPr="00491FAD" w:rsidRDefault="00491FAD" w:rsidP="00491FAD">
      <w:pPr>
        <w:spacing w:after="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The study found that excise tax had a significant negative relationship with profitability, with a coefficient of -0.542 and a p-value less than 0.05. This indicated that an increase in excise tax led to a reduction in firm profits. The negative relationship suggested that higher excise taxes increased the cost of production, making firms—especially those dealing in agrochemicals—less </w:t>
      </w:r>
      <w:r w:rsidRPr="00491FAD">
        <w:rPr>
          <w:rFonts w:ascii="Times New Roman" w:eastAsia="Times New Roman" w:hAnsi="Times New Roman" w:cs="Times New Roman"/>
          <w:sz w:val="24"/>
          <w:szCs w:val="24"/>
          <w:lang w:val="en-ZA"/>
        </w:rPr>
        <w:lastRenderedPageBreak/>
        <w:t xml:space="preserve">competitive. These taxes often raised input costs, discouraged investment, and reduced profit margins. Supporting this finding, </w:t>
      </w:r>
      <w:proofErr w:type="spellStart"/>
      <w:r w:rsidRPr="00491FAD">
        <w:rPr>
          <w:rFonts w:ascii="Times New Roman" w:eastAsia="Times New Roman" w:hAnsi="Times New Roman" w:cs="Times New Roman"/>
          <w:sz w:val="24"/>
          <w:szCs w:val="24"/>
          <w:lang w:val="en-ZA"/>
        </w:rPr>
        <w:t>Kamara</w:t>
      </w:r>
      <w:proofErr w:type="spellEnd"/>
      <w:r w:rsidRPr="00491FAD">
        <w:rPr>
          <w:rFonts w:ascii="Times New Roman" w:eastAsia="Times New Roman" w:hAnsi="Times New Roman" w:cs="Times New Roman"/>
          <w:sz w:val="24"/>
          <w:szCs w:val="24"/>
          <w:lang w:val="en-ZA"/>
        </w:rPr>
        <w:t xml:space="preserve"> and </w:t>
      </w:r>
      <w:proofErr w:type="spellStart"/>
      <w:r w:rsidRPr="00491FAD">
        <w:rPr>
          <w:rFonts w:ascii="Times New Roman" w:eastAsia="Times New Roman" w:hAnsi="Times New Roman" w:cs="Times New Roman"/>
          <w:sz w:val="24"/>
          <w:szCs w:val="24"/>
          <w:lang w:val="en-ZA"/>
        </w:rPr>
        <w:t>Kamara</w:t>
      </w:r>
      <w:proofErr w:type="spellEnd"/>
      <w:r w:rsidRPr="00491FAD">
        <w:rPr>
          <w:rFonts w:ascii="Times New Roman" w:eastAsia="Times New Roman" w:hAnsi="Times New Roman" w:cs="Times New Roman"/>
          <w:sz w:val="24"/>
          <w:szCs w:val="24"/>
          <w:lang w:val="en-ZA"/>
        </w:rPr>
        <w:t xml:space="preserve"> (2025) noted that while excise duties are implemented as a revenue mobilization strategy, they tend to negatively impact targeted sectors by limiting both profitability and operational efficiency.</w:t>
      </w:r>
    </w:p>
    <w:p w14:paraId="2AAA7B9D" w14:textId="77777777" w:rsidR="00491FAD" w:rsidRPr="00491FAD" w:rsidRDefault="00491FAD" w:rsidP="00491FAD">
      <w:pPr>
        <w:spacing w:before="120" w:after="120" w:line="360" w:lineRule="auto"/>
        <w:jc w:val="both"/>
        <w:rPr>
          <w:rFonts w:ascii="Times New Roman" w:eastAsia="Times New Roman" w:hAnsi="Times New Roman" w:cs="Times New Roman"/>
          <w:sz w:val="24"/>
          <w:szCs w:val="24"/>
          <w:lang w:val="en-ZA"/>
        </w:rPr>
      </w:pPr>
      <w:r w:rsidRPr="00491FAD">
        <w:rPr>
          <w:rFonts w:ascii="Times New Roman" w:eastAsia="Times New Roman" w:hAnsi="Times New Roman" w:cs="Times New Roman"/>
          <w:sz w:val="24"/>
          <w:szCs w:val="24"/>
          <w:lang w:val="en-ZA"/>
        </w:rPr>
        <w:t xml:space="preserve">The results also revealed a statistically significant inverse relationship between corporate tax and profitability, with a correlation coefficient of r = -0.623 and p &lt; 0.05. This finding supported the argument by </w:t>
      </w:r>
      <w:proofErr w:type="spellStart"/>
      <w:r w:rsidRPr="00491FAD">
        <w:rPr>
          <w:rFonts w:ascii="Times New Roman" w:eastAsia="Times New Roman" w:hAnsi="Times New Roman" w:cs="Times New Roman"/>
          <w:sz w:val="24"/>
          <w:szCs w:val="24"/>
          <w:lang w:val="en-ZA"/>
        </w:rPr>
        <w:t>Pratama</w:t>
      </w:r>
      <w:proofErr w:type="spellEnd"/>
      <w:r w:rsidRPr="00491FAD">
        <w:rPr>
          <w:rFonts w:ascii="Times New Roman" w:eastAsia="Times New Roman" w:hAnsi="Times New Roman" w:cs="Times New Roman"/>
          <w:sz w:val="24"/>
          <w:szCs w:val="24"/>
          <w:lang w:val="en-ZA"/>
        </w:rPr>
        <w:t xml:space="preserve"> (2023), who posited that a high level of corporate taxation reduces the capacity for reinvestment and hampers the growth of entrepreneurship, particularly among small and medium-sized enterprises (SMEs), thereby eroding profit margins and hindering business expansion. Additionally, although the relationship between import levy and profitability was weaker than that of export revenue, it remained statistically significant and negative (r = -0.498, p &lt; 0.05). This indicated that increases in import levies led to higher operational costs, which in turn reduced the profitability of agrochemical firms that depend on imported inputs. The negative relationship could be attributed to high import tariffs in developing countries, which distort market prices, increase input costs, and constrain firms’ competitiveness and overall profitability. These findings were consistent with the World Bank (2020), which reported that excessive trade-related taxes in low-income economies often discourage production efficiency and market participation.</w:t>
      </w:r>
    </w:p>
    <w:p w14:paraId="3754226E" w14:textId="5D179463"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02" w:name="_Toc195640680"/>
      <w:bookmarkEnd w:id="89"/>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7</w:t>
      </w:r>
      <w:r w:rsidRPr="008F24AD">
        <w:rPr>
          <w:rFonts w:ascii="Times New Roman" w:eastAsia="Times New Roman" w:hAnsi="Times New Roman" w:cs="Times New Roman"/>
          <w:b/>
          <w:sz w:val="24"/>
          <w:szCs w:val="24"/>
          <w:lang w:val="en-ZA"/>
        </w:rPr>
        <w:t>: Model Summary</w:t>
      </w:r>
      <w:bookmarkEnd w:id="102"/>
    </w:p>
    <w:tbl>
      <w:tblPr>
        <w:tblStyle w:val="TableGrid1"/>
        <w:tblW w:w="5000" w:type="pct"/>
        <w:tblLook w:val="04A0" w:firstRow="1" w:lastRow="0" w:firstColumn="1" w:lastColumn="0" w:noHBand="0" w:noVBand="1"/>
      </w:tblPr>
      <w:tblGrid>
        <w:gridCol w:w="1035"/>
        <w:gridCol w:w="1616"/>
        <w:gridCol w:w="2976"/>
        <w:gridCol w:w="3949"/>
      </w:tblGrid>
      <w:tr w:rsidR="008F24AD" w:rsidRPr="008F24AD" w14:paraId="6D02945E" w14:textId="77777777" w:rsidTr="0079674E">
        <w:tc>
          <w:tcPr>
            <w:tcW w:w="540" w:type="pct"/>
            <w:hideMark/>
          </w:tcPr>
          <w:p w14:paraId="31B9A10A"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R</w:t>
            </w:r>
          </w:p>
        </w:tc>
        <w:tc>
          <w:tcPr>
            <w:tcW w:w="844" w:type="pct"/>
            <w:hideMark/>
          </w:tcPr>
          <w:p w14:paraId="3963D69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R Square</w:t>
            </w:r>
          </w:p>
        </w:tc>
        <w:tc>
          <w:tcPr>
            <w:tcW w:w="1554" w:type="pct"/>
            <w:hideMark/>
          </w:tcPr>
          <w:p w14:paraId="462D715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Adjusted R Square</w:t>
            </w:r>
          </w:p>
        </w:tc>
        <w:tc>
          <w:tcPr>
            <w:tcW w:w="2062" w:type="pct"/>
            <w:hideMark/>
          </w:tcPr>
          <w:p w14:paraId="58631AA8"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Std. Error of the Estimate</w:t>
            </w:r>
          </w:p>
        </w:tc>
      </w:tr>
      <w:tr w:rsidR="008F24AD" w:rsidRPr="008F24AD" w14:paraId="2DE1DA52" w14:textId="77777777" w:rsidTr="0079674E">
        <w:tc>
          <w:tcPr>
            <w:tcW w:w="540" w:type="pct"/>
            <w:hideMark/>
          </w:tcPr>
          <w:p w14:paraId="1702C53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0.792</w:t>
            </w:r>
          </w:p>
        </w:tc>
        <w:tc>
          <w:tcPr>
            <w:tcW w:w="844" w:type="pct"/>
            <w:hideMark/>
          </w:tcPr>
          <w:p w14:paraId="6054E4E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0.627</w:t>
            </w:r>
          </w:p>
        </w:tc>
        <w:tc>
          <w:tcPr>
            <w:tcW w:w="1554" w:type="pct"/>
            <w:hideMark/>
          </w:tcPr>
          <w:p w14:paraId="33DEAA3E"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0.611</w:t>
            </w:r>
          </w:p>
        </w:tc>
        <w:tc>
          <w:tcPr>
            <w:tcW w:w="2062" w:type="pct"/>
            <w:hideMark/>
          </w:tcPr>
          <w:p w14:paraId="0035E013"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0.417</w:t>
            </w:r>
          </w:p>
        </w:tc>
      </w:tr>
    </w:tbl>
    <w:p w14:paraId="4C815614" w14:textId="77777777" w:rsidR="008F24AD" w:rsidRPr="008F24AD" w:rsidRDefault="008F24AD" w:rsidP="00491FAD">
      <w:pPr>
        <w:spacing w:after="0" w:line="360" w:lineRule="auto"/>
        <w:jc w:val="both"/>
        <w:rPr>
          <w:rFonts w:ascii="Times New Roman" w:eastAsia="Times New Roman" w:hAnsi="Times New Roman" w:cs="Times New Roman"/>
          <w:b/>
          <w:bCs/>
          <w:sz w:val="24"/>
          <w:szCs w:val="24"/>
        </w:rPr>
      </w:pPr>
      <w:r w:rsidRPr="008F24AD">
        <w:rPr>
          <w:rFonts w:ascii="Times New Roman" w:eastAsia="Times New Roman" w:hAnsi="Times New Roman" w:cs="Times New Roman"/>
          <w:b/>
          <w:bCs/>
          <w:sz w:val="24"/>
          <w:szCs w:val="24"/>
        </w:rPr>
        <w:t>Source: Survey Data (2025)</w:t>
      </w:r>
    </w:p>
    <w:p w14:paraId="18D020C6" w14:textId="7C88512B" w:rsidR="008F24AD" w:rsidRPr="008F24AD" w:rsidRDefault="008F24AD" w:rsidP="00491FAD">
      <w:pPr>
        <w:spacing w:before="100" w:beforeAutospacing="1" w:after="0" w:line="360" w:lineRule="auto"/>
        <w:jc w:val="both"/>
        <w:rPr>
          <w:rFonts w:ascii="Times New Roman" w:eastAsia="Times New Roman" w:hAnsi="Times New Roman" w:cs="Times New Roman"/>
          <w:bCs/>
          <w:sz w:val="24"/>
          <w:szCs w:val="24"/>
          <w:lang w:val="en-ZA"/>
        </w:rPr>
      </w:pPr>
      <w:r w:rsidRPr="008F24AD">
        <w:rPr>
          <w:rFonts w:ascii="Times New Roman" w:eastAsia="Times New Roman" w:hAnsi="Times New Roman" w:cs="Times New Roman"/>
          <w:bCs/>
          <w:sz w:val="24"/>
          <w:szCs w:val="24"/>
          <w:lang w:val="en-ZA"/>
        </w:rPr>
        <w:t xml:space="preserve">The Adjusted R Square value in Table </w:t>
      </w:r>
      <w:r w:rsidR="00683658">
        <w:rPr>
          <w:rFonts w:ascii="Times New Roman" w:eastAsia="Times New Roman" w:hAnsi="Times New Roman" w:cs="Times New Roman"/>
          <w:bCs/>
          <w:sz w:val="24"/>
          <w:szCs w:val="24"/>
          <w:lang w:val="en-ZA"/>
        </w:rPr>
        <w:t>7</w:t>
      </w:r>
      <w:r w:rsidRPr="008F24AD">
        <w:rPr>
          <w:rFonts w:ascii="Times New Roman" w:eastAsia="Times New Roman" w:hAnsi="Times New Roman" w:cs="Times New Roman"/>
          <w:bCs/>
          <w:sz w:val="24"/>
          <w:szCs w:val="24"/>
          <w:lang w:val="en-ZA"/>
        </w:rPr>
        <w:t xml:space="preserve"> was 0.611, indicating that approximately 61.1% of the variability in the profitability of agrochemical dealers in Nairobi County could be explained by the combined influence of Value Added Tax (VAT), Corporate Tax (CET), Excise Tax (</w:t>
      </w:r>
      <w:proofErr w:type="spellStart"/>
      <w:r w:rsidRPr="008F24AD">
        <w:rPr>
          <w:rFonts w:ascii="Times New Roman" w:eastAsia="Times New Roman" w:hAnsi="Times New Roman" w:cs="Times New Roman"/>
          <w:bCs/>
          <w:sz w:val="24"/>
          <w:szCs w:val="24"/>
          <w:lang w:val="en-ZA"/>
        </w:rPr>
        <w:t>ExT</w:t>
      </w:r>
      <w:proofErr w:type="spellEnd"/>
      <w:r w:rsidRPr="008F24AD">
        <w:rPr>
          <w:rFonts w:ascii="Times New Roman" w:eastAsia="Times New Roman" w:hAnsi="Times New Roman" w:cs="Times New Roman"/>
          <w:bCs/>
          <w:sz w:val="24"/>
          <w:szCs w:val="24"/>
          <w:lang w:val="en-ZA"/>
        </w:rPr>
        <w:t xml:space="preserve">), and Import Levy (IL) after adjusting for the number of predictors in the model. Unlike the R Square, which may overestimate the explanatory power of the model, the Adjusted R Square provides a more accurate and conservative estimate by accounting for the number of independent variables. This suggests that the model has a strong explanatory power, and the selected taxation </w:t>
      </w:r>
      <w:r w:rsidRPr="008F24AD">
        <w:rPr>
          <w:rFonts w:ascii="Times New Roman" w:eastAsia="Times New Roman" w:hAnsi="Times New Roman" w:cs="Times New Roman"/>
          <w:bCs/>
          <w:sz w:val="24"/>
          <w:szCs w:val="24"/>
          <w:lang w:val="en-ZA"/>
        </w:rPr>
        <w:lastRenderedPageBreak/>
        <w:t>variables collectively contribute significantly to the changes in profitability among agrochemical dealers. The remaining 38.9% of the variation may be attributed to other factors not included in the model, such as market competition, operational efficiency, pricing strategies, or government regulations.</w:t>
      </w:r>
    </w:p>
    <w:p w14:paraId="038607CD" w14:textId="77777777" w:rsidR="008F24AD" w:rsidRPr="008F24AD" w:rsidRDefault="008F24AD" w:rsidP="00491FAD">
      <w:pPr>
        <w:spacing w:after="120" w:line="360" w:lineRule="auto"/>
        <w:jc w:val="both"/>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ANOVA</w:t>
      </w:r>
    </w:p>
    <w:p w14:paraId="47E5FBF8" w14:textId="2C44A882"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03" w:name="_Toc195640681"/>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8</w:t>
      </w:r>
      <w:r w:rsidRPr="008F24AD">
        <w:rPr>
          <w:rFonts w:ascii="Times New Roman" w:eastAsia="Times New Roman" w:hAnsi="Times New Roman" w:cs="Times New Roman"/>
          <w:b/>
          <w:sz w:val="24"/>
          <w:szCs w:val="24"/>
          <w:lang w:val="en-ZA"/>
        </w:rPr>
        <w:t>: ANOVA</w:t>
      </w:r>
      <w:bookmarkEnd w:id="103"/>
    </w:p>
    <w:tbl>
      <w:tblPr>
        <w:tblStyle w:val="TableGrid1"/>
        <w:tblW w:w="5000" w:type="pct"/>
        <w:tblLook w:val="04A0" w:firstRow="1" w:lastRow="0" w:firstColumn="1" w:lastColumn="0" w:noHBand="0" w:noVBand="1"/>
      </w:tblPr>
      <w:tblGrid>
        <w:gridCol w:w="1809"/>
        <w:gridCol w:w="2579"/>
        <w:gridCol w:w="642"/>
        <w:gridCol w:w="2248"/>
        <w:gridCol w:w="1233"/>
        <w:gridCol w:w="1065"/>
      </w:tblGrid>
      <w:tr w:rsidR="008F24AD" w:rsidRPr="008F24AD" w14:paraId="43E8FE64" w14:textId="77777777" w:rsidTr="0079674E">
        <w:tc>
          <w:tcPr>
            <w:tcW w:w="944" w:type="pct"/>
            <w:hideMark/>
          </w:tcPr>
          <w:p w14:paraId="5D003148"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Model</w:t>
            </w:r>
          </w:p>
        </w:tc>
        <w:tc>
          <w:tcPr>
            <w:tcW w:w="1346" w:type="pct"/>
            <w:hideMark/>
          </w:tcPr>
          <w:p w14:paraId="6B6F8F57"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Sum of Squares</w:t>
            </w:r>
          </w:p>
        </w:tc>
        <w:tc>
          <w:tcPr>
            <w:tcW w:w="335" w:type="pct"/>
            <w:hideMark/>
          </w:tcPr>
          <w:p w14:paraId="31DAE3EF"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proofErr w:type="spellStart"/>
            <w:r w:rsidRPr="008F24AD">
              <w:rPr>
                <w:rFonts w:ascii="Times New Roman" w:eastAsia="Times New Roman" w:hAnsi="Times New Roman" w:cs="Times New Roman"/>
                <w:b/>
                <w:bCs/>
                <w:sz w:val="24"/>
                <w:szCs w:val="24"/>
                <w:lang w:val="en-ZA"/>
              </w:rPr>
              <w:t>df</w:t>
            </w:r>
            <w:proofErr w:type="spellEnd"/>
          </w:p>
        </w:tc>
        <w:tc>
          <w:tcPr>
            <w:tcW w:w="1174" w:type="pct"/>
            <w:hideMark/>
          </w:tcPr>
          <w:p w14:paraId="35670DE2"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Mean Square</w:t>
            </w:r>
          </w:p>
        </w:tc>
        <w:tc>
          <w:tcPr>
            <w:tcW w:w="644" w:type="pct"/>
            <w:hideMark/>
          </w:tcPr>
          <w:p w14:paraId="4D8C6A92"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F</w:t>
            </w:r>
          </w:p>
        </w:tc>
        <w:tc>
          <w:tcPr>
            <w:tcW w:w="556" w:type="pct"/>
            <w:hideMark/>
          </w:tcPr>
          <w:p w14:paraId="1EE14A38" w14:textId="77777777" w:rsidR="008F24AD" w:rsidRPr="008F24AD" w:rsidRDefault="008F24AD" w:rsidP="00491FAD">
            <w:pPr>
              <w:spacing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Sig.</w:t>
            </w:r>
          </w:p>
        </w:tc>
      </w:tr>
      <w:tr w:rsidR="008F24AD" w:rsidRPr="008F24AD" w14:paraId="422CFE25" w14:textId="77777777" w:rsidTr="0079674E">
        <w:tc>
          <w:tcPr>
            <w:tcW w:w="944" w:type="pct"/>
            <w:hideMark/>
          </w:tcPr>
          <w:p w14:paraId="5C741712"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Regression</w:t>
            </w:r>
          </w:p>
        </w:tc>
        <w:tc>
          <w:tcPr>
            <w:tcW w:w="1346" w:type="pct"/>
            <w:hideMark/>
          </w:tcPr>
          <w:p w14:paraId="6CA5F816"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37.291</w:t>
            </w:r>
          </w:p>
        </w:tc>
        <w:tc>
          <w:tcPr>
            <w:tcW w:w="335" w:type="pct"/>
            <w:hideMark/>
          </w:tcPr>
          <w:p w14:paraId="362B491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4</w:t>
            </w:r>
          </w:p>
        </w:tc>
        <w:tc>
          <w:tcPr>
            <w:tcW w:w="1174" w:type="pct"/>
            <w:hideMark/>
          </w:tcPr>
          <w:p w14:paraId="359F12BA"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9.323</w:t>
            </w:r>
          </w:p>
        </w:tc>
        <w:tc>
          <w:tcPr>
            <w:tcW w:w="644" w:type="pct"/>
            <w:hideMark/>
          </w:tcPr>
          <w:p w14:paraId="329E4595"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53.546</w:t>
            </w:r>
          </w:p>
        </w:tc>
        <w:tc>
          <w:tcPr>
            <w:tcW w:w="556" w:type="pct"/>
            <w:hideMark/>
          </w:tcPr>
          <w:p w14:paraId="7CE04110"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38BE4131" w14:textId="77777777" w:rsidTr="0079674E">
        <w:tc>
          <w:tcPr>
            <w:tcW w:w="944" w:type="pct"/>
            <w:hideMark/>
          </w:tcPr>
          <w:p w14:paraId="531EAAAE"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Residual</w:t>
            </w:r>
          </w:p>
        </w:tc>
        <w:tc>
          <w:tcPr>
            <w:tcW w:w="1346" w:type="pct"/>
            <w:hideMark/>
          </w:tcPr>
          <w:p w14:paraId="5A86BBDD"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22.146</w:t>
            </w:r>
          </w:p>
        </w:tc>
        <w:tc>
          <w:tcPr>
            <w:tcW w:w="335" w:type="pct"/>
            <w:hideMark/>
          </w:tcPr>
          <w:p w14:paraId="7DE1E147"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92</w:t>
            </w:r>
          </w:p>
        </w:tc>
        <w:tc>
          <w:tcPr>
            <w:tcW w:w="1174" w:type="pct"/>
            <w:hideMark/>
          </w:tcPr>
          <w:p w14:paraId="5D8C526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0.241</w:t>
            </w:r>
          </w:p>
        </w:tc>
        <w:tc>
          <w:tcPr>
            <w:tcW w:w="644" w:type="pct"/>
            <w:hideMark/>
          </w:tcPr>
          <w:p w14:paraId="6B416186"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556" w:type="pct"/>
            <w:hideMark/>
          </w:tcPr>
          <w:p w14:paraId="46474F69"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r>
      <w:tr w:rsidR="008F24AD" w:rsidRPr="008F24AD" w14:paraId="1FA0D5A6" w14:textId="77777777" w:rsidTr="0079674E">
        <w:tc>
          <w:tcPr>
            <w:tcW w:w="944" w:type="pct"/>
            <w:hideMark/>
          </w:tcPr>
          <w:p w14:paraId="75D7CAAA" w14:textId="77777777" w:rsidR="008F24AD" w:rsidRPr="008F24AD" w:rsidRDefault="008F24AD" w:rsidP="00491FAD">
            <w:pPr>
              <w:spacing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Total</w:t>
            </w:r>
          </w:p>
        </w:tc>
        <w:tc>
          <w:tcPr>
            <w:tcW w:w="1346" w:type="pct"/>
            <w:hideMark/>
          </w:tcPr>
          <w:p w14:paraId="7286E21A"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59.437</w:t>
            </w:r>
          </w:p>
        </w:tc>
        <w:tc>
          <w:tcPr>
            <w:tcW w:w="335" w:type="pct"/>
            <w:hideMark/>
          </w:tcPr>
          <w:p w14:paraId="3B9CF383"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96</w:t>
            </w:r>
          </w:p>
        </w:tc>
        <w:tc>
          <w:tcPr>
            <w:tcW w:w="1174" w:type="pct"/>
            <w:hideMark/>
          </w:tcPr>
          <w:p w14:paraId="0F36AA01"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644" w:type="pct"/>
            <w:hideMark/>
          </w:tcPr>
          <w:p w14:paraId="3F24B1CB"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c>
          <w:tcPr>
            <w:tcW w:w="556" w:type="pct"/>
            <w:hideMark/>
          </w:tcPr>
          <w:p w14:paraId="7DC592E2" w14:textId="77777777" w:rsidR="008F24AD" w:rsidRPr="008F24AD" w:rsidRDefault="008F24AD" w:rsidP="00491FAD">
            <w:pPr>
              <w:spacing w:line="360" w:lineRule="auto"/>
              <w:jc w:val="center"/>
              <w:rPr>
                <w:rFonts w:ascii="Times New Roman" w:eastAsia="Times New Roman" w:hAnsi="Times New Roman" w:cs="Times New Roman"/>
                <w:sz w:val="24"/>
                <w:szCs w:val="24"/>
                <w:lang w:val="en-ZA"/>
              </w:rPr>
            </w:pPr>
          </w:p>
        </w:tc>
      </w:tr>
    </w:tbl>
    <w:p w14:paraId="78310A5B" w14:textId="77777777" w:rsidR="008F24AD" w:rsidRPr="008F24AD" w:rsidRDefault="008F24AD" w:rsidP="00491FAD">
      <w:pPr>
        <w:spacing w:after="100" w:afterAutospacing="1" w:line="360" w:lineRule="auto"/>
        <w:jc w:val="both"/>
        <w:rPr>
          <w:rFonts w:ascii="Times New Roman" w:eastAsia="Times New Roman" w:hAnsi="Times New Roman" w:cs="Times New Roman"/>
          <w:b/>
          <w:bCs/>
          <w:sz w:val="24"/>
          <w:szCs w:val="24"/>
        </w:rPr>
      </w:pPr>
      <w:r w:rsidRPr="008F24AD">
        <w:rPr>
          <w:rFonts w:ascii="Times New Roman" w:eastAsia="Times New Roman" w:hAnsi="Times New Roman" w:cs="Times New Roman"/>
          <w:b/>
          <w:bCs/>
          <w:sz w:val="24"/>
          <w:szCs w:val="24"/>
        </w:rPr>
        <w:t>Source: Survey Data (2025)</w:t>
      </w:r>
    </w:p>
    <w:p w14:paraId="0C674916" w14:textId="07CFFB3A" w:rsidR="008F24AD" w:rsidRPr="008F24AD" w:rsidRDefault="008F24AD" w:rsidP="00491FAD">
      <w:pPr>
        <w:spacing w:before="100" w:beforeAutospacing="1" w:after="100" w:afterAutospacing="1" w:line="360" w:lineRule="auto"/>
        <w:jc w:val="both"/>
        <w:rPr>
          <w:rFonts w:ascii="Times New Roman" w:eastAsia="Times New Roman" w:hAnsi="Times New Roman" w:cs="Times New Roman"/>
          <w:bCs/>
          <w:sz w:val="24"/>
          <w:szCs w:val="24"/>
          <w:lang w:val="en-ZA"/>
        </w:rPr>
      </w:pPr>
      <w:r w:rsidRPr="008F24AD">
        <w:rPr>
          <w:rFonts w:ascii="Times New Roman" w:eastAsia="Times New Roman" w:hAnsi="Times New Roman" w:cs="Times New Roman"/>
          <w:bCs/>
          <w:sz w:val="24"/>
          <w:szCs w:val="24"/>
          <w:lang w:val="en-ZA"/>
        </w:rPr>
        <w:t xml:space="preserve">In Table </w:t>
      </w:r>
      <w:r w:rsidR="00683658">
        <w:rPr>
          <w:rFonts w:ascii="Times New Roman" w:eastAsia="Times New Roman" w:hAnsi="Times New Roman" w:cs="Times New Roman"/>
          <w:bCs/>
          <w:sz w:val="24"/>
          <w:szCs w:val="24"/>
          <w:lang w:val="en-ZA"/>
        </w:rPr>
        <w:t>8</w:t>
      </w:r>
      <w:r w:rsidRPr="008F24AD">
        <w:rPr>
          <w:rFonts w:ascii="Times New Roman" w:eastAsia="Times New Roman" w:hAnsi="Times New Roman" w:cs="Times New Roman"/>
          <w:bCs/>
          <w:sz w:val="24"/>
          <w:szCs w:val="24"/>
          <w:lang w:val="en-ZA"/>
        </w:rPr>
        <w:t>, the value of F-statistic was 53.546 and p-value was 0.000 which is less than 0.05. This means that the overall regression model has a significant value in estimating the profitability of the agrochemical dealers in Nairobi County.</w:t>
      </w:r>
    </w:p>
    <w:p w14:paraId="716B8690" w14:textId="77777777" w:rsidR="008F24AD" w:rsidRPr="008F24AD" w:rsidRDefault="008F24AD" w:rsidP="00491FAD">
      <w:pPr>
        <w:spacing w:before="100" w:beforeAutospacing="1" w:after="100" w:afterAutospacing="1" w:line="360" w:lineRule="auto"/>
        <w:jc w:val="both"/>
        <w:rPr>
          <w:rFonts w:ascii="Times New Roman" w:eastAsia="Times New Roman" w:hAnsi="Times New Roman" w:cs="Times New Roman"/>
          <w:b/>
          <w:bCs/>
          <w:sz w:val="24"/>
          <w:szCs w:val="24"/>
          <w:lang w:val="en-ZA"/>
        </w:rPr>
      </w:pPr>
      <w:proofErr w:type="gramStart"/>
      <w:r w:rsidRPr="008F24AD">
        <w:rPr>
          <w:rFonts w:ascii="Times New Roman" w:eastAsia="Times New Roman" w:hAnsi="Times New Roman" w:cs="Times New Roman"/>
          <w:b/>
          <w:bCs/>
          <w:sz w:val="24"/>
          <w:szCs w:val="24"/>
          <w:lang w:val="en-ZA"/>
        </w:rPr>
        <w:t>Regression Coefficients.</w:t>
      </w:r>
      <w:proofErr w:type="gramEnd"/>
    </w:p>
    <w:p w14:paraId="45163DA5" w14:textId="153172D1" w:rsidR="008F24AD" w:rsidRPr="008F24AD" w:rsidRDefault="008F24AD" w:rsidP="00491FAD">
      <w:pPr>
        <w:spacing w:after="0" w:line="360" w:lineRule="auto"/>
        <w:jc w:val="both"/>
        <w:rPr>
          <w:rFonts w:ascii="Times New Roman" w:eastAsia="Times New Roman" w:hAnsi="Times New Roman" w:cs="Times New Roman"/>
          <w:b/>
          <w:bCs/>
          <w:sz w:val="24"/>
          <w:szCs w:val="24"/>
          <w:lang w:val="en-ZA"/>
        </w:rPr>
      </w:pPr>
      <w:bookmarkStart w:id="104" w:name="_Toc195640682"/>
      <w:r w:rsidRPr="008F24AD">
        <w:rPr>
          <w:rFonts w:ascii="Times New Roman" w:eastAsia="Calibri" w:hAnsi="Times New Roman" w:cs="Times New Roman"/>
          <w:b/>
          <w:bCs/>
          <w:sz w:val="24"/>
          <w:szCs w:val="24"/>
          <w:lang w:val="en-ZA"/>
        </w:rPr>
        <w:t xml:space="preserve">Table </w:t>
      </w:r>
      <w:r w:rsidR="00683658">
        <w:rPr>
          <w:rFonts w:ascii="Times New Roman" w:eastAsia="Calibri" w:hAnsi="Times New Roman" w:cs="Times New Roman"/>
          <w:b/>
          <w:bCs/>
          <w:sz w:val="24"/>
          <w:szCs w:val="24"/>
          <w:lang w:val="en-ZA"/>
        </w:rPr>
        <w:t>9</w:t>
      </w:r>
      <w:r w:rsidRPr="008F24AD">
        <w:rPr>
          <w:rFonts w:ascii="Times New Roman" w:eastAsia="Times New Roman" w:hAnsi="Times New Roman" w:cs="Times New Roman"/>
          <w:b/>
          <w:sz w:val="24"/>
          <w:szCs w:val="24"/>
          <w:lang w:val="en-ZA"/>
        </w:rPr>
        <w:t>: Regression Coefficients</w:t>
      </w:r>
      <w:bookmarkEnd w:id="104"/>
    </w:p>
    <w:tbl>
      <w:tblPr>
        <w:tblStyle w:val="TableGrid1"/>
        <w:tblW w:w="8290" w:type="dxa"/>
        <w:tblLook w:val="04A0" w:firstRow="1" w:lastRow="0" w:firstColumn="1" w:lastColumn="0" w:noHBand="0" w:noVBand="1"/>
      </w:tblPr>
      <w:tblGrid>
        <w:gridCol w:w="1980"/>
        <w:gridCol w:w="1857"/>
        <w:gridCol w:w="1165"/>
        <w:gridCol w:w="1656"/>
        <w:gridCol w:w="876"/>
        <w:gridCol w:w="756"/>
      </w:tblGrid>
      <w:tr w:rsidR="008F24AD" w:rsidRPr="008F24AD" w14:paraId="2914E591" w14:textId="77777777" w:rsidTr="0079674E">
        <w:tc>
          <w:tcPr>
            <w:tcW w:w="1980" w:type="dxa"/>
            <w:hideMark/>
          </w:tcPr>
          <w:p w14:paraId="0147BC2F"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Model</w:t>
            </w:r>
          </w:p>
        </w:tc>
        <w:tc>
          <w:tcPr>
            <w:tcW w:w="1857" w:type="dxa"/>
            <w:hideMark/>
          </w:tcPr>
          <w:p w14:paraId="380B175D"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Unstandardized Coefficients</w:t>
            </w:r>
          </w:p>
        </w:tc>
        <w:tc>
          <w:tcPr>
            <w:tcW w:w="1165" w:type="dxa"/>
            <w:hideMark/>
          </w:tcPr>
          <w:p w14:paraId="1C8C1EC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p>
        </w:tc>
        <w:tc>
          <w:tcPr>
            <w:tcW w:w="1656" w:type="dxa"/>
            <w:hideMark/>
          </w:tcPr>
          <w:p w14:paraId="4685B55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Standardized Coefficients</w:t>
            </w:r>
          </w:p>
        </w:tc>
        <w:tc>
          <w:tcPr>
            <w:tcW w:w="0" w:type="auto"/>
            <w:hideMark/>
          </w:tcPr>
          <w:p w14:paraId="128AF73E"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t</w:t>
            </w:r>
          </w:p>
        </w:tc>
        <w:tc>
          <w:tcPr>
            <w:tcW w:w="0" w:type="auto"/>
            <w:hideMark/>
          </w:tcPr>
          <w:p w14:paraId="783BCC2D"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r w:rsidRPr="008F24AD">
              <w:rPr>
                <w:rFonts w:ascii="Times New Roman" w:eastAsia="Times New Roman" w:hAnsi="Times New Roman" w:cs="Times New Roman"/>
                <w:b/>
                <w:bCs/>
                <w:sz w:val="24"/>
                <w:szCs w:val="24"/>
                <w:lang w:val="en-ZA"/>
              </w:rPr>
              <w:t>Sig.</w:t>
            </w:r>
          </w:p>
        </w:tc>
      </w:tr>
      <w:tr w:rsidR="008F24AD" w:rsidRPr="008F24AD" w14:paraId="13C169FB" w14:textId="77777777" w:rsidTr="0079674E">
        <w:tc>
          <w:tcPr>
            <w:tcW w:w="1980" w:type="dxa"/>
            <w:hideMark/>
          </w:tcPr>
          <w:p w14:paraId="21B7B209" w14:textId="77777777" w:rsidR="008F24AD" w:rsidRPr="008F24AD" w:rsidRDefault="008F24AD" w:rsidP="00491FAD">
            <w:pPr>
              <w:spacing w:before="120" w:line="360" w:lineRule="auto"/>
              <w:jc w:val="center"/>
              <w:rPr>
                <w:rFonts w:ascii="Times New Roman" w:eastAsia="Times New Roman" w:hAnsi="Times New Roman" w:cs="Times New Roman"/>
                <w:b/>
                <w:bCs/>
                <w:sz w:val="24"/>
                <w:szCs w:val="24"/>
                <w:lang w:val="en-ZA"/>
              </w:rPr>
            </w:pPr>
          </w:p>
        </w:tc>
        <w:tc>
          <w:tcPr>
            <w:tcW w:w="1857" w:type="dxa"/>
            <w:hideMark/>
          </w:tcPr>
          <w:p w14:paraId="1F35CC4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B</w:t>
            </w:r>
          </w:p>
        </w:tc>
        <w:tc>
          <w:tcPr>
            <w:tcW w:w="1165" w:type="dxa"/>
            <w:hideMark/>
          </w:tcPr>
          <w:p w14:paraId="6DE989F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Std. Error</w:t>
            </w:r>
          </w:p>
        </w:tc>
        <w:tc>
          <w:tcPr>
            <w:tcW w:w="1656" w:type="dxa"/>
            <w:hideMark/>
          </w:tcPr>
          <w:p w14:paraId="335DC276"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Beta</w:t>
            </w:r>
          </w:p>
        </w:tc>
        <w:tc>
          <w:tcPr>
            <w:tcW w:w="0" w:type="auto"/>
            <w:hideMark/>
          </w:tcPr>
          <w:p w14:paraId="2EF9EF8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4566CC88"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r>
      <w:tr w:rsidR="008F24AD" w:rsidRPr="008F24AD" w14:paraId="2D2B5C97" w14:textId="77777777" w:rsidTr="0079674E">
        <w:tc>
          <w:tcPr>
            <w:tcW w:w="1980" w:type="dxa"/>
            <w:hideMark/>
          </w:tcPr>
          <w:p w14:paraId="7E0B7D39"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(Constant)</w:t>
            </w:r>
          </w:p>
        </w:tc>
        <w:tc>
          <w:tcPr>
            <w:tcW w:w="1857" w:type="dxa"/>
            <w:hideMark/>
          </w:tcPr>
          <w:p w14:paraId="19CFF902"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5.937</w:t>
            </w:r>
          </w:p>
        </w:tc>
        <w:tc>
          <w:tcPr>
            <w:tcW w:w="1165" w:type="dxa"/>
            <w:hideMark/>
          </w:tcPr>
          <w:p w14:paraId="5A907A99"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0.313</w:t>
            </w:r>
          </w:p>
        </w:tc>
        <w:tc>
          <w:tcPr>
            <w:tcW w:w="1656" w:type="dxa"/>
            <w:hideMark/>
          </w:tcPr>
          <w:p w14:paraId="73BC1440"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p>
        </w:tc>
        <w:tc>
          <w:tcPr>
            <w:tcW w:w="0" w:type="auto"/>
            <w:hideMark/>
          </w:tcPr>
          <w:p w14:paraId="1161BED5"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18.969</w:t>
            </w:r>
          </w:p>
        </w:tc>
        <w:tc>
          <w:tcPr>
            <w:tcW w:w="0" w:type="auto"/>
            <w:hideMark/>
          </w:tcPr>
          <w:p w14:paraId="6DE2B44A"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1E6286E6" w14:textId="77777777" w:rsidTr="0079674E">
        <w:tc>
          <w:tcPr>
            <w:tcW w:w="1980" w:type="dxa"/>
            <w:hideMark/>
          </w:tcPr>
          <w:p w14:paraId="738BE14C"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Value Added Tax</w:t>
            </w:r>
          </w:p>
        </w:tc>
        <w:tc>
          <w:tcPr>
            <w:tcW w:w="1857" w:type="dxa"/>
            <w:hideMark/>
          </w:tcPr>
          <w:p w14:paraId="584F15A5"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-0.483</w:t>
            </w:r>
          </w:p>
        </w:tc>
        <w:tc>
          <w:tcPr>
            <w:tcW w:w="1165" w:type="dxa"/>
            <w:hideMark/>
          </w:tcPr>
          <w:p w14:paraId="6CFE50A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0.076</w:t>
            </w:r>
          </w:p>
        </w:tc>
        <w:tc>
          <w:tcPr>
            <w:tcW w:w="1656" w:type="dxa"/>
            <w:hideMark/>
          </w:tcPr>
          <w:p w14:paraId="7368FE3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-0.462</w:t>
            </w:r>
          </w:p>
        </w:tc>
        <w:tc>
          <w:tcPr>
            <w:tcW w:w="0" w:type="auto"/>
            <w:hideMark/>
          </w:tcPr>
          <w:p w14:paraId="1DED8562"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-6.355</w:t>
            </w:r>
          </w:p>
        </w:tc>
        <w:tc>
          <w:tcPr>
            <w:tcW w:w="0" w:type="auto"/>
            <w:hideMark/>
          </w:tcPr>
          <w:p w14:paraId="3C22CEC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6FF27507" w14:textId="77777777" w:rsidTr="0079674E">
        <w:tc>
          <w:tcPr>
            <w:tcW w:w="1980" w:type="dxa"/>
            <w:hideMark/>
          </w:tcPr>
          <w:p w14:paraId="44DDF5A7"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Excise Tax</w:t>
            </w:r>
          </w:p>
        </w:tc>
        <w:tc>
          <w:tcPr>
            <w:tcW w:w="1857" w:type="dxa"/>
            <w:hideMark/>
          </w:tcPr>
          <w:p w14:paraId="1225E82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-0.297</w:t>
            </w:r>
          </w:p>
        </w:tc>
        <w:tc>
          <w:tcPr>
            <w:tcW w:w="1165" w:type="dxa"/>
            <w:hideMark/>
          </w:tcPr>
          <w:p w14:paraId="5348DE63"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0.082</w:t>
            </w:r>
          </w:p>
        </w:tc>
        <w:tc>
          <w:tcPr>
            <w:tcW w:w="1656" w:type="dxa"/>
            <w:hideMark/>
          </w:tcPr>
          <w:p w14:paraId="2D88663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-0.269</w:t>
            </w:r>
          </w:p>
        </w:tc>
        <w:tc>
          <w:tcPr>
            <w:tcW w:w="0" w:type="auto"/>
            <w:hideMark/>
          </w:tcPr>
          <w:p w14:paraId="64C6152F"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-3.622</w:t>
            </w:r>
          </w:p>
        </w:tc>
        <w:tc>
          <w:tcPr>
            <w:tcW w:w="0" w:type="auto"/>
            <w:hideMark/>
          </w:tcPr>
          <w:p w14:paraId="1E2797A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0.001</w:t>
            </w:r>
          </w:p>
        </w:tc>
      </w:tr>
      <w:tr w:rsidR="008F24AD" w:rsidRPr="008F24AD" w14:paraId="410AB07D" w14:textId="77777777" w:rsidTr="0079674E">
        <w:tc>
          <w:tcPr>
            <w:tcW w:w="1980" w:type="dxa"/>
            <w:hideMark/>
          </w:tcPr>
          <w:p w14:paraId="43807BB0"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Corporate Tax</w:t>
            </w:r>
          </w:p>
        </w:tc>
        <w:tc>
          <w:tcPr>
            <w:tcW w:w="1857" w:type="dxa"/>
            <w:hideMark/>
          </w:tcPr>
          <w:p w14:paraId="3315E961"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-0.356</w:t>
            </w:r>
          </w:p>
        </w:tc>
        <w:tc>
          <w:tcPr>
            <w:tcW w:w="1165" w:type="dxa"/>
            <w:hideMark/>
          </w:tcPr>
          <w:p w14:paraId="6AA6EAE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0.087</w:t>
            </w:r>
          </w:p>
        </w:tc>
        <w:tc>
          <w:tcPr>
            <w:tcW w:w="1656" w:type="dxa"/>
            <w:hideMark/>
          </w:tcPr>
          <w:p w14:paraId="208F8B3F"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-0.316</w:t>
            </w:r>
          </w:p>
        </w:tc>
        <w:tc>
          <w:tcPr>
            <w:tcW w:w="0" w:type="auto"/>
            <w:hideMark/>
          </w:tcPr>
          <w:p w14:paraId="3DDDC11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-4.092</w:t>
            </w:r>
          </w:p>
        </w:tc>
        <w:tc>
          <w:tcPr>
            <w:tcW w:w="0" w:type="auto"/>
            <w:hideMark/>
          </w:tcPr>
          <w:p w14:paraId="7F46251C"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0.000</w:t>
            </w:r>
          </w:p>
        </w:tc>
      </w:tr>
      <w:tr w:rsidR="008F24AD" w:rsidRPr="008F24AD" w14:paraId="4E1AEA22" w14:textId="77777777" w:rsidTr="0079674E">
        <w:tc>
          <w:tcPr>
            <w:tcW w:w="1980" w:type="dxa"/>
            <w:hideMark/>
          </w:tcPr>
          <w:p w14:paraId="52217510" w14:textId="77777777" w:rsidR="008F24AD" w:rsidRPr="008F24AD" w:rsidRDefault="008F24AD" w:rsidP="00491FAD">
            <w:pPr>
              <w:spacing w:before="120" w:line="360" w:lineRule="auto"/>
              <w:jc w:val="both"/>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Import Levy</w:t>
            </w:r>
          </w:p>
        </w:tc>
        <w:tc>
          <w:tcPr>
            <w:tcW w:w="1857" w:type="dxa"/>
            <w:hideMark/>
          </w:tcPr>
          <w:p w14:paraId="6894D5DB"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-0.189</w:t>
            </w:r>
          </w:p>
        </w:tc>
        <w:tc>
          <w:tcPr>
            <w:tcW w:w="1165" w:type="dxa"/>
            <w:hideMark/>
          </w:tcPr>
          <w:p w14:paraId="30DD13B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0.078</w:t>
            </w:r>
          </w:p>
        </w:tc>
        <w:tc>
          <w:tcPr>
            <w:tcW w:w="1656" w:type="dxa"/>
            <w:hideMark/>
          </w:tcPr>
          <w:p w14:paraId="2C4B2A0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-0.175</w:t>
            </w:r>
          </w:p>
        </w:tc>
        <w:tc>
          <w:tcPr>
            <w:tcW w:w="0" w:type="auto"/>
            <w:hideMark/>
          </w:tcPr>
          <w:p w14:paraId="5A99203E"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-2.423</w:t>
            </w:r>
          </w:p>
        </w:tc>
        <w:tc>
          <w:tcPr>
            <w:tcW w:w="0" w:type="auto"/>
            <w:hideMark/>
          </w:tcPr>
          <w:p w14:paraId="3F76DD77" w14:textId="77777777" w:rsidR="008F24AD" w:rsidRPr="008F24AD" w:rsidRDefault="008F24AD" w:rsidP="00491FAD">
            <w:pPr>
              <w:spacing w:before="120" w:line="360" w:lineRule="auto"/>
              <w:jc w:val="center"/>
              <w:rPr>
                <w:rFonts w:ascii="Times New Roman" w:eastAsia="Times New Roman" w:hAnsi="Times New Roman" w:cs="Times New Roman"/>
                <w:sz w:val="24"/>
                <w:szCs w:val="24"/>
                <w:lang w:val="en-ZA"/>
              </w:rPr>
            </w:pPr>
            <w:r w:rsidRPr="008F24AD">
              <w:rPr>
                <w:rFonts w:ascii="Times New Roman" w:eastAsia="Times New Roman" w:hAnsi="Times New Roman" w:cs="Times New Roman"/>
                <w:sz w:val="24"/>
                <w:szCs w:val="24"/>
                <w:lang w:val="en-ZA"/>
              </w:rPr>
              <w:t>0.017</w:t>
            </w:r>
          </w:p>
        </w:tc>
      </w:tr>
    </w:tbl>
    <w:p w14:paraId="7994F443" w14:textId="34BDC0A3" w:rsidR="008F24AD" w:rsidRPr="008F24AD" w:rsidRDefault="008F24AD" w:rsidP="00491FAD">
      <w:pPr>
        <w:spacing w:before="24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 xml:space="preserve">The results in Table </w:t>
      </w:r>
      <w:r w:rsidR="00683658">
        <w:rPr>
          <w:rFonts w:ascii="Times New Roman" w:eastAsia="Calibri" w:hAnsi="Times New Roman" w:cs="Times New Roman"/>
          <w:sz w:val="24"/>
          <w:szCs w:val="24"/>
          <w:lang w:val="en-ZA"/>
        </w:rPr>
        <w:t>9</w:t>
      </w:r>
      <w:r w:rsidRPr="008F24AD">
        <w:rPr>
          <w:rFonts w:ascii="Times New Roman" w:eastAsia="Calibri" w:hAnsi="Times New Roman" w:cs="Times New Roman"/>
          <w:sz w:val="24"/>
          <w:szCs w:val="24"/>
          <w:lang w:val="en-ZA"/>
        </w:rPr>
        <w:t xml:space="preserve"> show that all the independent variables had significant negative effects on profitability. The regression equation can be written as:</w:t>
      </w:r>
    </w:p>
    <w:p w14:paraId="626BAD57"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lastRenderedPageBreak/>
        <w:t>Profitability = 5.937 - 0.483VAT - 0.297ExT - 0.356CET - 0.189IL</w:t>
      </w:r>
    </w:p>
    <w:p w14:paraId="57E5DE50"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 xml:space="preserve">The regression analysis revealed that Value Added Tax (VAT) was the most significant determinant of profitability among agrochemical dealers, with a negative coefficient of -0.483 and statistical significance at the 0.000 level. This implies that increases in VAT lead to a considerable reduction in firm profitability, likely because higher taxes raise product prices, discouraging customer purchases. This finding is in line with a study by </w:t>
      </w:r>
      <w:proofErr w:type="spellStart"/>
      <w:r w:rsidRPr="008F24AD">
        <w:rPr>
          <w:rFonts w:ascii="Times New Roman" w:eastAsia="Calibri" w:hAnsi="Times New Roman" w:cs="Times New Roman"/>
          <w:sz w:val="24"/>
          <w:szCs w:val="24"/>
          <w:lang w:val="en-ZA"/>
        </w:rPr>
        <w:t>Abiola</w:t>
      </w:r>
      <w:proofErr w:type="spellEnd"/>
      <w:r w:rsidRPr="008F24AD">
        <w:rPr>
          <w:rFonts w:ascii="Times New Roman" w:eastAsia="Calibri" w:hAnsi="Times New Roman" w:cs="Times New Roman"/>
          <w:sz w:val="24"/>
          <w:szCs w:val="24"/>
          <w:lang w:val="en-ZA"/>
        </w:rPr>
        <w:t xml:space="preserve"> and </w:t>
      </w:r>
      <w:proofErr w:type="spellStart"/>
      <w:r w:rsidRPr="008F24AD">
        <w:rPr>
          <w:rFonts w:ascii="Times New Roman" w:eastAsia="Calibri" w:hAnsi="Times New Roman" w:cs="Times New Roman"/>
          <w:sz w:val="24"/>
          <w:szCs w:val="24"/>
          <w:lang w:val="en-ZA"/>
        </w:rPr>
        <w:t>Asiweh</w:t>
      </w:r>
      <w:proofErr w:type="spellEnd"/>
      <w:r w:rsidRPr="008F24AD">
        <w:rPr>
          <w:rFonts w:ascii="Times New Roman" w:eastAsia="Calibri" w:hAnsi="Times New Roman" w:cs="Times New Roman"/>
          <w:sz w:val="24"/>
          <w:szCs w:val="24"/>
          <w:lang w:val="en-ZA"/>
        </w:rPr>
        <w:t xml:space="preserve"> (2021) in Nigeria, which found that SMEs experienced a significant drop in profitability following VAT rate increases, due to declining demand and higher compliance costs. Similarly, </w:t>
      </w:r>
      <w:proofErr w:type="spellStart"/>
      <w:r w:rsidRPr="008F24AD">
        <w:rPr>
          <w:rFonts w:ascii="Times New Roman" w:eastAsia="Calibri" w:hAnsi="Times New Roman" w:cs="Times New Roman"/>
          <w:sz w:val="24"/>
          <w:szCs w:val="24"/>
          <w:lang w:val="en-ZA"/>
        </w:rPr>
        <w:t>Ndung’u</w:t>
      </w:r>
      <w:proofErr w:type="spellEnd"/>
      <w:r w:rsidRPr="008F24AD">
        <w:rPr>
          <w:rFonts w:ascii="Times New Roman" w:eastAsia="Calibri" w:hAnsi="Times New Roman" w:cs="Times New Roman"/>
          <w:sz w:val="24"/>
          <w:szCs w:val="24"/>
          <w:lang w:val="en-ZA"/>
        </w:rPr>
        <w:t xml:space="preserve"> and </w:t>
      </w:r>
      <w:proofErr w:type="spellStart"/>
      <w:r w:rsidRPr="008F24AD">
        <w:rPr>
          <w:rFonts w:ascii="Times New Roman" w:eastAsia="Calibri" w:hAnsi="Times New Roman" w:cs="Times New Roman"/>
          <w:sz w:val="24"/>
          <w:szCs w:val="24"/>
          <w:lang w:val="en-ZA"/>
        </w:rPr>
        <w:t>Waweru</w:t>
      </w:r>
      <w:proofErr w:type="spellEnd"/>
      <w:r w:rsidRPr="008F24AD">
        <w:rPr>
          <w:rFonts w:ascii="Times New Roman" w:eastAsia="Calibri" w:hAnsi="Times New Roman" w:cs="Times New Roman"/>
          <w:sz w:val="24"/>
          <w:szCs w:val="24"/>
          <w:lang w:val="en-ZA"/>
        </w:rPr>
        <w:t xml:space="preserve"> (2022) reported that VAT increases in Kenya disproportionately affected </w:t>
      </w:r>
      <w:proofErr w:type="spellStart"/>
      <w:r w:rsidRPr="008F24AD">
        <w:rPr>
          <w:rFonts w:ascii="Times New Roman" w:eastAsia="Calibri" w:hAnsi="Times New Roman" w:cs="Times New Roman"/>
          <w:sz w:val="24"/>
          <w:szCs w:val="24"/>
          <w:lang w:val="en-ZA"/>
        </w:rPr>
        <w:t>agri</w:t>
      </w:r>
      <w:proofErr w:type="spellEnd"/>
      <w:r w:rsidRPr="008F24AD">
        <w:rPr>
          <w:rFonts w:ascii="Times New Roman" w:eastAsia="Calibri" w:hAnsi="Times New Roman" w:cs="Times New Roman"/>
          <w:sz w:val="24"/>
          <w:szCs w:val="24"/>
          <w:lang w:val="en-ZA"/>
        </w:rPr>
        <w:t>-SMEs by inflating retail prices and discouraging trade volume, thus weakening the profitability of small businesses. These empirical results reinforce the present study’s finding that VAT acts as a regressive burden on operational income in tax-sensitive sectors like agrochemicals.</w:t>
      </w:r>
    </w:p>
    <w:p w14:paraId="288E78A2"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p>
    <w:p w14:paraId="7CB6A2F5"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r w:rsidRPr="008F24AD">
        <w:rPr>
          <w:rFonts w:ascii="Times New Roman" w:eastAsia="Calibri" w:hAnsi="Times New Roman" w:cs="Times New Roman"/>
          <w:sz w:val="24"/>
          <w:szCs w:val="24"/>
          <w:lang w:val="en-ZA"/>
        </w:rPr>
        <w:t xml:space="preserve">The study also found that corporate tax had a statistically significant and negative influence on profitability, with a coefficient of -0.356 (p &lt; 0.001). This indicates that higher corporate taxation reduces retained earnings and investment capital, directly impacting firm growth. This outcome is consistent with the findings of </w:t>
      </w:r>
      <w:proofErr w:type="spellStart"/>
      <w:r w:rsidRPr="008F24AD">
        <w:rPr>
          <w:rFonts w:ascii="Times New Roman" w:eastAsia="Calibri" w:hAnsi="Times New Roman" w:cs="Times New Roman"/>
          <w:sz w:val="24"/>
          <w:szCs w:val="24"/>
          <w:lang w:val="en-ZA"/>
        </w:rPr>
        <w:t>Mwangi</w:t>
      </w:r>
      <w:proofErr w:type="spellEnd"/>
      <w:r w:rsidRPr="008F24AD">
        <w:rPr>
          <w:rFonts w:ascii="Times New Roman" w:eastAsia="Calibri" w:hAnsi="Times New Roman" w:cs="Times New Roman"/>
          <w:sz w:val="24"/>
          <w:szCs w:val="24"/>
          <w:lang w:val="en-ZA"/>
        </w:rPr>
        <w:t xml:space="preserve"> and </w:t>
      </w:r>
      <w:proofErr w:type="spellStart"/>
      <w:r w:rsidRPr="008F24AD">
        <w:rPr>
          <w:rFonts w:ascii="Times New Roman" w:eastAsia="Calibri" w:hAnsi="Times New Roman" w:cs="Times New Roman"/>
          <w:sz w:val="24"/>
          <w:szCs w:val="24"/>
          <w:lang w:val="en-ZA"/>
        </w:rPr>
        <w:t>Karanja</w:t>
      </w:r>
      <w:proofErr w:type="spellEnd"/>
      <w:r w:rsidRPr="008F24AD">
        <w:rPr>
          <w:rFonts w:ascii="Times New Roman" w:eastAsia="Calibri" w:hAnsi="Times New Roman" w:cs="Times New Roman"/>
          <w:sz w:val="24"/>
          <w:szCs w:val="24"/>
          <w:lang w:val="en-ZA"/>
        </w:rPr>
        <w:t xml:space="preserve"> (2021), who examined the effects of corporate taxes on manufacturing firms in Nairobi and found that excessive tax rates constrained cash flows and limited firms’ ability to expand operations or invest in innovation. Similarly, </w:t>
      </w:r>
      <w:proofErr w:type="spellStart"/>
      <w:r w:rsidRPr="008F24AD">
        <w:rPr>
          <w:rFonts w:ascii="Times New Roman" w:eastAsia="Calibri" w:hAnsi="Times New Roman" w:cs="Times New Roman"/>
          <w:sz w:val="24"/>
          <w:szCs w:val="24"/>
          <w:lang w:val="en-ZA"/>
        </w:rPr>
        <w:t>Asogwa</w:t>
      </w:r>
      <w:proofErr w:type="spellEnd"/>
      <w:r w:rsidRPr="008F24AD">
        <w:rPr>
          <w:rFonts w:ascii="Times New Roman" w:eastAsia="Calibri" w:hAnsi="Times New Roman" w:cs="Times New Roman"/>
          <w:sz w:val="24"/>
          <w:szCs w:val="24"/>
          <w:lang w:val="en-ZA"/>
        </w:rPr>
        <w:t xml:space="preserve"> and </w:t>
      </w:r>
      <w:proofErr w:type="spellStart"/>
      <w:r w:rsidRPr="008F24AD">
        <w:rPr>
          <w:rFonts w:ascii="Times New Roman" w:eastAsia="Calibri" w:hAnsi="Times New Roman" w:cs="Times New Roman"/>
          <w:sz w:val="24"/>
          <w:szCs w:val="24"/>
          <w:lang w:val="en-ZA"/>
        </w:rPr>
        <w:t>Okpanachi</w:t>
      </w:r>
      <w:proofErr w:type="spellEnd"/>
      <w:r w:rsidRPr="008F24AD">
        <w:rPr>
          <w:rFonts w:ascii="Times New Roman" w:eastAsia="Calibri" w:hAnsi="Times New Roman" w:cs="Times New Roman"/>
          <w:sz w:val="24"/>
          <w:szCs w:val="24"/>
          <w:lang w:val="en-ZA"/>
        </w:rPr>
        <w:t xml:space="preserve"> (2020), in a study on SMEs in Ghana, concluded that higher corporate tax liabilities negatively impacted firm performance by reducing funds available for reinvestment, innovation, and workforce expansion. The current study supports these findings, especially in the context of agrochemical dealers, where reinvestment is essential for maintaining inventory, regulatory compliance, and distribution networks.</w:t>
      </w:r>
    </w:p>
    <w:p w14:paraId="0596957B" w14:textId="77777777" w:rsidR="008F24AD" w:rsidRPr="008F24AD" w:rsidRDefault="008F24AD" w:rsidP="00491FAD">
      <w:pPr>
        <w:spacing w:before="120" w:after="120" w:line="360" w:lineRule="auto"/>
        <w:jc w:val="both"/>
        <w:rPr>
          <w:rFonts w:ascii="Times New Roman" w:eastAsia="Calibri" w:hAnsi="Times New Roman" w:cs="Times New Roman"/>
          <w:sz w:val="24"/>
          <w:szCs w:val="24"/>
          <w:lang w:val="en-ZA"/>
        </w:rPr>
      </w:pPr>
    </w:p>
    <w:p w14:paraId="7CF1488D" w14:textId="4A854E6C" w:rsidR="008F24AD" w:rsidRPr="008F24AD" w:rsidRDefault="00527AFE" w:rsidP="00491FAD">
      <w:pPr>
        <w:spacing w:before="120" w:after="120" w:line="36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E</w:t>
      </w:r>
      <w:r w:rsidR="008F24AD" w:rsidRPr="008F24AD">
        <w:rPr>
          <w:rFonts w:ascii="Times New Roman" w:eastAsia="Calibri" w:hAnsi="Times New Roman" w:cs="Times New Roman"/>
          <w:sz w:val="24"/>
          <w:szCs w:val="24"/>
          <w:lang w:val="en-ZA"/>
        </w:rPr>
        <w:t xml:space="preserve">xcise tax was shown to have a significant negative relationship with profitability, with a coefficient of -0.297 (p = 0.001). Excise taxes, often applied to specific products to discourage their consumption or regulate the market, increase the cost of goods sold and are frequently passed on to consumers in the form of higher retail prices. The study’s findings are echoed by </w:t>
      </w:r>
      <w:proofErr w:type="spellStart"/>
      <w:r w:rsidR="008F24AD" w:rsidRPr="008F24AD">
        <w:rPr>
          <w:rFonts w:ascii="Times New Roman" w:eastAsia="Calibri" w:hAnsi="Times New Roman" w:cs="Times New Roman"/>
          <w:sz w:val="24"/>
          <w:szCs w:val="24"/>
          <w:lang w:val="en-ZA"/>
        </w:rPr>
        <w:lastRenderedPageBreak/>
        <w:t>Bwire</w:t>
      </w:r>
      <w:proofErr w:type="spellEnd"/>
      <w:r w:rsidR="008F24AD" w:rsidRPr="008F24AD">
        <w:rPr>
          <w:rFonts w:ascii="Times New Roman" w:eastAsia="Calibri" w:hAnsi="Times New Roman" w:cs="Times New Roman"/>
          <w:sz w:val="24"/>
          <w:szCs w:val="24"/>
          <w:lang w:val="en-ZA"/>
        </w:rPr>
        <w:t xml:space="preserve"> and </w:t>
      </w:r>
      <w:proofErr w:type="spellStart"/>
      <w:r w:rsidR="008F24AD" w:rsidRPr="008F24AD">
        <w:rPr>
          <w:rFonts w:ascii="Times New Roman" w:eastAsia="Calibri" w:hAnsi="Times New Roman" w:cs="Times New Roman"/>
          <w:sz w:val="24"/>
          <w:szCs w:val="24"/>
          <w:lang w:val="en-ZA"/>
        </w:rPr>
        <w:t>Muriithi</w:t>
      </w:r>
      <w:proofErr w:type="spellEnd"/>
      <w:r w:rsidR="008F24AD" w:rsidRPr="008F24AD">
        <w:rPr>
          <w:rFonts w:ascii="Times New Roman" w:eastAsia="Calibri" w:hAnsi="Times New Roman" w:cs="Times New Roman"/>
          <w:sz w:val="24"/>
          <w:szCs w:val="24"/>
          <w:lang w:val="en-ZA"/>
        </w:rPr>
        <w:t xml:space="preserve"> (2021), who studied excise taxes in Uganda’s agro-processing industry and found that these taxes reduced firms’ market share and sales volumes, resulting in lower profitability. Similarly, </w:t>
      </w:r>
      <w:proofErr w:type="spellStart"/>
      <w:r w:rsidR="008F24AD" w:rsidRPr="008F24AD">
        <w:rPr>
          <w:rFonts w:ascii="Times New Roman" w:eastAsia="Calibri" w:hAnsi="Times New Roman" w:cs="Times New Roman"/>
          <w:sz w:val="24"/>
          <w:szCs w:val="24"/>
          <w:lang w:val="en-ZA"/>
        </w:rPr>
        <w:t>Owino</w:t>
      </w:r>
      <w:proofErr w:type="spellEnd"/>
      <w:r w:rsidR="008F24AD" w:rsidRPr="008F24AD">
        <w:rPr>
          <w:rFonts w:ascii="Times New Roman" w:eastAsia="Calibri" w:hAnsi="Times New Roman" w:cs="Times New Roman"/>
          <w:sz w:val="24"/>
          <w:szCs w:val="24"/>
          <w:lang w:val="en-ZA"/>
        </w:rPr>
        <w:t xml:space="preserve"> et al. (2023), </w:t>
      </w:r>
      <w:proofErr w:type="spellStart"/>
      <w:r w:rsidR="008F24AD" w:rsidRPr="008F24AD">
        <w:rPr>
          <w:rFonts w:ascii="Times New Roman" w:eastAsia="Calibri" w:hAnsi="Times New Roman" w:cs="Times New Roman"/>
          <w:sz w:val="24"/>
          <w:szCs w:val="24"/>
          <w:lang w:val="en-ZA"/>
        </w:rPr>
        <w:t>analyzing</w:t>
      </w:r>
      <w:proofErr w:type="spellEnd"/>
      <w:r w:rsidR="008F24AD" w:rsidRPr="008F24AD">
        <w:rPr>
          <w:rFonts w:ascii="Times New Roman" w:eastAsia="Calibri" w:hAnsi="Times New Roman" w:cs="Times New Roman"/>
          <w:sz w:val="24"/>
          <w:szCs w:val="24"/>
          <w:lang w:val="en-ZA"/>
        </w:rPr>
        <w:t xml:space="preserve"> excise duty impacts in Kenya’s consumer goods sector, concluded that excise taxes not only increase production costs but also undermine price competitiveness, particularly in sectors facing price-sensitive demand such as agrochemicals. This underscores how excise duties, while effective for revenue generation, can unintentionally burden firms operating in heavily taxed and regulated industries.</w:t>
      </w:r>
    </w:p>
    <w:p w14:paraId="5E884A5E" w14:textId="797F5425" w:rsidR="000351D4" w:rsidRPr="00491FAD" w:rsidRDefault="00527AFE" w:rsidP="00491FAD">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val="en-ZA"/>
        </w:rPr>
        <w:t>T</w:t>
      </w:r>
      <w:r w:rsidR="008F24AD" w:rsidRPr="00491FAD">
        <w:rPr>
          <w:rFonts w:ascii="Times New Roman" w:eastAsia="Calibri" w:hAnsi="Times New Roman" w:cs="Times New Roman"/>
          <w:sz w:val="24"/>
          <w:szCs w:val="24"/>
          <w:lang w:val="en-ZA"/>
        </w:rPr>
        <w:t xml:space="preserve">he study established that import levy had a statistically significant but comparatively smaller negative impact on profitability, with a coefficient of -0.189 (p = 0.017). This means that higher import duties lead to increased costs of raw materials and finished products, particularly for businesses that rely heavily on imported inputs such as fertilizers, pesticides, and specialized agrochemicals. These findings align with the results of </w:t>
      </w:r>
      <w:proofErr w:type="spellStart"/>
      <w:r w:rsidR="008F24AD" w:rsidRPr="00491FAD">
        <w:rPr>
          <w:rFonts w:ascii="Times New Roman" w:eastAsia="Calibri" w:hAnsi="Times New Roman" w:cs="Times New Roman"/>
          <w:sz w:val="24"/>
          <w:szCs w:val="24"/>
          <w:lang w:val="en-ZA"/>
        </w:rPr>
        <w:t>Kamau</w:t>
      </w:r>
      <w:proofErr w:type="spellEnd"/>
      <w:r w:rsidR="008F24AD" w:rsidRPr="00491FAD">
        <w:rPr>
          <w:rFonts w:ascii="Times New Roman" w:eastAsia="Calibri" w:hAnsi="Times New Roman" w:cs="Times New Roman"/>
          <w:sz w:val="24"/>
          <w:szCs w:val="24"/>
          <w:lang w:val="en-ZA"/>
        </w:rPr>
        <w:t xml:space="preserve"> and </w:t>
      </w:r>
      <w:proofErr w:type="spellStart"/>
      <w:r w:rsidR="008F24AD" w:rsidRPr="00491FAD">
        <w:rPr>
          <w:rFonts w:ascii="Times New Roman" w:eastAsia="Calibri" w:hAnsi="Times New Roman" w:cs="Times New Roman"/>
          <w:sz w:val="24"/>
          <w:szCs w:val="24"/>
          <w:lang w:val="en-ZA"/>
        </w:rPr>
        <w:t>Omondi</w:t>
      </w:r>
      <w:proofErr w:type="spellEnd"/>
      <w:r w:rsidR="008F24AD" w:rsidRPr="00491FAD">
        <w:rPr>
          <w:rFonts w:ascii="Times New Roman" w:eastAsia="Calibri" w:hAnsi="Times New Roman" w:cs="Times New Roman"/>
          <w:sz w:val="24"/>
          <w:szCs w:val="24"/>
          <w:lang w:val="en-ZA"/>
        </w:rPr>
        <w:t xml:space="preserve"> (2022), </w:t>
      </w:r>
      <w:proofErr w:type="gramStart"/>
      <w:r w:rsidR="008F24AD" w:rsidRPr="00491FAD">
        <w:rPr>
          <w:rFonts w:ascii="Times New Roman" w:eastAsia="Calibri" w:hAnsi="Times New Roman" w:cs="Times New Roman"/>
          <w:sz w:val="24"/>
          <w:szCs w:val="24"/>
          <w:lang w:val="en-ZA"/>
        </w:rPr>
        <w:t>who</w:t>
      </w:r>
      <w:proofErr w:type="gramEnd"/>
      <w:r w:rsidR="008F24AD" w:rsidRPr="00491FAD">
        <w:rPr>
          <w:rFonts w:ascii="Times New Roman" w:eastAsia="Calibri" w:hAnsi="Times New Roman" w:cs="Times New Roman"/>
          <w:sz w:val="24"/>
          <w:szCs w:val="24"/>
          <w:lang w:val="en-ZA"/>
        </w:rPr>
        <w:t xml:space="preserve"> examined the effect of import levies in Kenya’s agricultural sector and found that import duties significantly increased operational costs, reduced price competitiveness, and lowered profit margins for input suppliers. Similarly, </w:t>
      </w:r>
      <w:proofErr w:type="spellStart"/>
      <w:r w:rsidR="008F24AD" w:rsidRPr="00491FAD">
        <w:rPr>
          <w:rFonts w:ascii="Times New Roman" w:eastAsia="Calibri" w:hAnsi="Times New Roman" w:cs="Times New Roman"/>
          <w:sz w:val="24"/>
          <w:szCs w:val="24"/>
          <w:lang w:val="en-ZA"/>
        </w:rPr>
        <w:t>Mensah</w:t>
      </w:r>
      <w:proofErr w:type="spellEnd"/>
      <w:r w:rsidR="008F24AD" w:rsidRPr="00491FAD">
        <w:rPr>
          <w:rFonts w:ascii="Times New Roman" w:eastAsia="Calibri" w:hAnsi="Times New Roman" w:cs="Times New Roman"/>
          <w:sz w:val="24"/>
          <w:szCs w:val="24"/>
          <w:lang w:val="en-ZA"/>
        </w:rPr>
        <w:t xml:space="preserve"> and </w:t>
      </w:r>
      <w:proofErr w:type="spellStart"/>
      <w:r w:rsidR="008F24AD" w:rsidRPr="00491FAD">
        <w:rPr>
          <w:rFonts w:ascii="Times New Roman" w:eastAsia="Calibri" w:hAnsi="Times New Roman" w:cs="Times New Roman"/>
          <w:sz w:val="24"/>
          <w:szCs w:val="24"/>
          <w:lang w:val="en-ZA"/>
        </w:rPr>
        <w:t>Aidoo</w:t>
      </w:r>
      <w:proofErr w:type="spellEnd"/>
      <w:r w:rsidR="008F24AD" w:rsidRPr="00491FAD">
        <w:rPr>
          <w:rFonts w:ascii="Times New Roman" w:eastAsia="Calibri" w:hAnsi="Times New Roman" w:cs="Times New Roman"/>
          <w:sz w:val="24"/>
          <w:szCs w:val="24"/>
          <w:lang w:val="en-ZA"/>
        </w:rPr>
        <w:t xml:space="preserve"> (2021) found that Ghanaian chemical importers faced diminished profitability due to high import tariffs, which raised input costs and made local firms less competitive compared to counterparts in tariff-free zones or </w:t>
      </w:r>
      <w:r w:rsidR="004852A3" w:rsidRPr="00491FAD">
        <w:rPr>
          <w:rFonts w:ascii="Times New Roman" w:eastAsia="Calibri" w:hAnsi="Times New Roman" w:cs="Times New Roman"/>
          <w:sz w:val="24"/>
          <w:szCs w:val="24"/>
          <w:lang w:val="en-ZA"/>
        </w:rPr>
        <w:t>neighbouring</w:t>
      </w:r>
      <w:r w:rsidR="008F24AD" w:rsidRPr="00491FAD">
        <w:rPr>
          <w:rFonts w:ascii="Times New Roman" w:eastAsia="Calibri" w:hAnsi="Times New Roman" w:cs="Times New Roman"/>
          <w:sz w:val="24"/>
          <w:szCs w:val="24"/>
          <w:lang w:val="en-ZA"/>
        </w:rPr>
        <w:t xml:space="preserve"> countries. These findings validate the current study’s conclusion that while import levies may be aimed at protecting domestic industries or raising government revenue, they can negatively affect firms in supply-dependent industries</w:t>
      </w:r>
      <w:r w:rsidR="005C12E7" w:rsidRPr="00491FAD">
        <w:rPr>
          <w:rFonts w:ascii="Times New Roman" w:eastAsia="Aptos" w:hAnsi="Times New Roman" w:cs="Times New Roman"/>
          <w:kern w:val="2"/>
          <w:sz w:val="24"/>
          <w:szCs w:val="24"/>
          <w14:ligatures w14:val="standardContextual"/>
        </w:rPr>
        <w:t>.</w:t>
      </w:r>
    </w:p>
    <w:p w14:paraId="30D83A41" w14:textId="77777777" w:rsidR="00A410B8" w:rsidRPr="00491FAD" w:rsidRDefault="003B75B0" w:rsidP="00491FAD">
      <w:pPr>
        <w:pStyle w:val="Heading1"/>
        <w:spacing w:before="0" w:after="240" w:line="360" w:lineRule="auto"/>
        <w:rPr>
          <w:rFonts w:cs="Times New Roman"/>
          <w:szCs w:val="24"/>
        </w:rPr>
      </w:pPr>
      <w:bookmarkStart w:id="105" w:name="_Toc231058658"/>
      <w:bookmarkStart w:id="106" w:name="_Toc231058762"/>
      <w:bookmarkStart w:id="107" w:name="_Toc231059687"/>
      <w:bookmarkStart w:id="108" w:name="_Toc231059895"/>
      <w:bookmarkStart w:id="109" w:name="_Toc231060045"/>
      <w:bookmarkStart w:id="110" w:name="_Toc231060169"/>
      <w:bookmarkStart w:id="111" w:name="_Toc233521189"/>
      <w:bookmarkStart w:id="112" w:name="_Toc233521510"/>
      <w:bookmarkStart w:id="113" w:name="_Toc233521580"/>
      <w:bookmarkStart w:id="114" w:name="_Toc233521656"/>
      <w:bookmarkStart w:id="115" w:name="_Toc233536614"/>
      <w:bookmarkStart w:id="116" w:name="_Toc233541548"/>
      <w:bookmarkStart w:id="117" w:name="_Toc233543024"/>
      <w:bookmarkStart w:id="118" w:name="_Toc84465473"/>
      <w:bookmarkStart w:id="119" w:name="_Toc84467362"/>
      <w:bookmarkStart w:id="120" w:name="_Toc241141610"/>
      <w:bookmarkStart w:id="121" w:name="_Toc92710765"/>
      <w:bookmarkStart w:id="122" w:name="_Toc92710904"/>
      <w:bookmarkStart w:id="123" w:name="_Toc92710998"/>
      <w:bookmarkStart w:id="124" w:name="_Toc92713650"/>
      <w:bookmarkStart w:id="125" w:name="_Toc92896990"/>
      <w:bookmarkStart w:id="126" w:name="_Toc98459736"/>
      <w:bookmarkStart w:id="127" w:name="_Toc98465925"/>
      <w:bookmarkStart w:id="128" w:name="_Toc252005474"/>
      <w:bookmarkStart w:id="129" w:name="_Toc252005702"/>
      <w:r w:rsidRPr="00491FAD">
        <w:rPr>
          <w:rFonts w:cs="Times New Roman"/>
          <w:szCs w:val="24"/>
        </w:rPr>
        <w:t xml:space="preserve">5.0 Conclusion </w:t>
      </w:r>
    </w:p>
    <w:p w14:paraId="2B9867B6" w14:textId="14756A56" w:rsidR="002C0305" w:rsidRPr="00491FAD" w:rsidRDefault="00521351"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 xml:space="preserve">The study concluded that business taxation exerts a substantial negative effect on the profitability of agrochemical dealers in Nairobi County. The most impactful form of taxation was VAT, which significantly diminished profit margins by increasing product prices and lowering market demand. The strong negative correlation between VAT and profitability pointed to the urgent need for reforms in VAT policy, particularly concerning essential agricultural inputs. Corporate Tax was also found to constrain profitability by reducing retained earnings that would otherwise be used for reinvestment and business growth. This challenge was exacerbated as more firms moved into higher tax brackets, indicating that the current corporate tax structure may be disproportionately burdensome to businesses in this sector. Although Excise Tax was less </w:t>
      </w:r>
      <w:r w:rsidRPr="00491FAD">
        <w:rPr>
          <w:rFonts w:ascii="Times New Roman" w:eastAsia="Aptos" w:hAnsi="Times New Roman" w:cs="Times New Roman"/>
          <w:kern w:val="2"/>
          <w:sz w:val="24"/>
          <w:szCs w:val="24"/>
          <w14:ligatures w14:val="standardContextual"/>
        </w:rPr>
        <w:lastRenderedPageBreak/>
        <w:t>damaging than VAT and Corporate Tax, it still played a meaningful role in reducing profitability by inflating production and operational costs. Import Levy had the smallest effect, yet its significance could not be overlooked, especially given the dependency of agrochemical dealers on imported goods. Overall, the study affirmed that all four tax categories negatively impacted profitability, with the combined effect being statistically significant. These findings call for targeted tax reforms to relieve the pressure on agrochemical businesses and ensure their continued contribution to food security and economic development</w:t>
      </w:r>
      <w:r w:rsidR="00980770" w:rsidRPr="00491FAD">
        <w:rPr>
          <w:rFonts w:ascii="Times New Roman" w:eastAsia="Aptos" w:hAnsi="Times New Roman" w:cs="Times New Roman"/>
          <w:kern w:val="2"/>
          <w:sz w:val="24"/>
          <w:szCs w:val="24"/>
          <w14:ligatures w14:val="standardContextual"/>
        </w:rPr>
        <w:t>.</w:t>
      </w:r>
    </w:p>
    <w:p w14:paraId="7CEE622C" w14:textId="41CB5B20" w:rsidR="003B75B0" w:rsidRPr="00491FAD" w:rsidRDefault="00A410B8" w:rsidP="00491FAD">
      <w:pPr>
        <w:pStyle w:val="Heading1"/>
        <w:spacing w:before="0" w:after="240" w:line="360" w:lineRule="auto"/>
        <w:rPr>
          <w:rFonts w:cs="Times New Roman"/>
          <w:szCs w:val="24"/>
        </w:rPr>
      </w:pPr>
      <w:r w:rsidRPr="00491FAD">
        <w:rPr>
          <w:rFonts w:cs="Times New Roman"/>
          <w:szCs w:val="24"/>
        </w:rPr>
        <w:t>5.1</w:t>
      </w:r>
      <w:r w:rsidR="003B75B0" w:rsidRPr="00491FAD">
        <w:rPr>
          <w:rFonts w:cs="Times New Roman"/>
          <w:szCs w:val="24"/>
        </w:rPr>
        <w:t xml:space="preserve"> Recommendation</w:t>
      </w:r>
      <w:r w:rsidR="00AE00EC" w:rsidRPr="00491FAD">
        <w:rPr>
          <w:rFonts w:cs="Times New Roman"/>
          <w:szCs w:val="24"/>
        </w:rPr>
        <w:t>s</w:t>
      </w: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14:paraId="5B8A4F67" w14:textId="682A8208" w:rsidR="003B75B0" w:rsidRPr="00491FAD" w:rsidRDefault="00E637DB" w:rsidP="00491FAD">
      <w:pPr>
        <w:spacing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In response to the adverse findings, the study proposes several actionable recommendations. First, it is recommended that the VAT policy on agrochemical products be reformed. Specifically, agricultural inputs should either be zero-rated or exempted from VAT to reduce costs for both dealers and end-users. Additionally, improving the efficiency of the VAT refund system would help ease cash flow challenges for businesses. Second, the government should introduce corporate tax incentives to encourage reinvestment and growth. These could include tax holidays, investment deductions, and lower rates for SMEs in the agrochemical sector. Third, excise taxes should be reviewed and moderated, especially for products that are essential for agricultural production rather than luxury or harmful goods. A more nuanced tax policy would ensure that excise duties do not inadvertently penalize productive sectors. Fourth, import levies should be rationalized to acknowledge the critical role that imported agrochemicals play in national food production. Tiered or temporary exemptions for essential imports could help ease the operational burden on businesses. Lastly, the study recommends the strengthening of taxpayer support mechanisms. This includes offering regular training sessions on tax compliance, simplifying digital filing procedures, and providing sector-specific tax advisory services. These initiatives would help improve compliance, reduce penalties, and empower agrochemical dealers to operate more efficiently within the existing tax framework</w:t>
      </w:r>
      <w:r w:rsidR="00980770" w:rsidRPr="00491FAD">
        <w:rPr>
          <w:rFonts w:ascii="Times New Roman" w:eastAsia="Aptos" w:hAnsi="Times New Roman" w:cs="Times New Roman"/>
          <w:kern w:val="2"/>
          <w:sz w:val="24"/>
          <w:szCs w:val="24"/>
          <w14:ligatures w14:val="standardContextual"/>
        </w:rPr>
        <w:t>.</w:t>
      </w:r>
    </w:p>
    <w:p w14:paraId="6415132F" w14:textId="550D885C" w:rsidR="003B75B0" w:rsidRPr="00491FAD" w:rsidRDefault="003B75B0" w:rsidP="00491FAD">
      <w:pPr>
        <w:pStyle w:val="Heading1"/>
        <w:spacing w:before="0" w:after="240" w:line="360" w:lineRule="auto"/>
        <w:rPr>
          <w:rFonts w:cs="Times New Roman"/>
          <w:i/>
          <w:iCs/>
          <w:szCs w:val="24"/>
        </w:rPr>
      </w:pPr>
      <w:r w:rsidRPr="00491FAD">
        <w:rPr>
          <w:rFonts w:cs="Times New Roman"/>
          <w:szCs w:val="24"/>
        </w:rPr>
        <w:t>5.</w:t>
      </w:r>
      <w:r w:rsidR="00A410B8" w:rsidRPr="00491FAD">
        <w:rPr>
          <w:rFonts w:cs="Times New Roman"/>
          <w:szCs w:val="24"/>
        </w:rPr>
        <w:t>2</w:t>
      </w:r>
      <w:r w:rsidR="003E42D7" w:rsidRPr="00491FAD">
        <w:rPr>
          <w:rFonts w:cs="Times New Roman"/>
          <w:szCs w:val="24"/>
        </w:rPr>
        <w:t xml:space="preserve"> Limitations</w:t>
      </w:r>
      <w:r w:rsidR="008F5525" w:rsidRPr="00491FAD">
        <w:rPr>
          <w:rFonts w:cs="Times New Roman"/>
          <w:szCs w:val="24"/>
        </w:rPr>
        <w:t xml:space="preserve"> and </w:t>
      </w:r>
      <w:r w:rsidR="00A410B8" w:rsidRPr="00491FAD">
        <w:rPr>
          <w:rFonts w:cs="Times New Roman"/>
          <w:szCs w:val="24"/>
        </w:rPr>
        <w:t>F</w:t>
      </w:r>
      <w:r w:rsidR="008F5525" w:rsidRPr="00491FAD">
        <w:rPr>
          <w:rFonts w:cs="Times New Roman"/>
          <w:szCs w:val="24"/>
        </w:rPr>
        <w:t>uture Research</w:t>
      </w:r>
      <w:r w:rsidR="00A410B8" w:rsidRPr="00491FAD">
        <w:rPr>
          <w:rFonts w:cs="Times New Roman"/>
          <w:szCs w:val="24"/>
        </w:rPr>
        <w:t xml:space="preserve"> Direction</w:t>
      </w:r>
    </w:p>
    <w:p w14:paraId="65065463" w14:textId="1E520754" w:rsidR="00E637DB" w:rsidRDefault="00E637DB" w:rsidP="00491FAD">
      <w:pPr>
        <w:spacing w:line="360" w:lineRule="auto"/>
        <w:jc w:val="both"/>
        <w:rPr>
          <w:rFonts w:ascii="Times New Roman" w:hAnsi="Times New Roman" w:cs="Times New Roman"/>
          <w:sz w:val="24"/>
          <w:szCs w:val="24"/>
        </w:rPr>
      </w:pPr>
      <w:r w:rsidRPr="00491FAD">
        <w:rPr>
          <w:rFonts w:ascii="Times New Roman" w:hAnsi="Times New Roman" w:cs="Times New Roman"/>
          <w:sz w:val="24"/>
          <w:szCs w:val="24"/>
        </w:rPr>
        <w:t xml:space="preserve">This study acknowledges certain limitations that offer direction for future research. Primarily, it focused solely on the relationship between business taxation and profitability, without examining other potential influences such as market competition, operational efficiency, and regulatory </w:t>
      </w:r>
      <w:r w:rsidRPr="00491FAD">
        <w:rPr>
          <w:rFonts w:ascii="Times New Roman" w:hAnsi="Times New Roman" w:cs="Times New Roman"/>
          <w:sz w:val="24"/>
          <w:szCs w:val="24"/>
        </w:rPr>
        <w:lastRenderedPageBreak/>
        <w:t>compliance, which may also impact business performance. Additionally, the study was geographically limited to Nairobi City County, which, while economically significant, may not reflect the diverse conditions and challenges experienced by agrochemical dealers in other parts of Kenya. As such, the research advocates for future studies to incorporate a broader range of performance metrics beyond profitability and market penetration, and to extend the geographical scope to other counties across the country. This would provide more comprehensive insights into regional tax impacts and support the development of targeted, context-specific fiscal policies in the agricultural input sector.</w:t>
      </w:r>
    </w:p>
    <w:p w14:paraId="4C16F301" w14:textId="77777777" w:rsidR="00A1297C" w:rsidRDefault="00A1297C" w:rsidP="00491FAD">
      <w:pPr>
        <w:spacing w:line="360" w:lineRule="auto"/>
        <w:jc w:val="both"/>
        <w:rPr>
          <w:rFonts w:ascii="Times New Roman" w:hAnsi="Times New Roman" w:cs="Times New Roman"/>
          <w:sz w:val="24"/>
          <w:szCs w:val="24"/>
        </w:rPr>
      </w:pPr>
    </w:p>
    <w:p w14:paraId="2775537E" w14:textId="2F62AEC6" w:rsidR="00A1297C" w:rsidRPr="00A1297C" w:rsidRDefault="00A1297C" w:rsidP="00491FAD">
      <w:pPr>
        <w:spacing w:line="360" w:lineRule="auto"/>
        <w:jc w:val="both"/>
        <w:rPr>
          <w:rFonts w:ascii="Times New Roman" w:hAnsi="Times New Roman" w:cs="Times New Roman"/>
          <w:b/>
          <w:sz w:val="24"/>
          <w:szCs w:val="24"/>
        </w:rPr>
      </w:pPr>
      <w:r w:rsidRPr="00A1297C">
        <w:rPr>
          <w:rFonts w:ascii="Times New Roman" w:hAnsi="Times New Roman" w:cs="Times New Roman"/>
          <w:b/>
          <w:sz w:val="24"/>
          <w:szCs w:val="24"/>
        </w:rPr>
        <w:t xml:space="preserve">Consent and ethical approval </w:t>
      </w:r>
    </w:p>
    <w:p w14:paraId="6C280EDF" w14:textId="09080659" w:rsidR="00A1297C" w:rsidRPr="00491FAD" w:rsidRDefault="00A1297C" w:rsidP="00A1297C">
      <w:pPr>
        <w:spacing w:after="0" w:line="360" w:lineRule="auto"/>
        <w:jc w:val="both"/>
        <w:rPr>
          <w:rFonts w:ascii="Times New Roman" w:eastAsia="Aptos" w:hAnsi="Times New Roman" w:cs="Times New Roman"/>
          <w:kern w:val="2"/>
          <w:sz w:val="24"/>
          <w:szCs w:val="24"/>
          <w14:ligatures w14:val="standardContextual"/>
        </w:rPr>
      </w:pPr>
      <w:r w:rsidRPr="00491FAD">
        <w:rPr>
          <w:rFonts w:ascii="Times New Roman" w:eastAsia="Aptos" w:hAnsi="Times New Roman" w:cs="Times New Roman"/>
          <w:kern w:val="2"/>
          <w:sz w:val="24"/>
          <w:szCs w:val="24"/>
          <w14:ligatures w14:val="standardContextual"/>
        </w:rPr>
        <w:t>Ethical considerations were observed, including informed consent, confidentiality, and approval from NACOSTI, ensuring compliance with academic and professional research standards.</w:t>
      </w:r>
    </w:p>
    <w:p w14:paraId="5B10D25A" w14:textId="77777777" w:rsidR="00A1297C" w:rsidRDefault="00A1297C" w:rsidP="00491FAD">
      <w:pPr>
        <w:spacing w:line="360" w:lineRule="auto"/>
        <w:jc w:val="both"/>
        <w:rPr>
          <w:rFonts w:ascii="Times New Roman" w:hAnsi="Times New Roman" w:cs="Times New Roman"/>
          <w:sz w:val="24"/>
          <w:szCs w:val="24"/>
        </w:rPr>
      </w:pPr>
    </w:p>
    <w:p w14:paraId="4BEFE194" w14:textId="4CADD038" w:rsidR="00BF3E43" w:rsidRDefault="00BF3E43" w:rsidP="00491FAD">
      <w:pPr>
        <w:spacing w:line="360" w:lineRule="auto"/>
        <w:jc w:val="both"/>
        <w:rPr>
          <w:rFonts w:ascii="Times New Roman" w:hAnsi="Times New Roman" w:cs="Times New Roman"/>
          <w:sz w:val="24"/>
          <w:szCs w:val="24"/>
        </w:rPr>
      </w:pPr>
    </w:p>
    <w:p w14:paraId="2035252E"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Disclaimer (Artificial intelligence)</w:t>
      </w:r>
    </w:p>
    <w:p w14:paraId="31E00C2F"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 xml:space="preserve">Option 1: </w:t>
      </w:r>
    </w:p>
    <w:p w14:paraId="7B4042EF"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BF3E43">
        <w:rPr>
          <w:rFonts w:ascii="Calibri" w:eastAsia="Calibri" w:hAnsi="Calibri" w:cs="Times New Roman"/>
          <w:kern w:val="2"/>
          <w:highlight w:val="yellow"/>
          <w14:ligatures w14:val="standardContextual"/>
        </w:rPr>
        <w:t>ChatGPT</w:t>
      </w:r>
      <w:proofErr w:type="spellEnd"/>
      <w:r w:rsidRPr="00BF3E43">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6B54BF2F"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 xml:space="preserve">Option 2: </w:t>
      </w:r>
    </w:p>
    <w:p w14:paraId="2D3771BA"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12A597"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Details of the AI usage are given below:</w:t>
      </w:r>
    </w:p>
    <w:p w14:paraId="3D677476"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1.</w:t>
      </w:r>
    </w:p>
    <w:p w14:paraId="44EBAE34" w14:textId="77777777" w:rsidR="00BF3E43" w:rsidRPr="00BF3E43" w:rsidRDefault="00BF3E43" w:rsidP="00BF3E43">
      <w:pPr>
        <w:spacing w:after="200" w:line="276" w:lineRule="auto"/>
        <w:rPr>
          <w:rFonts w:ascii="Calibri" w:eastAsia="Calibri" w:hAnsi="Calibri" w:cs="Times New Roman"/>
          <w:kern w:val="2"/>
          <w:highlight w:val="yellow"/>
          <w14:ligatures w14:val="standardContextual"/>
        </w:rPr>
      </w:pPr>
      <w:r w:rsidRPr="00BF3E43">
        <w:rPr>
          <w:rFonts w:ascii="Calibri" w:eastAsia="Calibri" w:hAnsi="Calibri" w:cs="Times New Roman"/>
          <w:kern w:val="2"/>
          <w:highlight w:val="yellow"/>
          <w14:ligatures w14:val="standardContextual"/>
        </w:rPr>
        <w:t>2.</w:t>
      </w:r>
    </w:p>
    <w:p w14:paraId="2086EAD7" w14:textId="77777777" w:rsidR="00BF3E43" w:rsidRPr="00BF3E43" w:rsidRDefault="00BF3E43" w:rsidP="00BF3E43">
      <w:pPr>
        <w:spacing w:after="200" w:line="276" w:lineRule="auto"/>
        <w:rPr>
          <w:rFonts w:ascii="Calibri" w:eastAsia="Calibri" w:hAnsi="Calibri" w:cs="Times New Roman"/>
          <w:kern w:val="2"/>
          <w14:ligatures w14:val="standardContextual"/>
        </w:rPr>
      </w:pPr>
      <w:r w:rsidRPr="00BF3E43">
        <w:rPr>
          <w:rFonts w:ascii="Calibri" w:eastAsia="Calibri" w:hAnsi="Calibri" w:cs="Times New Roman"/>
          <w:kern w:val="2"/>
          <w:highlight w:val="yellow"/>
          <w14:ligatures w14:val="standardContextual"/>
        </w:rPr>
        <w:t>3.</w:t>
      </w:r>
    </w:p>
    <w:p w14:paraId="4319CBEF" w14:textId="77777777" w:rsidR="00BF3E43" w:rsidRPr="00491FAD" w:rsidRDefault="00BF3E43" w:rsidP="00491FAD">
      <w:pPr>
        <w:spacing w:line="360" w:lineRule="auto"/>
        <w:jc w:val="both"/>
        <w:rPr>
          <w:rFonts w:ascii="Times New Roman" w:hAnsi="Times New Roman" w:cs="Times New Roman"/>
          <w:sz w:val="24"/>
          <w:szCs w:val="24"/>
        </w:rPr>
      </w:pPr>
    </w:p>
    <w:p w14:paraId="178DDA14" w14:textId="72F8D4C0" w:rsidR="003B75B0" w:rsidRPr="00C342DE" w:rsidRDefault="003B75B0" w:rsidP="00375708">
      <w:pPr>
        <w:pStyle w:val="Heading1"/>
        <w:spacing w:before="0" w:after="240"/>
        <w:jc w:val="center"/>
      </w:pPr>
      <w:r w:rsidRPr="00C342DE">
        <w:t>References</w:t>
      </w:r>
    </w:p>
    <w:p w14:paraId="1F1E7444"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Barokah</w:t>
      </w:r>
      <w:proofErr w:type="spellEnd"/>
      <w:r w:rsidRPr="00375708">
        <w:rPr>
          <w:rFonts w:ascii="Times New Roman" w:eastAsia="Calibri" w:hAnsi="Times New Roman" w:cs="Times New Roman"/>
          <w:sz w:val="24"/>
          <w:szCs w:val="24"/>
        </w:rPr>
        <w:t>, S. (2024).</w:t>
      </w:r>
      <w:proofErr w:type="gram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sz w:val="24"/>
          <w:szCs w:val="24"/>
        </w:rPr>
        <w:t>The effect of excise and corporate income tax on net profit.</w:t>
      </w:r>
      <w:proofErr w:type="gramEnd"/>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Journal of Management</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w:t>
      </w:r>
      <w:r w:rsidRPr="00375708">
        <w:rPr>
          <w:rFonts w:ascii="Times New Roman" w:eastAsia="Calibri" w:hAnsi="Times New Roman" w:cs="Times New Roman"/>
          <w:sz w:val="24"/>
          <w:szCs w:val="24"/>
        </w:rPr>
        <w:t>(4), 1–18.</w:t>
      </w:r>
    </w:p>
    <w:p w14:paraId="6E5F0CD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t>Bayani</w:t>
      </w:r>
      <w:proofErr w:type="spellEnd"/>
      <w:r w:rsidRPr="00375708">
        <w:rPr>
          <w:rFonts w:ascii="Times New Roman" w:eastAsia="Calibri" w:hAnsi="Times New Roman" w:cs="Times New Roman"/>
          <w:sz w:val="24"/>
          <w:szCs w:val="24"/>
        </w:rPr>
        <w:t xml:space="preserve">, A. A. (2018). Test-retest reliability, internal consistency, and construct validity of the </w:t>
      </w:r>
      <w:proofErr w:type="spellStart"/>
      <w:proofErr w:type="gramStart"/>
      <w:r w:rsidRPr="00375708">
        <w:rPr>
          <w:rFonts w:ascii="Times New Roman" w:eastAsia="Calibri" w:hAnsi="Times New Roman" w:cs="Times New Roman"/>
          <w:sz w:val="24"/>
          <w:szCs w:val="24"/>
        </w:rPr>
        <w:t>farsi</w:t>
      </w:r>
      <w:proofErr w:type="spellEnd"/>
      <w:proofErr w:type="gramEnd"/>
      <w:r w:rsidRPr="00375708">
        <w:rPr>
          <w:rFonts w:ascii="Times New Roman" w:eastAsia="Calibri" w:hAnsi="Times New Roman" w:cs="Times New Roman"/>
          <w:sz w:val="24"/>
          <w:szCs w:val="24"/>
        </w:rPr>
        <w:t xml:space="preserve"> version of the oxford happiness inventory. </w:t>
      </w:r>
      <w:proofErr w:type="gramStart"/>
      <w:r w:rsidRPr="00375708">
        <w:rPr>
          <w:rFonts w:ascii="Times New Roman" w:eastAsia="Calibri" w:hAnsi="Times New Roman" w:cs="Times New Roman"/>
          <w:i/>
          <w:iCs/>
          <w:sz w:val="24"/>
          <w:szCs w:val="24"/>
        </w:rPr>
        <w:t>Psychological Reports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103</w:t>
      </w:r>
      <w:r w:rsidRPr="00375708">
        <w:rPr>
          <w:rFonts w:ascii="Times New Roman" w:eastAsia="Calibri" w:hAnsi="Times New Roman" w:cs="Times New Roman"/>
          <w:sz w:val="24"/>
          <w:szCs w:val="24"/>
        </w:rPr>
        <w:t>(5), 139.</w:t>
      </w:r>
      <w:proofErr w:type="gramEnd"/>
      <w:r w:rsidRPr="00375708">
        <w:rPr>
          <w:rFonts w:ascii="Times New Roman" w:eastAsia="Calibri" w:hAnsi="Times New Roman" w:cs="Times New Roman"/>
          <w:sz w:val="24"/>
          <w:szCs w:val="24"/>
        </w:rPr>
        <w:t xml:space="preserve"> </w:t>
      </w:r>
      <w:hyperlink r:id="rId9" w:history="1">
        <w:r w:rsidRPr="00375708">
          <w:rPr>
            <w:rFonts w:ascii="Times New Roman" w:eastAsia="Calibri" w:hAnsi="Times New Roman" w:cs="Times New Roman"/>
            <w:sz w:val="24"/>
            <w:szCs w:val="24"/>
          </w:rPr>
          <w:t>https://doi.org/10.2466/pr0.103.5.139-144</w:t>
        </w:r>
      </w:hyperlink>
    </w:p>
    <w:p w14:paraId="4F7BD65D"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Blinder, A. S. (1981).</w:t>
      </w:r>
      <w:proofErr w:type="gramEnd"/>
      <w:r w:rsidRPr="00375708">
        <w:rPr>
          <w:rFonts w:ascii="Times New Roman" w:eastAsia="Calibri" w:hAnsi="Times New Roman" w:cs="Times New Roman"/>
          <w:sz w:val="24"/>
          <w:szCs w:val="24"/>
        </w:rPr>
        <w:t xml:space="preserve"> Thoughts on the </w:t>
      </w:r>
      <w:proofErr w:type="spellStart"/>
      <w:r w:rsidRPr="00375708">
        <w:rPr>
          <w:rFonts w:ascii="Times New Roman" w:eastAsia="Calibri" w:hAnsi="Times New Roman" w:cs="Times New Roman"/>
          <w:sz w:val="24"/>
          <w:szCs w:val="24"/>
        </w:rPr>
        <w:t>Laffer</w:t>
      </w:r>
      <w:proofErr w:type="spell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sz w:val="24"/>
          <w:szCs w:val="24"/>
        </w:rPr>
        <w:t>Curve</w:t>
      </w:r>
      <w:proofErr w:type="gramEnd"/>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The Supply-Side Effects of Economic Policy</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52</w:t>
      </w:r>
      <w:r w:rsidRPr="00375708">
        <w:rPr>
          <w:rFonts w:ascii="Times New Roman" w:eastAsia="Calibri" w:hAnsi="Times New Roman" w:cs="Times New Roman"/>
          <w:sz w:val="24"/>
          <w:szCs w:val="24"/>
        </w:rPr>
        <w:t xml:space="preserve">(4), 81–92. </w:t>
      </w:r>
      <w:hyperlink r:id="rId10" w:history="1">
        <w:r w:rsidRPr="00375708">
          <w:rPr>
            <w:rFonts w:ascii="Times New Roman" w:eastAsia="Calibri" w:hAnsi="Times New Roman" w:cs="Times New Roman"/>
            <w:sz w:val="24"/>
            <w:szCs w:val="24"/>
          </w:rPr>
          <w:t>https://doi.org/10.1007/978-94-009-8174-4_3</w:t>
        </w:r>
      </w:hyperlink>
    </w:p>
    <w:p w14:paraId="5CDB9436"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proofErr w:type="spellStart"/>
      <w:proofErr w:type="gramStart"/>
      <w:r w:rsidRPr="00375708">
        <w:rPr>
          <w:rFonts w:ascii="Times New Roman" w:eastAsia="Calibri" w:hAnsi="Times New Roman" w:cs="Times New Roman"/>
          <w:sz w:val="24"/>
          <w:szCs w:val="24"/>
          <w:lang w:val="en-ZA"/>
        </w:rPr>
        <w:t>BlueQuark</w:t>
      </w:r>
      <w:proofErr w:type="spellEnd"/>
      <w:r w:rsidRPr="00375708">
        <w:rPr>
          <w:rFonts w:ascii="Times New Roman" w:eastAsia="Calibri" w:hAnsi="Times New Roman" w:cs="Times New Roman"/>
          <w:sz w:val="24"/>
          <w:szCs w:val="24"/>
          <w:lang w:val="en-ZA"/>
        </w:rPr>
        <w:t>.</w:t>
      </w:r>
      <w:proofErr w:type="gramEnd"/>
      <w:r w:rsidRPr="00375708">
        <w:rPr>
          <w:rFonts w:ascii="Times New Roman" w:eastAsia="Calibri" w:hAnsi="Times New Roman" w:cs="Times New Roman"/>
          <w:sz w:val="24"/>
          <w:szCs w:val="24"/>
          <w:lang w:val="en-ZA"/>
        </w:rPr>
        <w:t xml:space="preserve"> (2024). </w:t>
      </w:r>
      <w:r w:rsidRPr="00375708">
        <w:rPr>
          <w:rFonts w:ascii="Times New Roman" w:eastAsia="Calibri" w:hAnsi="Times New Roman" w:cs="Times New Roman"/>
          <w:i/>
          <w:iCs/>
          <w:sz w:val="24"/>
          <w:szCs w:val="24"/>
          <w:lang w:val="en-ZA"/>
        </w:rPr>
        <w:t xml:space="preserve">Brief Report on Kenya Agrochemicals Industry | </w:t>
      </w:r>
      <w:proofErr w:type="spellStart"/>
      <w:r w:rsidRPr="00375708">
        <w:rPr>
          <w:rFonts w:ascii="Times New Roman" w:eastAsia="Calibri" w:hAnsi="Times New Roman" w:cs="Times New Roman"/>
          <w:i/>
          <w:iCs/>
          <w:sz w:val="24"/>
          <w:szCs w:val="24"/>
          <w:lang w:val="en-ZA"/>
        </w:rPr>
        <w:t>BlueQuark</w:t>
      </w:r>
      <w:proofErr w:type="spellEnd"/>
      <w:r w:rsidRPr="00375708">
        <w:rPr>
          <w:rFonts w:ascii="Times New Roman" w:eastAsia="Calibri" w:hAnsi="Times New Roman" w:cs="Times New Roman"/>
          <w:i/>
          <w:iCs/>
          <w:sz w:val="24"/>
          <w:szCs w:val="24"/>
          <w:lang w:val="en-ZA"/>
        </w:rPr>
        <w:t xml:space="preserve"> Research</w:t>
      </w:r>
      <w:r w:rsidRPr="00375708">
        <w:rPr>
          <w:rFonts w:ascii="Times New Roman" w:eastAsia="Calibri" w:hAnsi="Times New Roman" w:cs="Times New Roman"/>
          <w:sz w:val="24"/>
          <w:szCs w:val="24"/>
          <w:lang w:val="en-ZA"/>
        </w:rPr>
        <w:t>. Retrieved November 6, 2024, from https://www.bluequarkresearch.com/reports/kenya-agrochemicals-industry</w:t>
      </w:r>
    </w:p>
    <w:p w14:paraId="6ED1C11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t>Bolarinwa</w:t>
      </w:r>
      <w:proofErr w:type="spellEnd"/>
      <w:r w:rsidRPr="00375708">
        <w:rPr>
          <w:rFonts w:ascii="Times New Roman" w:eastAsia="Calibri" w:hAnsi="Times New Roman" w:cs="Times New Roman"/>
          <w:sz w:val="24"/>
          <w:szCs w:val="24"/>
        </w:rPr>
        <w:t xml:space="preserve">, O. A. (2015). Principles and methods of validity and reliability testing of questionnaires used in social and health science researches. </w:t>
      </w:r>
      <w:r w:rsidRPr="00375708">
        <w:rPr>
          <w:rFonts w:ascii="Times New Roman" w:eastAsia="Calibri" w:hAnsi="Times New Roman" w:cs="Times New Roman"/>
          <w:i/>
          <w:iCs/>
          <w:sz w:val="24"/>
          <w:szCs w:val="24"/>
        </w:rPr>
        <w:t>Nigerian Postgraduate Medical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22</w:t>
      </w:r>
      <w:r w:rsidRPr="00375708">
        <w:rPr>
          <w:rFonts w:ascii="Times New Roman" w:eastAsia="Calibri" w:hAnsi="Times New Roman" w:cs="Times New Roman"/>
          <w:sz w:val="24"/>
          <w:szCs w:val="24"/>
        </w:rPr>
        <w:t>(4), 195–201.</w:t>
      </w:r>
    </w:p>
    <w:p w14:paraId="7FE8A72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 xml:space="preserve">Brown, M., &amp; </w:t>
      </w:r>
      <w:proofErr w:type="spellStart"/>
      <w:r w:rsidRPr="00375708">
        <w:rPr>
          <w:rFonts w:ascii="Times New Roman" w:eastAsia="Calibri" w:hAnsi="Times New Roman" w:cs="Times New Roman"/>
          <w:sz w:val="24"/>
          <w:szCs w:val="24"/>
        </w:rPr>
        <w:t>Revankar</w:t>
      </w:r>
      <w:proofErr w:type="spellEnd"/>
      <w:r w:rsidRPr="00375708">
        <w:rPr>
          <w:rFonts w:ascii="Times New Roman" w:eastAsia="Calibri" w:hAnsi="Times New Roman" w:cs="Times New Roman"/>
          <w:sz w:val="24"/>
          <w:szCs w:val="24"/>
        </w:rPr>
        <w:t>, N. (2017).</w:t>
      </w:r>
      <w:proofErr w:type="gramEnd"/>
      <w:r w:rsidRPr="00375708">
        <w:rPr>
          <w:rFonts w:ascii="Times New Roman" w:eastAsia="Calibri" w:hAnsi="Times New Roman" w:cs="Times New Roman"/>
          <w:sz w:val="24"/>
          <w:szCs w:val="24"/>
        </w:rPr>
        <w:t xml:space="preserve"> A generalized theory of the firm: an integration of the sales and profit maximization hypotheses. </w:t>
      </w:r>
      <w:proofErr w:type="spellStart"/>
      <w:r w:rsidRPr="00375708">
        <w:rPr>
          <w:rFonts w:ascii="Times New Roman" w:eastAsia="Calibri" w:hAnsi="Times New Roman" w:cs="Times New Roman"/>
          <w:i/>
          <w:iCs/>
          <w:sz w:val="24"/>
          <w:szCs w:val="24"/>
        </w:rPr>
        <w:t>Kyklos</w:t>
      </w:r>
      <w:proofErr w:type="spellEnd"/>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24</w:t>
      </w:r>
      <w:r w:rsidRPr="00375708">
        <w:rPr>
          <w:rFonts w:ascii="Times New Roman" w:eastAsia="Calibri" w:hAnsi="Times New Roman" w:cs="Times New Roman"/>
          <w:sz w:val="24"/>
          <w:szCs w:val="24"/>
        </w:rPr>
        <w:t xml:space="preserve">(3), 427–443. </w:t>
      </w:r>
      <w:hyperlink r:id="rId11" w:history="1">
        <w:r w:rsidRPr="00375708">
          <w:rPr>
            <w:rFonts w:ascii="Times New Roman" w:eastAsia="Calibri" w:hAnsi="Times New Roman" w:cs="Times New Roman"/>
            <w:sz w:val="24"/>
            <w:szCs w:val="24"/>
          </w:rPr>
          <w:t>https://doi.org/10.1111/j.1467-6435.1971.tb00612.x</w:t>
        </w:r>
      </w:hyperlink>
    </w:p>
    <w:p w14:paraId="1B6083DE"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proofErr w:type="spellStart"/>
      <w:proofErr w:type="gramStart"/>
      <w:r w:rsidRPr="00375708">
        <w:rPr>
          <w:rFonts w:ascii="Times New Roman" w:eastAsia="Calibri" w:hAnsi="Times New Roman" w:cs="Times New Roman"/>
          <w:sz w:val="24"/>
          <w:szCs w:val="24"/>
          <w:lang w:val="en-ZA"/>
        </w:rPr>
        <w:t>Brunelle</w:t>
      </w:r>
      <w:proofErr w:type="spellEnd"/>
      <w:r w:rsidRPr="00375708">
        <w:rPr>
          <w:rFonts w:ascii="Times New Roman" w:eastAsia="Calibri" w:hAnsi="Times New Roman" w:cs="Times New Roman"/>
          <w:sz w:val="24"/>
          <w:szCs w:val="24"/>
          <w:lang w:val="en-ZA"/>
        </w:rPr>
        <w:t xml:space="preserve">, T., </w:t>
      </w:r>
      <w:proofErr w:type="spellStart"/>
      <w:r w:rsidRPr="00375708">
        <w:rPr>
          <w:rFonts w:ascii="Times New Roman" w:eastAsia="Calibri" w:hAnsi="Times New Roman" w:cs="Times New Roman"/>
          <w:sz w:val="24"/>
          <w:szCs w:val="24"/>
          <w:lang w:val="en-ZA"/>
        </w:rPr>
        <w:t>Chakir</w:t>
      </w:r>
      <w:proofErr w:type="spellEnd"/>
      <w:r w:rsidRPr="00375708">
        <w:rPr>
          <w:rFonts w:ascii="Times New Roman" w:eastAsia="Calibri" w:hAnsi="Times New Roman" w:cs="Times New Roman"/>
          <w:sz w:val="24"/>
          <w:szCs w:val="24"/>
          <w:lang w:val="en-ZA"/>
        </w:rPr>
        <w:t xml:space="preserve">, R., </w:t>
      </w:r>
      <w:proofErr w:type="spellStart"/>
      <w:r w:rsidRPr="00375708">
        <w:rPr>
          <w:rFonts w:ascii="Times New Roman" w:eastAsia="Calibri" w:hAnsi="Times New Roman" w:cs="Times New Roman"/>
          <w:sz w:val="24"/>
          <w:szCs w:val="24"/>
          <w:lang w:val="en-ZA"/>
        </w:rPr>
        <w:t>Carpentier</w:t>
      </w:r>
      <w:proofErr w:type="spellEnd"/>
      <w:r w:rsidRPr="00375708">
        <w:rPr>
          <w:rFonts w:ascii="Times New Roman" w:eastAsia="Calibri" w:hAnsi="Times New Roman" w:cs="Times New Roman"/>
          <w:sz w:val="24"/>
          <w:szCs w:val="24"/>
          <w:lang w:val="en-ZA"/>
        </w:rPr>
        <w:t xml:space="preserve">, A., </w:t>
      </w:r>
      <w:proofErr w:type="spellStart"/>
      <w:r w:rsidRPr="00375708">
        <w:rPr>
          <w:rFonts w:ascii="Times New Roman" w:eastAsia="Calibri" w:hAnsi="Times New Roman" w:cs="Times New Roman"/>
          <w:sz w:val="24"/>
          <w:szCs w:val="24"/>
          <w:lang w:val="en-ZA"/>
        </w:rPr>
        <w:t>Dorin</w:t>
      </w:r>
      <w:proofErr w:type="spellEnd"/>
      <w:r w:rsidRPr="00375708">
        <w:rPr>
          <w:rFonts w:ascii="Times New Roman" w:eastAsia="Calibri" w:hAnsi="Times New Roman" w:cs="Times New Roman"/>
          <w:sz w:val="24"/>
          <w:szCs w:val="24"/>
          <w:lang w:val="en-ZA"/>
        </w:rPr>
        <w:t xml:space="preserve">, B., </w:t>
      </w:r>
      <w:proofErr w:type="spellStart"/>
      <w:r w:rsidRPr="00375708">
        <w:rPr>
          <w:rFonts w:ascii="Times New Roman" w:eastAsia="Calibri" w:hAnsi="Times New Roman" w:cs="Times New Roman"/>
          <w:sz w:val="24"/>
          <w:szCs w:val="24"/>
          <w:lang w:val="en-ZA"/>
        </w:rPr>
        <w:t>Goll</w:t>
      </w:r>
      <w:proofErr w:type="spellEnd"/>
      <w:r w:rsidRPr="00375708">
        <w:rPr>
          <w:rFonts w:ascii="Times New Roman" w:eastAsia="Calibri" w:hAnsi="Times New Roman" w:cs="Times New Roman"/>
          <w:sz w:val="24"/>
          <w:szCs w:val="24"/>
          <w:lang w:val="en-ZA"/>
        </w:rPr>
        <w:t xml:space="preserve">, D., </w:t>
      </w:r>
      <w:proofErr w:type="spellStart"/>
      <w:r w:rsidRPr="00375708">
        <w:rPr>
          <w:rFonts w:ascii="Times New Roman" w:eastAsia="Calibri" w:hAnsi="Times New Roman" w:cs="Times New Roman"/>
          <w:sz w:val="24"/>
          <w:szCs w:val="24"/>
          <w:lang w:val="en-ZA"/>
        </w:rPr>
        <w:t>Guilpart</w:t>
      </w:r>
      <w:proofErr w:type="spellEnd"/>
      <w:r w:rsidRPr="00375708">
        <w:rPr>
          <w:rFonts w:ascii="Times New Roman" w:eastAsia="Calibri" w:hAnsi="Times New Roman" w:cs="Times New Roman"/>
          <w:sz w:val="24"/>
          <w:szCs w:val="24"/>
          <w:lang w:val="en-ZA"/>
        </w:rPr>
        <w:t xml:space="preserve">, N., Maggi, F., </w:t>
      </w:r>
      <w:proofErr w:type="spellStart"/>
      <w:r w:rsidRPr="00375708">
        <w:rPr>
          <w:rFonts w:ascii="Times New Roman" w:eastAsia="Calibri" w:hAnsi="Times New Roman" w:cs="Times New Roman"/>
          <w:sz w:val="24"/>
          <w:szCs w:val="24"/>
          <w:lang w:val="en-ZA"/>
        </w:rPr>
        <w:t>Makowski</w:t>
      </w:r>
      <w:proofErr w:type="spellEnd"/>
      <w:r w:rsidRPr="00375708">
        <w:rPr>
          <w:rFonts w:ascii="Times New Roman" w:eastAsia="Calibri" w:hAnsi="Times New Roman" w:cs="Times New Roman"/>
          <w:sz w:val="24"/>
          <w:szCs w:val="24"/>
          <w:lang w:val="en-ZA"/>
        </w:rPr>
        <w:t xml:space="preserve">, D., </w:t>
      </w:r>
      <w:proofErr w:type="spellStart"/>
      <w:r w:rsidRPr="00375708">
        <w:rPr>
          <w:rFonts w:ascii="Times New Roman" w:eastAsia="Calibri" w:hAnsi="Times New Roman" w:cs="Times New Roman"/>
          <w:sz w:val="24"/>
          <w:szCs w:val="24"/>
          <w:lang w:val="en-ZA"/>
        </w:rPr>
        <w:t>Nesme</w:t>
      </w:r>
      <w:proofErr w:type="spellEnd"/>
      <w:r w:rsidRPr="00375708">
        <w:rPr>
          <w:rFonts w:ascii="Times New Roman" w:eastAsia="Calibri" w:hAnsi="Times New Roman" w:cs="Times New Roman"/>
          <w:sz w:val="24"/>
          <w:szCs w:val="24"/>
          <w:lang w:val="en-ZA"/>
        </w:rPr>
        <w:t xml:space="preserve">, T., </w:t>
      </w:r>
      <w:proofErr w:type="spellStart"/>
      <w:r w:rsidRPr="00375708">
        <w:rPr>
          <w:rFonts w:ascii="Times New Roman" w:eastAsia="Calibri" w:hAnsi="Times New Roman" w:cs="Times New Roman"/>
          <w:sz w:val="24"/>
          <w:szCs w:val="24"/>
          <w:lang w:val="en-ZA"/>
        </w:rPr>
        <w:t>Roosen</w:t>
      </w:r>
      <w:proofErr w:type="spellEnd"/>
      <w:r w:rsidRPr="00375708">
        <w:rPr>
          <w:rFonts w:ascii="Times New Roman" w:eastAsia="Calibri" w:hAnsi="Times New Roman" w:cs="Times New Roman"/>
          <w:sz w:val="24"/>
          <w:szCs w:val="24"/>
          <w:lang w:val="en-ZA"/>
        </w:rPr>
        <w:t>, J., &amp; Tang, F. (2024).</w:t>
      </w:r>
      <w:proofErr w:type="gramEnd"/>
      <w:r w:rsidRPr="00375708">
        <w:rPr>
          <w:rFonts w:ascii="Times New Roman" w:eastAsia="Calibri" w:hAnsi="Times New Roman" w:cs="Times New Roman"/>
          <w:sz w:val="24"/>
          <w:szCs w:val="24"/>
          <w:lang w:val="en-ZA"/>
        </w:rPr>
        <w:t xml:space="preserve"> Reducing chemical inputs in agriculture requires a system change. </w:t>
      </w:r>
      <w:proofErr w:type="gramStart"/>
      <w:r w:rsidRPr="00375708">
        <w:rPr>
          <w:rFonts w:ascii="Times New Roman" w:eastAsia="Calibri" w:hAnsi="Times New Roman" w:cs="Times New Roman"/>
          <w:i/>
          <w:iCs/>
          <w:sz w:val="24"/>
          <w:szCs w:val="24"/>
          <w:lang w:val="en-ZA"/>
        </w:rPr>
        <w:t>Communications Earth &amp; Environment</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iCs/>
          <w:sz w:val="24"/>
          <w:szCs w:val="24"/>
          <w:lang w:val="en-ZA"/>
        </w:rPr>
        <w:t>5</w:t>
      </w:r>
      <w:r w:rsidRPr="00375708">
        <w:rPr>
          <w:rFonts w:ascii="Times New Roman" w:eastAsia="Calibri" w:hAnsi="Times New Roman" w:cs="Times New Roman"/>
          <w:sz w:val="24"/>
          <w:szCs w:val="24"/>
          <w:lang w:val="en-ZA"/>
        </w:rPr>
        <w:t>(1).</w:t>
      </w:r>
      <w:proofErr w:type="gramEnd"/>
      <w:r w:rsidRPr="00375708">
        <w:rPr>
          <w:rFonts w:ascii="Times New Roman" w:eastAsia="Calibri" w:hAnsi="Times New Roman" w:cs="Times New Roman"/>
          <w:sz w:val="24"/>
          <w:szCs w:val="24"/>
          <w:lang w:val="en-ZA"/>
        </w:rPr>
        <w:t xml:space="preserve"> https://doi.org/10.1038/s43247-024-01533-1</w:t>
      </w:r>
    </w:p>
    <w:p w14:paraId="60AF9E4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Bruwer</w:t>
      </w:r>
      <w:proofErr w:type="spellEnd"/>
      <w:r w:rsidRPr="00375708">
        <w:rPr>
          <w:rFonts w:ascii="Times New Roman" w:eastAsia="Calibri" w:hAnsi="Times New Roman" w:cs="Times New Roman"/>
          <w:sz w:val="24"/>
          <w:szCs w:val="24"/>
        </w:rPr>
        <w:t xml:space="preserve">, J.-P., Lombard, M., </w:t>
      </w:r>
      <w:proofErr w:type="spellStart"/>
      <w:r w:rsidRPr="00375708">
        <w:rPr>
          <w:rFonts w:ascii="Times New Roman" w:eastAsia="Calibri" w:hAnsi="Times New Roman" w:cs="Times New Roman"/>
          <w:sz w:val="24"/>
          <w:szCs w:val="24"/>
        </w:rPr>
        <w:t>Smit</w:t>
      </w:r>
      <w:proofErr w:type="spellEnd"/>
      <w:r w:rsidRPr="00375708">
        <w:rPr>
          <w:rFonts w:ascii="Times New Roman" w:eastAsia="Calibri" w:hAnsi="Times New Roman" w:cs="Times New Roman"/>
          <w:sz w:val="24"/>
          <w:szCs w:val="24"/>
        </w:rPr>
        <w:t xml:space="preserve">, Y., &amp; </w:t>
      </w:r>
      <w:proofErr w:type="spellStart"/>
      <w:r w:rsidRPr="00375708">
        <w:rPr>
          <w:rFonts w:ascii="Times New Roman" w:eastAsia="Calibri" w:hAnsi="Times New Roman" w:cs="Times New Roman"/>
          <w:sz w:val="24"/>
          <w:szCs w:val="24"/>
        </w:rPr>
        <w:t>Ankit</w:t>
      </w:r>
      <w:proofErr w:type="spellEnd"/>
      <w:r w:rsidRPr="00375708">
        <w:rPr>
          <w:rFonts w:ascii="Times New Roman" w:eastAsia="Calibri" w:hAnsi="Times New Roman" w:cs="Times New Roman"/>
          <w:sz w:val="24"/>
          <w:szCs w:val="24"/>
        </w:rPr>
        <w:t xml:space="preserve"> </w:t>
      </w:r>
      <w:proofErr w:type="spellStart"/>
      <w:r w:rsidRPr="00375708">
        <w:rPr>
          <w:rFonts w:ascii="Times New Roman" w:eastAsia="Calibri" w:hAnsi="Times New Roman" w:cs="Times New Roman"/>
          <w:sz w:val="24"/>
          <w:szCs w:val="24"/>
        </w:rPr>
        <w:t>Katrodia</w:t>
      </w:r>
      <w:proofErr w:type="spellEnd"/>
      <w:r w:rsidRPr="00375708">
        <w:rPr>
          <w:rFonts w:ascii="Times New Roman" w:eastAsia="Calibri" w:hAnsi="Times New Roman" w:cs="Times New Roman"/>
          <w:sz w:val="24"/>
          <w:szCs w:val="24"/>
        </w:rPr>
        <w:t>.</w:t>
      </w:r>
      <w:proofErr w:type="gramEnd"/>
      <w:r w:rsidRPr="00375708">
        <w:rPr>
          <w:rFonts w:ascii="Times New Roman" w:eastAsia="Calibri" w:hAnsi="Times New Roman" w:cs="Times New Roman"/>
          <w:sz w:val="24"/>
          <w:szCs w:val="24"/>
        </w:rPr>
        <w:t xml:space="preserve"> (2019). </w:t>
      </w:r>
      <w:proofErr w:type="gramStart"/>
      <w:r w:rsidRPr="00375708">
        <w:rPr>
          <w:rFonts w:ascii="Times New Roman" w:eastAsia="Calibri" w:hAnsi="Times New Roman" w:cs="Times New Roman"/>
          <w:sz w:val="24"/>
          <w:szCs w:val="24"/>
        </w:rPr>
        <w:t>The</w:t>
      </w:r>
      <w:proofErr w:type="gramEnd"/>
      <w:r w:rsidRPr="00375708">
        <w:rPr>
          <w:rFonts w:ascii="Times New Roman" w:eastAsia="Calibri" w:hAnsi="Times New Roman" w:cs="Times New Roman"/>
          <w:sz w:val="24"/>
          <w:szCs w:val="24"/>
        </w:rPr>
        <w:t xml:space="preserve"> Influence of Excise Taxation Levied on Product Sales on the Financial Sustainability of South African Tobacco-and-Alcohol-Selling Small, Medium and Micro Enterprise. </w:t>
      </w:r>
      <w:r w:rsidRPr="00375708">
        <w:rPr>
          <w:rFonts w:ascii="Times New Roman" w:eastAsia="Calibri" w:hAnsi="Times New Roman" w:cs="Times New Roman"/>
          <w:i/>
          <w:iCs/>
          <w:sz w:val="24"/>
          <w:szCs w:val="24"/>
        </w:rPr>
        <w:t>DOAJ (DOAJ: Directory of Open Access Journals)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12</w:t>
      </w:r>
      <w:r w:rsidRPr="00375708">
        <w:rPr>
          <w:rFonts w:ascii="Times New Roman" w:eastAsia="Calibri" w:hAnsi="Times New Roman" w:cs="Times New Roman"/>
          <w:sz w:val="24"/>
          <w:szCs w:val="24"/>
        </w:rPr>
        <w:t>(3), 101–117.</w:t>
      </w:r>
    </w:p>
    <w:p w14:paraId="4C57362C"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 xml:space="preserve">Campbell, S., Greenwood, M., Prior, S., Shearer, T., </w:t>
      </w:r>
      <w:proofErr w:type="spellStart"/>
      <w:r w:rsidRPr="00375708">
        <w:rPr>
          <w:rFonts w:ascii="Times New Roman" w:eastAsia="Calibri" w:hAnsi="Times New Roman" w:cs="Times New Roman"/>
          <w:sz w:val="24"/>
          <w:szCs w:val="24"/>
        </w:rPr>
        <w:t>Walkem</w:t>
      </w:r>
      <w:proofErr w:type="spellEnd"/>
      <w:r w:rsidRPr="00375708">
        <w:rPr>
          <w:rFonts w:ascii="Times New Roman" w:eastAsia="Calibri" w:hAnsi="Times New Roman" w:cs="Times New Roman"/>
          <w:sz w:val="24"/>
          <w:szCs w:val="24"/>
        </w:rPr>
        <w:t xml:space="preserve">, K., Young, S., </w:t>
      </w:r>
      <w:proofErr w:type="spellStart"/>
      <w:r w:rsidRPr="00375708">
        <w:rPr>
          <w:rFonts w:ascii="Times New Roman" w:eastAsia="Calibri" w:hAnsi="Times New Roman" w:cs="Times New Roman"/>
          <w:sz w:val="24"/>
          <w:szCs w:val="24"/>
        </w:rPr>
        <w:t>Bywaters</w:t>
      </w:r>
      <w:proofErr w:type="spellEnd"/>
      <w:r w:rsidRPr="00375708">
        <w:rPr>
          <w:rFonts w:ascii="Times New Roman" w:eastAsia="Calibri" w:hAnsi="Times New Roman" w:cs="Times New Roman"/>
          <w:sz w:val="24"/>
          <w:szCs w:val="24"/>
        </w:rPr>
        <w:t>, D., &amp; Walker, K. (2020).</w:t>
      </w:r>
      <w:proofErr w:type="gramEnd"/>
      <w:r w:rsidRPr="00375708">
        <w:rPr>
          <w:rFonts w:ascii="Times New Roman" w:eastAsia="Calibri" w:hAnsi="Times New Roman" w:cs="Times New Roman"/>
          <w:sz w:val="24"/>
          <w:szCs w:val="24"/>
        </w:rPr>
        <w:t xml:space="preserve"> Purposive sampling: Complex or simple? </w:t>
      </w:r>
      <w:proofErr w:type="gramStart"/>
      <w:r w:rsidRPr="00375708">
        <w:rPr>
          <w:rFonts w:ascii="Times New Roman" w:eastAsia="Calibri" w:hAnsi="Times New Roman" w:cs="Times New Roman"/>
          <w:sz w:val="24"/>
          <w:szCs w:val="24"/>
        </w:rPr>
        <w:t>Research case examples.</w:t>
      </w:r>
      <w:proofErr w:type="gramEnd"/>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Journal of Research in Nursing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25</w:t>
      </w:r>
      <w:r w:rsidRPr="00375708">
        <w:rPr>
          <w:rFonts w:ascii="Times New Roman" w:eastAsia="Calibri" w:hAnsi="Times New Roman" w:cs="Times New Roman"/>
          <w:sz w:val="24"/>
          <w:szCs w:val="24"/>
        </w:rPr>
        <w:t xml:space="preserve">(8), 652–661. </w:t>
      </w:r>
      <w:proofErr w:type="gramStart"/>
      <w:r w:rsidRPr="00375708">
        <w:rPr>
          <w:rFonts w:ascii="Times New Roman" w:eastAsia="Calibri" w:hAnsi="Times New Roman" w:cs="Times New Roman"/>
          <w:sz w:val="24"/>
          <w:szCs w:val="24"/>
        </w:rPr>
        <w:t>NCBI.</w:t>
      </w:r>
      <w:proofErr w:type="gramEnd"/>
      <w:r w:rsidRPr="00375708">
        <w:rPr>
          <w:rFonts w:ascii="Times New Roman" w:eastAsia="Calibri" w:hAnsi="Times New Roman" w:cs="Times New Roman"/>
          <w:sz w:val="24"/>
          <w:szCs w:val="24"/>
        </w:rPr>
        <w:t xml:space="preserve"> </w:t>
      </w:r>
      <w:hyperlink r:id="rId12" w:history="1">
        <w:r w:rsidRPr="00375708">
          <w:rPr>
            <w:rFonts w:ascii="Times New Roman" w:eastAsia="Calibri" w:hAnsi="Times New Roman" w:cs="Times New Roman"/>
            <w:sz w:val="24"/>
            <w:szCs w:val="24"/>
          </w:rPr>
          <w:t>https://doi.org/10.1177/1744987120927206</w:t>
        </w:r>
      </w:hyperlink>
    </w:p>
    <w:p w14:paraId="48C61AE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t>Chege</w:t>
      </w:r>
      <w:proofErr w:type="spellEnd"/>
      <w:r w:rsidRPr="00375708">
        <w:rPr>
          <w:rFonts w:ascii="Times New Roman" w:eastAsia="Calibri" w:hAnsi="Times New Roman" w:cs="Times New Roman"/>
          <w:sz w:val="24"/>
          <w:szCs w:val="24"/>
        </w:rPr>
        <w:t xml:space="preserve">, J. (2022). Effect of tax incentives on </w:t>
      </w:r>
      <w:proofErr w:type="gramStart"/>
      <w:r w:rsidRPr="00375708">
        <w:rPr>
          <w:rFonts w:ascii="Times New Roman" w:eastAsia="Calibri" w:hAnsi="Times New Roman" w:cs="Times New Roman"/>
          <w:sz w:val="24"/>
          <w:szCs w:val="24"/>
        </w:rPr>
        <w:t>financial  performance</w:t>
      </w:r>
      <w:proofErr w:type="gramEnd"/>
      <w:r w:rsidRPr="00375708">
        <w:rPr>
          <w:rFonts w:ascii="Times New Roman" w:eastAsia="Calibri" w:hAnsi="Times New Roman" w:cs="Times New Roman"/>
          <w:sz w:val="24"/>
          <w:szCs w:val="24"/>
        </w:rPr>
        <w:t xml:space="preserve"> of domestic airlines in  Kenya  . </w:t>
      </w:r>
      <w:r w:rsidRPr="00375708">
        <w:rPr>
          <w:rFonts w:ascii="Times New Roman" w:eastAsia="Calibri" w:hAnsi="Times New Roman" w:cs="Times New Roman"/>
          <w:i/>
          <w:iCs/>
          <w:sz w:val="24"/>
          <w:szCs w:val="24"/>
        </w:rPr>
        <w:t>African Tax and Customs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6</w:t>
      </w:r>
      <w:r w:rsidRPr="00375708">
        <w:rPr>
          <w:rFonts w:ascii="Times New Roman" w:eastAsia="Calibri" w:hAnsi="Times New Roman" w:cs="Times New Roman"/>
          <w:sz w:val="24"/>
          <w:szCs w:val="24"/>
        </w:rPr>
        <w:t xml:space="preserve">(4), 96–124. </w:t>
      </w:r>
      <w:hyperlink r:id="rId13" w:history="1">
        <w:r w:rsidRPr="00375708">
          <w:rPr>
            <w:rFonts w:ascii="Times New Roman" w:eastAsia="Calibri" w:hAnsi="Times New Roman" w:cs="Times New Roman"/>
            <w:sz w:val="24"/>
            <w:szCs w:val="24"/>
          </w:rPr>
          <w:t>https://atcr.kra.go.ke/</w:t>
        </w:r>
      </w:hyperlink>
    </w:p>
    <w:p w14:paraId="7303502E"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t>Chesire</w:t>
      </w:r>
      <w:proofErr w:type="spellEnd"/>
      <w:r w:rsidRPr="00375708">
        <w:rPr>
          <w:rFonts w:ascii="Times New Roman" w:eastAsia="Calibri" w:hAnsi="Times New Roman" w:cs="Times New Roman"/>
          <w:sz w:val="24"/>
          <w:szCs w:val="24"/>
        </w:rPr>
        <w:t xml:space="preserve">, E. (2018). </w:t>
      </w:r>
      <w:r w:rsidRPr="00375708">
        <w:rPr>
          <w:rFonts w:ascii="Times New Roman" w:eastAsia="Calibri" w:hAnsi="Times New Roman" w:cs="Times New Roman"/>
          <w:i/>
          <w:iCs/>
          <w:sz w:val="24"/>
          <w:szCs w:val="24"/>
        </w:rPr>
        <w:t xml:space="preserve">The Effect of Excise Taxes on the profitability of alcohol and cigarette manufacturers in Kenya. </w:t>
      </w:r>
      <w:proofErr w:type="gramStart"/>
      <w:r w:rsidRPr="00375708">
        <w:rPr>
          <w:rFonts w:ascii="Times New Roman" w:eastAsia="Calibri" w:hAnsi="Times New Roman" w:cs="Times New Roman"/>
          <w:sz w:val="24"/>
          <w:szCs w:val="24"/>
        </w:rPr>
        <w:t>[</w:t>
      </w:r>
      <w:proofErr w:type="spellStart"/>
      <w:r w:rsidRPr="00375708">
        <w:rPr>
          <w:rFonts w:ascii="Times New Roman" w:eastAsia="Calibri" w:hAnsi="Times New Roman" w:cs="Times New Roman"/>
          <w:sz w:val="24"/>
          <w:szCs w:val="24"/>
        </w:rPr>
        <w:t>Masters</w:t>
      </w:r>
      <w:proofErr w:type="spellEnd"/>
      <w:r w:rsidRPr="00375708">
        <w:rPr>
          <w:rFonts w:ascii="Times New Roman" w:eastAsia="Calibri" w:hAnsi="Times New Roman" w:cs="Times New Roman"/>
          <w:sz w:val="24"/>
          <w:szCs w:val="24"/>
        </w:rPr>
        <w:t xml:space="preserve"> Thesis, University of Nairobi].</w:t>
      </w:r>
      <w:proofErr w:type="gramEnd"/>
    </w:p>
    <w:p w14:paraId="556FC0CE"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Contractor, F. J., </w:t>
      </w:r>
      <w:proofErr w:type="spellStart"/>
      <w:r w:rsidRPr="00375708">
        <w:rPr>
          <w:rFonts w:ascii="Times New Roman" w:eastAsia="Calibri" w:hAnsi="Times New Roman" w:cs="Times New Roman"/>
          <w:sz w:val="24"/>
          <w:szCs w:val="24"/>
        </w:rPr>
        <w:t>Dangol</w:t>
      </w:r>
      <w:proofErr w:type="spellEnd"/>
      <w:r w:rsidRPr="00375708">
        <w:rPr>
          <w:rFonts w:ascii="Times New Roman" w:eastAsia="Calibri" w:hAnsi="Times New Roman" w:cs="Times New Roman"/>
          <w:sz w:val="24"/>
          <w:szCs w:val="24"/>
        </w:rPr>
        <w:t xml:space="preserve">, R., </w:t>
      </w:r>
      <w:proofErr w:type="spellStart"/>
      <w:r w:rsidRPr="00375708">
        <w:rPr>
          <w:rFonts w:ascii="Times New Roman" w:eastAsia="Calibri" w:hAnsi="Times New Roman" w:cs="Times New Roman"/>
          <w:sz w:val="24"/>
          <w:szCs w:val="24"/>
        </w:rPr>
        <w:t>Nuruzzaman</w:t>
      </w:r>
      <w:proofErr w:type="spellEnd"/>
      <w:r w:rsidRPr="00375708">
        <w:rPr>
          <w:rFonts w:ascii="Times New Roman" w:eastAsia="Calibri" w:hAnsi="Times New Roman" w:cs="Times New Roman"/>
          <w:sz w:val="24"/>
          <w:szCs w:val="24"/>
        </w:rPr>
        <w:t xml:space="preserve">, N., &amp; </w:t>
      </w:r>
      <w:proofErr w:type="spellStart"/>
      <w:r w:rsidRPr="00375708">
        <w:rPr>
          <w:rFonts w:ascii="Times New Roman" w:eastAsia="Calibri" w:hAnsi="Times New Roman" w:cs="Times New Roman"/>
          <w:sz w:val="24"/>
          <w:szCs w:val="24"/>
        </w:rPr>
        <w:t>Raghunath</w:t>
      </w:r>
      <w:proofErr w:type="spellEnd"/>
      <w:r w:rsidRPr="00375708">
        <w:rPr>
          <w:rFonts w:ascii="Times New Roman" w:eastAsia="Calibri" w:hAnsi="Times New Roman" w:cs="Times New Roman"/>
          <w:sz w:val="24"/>
          <w:szCs w:val="24"/>
        </w:rPr>
        <w:t xml:space="preserve">, S. (2020). How do country </w:t>
      </w:r>
      <w:r w:rsidRPr="00375708">
        <w:rPr>
          <w:rFonts w:ascii="Times New Roman" w:eastAsia="Calibri" w:hAnsi="Times New Roman" w:cs="Times New Roman"/>
          <w:sz w:val="24"/>
          <w:szCs w:val="24"/>
        </w:rPr>
        <w:lastRenderedPageBreak/>
        <w:t xml:space="preserve">regulations and business environment impact foreign direct investment (FDI) inflows? </w:t>
      </w:r>
      <w:proofErr w:type="gramStart"/>
      <w:r w:rsidRPr="00375708">
        <w:rPr>
          <w:rFonts w:ascii="Times New Roman" w:eastAsia="Calibri" w:hAnsi="Times New Roman" w:cs="Times New Roman"/>
          <w:i/>
          <w:iCs/>
          <w:sz w:val="24"/>
          <w:szCs w:val="24"/>
        </w:rPr>
        <w:t>International Business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29</w:t>
      </w:r>
      <w:r w:rsidRPr="00375708">
        <w:rPr>
          <w:rFonts w:ascii="Times New Roman" w:eastAsia="Calibri" w:hAnsi="Times New Roman" w:cs="Times New Roman"/>
          <w:sz w:val="24"/>
          <w:szCs w:val="24"/>
        </w:rPr>
        <w:t>(2), 101640.</w:t>
      </w:r>
      <w:proofErr w:type="gramEnd"/>
      <w:r w:rsidRPr="00375708">
        <w:rPr>
          <w:rFonts w:ascii="Times New Roman" w:eastAsia="Calibri" w:hAnsi="Times New Roman" w:cs="Times New Roman"/>
          <w:sz w:val="24"/>
          <w:szCs w:val="24"/>
        </w:rPr>
        <w:t xml:space="preserve"> </w:t>
      </w:r>
      <w:hyperlink r:id="rId14" w:history="1">
        <w:r w:rsidRPr="00375708">
          <w:rPr>
            <w:rFonts w:ascii="Times New Roman" w:eastAsia="Calibri" w:hAnsi="Times New Roman" w:cs="Times New Roman"/>
            <w:sz w:val="24"/>
            <w:szCs w:val="24"/>
          </w:rPr>
          <w:t>https://doi.org/10.1016/j.ibusrev.2019.101640</w:t>
        </w:r>
      </w:hyperlink>
    </w:p>
    <w:p w14:paraId="3B44817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Cooper, M., &amp; Nguyen, Q. T. K. (2020).</w:t>
      </w:r>
      <w:proofErr w:type="gramEnd"/>
      <w:r w:rsidRPr="00375708">
        <w:rPr>
          <w:rFonts w:ascii="Times New Roman" w:eastAsia="Calibri" w:hAnsi="Times New Roman" w:cs="Times New Roman"/>
          <w:sz w:val="24"/>
          <w:szCs w:val="24"/>
        </w:rPr>
        <w:t xml:space="preserve"> Multinational enterprises and corporate tax planning: A review of literature and suggestions for a future research agenda. </w:t>
      </w:r>
      <w:r w:rsidRPr="00375708">
        <w:rPr>
          <w:rFonts w:ascii="Times New Roman" w:eastAsia="Calibri" w:hAnsi="Times New Roman" w:cs="Times New Roman"/>
          <w:i/>
          <w:iCs/>
          <w:sz w:val="24"/>
          <w:szCs w:val="24"/>
        </w:rPr>
        <w:t>International Business Review</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29</w:t>
      </w:r>
      <w:r w:rsidRPr="00375708">
        <w:rPr>
          <w:rFonts w:ascii="Times New Roman" w:eastAsia="Calibri" w:hAnsi="Times New Roman" w:cs="Times New Roman"/>
          <w:sz w:val="24"/>
          <w:szCs w:val="24"/>
        </w:rPr>
        <w:t xml:space="preserve">(3), 101–112. </w:t>
      </w:r>
      <w:hyperlink r:id="rId15" w:history="1">
        <w:r w:rsidRPr="00375708">
          <w:rPr>
            <w:rFonts w:ascii="Times New Roman" w:eastAsia="Calibri" w:hAnsi="Times New Roman" w:cs="Times New Roman"/>
            <w:sz w:val="24"/>
            <w:szCs w:val="24"/>
          </w:rPr>
          <w:t>https://doi.org/10.1016/j.ibusrev.2020.101692</w:t>
        </w:r>
      </w:hyperlink>
    </w:p>
    <w:p w14:paraId="3BF06AE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Dang, H. N., Vu, V. T. T., Ngo, X. T., &amp; Hoang, H. T. V. (2019). Study the Impact of Growth, Firm Size, Capital Structure, and Profitability on Enterprise Value: Evidence of Enterprises in Vietnam. </w:t>
      </w:r>
      <w:r w:rsidRPr="00375708">
        <w:rPr>
          <w:rFonts w:ascii="Times New Roman" w:eastAsia="Calibri" w:hAnsi="Times New Roman" w:cs="Times New Roman"/>
          <w:i/>
          <w:iCs/>
          <w:sz w:val="24"/>
          <w:szCs w:val="24"/>
        </w:rPr>
        <w:t>Journal of Corporate Accounting &amp; Finance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30</w:t>
      </w:r>
      <w:r w:rsidRPr="00375708">
        <w:rPr>
          <w:rFonts w:ascii="Times New Roman" w:eastAsia="Calibri" w:hAnsi="Times New Roman" w:cs="Times New Roman"/>
          <w:sz w:val="24"/>
          <w:szCs w:val="24"/>
        </w:rPr>
        <w:t xml:space="preserve">(1), 144–160. </w:t>
      </w:r>
      <w:hyperlink r:id="rId16" w:history="1">
        <w:r w:rsidRPr="00375708">
          <w:rPr>
            <w:rFonts w:ascii="Times New Roman" w:eastAsia="Calibri" w:hAnsi="Times New Roman" w:cs="Times New Roman"/>
            <w:sz w:val="24"/>
            <w:szCs w:val="24"/>
          </w:rPr>
          <w:t>https://doi.org/10.1002/jcaf.22371</w:t>
        </w:r>
      </w:hyperlink>
    </w:p>
    <w:p w14:paraId="114266B5"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r w:rsidRPr="00375708">
        <w:rPr>
          <w:rFonts w:ascii="Times New Roman" w:eastAsia="Calibri" w:hAnsi="Times New Roman" w:cs="Times New Roman"/>
          <w:sz w:val="24"/>
          <w:szCs w:val="24"/>
        </w:rPr>
        <w:t xml:space="preserve">Devereux, M. P. (2019). How Should Business Profit Be Taxed? Some Thoughts on Conceptual Developments </w:t>
      </w:r>
      <w:proofErr w:type="gramStart"/>
      <w:r w:rsidRPr="00375708">
        <w:rPr>
          <w:rFonts w:ascii="Times New Roman" w:eastAsia="Calibri" w:hAnsi="Times New Roman" w:cs="Times New Roman"/>
          <w:sz w:val="24"/>
          <w:szCs w:val="24"/>
        </w:rPr>
        <w:t>During</w:t>
      </w:r>
      <w:proofErr w:type="gramEnd"/>
      <w:r w:rsidRPr="00375708">
        <w:rPr>
          <w:rFonts w:ascii="Times New Roman" w:eastAsia="Calibri" w:hAnsi="Times New Roman" w:cs="Times New Roman"/>
          <w:sz w:val="24"/>
          <w:szCs w:val="24"/>
        </w:rPr>
        <w:t xml:space="preserve"> the Lifetime of the IFS*. </w:t>
      </w:r>
      <w:r w:rsidRPr="00375708">
        <w:rPr>
          <w:rFonts w:ascii="Times New Roman" w:eastAsia="Calibri" w:hAnsi="Times New Roman" w:cs="Times New Roman"/>
          <w:i/>
          <w:iCs/>
          <w:sz w:val="24"/>
          <w:szCs w:val="24"/>
        </w:rPr>
        <w:t>Fiscal Studies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40</w:t>
      </w:r>
      <w:r w:rsidRPr="00375708">
        <w:rPr>
          <w:rFonts w:ascii="Times New Roman" w:eastAsia="Calibri" w:hAnsi="Times New Roman" w:cs="Times New Roman"/>
          <w:sz w:val="24"/>
          <w:szCs w:val="24"/>
        </w:rPr>
        <w:t xml:space="preserve">(4), 591–619. </w:t>
      </w:r>
      <w:hyperlink r:id="rId17" w:history="1">
        <w:r w:rsidRPr="00375708">
          <w:rPr>
            <w:rFonts w:ascii="Times New Roman" w:eastAsia="Calibri" w:hAnsi="Times New Roman" w:cs="Times New Roman"/>
            <w:sz w:val="24"/>
            <w:szCs w:val="24"/>
          </w:rPr>
          <w:t>https://doi.org/10.1111/1475-5890.12205</w:t>
        </w:r>
      </w:hyperlink>
    </w:p>
    <w:p w14:paraId="3B6ADD1C"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Drosos</w:t>
      </w:r>
      <w:proofErr w:type="spellEnd"/>
      <w:r w:rsidRPr="00375708">
        <w:rPr>
          <w:rFonts w:ascii="Times New Roman" w:eastAsia="Calibri" w:hAnsi="Times New Roman" w:cs="Times New Roman"/>
          <w:sz w:val="24"/>
          <w:szCs w:val="24"/>
        </w:rPr>
        <w:t xml:space="preserve">, D., </w:t>
      </w:r>
      <w:proofErr w:type="spellStart"/>
      <w:r w:rsidRPr="00375708">
        <w:rPr>
          <w:rFonts w:ascii="Times New Roman" w:eastAsia="Calibri" w:hAnsi="Times New Roman" w:cs="Times New Roman"/>
          <w:sz w:val="24"/>
          <w:szCs w:val="24"/>
        </w:rPr>
        <w:t>Skordoulis</w:t>
      </w:r>
      <w:proofErr w:type="spellEnd"/>
      <w:r w:rsidRPr="00375708">
        <w:rPr>
          <w:rFonts w:ascii="Times New Roman" w:eastAsia="Calibri" w:hAnsi="Times New Roman" w:cs="Times New Roman"/>
          <w:sz w:val="24"/>
          <w:szCs w:val="24"/>
        </w:rPr>
        <w:t xml:space="preserve">, M., &amp; </w:t>
      </w:r>
      <w:proofErr w:type="spellStart"/>
      <w:r w:rsidRPr="00375708">
        <w:rPr>
          <w:rFonts w:ascii="Times New Roman" w:eastAsia="Calibri" w:hAnsi="Times New Roman" w:cs="Times New Roman"/>
          <w:sz w:val="24"/>
          <w:szCs w:val="24"/>
        </w:rPr>
        <w:t>Chalikias</w:t>
      </w:r>
      <w:proofErr w:type="spellEnd"/>
      <w:r w:rsidRPr="00375708">
        <w:rPr>
          <w:rFonts w:ascii="Times New Roman" w:eastAsia="Calibri" w:hAnsi="Times New Roman" w:cs="Times New Roman"/>
          <w:sz w:val="24"/>
          <w:szCs w:val="24"/>
        </w:rPr>
        <w:t>, M. (2019).</w:t>
      </w:r>
      <w:proofErr w:type="gram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sz w:val="24"/>
          <w:szCs w:val="24"/>
        </w:rPr>
        <w:t>Measuring the impact of customer satisfaction on business profitability: an empirical study.</w:t>
      </w:r>
      <w:proofErr w:type="gram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i/>
          <w:iCs/>
          <w:sz w:val="24"/>
          <w:szCs w:val="24"/>
        </w:rPr>
        <w:t>International Journal of Technology Marketing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13</w:t>
      </w:r>
      <w:r w:rsidRPr="00375708">
        <w:rPr>
          <w:rFonts w:ascii="Times New Roman" w:eastAsia="Calibri" w:hAnsi="Times New Roman" w:cs="Times New Roman"/>
          <w:sz w:val="24"/>
          <w:szCs w:val="24"/>
        </w:rPr>
        <w:t>(2), 143.</w:t>
      </w:r>
      <w:proofErr w:type="gramEnd"/>
      <w:r w:rsidRPr="00375708">
        <w:rPr>
          <w:rFonts w:ascii="Times New Roman" w:eastAsia="Calibri" w:hAnsi="Times New Roman" w:cs="Times New Roman"/>
          <w:sz w:val="24"/>
          <w:szCs w:val="24"/>
        </w:rPr>
        <w:t xml:space="preserve"> </w:t>
      </w:r>
      <w:hyperlink r:id="rId18" w:history="1">
        <w:r w:rsidRPr="00375708">
          <w:rPr>
            <w:rFonts w:ascii="Times New Roman" w:eastAsia="Calibri" w:hAnsi="Times New Roman" w:cs="Times New Roman"/>
            <w:sz w:val="24"/>
            <w:szCs w:val="24"/>
          </w:rPr>
          <w:t>https://doi.org/10.1504/ijtmkt.2019.102264</w:t>
        </w:r>
      </w:hyperlink>
    </w:p>
    <w:p w14:paraId="0DB14D39"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Ferrarese</w:t>
      </w:r>
      <w:proofErr w:type="spellEnd"/>
      <w:r w:rsidRPr="00375708">
        <w:rPr>
          <w:rFonts w:ascii="Times New Roman" w:eastAsia="Calibri" w:hAnsi="Times New Roman" w:cs="Times New Roman"/>
          <w:sz w:val="24"/>
          <w:szCs w:val="24"/>
        </w:rPr>
        <w:t xml:space="preserve">, M., Loner, E., &amp; </w:t>
      </w:r>
      <w:proofErr w:type="spellStart"/>
      <w:r w:rsidRPr="00375708">
        <w:rPr>
          <w:rFonts w:ascii="Times New Roman" w:eastAsia="Calibri" w:hAnsi="Times New Roman" w:cs="Times New Roman"/>
          <w:sz w:val="24"/>
          <w:szCs w:val="24"/>
        </w:rPr>
        <w:t>Pulina</w:t>
      </w:r>
      <w:proofErr w:type="spellEnd"/>
      <w:r w:rsidRPr="00375708">
        <w:rPr>
          <w:rFonts w:ascii="Times New Roman" w:eastAsia="Calibri" w:hAnsi="Times New Roman" w:cs="Times New Roman"/>
          <w:sz w:val="24"/>
          <w:szCs w:val="24"/>
        </w:rPr>
        <w:t>, M. (2021).</w:t>
      </w:r>
      <w:proofErr w:type="gramEnd"/>
      <w:r w:rsidRPr="00375708">
        <w:rPr>
          <w:rFonts w:ascii="Times New Roman" w:eastAsia="Calibri" w:hAnsi="Times New Roman" w:cs="Times New Roman"/>
          <w:sz w:val="24"/>
          <w:szCs w:val="24"/>
        </w:rPr>
        <w:t xml:space="preserve"> Demand, business profitability and competitiveness in the cableway system: A multidimensional framework. </w:t>
      </w:r>
      <w:r w:rsidRPr="00375708">
        <w:rPr>
          <w:rFonts w:ascii="Times New Roman" w:eastAsia="Calibri" w:hAnsi="Times New Roman" w:cs="Times New Roman"/>
          <w:i/>
          <w:iCs/>
          <w:sz w:val="24"/>
          <w:szCs w:val="24"/>
        </w:rPr>
        <w:t>Research in Transportation Economics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88</w:t>
      </w:r>
      <w:r w:rsidRPr="00375708">
        <w:rPr>
          <w:rFonts w:ascii="Times New Roman" w:eastAsia="Calibri" w:hAnsi="Times New Roman" w:cs="Times New Roman"/>
          <w:sz w:val="24"/>
          <w:szCs w:val="24"/>
        </w:rPr>
        <w:t xml:space="preserve">(2), 101–111. </w:t>
      </w:r>
      <w:hyperlink r:id="rId19" w:history="1">
        <w:r w:rsidRPr="00375708">
          <w:rPr>
            <w:rFonts w:ascii="Times New Roman" w:eastAsia="Calibri" w:hAnsi="Times New Roman" w:cs="Times New Roman"/>
            <w:sz w:val="24"/>
            <w:szCs w:val="24"/>
          </w:rPr>
          <w:t>https://doi.org/10.1016/j.retrec.2021.101041</w:t>
        </w:r>
      </w:hyperlink>
    </w:p>
    <w:p w14:paraId="65EC333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 xml:space="preserve">Ferreira‐Lopes, A., Martins, L. F., &amp; </w:t>
      </w:r>
      <w:proofErr w:type="spellStart"/>
      <w:r w:rsidRPr="00375708">
        <w:rPr>
          <w:rFonts w:ascii="Times New Roman" w:eastAsia="Calibri" w:hAnsi="Times New Roman" w:cs="Times New Roman"/>
          <w:sz w:val="24"/>
          <w:szCs w:val="24"/>
        </w:rPr>
        <w:t>Espanhol</w:t>
      </w:r>
      <w:proofErr w:type="spellEnd"/>
      <w:r w:rsidRPr="00375708">
        <w:rPr>
          <w:rFonts w:ascii="Times New Roman" w:eastAsia="Calibri" w:hAnsi="Times New Roman" w:cs="Times New Roman"/>
          <w:sz w:val="24"/>
          <w:szCs w:val="24"/>
        </w:rPr>
        <w:t>, R. (2019).</w:t>
      </w:r>
      <w:proofErr w:type="gramEnd"/>
      <w:r w:rsidRPr="00375708">
        <w:rPr>
          <w:rFonts w:ascii="Times New Roman" w:eastAsia="Calibri" w:hAnsi="Times New Roman" w:cs="Times New Roman"/>
          <w:sz w:val="24"/>
          <w:szCs w:val="24"/>
        </w:rPr>
        <w:t xml:space="preserve"> The relationship between tax rates and tax revenues in </w:t>
      </w:r>
      <w:proofErr w:type="spellStart"/>
      <w:r w:rsidRPr="00375708">
        <w:rPr>
          <w:rFonts w:ascii="Times New Roman" w:eastAsia="Calibri" w:hAnsi="Times New Roman" w:cs="Times New Roman"/>
          <w:sz w:val="24"/>
          <w:szCs w:val="24"/>
        </w:rPr>
        <w:t>eurozone</w:t>
      </w:r>
      <w:proofErr w:type="spellEnd"/>
      <w:r w:rsidRPr="00375708">
        <w:rPr>
          <w:rFonts w:ascii="Times New Roman" w:eastAsia="Calibri" w:hAnsi="Times New Roman" w:cs="Times New Roman"/>
          <w:sz w:val="24"/>
          <w:szCs w:val="24"/>
        </w:rPr>
        <w:t xml:space="preserve"> member countries ‐ exploring the </w:t>
      </w:r>
      <w:proofErr w:type="spellStart"/>
      <w:r w:rsidRPr="00375708">
        <w:rPr>
          <w:rFonts w:ascii="Times New Roman" w:eastAsia="Calibri" w:hAnsi="Times New Roman" w:cs="Times New Roman"/>
          <w:sz w:val="24"/>
          <w:szCs w:val="24"/>
        </w:rPr>
        <w:t>Laffer</w:t>
      </w:r>
      <w:proofErr w:type="spellEnd"/>
      <w:r w:rsidRPr="00375708">
        <w:rPr>
          <w:rFonts w:ascii="Times New Roman" w:eastAsia="Calibri" w:hAnsi="Times New Roman" w:cs="Times New Roman"/>
          <w:sz w:val="24"/>
          <w:szCs w:val="24"/>
        </w:rPr>
        <w:t xml:space="preserve"> curve. </w:t>
      </w:r>
      <w:r w:rsidRPr="00375708">
        <w:rPr>
          <w:rFonts w:ascii="Times New Roman" w:eastAsia="Calibri" w:hAnsi="Times New Roman" w:cs="Times New Roman"/>
          <w:i/>
          <w:iCs/>
          <w:sz w:val="24"/>
          <w:szCs w:val="24"/>
        </w:rPr>
        <w:t>Bulletin of Economic Research</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72</w:t>
      </w:r>
      <w:r w:rsidRPr="00375708">
        <w:rPr>
          <w:rFonts w:ascii="Times New Roman" w:eastAsia="Calibri" w:hAnsi="Times New Roman" w:cs="Times New Roman"/>
          <w:sz w:val="24"/>
          <w:szCs w:val="24"/>
        </w:rPr>
        <w:t xml:space="preserve">(2), 121–145. </w:t>
      </w:r>
      <w:hyperlink r:id="rId20" w:history="1">
        <w:r w:rsidRPr="00375708">
          <w:rPr>
            <w:rFonts w:ascii="Times New Roman" w:eastAsia="Calibri" w:hAnsi="Times New Roman" w:cs="Times New Roman"/>
            <w:sz w:val="24"/>
            <w:szCs w:val="24"/>
          </w:rPr>
          <w:t>https://doi.org/10.1111/boer.12211</w:t>
        </w:r>
      </w:hyperlink>
    </w:p>
    <w:p w14:paraId="31757E9A"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proofErr w:type="spellStart"/>
      <w:proofErr w:type="gramStart"/>
      <w:r w:rsidRPr="00375708">
        <w:rPr>
          <w:rFonts w:ascii="Times New Roman" w:eastAsia="Calibri" w:hAnsi="Times New Roman" w:cs="Times New Roman"/>
          <w:sz w:val="24"/>
          <w:szCs w:val="24"/>
          <w:lang w:val="en-ZA"/>
        </w:rPr>
        <w:t>Gerasymova</w:t>
      </w:r>
      <w:proofErr w:type="spellEnd"/>
      <w:r w:rsidRPr="00375708">
        <w:rPr>
          <w:rFonts w:ascii="Times New Roman" w:eastAsia="Calibri" w:hAnsi="Times New Roman" w:cs="Times New Roman"/>
          <w:sz w:val="24"/>
          <w:szCs w:val="24"/>
          <w:lang w:val="en-ZA"/>
        </w:rPr>
        <w:t xml:space="preserve">, I., </w:t>
      </w:r>
      <w:proofErr w:type="spellStart"/>
      <w:r w:rsidRPr="00375708">
        <w:rPr>
          <w:rFonts w:ascii="Times New Roman" w:eastAsia="Calibri" w:hAnsi="Times New Roman" w:cs="Times New Roman"/>
          <w:sz w:val="24"/>
          <w:szCs w:val="24"/>
          <w:lang w:val="en-ZA"/>
        </w:rPr>
        <w:t>Maksymchuk</w:t>
      </w:r>
      <w:proofErr w:type="spellEnd"/>
      <w:r w:rsidRPr="00375708">
        <w:rPr>
          <w:rFonts w:ascii="Times New Roman" w:eastAsia="Calibri" w:hAnsi="Times New Roman" w:cs="Times New Roman"/>
          <w:sz w:val="24"/>
          <w:szCs w:val="24"/>
          <w:lang w:val="en-ZA"/>
        </w:rPr>
        <w:t xml:space="preserve">, B., </w:t>
      </w:r>
      <w:proofErr w:type="spellStart"/>
      <w:r w:rsidRPr="00375708">
        <w:rPr>
          <w:rFonts w:ascii="Times New Roman" w:eastAsia="Calibri" w:hAnsi="Times New Roman" w:cs="Times New Roman"/>
          <w:sz w:val="24"/>
          <w:szCs w:val="24"/>
          <w:lang w:val="en-ZA"/>
        </w:rPr>
        <w:t>Bilozerova</w:t>
      </w:r>
      <w:proofErr w:type="spellEnd"/>
      <w:r w:rsidRPr="00375708">
        <w:rPr>
          <w:rFonts w:ascii="Times New Roman" w:eastAsia="Calibri" w:hAnsi="Times New Roman" w:cs="Times New Roman"/>
          <w:sz w:val="24"/>
          <w:szCs w:val="24"/>
          <w:lang w:val="en-ZA"/>
        </w:rPr>
        <w:t xml:space="preserve">, M., </w:t>
      </w:r>
      <w:proofErr w:type="spellStart"/>
      <w:r w:rsidRPr="00375708">
        <w:rPr>
          <w:rFonts w:ascii="Times New Roman" w:eastAsia="Calibri" w:hAnsi="Times New Roman" w:cs="Times New Roman"/>
          <w:sz w:val="24"/>
          <w:szCs w:val="24"/>
          <w:lang w:val="en-ZA"/>
        </w:rPr>
        <w:t>Chernetska</w:t>
      </w:r>
      <w:proofErr w:type="spellEnd"/>
      <w:r w:rsidRPr="00375708">
        <w:rPr>
          <w:rFonts w:ascii="Times New Roman" w:eastAsia="Calibri" w:hAnsi="Times New Roman" w:cs="Times New Roman"/>
          <w:sz w:val="24"/>
          <w:szCs w:val="24"/>
          <w:lang w:val="en-ZA"/>
        </w:rPr>
        <w:t xml:space="preserve">, Y., </w:t>
      </w:r>
      <w:proofErr w:type="spellStart"/>
      <w:r w:rsidRPr="00375708">
        <w:rPr>
          <w:rFonts w:ascii="Times New Roman" w:eastAsia="Calibri" w:hAnsi="Times New Roman" w:cs="Times New Roman"/>
          <w:sz w:val="24"/>
          <w:szCs w:val="24"/>
          <w:lang w:val="en-ZA"/>
        </w:rPr>
        <w:t>Matviichuk</w:t>
      </w:r>
      <w:proofErr w:type="spellEnd"/>
      <w:r w:rsidRPr="00375708">
        <w:rPr>
          <w:rFonts w:ascii="Times New Roman" w:eastAsia="Calibri" w:hAnsi="Times New Roman" w:cs="Times New Roman"/>
          <w:sz w:val="24"/>
          <w:szCs w:val="24"/>
          <w:lang w:val="en-ZA"/>
        </w:rPr>
        <w:t xml:space="preserve">, T., </w:t>
      </w:r>
      <w:proofErr w:type="spellStart"/>
      <w:r w:rsidRPr="00375708">
        <w:rPr>
          <w:rFonts w:ascii="Times New Roman" w:eastAsia="Calibri" w:hAnsi="Times New Roman" w:cs="Times New Roman"/>
          <w:sz w:val="24"/>
          <w:szCs w:val="24"/>
          <w:lang w:val="en-ZA"/>
        </w:rPr>
        <w:t>Solovyov</w:t>
      </w:r>
      <w:proofErr w:type="spellEnd"/>
      <w:r w:rsidRPr="00375708">
        <w:rPr>
          <w:rFonts w:ascii="Times New Roman" w:eastAsia="Calibri" w:hAnsi="Times New Roman" w:cs="Times New Roman"/>
          <w:sz w:val="24"/>
          <w:szCs w:val="24"/>
          <w:lang w:val="en-ZA"/>
        </w:rPr>
        <w:t xml:space="preserve">, V., &amp; </w:t>
      </w:r>
      <w:proofErr w:type="spellStart"/>
      <w:r w:rsidRPr="00375708">
        <w:rPr>
          <w:rFonts w:ascii="Times New Roman" w:eastAsia="Calibri" w:hAnsi="Times New Roman" w:cs="Times New Roman"/>
          <w:sz w:val="24"/>
          <w:szCs w:val="24"/>
          <w:lang w:val="en-ZA"/>
        </w:rPr>
        <w:t>Maksymchuk</w:t>
      </w:r>
      <w:proofErr w:type="spellEnd"/>
      <w:r w:rsidRPr="00375708">
        <w:rPr>
          <w:rFonts w:ascii="Times New Roman" w:eastAsia="Calibri" w:hAnsi="Times New Roman" w:cs="Times New Roman"/>
          <w:sz w:val="24"/>
          <w:szCs w:val="24"/>
          <w:lang w:val="en-ZA"/>
        </w:rPr>
        <w:t>, I. (2019).</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 xml:space="preserve">Forming Professional Mobility in Future Agricultural Specialists: the </w:t>
      </w:r>
      <w:proofErr w:type="spellStart"/>
      <w:r w:rsidRPr="00375708">
        <w:rPr>
          <w:rFonts w:ascii="Times New Roman" w:eastAsia="Calibri" w:hAnsi="Times New Roman" w:cs="Times New Roman"/>
          <w:sz w:val="24"/>
          <w:szCs w:val="24"/>
          <w:lang w:val="en-ZA"/>
        </w:rPr>
        <w:t>Sociohistorical</w:t>
      </w:r>
      <w:proofErr w:type="spellEnd"/>
      <w:r w:rsidRPr="00375708">
        <w:rPr>
          <w:rFonts w:ascii="Times New Roman" w:eastAsia="Calibri" w:hAnsi="Times New Roman" w:cs="Times New Roman"/>
          <w:sz w:val="24"/>
          <w:szCs w:val="24"/>
          <w:lang w:val="en-ZA"/>
        </w:rPr>
        <w:t xml:space="preserve"> Context.</w:t>
      </w:r>
      <w:proofErr w:type="gramEnd"/>
      <w:r w:rsidRPr="00375708">
        <w:rPr>
          <w:rFonts w:ascii="Times New Roman" w:eastAsia="Calibri" w:hAnsi="Times New Roman" w:cs="Times New Roman"/>
          <w:sz w:val="24"/>
          <w:szCs w:val="24"/>
          <w:lang w:val="en-ZA"/>
        </w:rPr>
        <w:t xml:space="preserve"> </w:t>
      </w:r>
      <w:proofErr w:type="spellStart"/>
      <w:r w:rsidRPr="00375708">
        <w:rPr>
          <w:rFonts w:ascii="Times New Roman" w:eastAsia="Calibri" w:hAnsi="Times New Roman" w:cs="Times New Roman"/>
          <w:i/>
          <w:iCs/>
          <w:sz w:val="24"/>
          <w:szCs w:val="24"/>
          <w:lang w:val="en-ZA"/>
        </w:rPr>
        <w:t>Revista</w:t>
      </w:r>
      <w:proofErr w:type="spellEnd"/>
      <w:r w:rsidRPr="00375708">
        <w:rPr>
          <w:rFonts w:ascii="Times New Roman" w:eastAsia="Calibri" w:hAnsi="Times New Roman" w:cs="Times New Roman"/>
          <w:i/>
          <w:iCs/>
          <w:sz w:val="24"/>
          <w:szCs w:val="24"/>
          <w:lang w:val="en-ZA"/>
        </w:rPr>
        <w:t xml:space="preserve"> </w:t>
      </w:r>
      <w:proofErr w:type="spellStart"/>
      <w:r w:rsidRPr="00375708">
        <w:rPr>
          <w:rFonts w:ascii="Times New Roman" w:eastAsia="Calibri" w:hAnsi="Times New Roman" w:cs="Times New Roman"/>
          <w:i/>
          <w:iCs/>
          <w:sz w:val="24"/>
          <w:szCs w:val="24"/>
          <w:lang w:val="en-ZA"/>
        </w:rPr>
        <w:t>Romaneasca</w:t>
      </w:r>
      <w:proofErr w:type="spellEnd"/>
      <w:r w:rsidRPr="00375708">
        <w:rPr>
          <w:rFonts w:ascii="Times New Roman" w:eastAsia="Calibri" w:hAnsi="Times New Roman" w:cs="Times New Roman"/>
          <w:i/>
          <w:iCs/>
          <w:sz w:val="24"/>
          <w:szCs w:val="24"/>
          <w:lang w:val="en-ZA"/>
        </w:rPr>
        <w:t xml:space="preserve"> </w:t>
      </w:r>
      <w:proofErr w:type="spellStart"/>
      <w:r w:rsidRPr="00375708">
        <w:rPr>
          <w:rFonts w:ascii="Times New Roman" w:eastAsia="Calibri" w:hAnsi="Times New Roman" w:cs="Times New Roman"/>
          <w:i/>
          <w:iCs/>
          <w:sz w:val="24"/>
          <w:szCs w:val="24"/>
          <w:lang w:val="en-ZA"/>
        </w:rPr>
        <w:t>Pentru</w:t>
      </w:r>
      <w:proofErr w:type="spellEnd"/>
      <w:r w:rsidRPr="00375708">
        <w:rPr>
          <w:rFonts w:ascii="Times New Roman" w:eastAsia="Calibri" w:hAnsi="Times New Roman" w:cs="Times New Roman"/>
          <w:i/>
          <w:iCs/>
          <w:sz w:val="24"/>
          <w:szCs w:val="24"/>
          <w:lang w:val="en-ZA"/>
        </w:rPr>
        <w:t xml:space="preserve"> </w:t>
      </w:r>
      <w:proofErr w:type="spellStart"/>
      <w:r w:rsidRPr="00375708">
        <w:rPr>
          <w:rFonts w:ascii="Times New Roman" w:eastAsia="Calibri" w:hAnsi="Times New Roman" w:cs="Times New Roman"/>
          <w:i/>
          <w:iCs/>
          <w:sz w:val="24"/>
          <w:szCs w:val="24"/>
          <w:lang w:val="en-ZA"/>
        </w:rPr>
        <w:t>Educatie</w:t>
      </w:r>
      <w:proofErr w:type="spellEnd"/>
      <w:r w:rsidRPr="00375708">
        <w:rPr>
          <w:rFonts w:ascii="Times New Roman" w:eastAsia="Calibri" w:hAnsi="Times New Roman" w:cs="Times New Roman"/>
          <w:i/>
          <w:iCs/>
          <w:sz w:val="24"/>
          <w:szCs w:val="24"/>
          <w:lang w:val="en-ZA"/>
        </w:rPr>
        <w:t xml:space="preserve"> </w:t>
      </w:r>
      <w:proofErr w:type="spellStart"/>
      <w:r w:rsidRPr="00375708">
        <w:rPr>
          <w:rFonts w:ascii="Times New Roman" w:eastAsia="Calibri" w:hAnsi="Times New Roman" w:cs="Times New Roman"/>
          <w:i/>
          <w:iCs/>
          <w:sz w:val="24"/>
          <w:szCs w:val="24"/>
          <w:lang w:val="en-ZA"/>
        </w:rPr>
        <w:t>Multidimensionala</w:t>
      </w:r>
      <w:proofErr w:type="spellEnd"/>
      <w:r w:rsidRPr="00375708">
        <w:rPr>
          <w:rFonts w:ascii="Times New Roman" w:eastAsia="Calibri" w:hAnsi="Times New Roman" w:cs="Times New Roman"/>
          <w:sz w:val="24"/>
          <w:szCs w:val="24"/>
          <w:lang w:val="en-ZA"/>
        </w:rPr>
        <w:t>, 345–361. https://doi.org/10.18662/rrem/195</w:t>
      </w:r>
    </w:p>
    <w:p w14:paraId="0386A793"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Giroud</w:t>
      </w:r>
      <w:proofErr w:type="spellEnd"/>
      <w:r w:rsidRPr="00375708">
        <w:rPr>
          <w:rFonts w:ascii="Times New Roman" w:eastAsia="Calibri" w:hAnsi="Times New Roman" w:cs="Times New Roman"/>
          <w:sz w:val="24"/>
          <w:szCs w:val="24"/>
        </w:rPr>
        <w:t xml:space="preserve">, X., &amp; </w:t>
      </w:r>
      <w:proofErr w:type="spellStart"/>
      <w:r w:rsidRPr="00375708">
        <w:rPr>
          <w:rFonts w:ascii="Times New Roman" w:eastAsia="Calibri" w:hAnsi="Times New Roman" w:cs="Times New Roman"/>
          <w:sz w:val="24"/>
          <w:szCs w:val="24"/>
        </w:rPr>
        <w:t>Rauh</w:t>
      </w:r>
      <w:proofErr w:type="spellEnd"/>
      <w:r w:rsidRPr="00375708">
        <w:rPr>
          <w:rFonts w:ascii="Times New Roman" w:eastAsia="Calibri" w:hAnsi="Times New Roman" w:cs="Times New Roman"/>
          <w:sz w:val="24"/>
          <w:szCs w:val="24"/>
        </w:rPr>
        <w:t>, J. (2019).</w:t>
      </w:r>
      <w:proofErr w:type="gramEnd"/>
      <w:r w:rsidRPr="00375708">
        <w:rPr>
          <w:rFonts w:ascii="Times New Roman" w:eastAsia="Calibri" w:hAnsi="Times New Roman" w:cs="Times New Roman"/>
          <w:sz w:val="24"/>
          <w:szCs w:val="24"/>
        </w:rPr>
        <w:t xml:space="preserve"> State Taxation and the Reallocation of Business Activity: Evidence from Establishment-Level Data. </w:t>
      </w:r>
      <w:r w:rsidRPr="00375708">
        <w:rPr>
          <w:rFonts w:ascii="Times New Roman" w:eastAsia="Calibri" w:hAnsi="Times New Roman" w:cs="Times New Roman"/>
          <w:i/>
          <w:iCs/>
          <w:sz w:val="24"/>
          <w:szCs w:val="24"/>
        </w:rPr>
        <w:t>Journal of Political Economy</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127</w:t>
      </w:r>
      <w:r w:rsidRPr="00375708">
        <w:rPr>
          <w:rFonts w:ascii="Times New Roman" w:eastAsia="Calibri" w:hAnsi="Times New Roman" w:cs="Times New Roman"/>
          <w:sz w:val="24"/>
          <w:szCs w:val="24"/>
        </w:rPr>
        <w:t xml:space="preserve">(3), 1262–1316. </w:t>
      </w:r>
      <w:hyperlink r:id="rId21" w:history="1">
        <w:r w:rsidRPr="00375708">
          <w:rPr>
            <w:rFonts w:ascii="Times New Roman" w:eastAsia="Calibri" w:hAnsi="Times New Roman" w:cs="Times New Roman"/>
            <w:sz w:val="24"/>
            <w:szCs w:val="24"/>
          </w:rPr>
          <w:t>https://doi.org/10.1086/701357</w:t>
        </w:r>
      </w:hyperlink>
    </w:p>
    <w:p w14:paraId="2B448DB3"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 xml:space="preserve">Hauser, J. R., &amp; </w:t>
      </w:r>
      <w:proofErr w:type="spellStart"/>
      <w:r w:rsidRPr="00375708">
        <w:rPr>
          <w:rFonts w:ascii="Times New Roman" w:eastAsia="Calibri" w:hAnsi="Times New Roman" w:cs="Times New Roman"/>
          <w:sz w:val="24"/>
          <w:szCs w:val="24"/>
        </w:rPr>
        <w:t>Simmie</w:t>
      </w:r>
      <w:proofErr w:type="spellEnd"/>
      <w:r w:rsidRPr="00375708">
        <w:rPr>
          <w:rFonts w:ascii="Times New Roman" w:eastAsia="Calibri" w:hAnsi="Times New Roman" w:cs="Times New Roman"/>
          <w:sz w:val="24"/>
          <w:szCs w:val="24"/>
        </w:rPr>
        <w:t>, P. (2018).</w:t>
      </w:r>
      <w:proofErr w:type="gramEnd"/>
      <w:r w:rsidRPr="00375708">
        <w:rPr>
          <w:rFonts w:ascii="Times New Roman" w:eastAsia="Calibri" w:hAnsi="Times New Roman" w:cs="Times New Roman"/>
          <w:sz w:val="24"/>
          <w:szCs w:val="24"/>
        </w:rPr>
        <w:t xml:space="preserve"> Profit Maximizing Perceptual Positions: An Integrated Theory for the Selection of Product Features and Price. </w:t>
      </w:r>
      <w:r w:rsidRPr="00375708">
        <w:rPr>
          <w:rFonts w:ascii="Times New Roman" w:eastAsia="Calibri" w:hAnsi="Times New Roman" w:cs="Times New Roman"/>
          <w:i/>
          <w:iCs/>
          <w:sz w:val="24"/>
          <w:szCs w:val="24"/>
        </w:rPr>
        <w:t>Management Science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27</w:t>
      </w:r>
      <w:r w:rsidRPr="00375708">
        <w:rPr>
          <w:rFonts w:ascii="Times New Roman" w:eastAsia="Calibri" w:hAnsi="Times New Roman" w:cs="Times New Roman"/>
          <w:sz w:val="24"/>
          <w:szCs w:val="24"/>
        </w:rPr>
        <w:t xml:space="preserve">(1), 33–56. </w:t>
      </w:r>
      <w:hyperlink r:id="rId22" w:history="1">
        <w:r w:rsidRPr="00375708">
          <w:rPr>
            <w:rFonts w:ascii="Times New Roman" w:eastAsia="Calibri" w:hAnsi="Times New Roman" w:cs="Times New Roman"/>
            <w:sz w:val="24"/>
            <w:szCs w:val="24"/>
          </w:rPr>
          <w:t>https://doi.org/10.1287/mnsc.27.1.33</w:t>
        </w:r>
      </w:hyperlink>
    </w:p>
    <w:p w14:paraId="7FFCD96D"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Heale</w:t>
      </w:r>
      <w:proofErr w:type="spellEnd"/>
      <w:r w:rsidRPr="00375708">
        <w:rPr>
          <w:rFonts w:ascii="Times New Roman" w:eastAsia="Calibri" w:hAnsi="Times New Roman" w:cs="Times New Roman"/>
          <w:sz w:val="24"/>
          <w:szCs w:val="24"/>
        </w:rPr>
        <w:t xml:space="preserve">, R., &amp; </w:t>
      </w:r>
      <w:proofErr w:type="spellStart"/>
      <w:r w:rsidRPr="00375708">
        <w:rPr>
          <w:rFonts w:ascii="Times New Roman" w:eastAsia="Calibri" w:hAnsi="Times New Roman" w:cs="Times New Roman"/>
          <w:sz w:val="24"/>
          <w:szCs w:val="24"/>
        </w:rPr>
        <w:t>Twycross</w:t>
      </w:r>
      <w:proofErr w:type="spellEnd"/>
      <w:r w:rsidRPr="00375708">
        <w:rPr>
          <w:rFonts w:ascii="Times New Roman" w:eastAsia="Calibri" w:hAnsi="Times New Roman" w:cs="Times New Roman"/>
          <w:sz w:val="24"/>
          <w:szCs w:val="24"/>
        </w:rPr>
        <w:t>, A. (2015).</w:t>
      </w:r>
      <w:proofErr w:type="gram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sz w:val="24"/>
          <w:szCs w:val="24"/>
        </w:rPr>
        <w:t>Validity and Reliability in Quantitative Studies.</w:t>
      </w:r>
      <w:proofErr w:type="gramEnd"/>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Evidence Based Nursing</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18</w:t>
      </w:r>
      <w:r w:rsidRPr="00375708">
        <w:rPr>
          <w:rFonts w:ascii="Times New Roman" w:eastAsia="Calibri" w:hAnsi="Times New Roman" w:cs="Times New Roman"/>
          <w:sz w:val="24"/>
          <w:szCs w:val="24"/>
        </w:rPr>
        <w:t xml:space="preserve">(3), 66–67. </w:t>
      </w:r>
      <w:hyperlink r:id="rId23" w:history="1">
        <w:r w:rsidRPr="00375708">
          <w:rPr>
            <w:rFonts w:ascii="Times New Roman" w:eastAsia="Calibri" w:hAnsi="Times New Roman" w:cs="Times New Roman"/>
            <w:sz w:val="24"/>
            <w:szCs w:val="24"/>
          </w:rPr>
          <w:t>https://doi.org/10.1136/eb-2015-102129</w:t>
        </w:r>
      </w:hyperlink>
    </w:p>
    <w:p w14:paraId="222E1CCA"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Heringa</w:t>
      </w:r>
      <w:proofErr w:type="spellEnd"/>
      <w:r w:rsidRPr="00375708">
        <w:rPr>
          <w:rFonts w:ascii="Times New Roman" w:eastAsia="Calibri" w:hAnsi="Times New Roman" w:cs="Times New Roman"/>
          <w:sz w:val="24"/>
          <w:szCs w:val="24"/>
        </w:rPr>
        <w:t>, S., West, B., &amp; Berglund, P. (2017).</w:t>
      </w:r>
      <w:proofErr w:type="gram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i/>
          <w:iCs/>
          <w:sz w:val="24"/>
          <w:szCs w:val="24"/>
        </w:rPr>
        <w:t>Applied Survey Data Analysis, Second Edition</w:t>
      </w:r>
      <w:r w:rsidRPr="00375708">
        <w:rPr>
          <w:rFonts w:ascii="Times New Roman" w:eastAsia="Calibri" w:hAnsi="Times New Roman" w:cs="Times New Roman"/>
          <w:sz w:val="24"/>
          <w:szCs w:val="24"/>
        </w:rPr>
        <w:t>.</w:t>
      </w:r>
      <w:proofErr w:type="gram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sz w:val="24"/>
          <w:szCs w:val="24"/>
        </w:rPr>
        <w:t>Chapman and Hall/CRC.</w:t>
      </w:r>
      <w:proofErr w:type="gramEnd"/>
      <w:r w:rsidRPr="00375708">
        <w:rPr>
          <w:rFonts w:ascii="Times New Roman" w:eastAsia="Calibri" w:hAnsi="Times New Roman" w:cs="Times New Roman"/>
          <w:sz w:val="24"/>
          <w:szCs w:val="24"/>
        </w:rPr>
        <w:t xml:space="preserve"> </w:t>
      </w:r>
      <w:hyperlink r:id="rId24" w:history="1">
        <w:r w:rsidRPr="00375708">
          <w:rPr>
            <w:rFonts w:ascii="Times New Roman" w:eastAsia="Calibri" w:hAnsi="Times New Roman" w:cs="Times New Roman"/>
            <w:sz w:val="24"/>
            <w:szCs w:val="24"/>
          </w:rPr>
          <w:t>https://doi.org/10.1201/9781315153278</w:t>
        </w:r>
      </w:hyperlink>
    </w:p>
    <w:p w14:paraId="24312747"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lastRenderedPageBreak/>
        <w:t>Kathure</w:t>
      </w:r>
      <w:proofErr w:type="spellEnd"/>
      <w:r w:rsidRPr="00375708">
        <w:rPr>
          <w:rFonts w:ascii="Times New Roman" w:eastAsia="Calibri" w:hAnsi="Times New Roman" w:cs="Times New Roman"/>
          <w:sz w:val="24"/>
          <w:szCs w:val="24"/>
        </w:rPr>
        <w:t xml:space="preserve">, J. (2022). </w:t>
      </w:r>
      <w:r w:rsidRPr="00375708">
        <w:rPr>
          <w:rFonts w:ascii="Times New Roman" w:eastAsia="Calibri" w:hAnsi="Times New Roman" w:cs="Times New Roman"/>
          <w:i/>
          <w:iCs/>
          <w:sz w:val="24"/>
          <w:szCs w:val="24"/>
        </w:rPr>
        <w:t xml:space="preserve">Effects Of Tax Incentives On The Financial Performance Of </w:t>
      </w:r>
      <w:proofErr w:type="gramStart"/>
      <w:r w:rsidRPr="00375708">
        <w:rPr>
          <w:rFonts w:ascii="Times New Roman" w:eastAsia="Calibri" w:hAnsi="Times New Roman" w:cs="Times New Roman"/>
          <w:i/>
          <w:iCs/>
          <w:sz w:val="24"/>
          <w:szCs w:val="24"/>
        </w:rPr>
        <w:t>The  Manufacturing</w:t>
      </w:r>
      <w:proofErr w:type="gramEnd"/>
      <w:r w:rsidRPr="00375708">
        <w:rPr>
          <w:rFonts w:ascii="Times New Roman" w:eastAsia="Calibri" w:hAnsi="Times New Roman" w:cs="Times New Roman"/>
          <w:i/>
          <w:iCs/>
          <w:sz w:val="24"/>
          <w:szCs w:val="24"/>
        </w:rPr>
        <w:t xml:space="preserve"> Sector In </w:t>
      </w:r>
      <w:proofErr w:type="spellStart"/>
      <w:r w:rsidRPr="00375708">
        <w:rPr>
          <w:rFonts w:ascii="Times New Roman" w:eastAsia="Calibri" w:hAnsi="Times New Roman" w:cs="Times New Roman"/>
          <w:i/>
          <w:iCs/>
          <w:sz w:val="24"/>
          <w:szCs w:val="24"/>
        </w:rPr>
        <w:t>Naivasha</w:t>
      </w:r>
      <w:proofErr w:type="spellEnd"/>
      <w:r w:rsidRPr="00375708">
        <w:rPr>
          <w:rFonts w:ascii="Times New Roman" w:eastAsia="Calibri" w:hAnsi="Times New Roman" w:cs="Times New Roman"/>
          <w:i/>
          <w:iCs/>
          <w:sz w:val="24"/>
          <w:szCs w:val="24"/>
        </w:rPr>
        <w:t xml:space="preserve">, </w:t>
      </w:r>
      <w:proofErr w:type="spellStart"/>
      <w:r w:rsidRPr="00375708">
        <w:rPr>
          <w:rFonts w:ascii="Times New Roman" w:eastAsia="Calibri" w:hAnsi="Times New Roman" w:cs="Times New Roman"/>
          <w:i/>
          <w:iCs/>
          <w:sz w:val="24"/>
          <w:szCs w:val="24"/>
        </w:rPr>
        <w:t>Nakuru</w:t>
      </w:r>
      <w:proofErr w:type="spellEnd"/>
      <w:r w:rsidRPr="00375708">
        <w:rPr>
          <w:rFonts w:ascii="Times New Roman" w:eastAsia="Calibri" w:hAnsi="Times New Roman" w:cs="Times New Roman"/>
          <w:i/>
          <w:iCs/>
          <w:sz w:val="24"/>
          <w:szCs w:val="24"/>
        </w:rPr>
        <w:t xml:space="preserve"> </w:t>
      </w:r>
      <w:proofErr w:type="spellStart"/>
      <w:r w:rsidRPr="00375708">
        <w:rPr>
          <w:rFonts w:ascii="Times New Roman" w:eastAsia="Calibri" w:hAnsi="Times New Roman" w:cs="Times New Roman"/>
          <w:i/>
          <w:iCs/>
          <w:sz w:val="24"/>
          <w:szCs w:val="24"/>
        </w:rPr>
        <w:t>County,Kenya</w:t>
      </w:r>
      <w:proofErr w:type="spellEnd"/>
      <w:r w:rsidRPr="00375708">
        <w:rPr>
          <w:rFonts w:ascii="Times New Roman" w:eastAsia="Calibri" w:hAnsi="Times New Roman" w:cs="Times New Roman"/>
          <w:sz w:val="24"/>
          <w:szCs w:val="24"/>
        </w:rPr>
        <w:t xml:space="preserve"> [</w:t>
      </w:r>
      <w:proofErr w:type="spellStart"/>
      <w:r w:rsidRPr="00375708">
        <w:rPr>
          <w:rFonts w:ascii="Times New Roman" w:eastAsia="Calibri" w:hAnsi="Times New Roman" w:cs="Times New Roman"/>
          <w:sz w:val="24"/>
          <w:szCs w:val="24"/>
        </w:rPr>
        <w:t>Masters</w:t>
      </w:r>
      <w:proofErr w:type="spellEnd"/>
      <w:r w:rsidRPr="00375708">
        <w:rPr>
          <w:rFonts w:ascii="Times New Roman" w:eastAsia="Calibri" w:hAnsi="Times New Roman" w:cs="Times New Roman"/>
          <w:sz w:val="24"/>
          <w:szCs w:val="24"/>
        </w:rPr>
        <w:t xml:space="preserve"> Thesis, </w:t>
      </w:r>
      <w:proofErr w:type="spellStart"/>
      <w:r w:rsidRPr="00375708">
        <w:rPr>
          <w:rFonts w:ascii="Times New Roman" w:eastAsia="Calibri" w:hAnsi="Times New Roman" w:cs="Times New Roman"/>
          <w:sz w:val="24"/>
          <w:szCs w:val="24"/>
        </w:rPr>
        <w:t>Jomo</w:t>
      </w:r>
      <w:proofErr w:type="spellEnd"/>
      <w:r w:rsidRPr="00375708">
        <w:rPr>
          <w:rFonts w:ascii="Times New Roman" w:eastAsia="Calibri" w:hAnsi="Times New Roman" w:cs="Times New Roman"/>
          <w:sz w:val="24"/>
          <w:szCs w:val="24"/>
        </w:rPr>
        <w:t xml:space="preserve"> Kenyatta University of Science and Technology].</w:t>
      </w:r>
    </w:p>
    <w:p w14:paraId="0CBCA3B1"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 xml:space="preserve">Kawano, L., &amp; </w:t>
      </w:r>
      <w:proofErr w:type="spellStart"/>
      <w:r w:rsidRPr="00375708">
        <w:rPr>
          <w:rFonts w:ascii="Times New Roman" w:eastAsia="Calibri" w:hAnsi="Times New Roman" w:cs="Times New Roman"/>
          <w:sz w:val="24"/>
          <w:szCs w:val="24"/>
        </w:rPr>
        <w:t>Slemrod</w:t>
      </w:r>
      <w:proofErr w:type="spellEnd"/>
      <w:r w:rsidRPr="00375708">
        <w:rPr>
          <w:rFonts w:ascii="Times New Roman" w:eastAsia="Calibri" w:hAnsi="Times New Roman" w:cs="Times New Roman"/>
          <w:sz w:val="24"/>
          <w:szCs w:val="24"/>
        </w:rPr>
        <w:t>, J. B. (2015).</w:t>
      </w:r>
      <w:proofErr w:type="gramEnd"/>
      <w:r w:rsidRPr="00375708">
        <w:rPr>
          <w:rFonts w:ascii="Times New Roman" w:eastAsia="Calibri" w:hAnsi="Times New Roman" w:cs="Times New Roman"/>
          <w:sz w:val="24"/>
          <w:szCs w:val="24"/>
        </w:rPr>
        <w:t xml:space="preserve"> How </w:t>
      </w:r>
      <w:proofErr w:type="gramStart"/>
      <w:r w:rsidRPr="00375708">
        <w:rPr>
          <w:rFonts w:ascii="Times New Roman" w:eastAsia="Calibri" w:hAnsi="Times New Roman" w:cs="Times New Roman"/>
          <w:sz w:val="24"/>
          <w:szCs w:val="24"/>
        </w:rPr>
        <w:t>do corporate tax bases</w:t>
      </w:r>
      <w:proofErr w:type="gramEnd"/>
      <w:r w:rsidRPr="00375708">
        <w:rPr>
          <w:rFonts w:ascii="Times New Roman" w:eastAsia="Calibri" w:hAnsi="Times New Roman" w:cs="Times New Roman"/>
          <w:sz w:val="24"/>
          <w:szCs w:val="24"/>
        </w:rPr>
        <w:t xml:space="preserve"> changes when corporate tax rates change? </w:t>
      </w:r>
      <w:proofErr w:type="gramStart"/>
      <w:r w:rsidRPr="00375708">
        <w:rPr>
          <w:rFonts w:ascii="Times New Roman" w:eastAsia="Calibri" w:hAnsi="Times New Roman" w:cs="Times New Roman"/>
          <w:sz w:val="24"/>
          <w:szCs w:val="24"/>
        </w:rPr>
        <w:t>with</w:t>
      </w:r>
      <w:proofErr w:type="gramEnd"/>
      <w:r w:rsidRPr="00375708">
        <w:rPr>
          <w:rFonts w:ascii="Times New Roman" w:eastAsia="Calibri" w:hAnsi="Times New Roman" w:cs="Times New Roman"/>
          <w:sz w:val="24"/>
          <w:szCs w:val="24"/>
        </w:rPr>
        <w:t xml:space="preserve"> implications for the tax rate elasticity of corporate revenues. </w:t>
      </w:r>
      <w:r w:rsidRPr="00375708">
        <w:rPr>
          <w:rFonts w:ascii="Times New Roman" w:eastAsia="Calibri" w:hAnsi="Times New Roman" w:cs="Times New Roman"/>
          <w:i/>
          <w:iCs/>
          <w:sz w:val="24"/>
          <w:szCs w:val="24"/>
        </w:rPr>
        <w:t>SSRN Electronic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65</w:t>
      </w:r>
      <w:r w:rsidRPr="00375708">
        <w:rPr>
          <w:rFonts w:ascii="Times New Roman" w:eastAsia="Calibri" w:hAnsi="Times New Roman" w:cs="Times New Roman"/>
          <w:sz w:val="24"/>
          <w:szCs w:val="24"/>
        </w:rPr>
        <w:t xml:space="preserve">(32), 101–117. </w:t>
      </w:r>
      <w:hyperlink r:id="rId25" w:history="1">
        <w:r w:rsidRPr="00375708">
          <w:rPr>
            <w:rFonts w:ascii="Times New Roman" w:eastAsia="Calibri" w:hAnsi="Times New Roman" w:cs="Times New Roman"/>
            <w:sz w:val="24"/>
            <w:szCs w:val="24"/>
          </w:rPr>
          <w:t>https://doi.org/10.2139/ssrn.2559858</w:t>
        </w:r>
      </w:hyperlink>
    </w:p>
    <w:p w14:paraId="3BE0690F"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proofErr w:type="gramStart"/>
      <w:r w:rsidRPr="00375708">
        <w:rPr>
          <w:rFonts w:ascii="Times New Roman" w:eastAsia="Calibri" w:hAnsi="Times New Roman" w:cs="Times New Roman"/>
          <w:sz w:val="24"/>
          <w:szCs w:val="24"/>
          <w:lang w:val="en-ZA"/>
        </w:rPr>
        <w:t>Kenya Association of Manufacturers.</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 xml:space="preserve">(2023). </w:t>
      </w:r>
      <w:r w:rsidRPr="00375708">
        <w:rPr>
          <w:rFonts w:ascii="Times New Roman" w:eastAsia="Calibri" w:hAnsi="Times New Roman" w:cs="Times New Roman"/>
          <w:i/>
          <w:iCs/>
          <w:sz w:val="24"/>
          <w:szCs w:val="24"/>
          <w:lang w:val="en-ZA"/>
        </w:rPr>
        <w:t>Manufacturing Sector Report on Cost Pressures and Profitability Trends</w:t>
      </w:r>
      <w:r w:rsidRPr="00375708">
        <w:rPr>
          <w:rFonts w:ascii="Times New Roman" w:eastAsia="Calibri" w:hAnsi="Times New Roman" w:cs="Times New Roman"/>
          <w:sz w:val="24"/>
          <w:szCs w:val="24"/>
          <w:lang w:val="en-ZA"/>
        </w:rPr>
        <w:t>.</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Kenya Association of Manufacturers.</w:t>
      </w:r>
      <w:proofErr w:type="gramEnd"/>
    </w:p>
    <w:p w14:paraId="2B2B4149"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proofErr w:type="gramStart"/>
      <w:r w:rsidRPr="00375708">
        <w:rPr>
          <w:rFonts w:ascii="Times New Roman" w:eastAsia="Calibri" w:hAnsi="Times New Roman" w:cs="Times New Roman"/>
          <w:sz w:val="24"/>
          <w:szCs w:val="24"/>
          <w:lang w:val="en-ZA"/>
        </w:rPr>
        <w:t>Kenya Crop Protection Association.</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 xml:space="preserve">(2023). </w:t>
      </w:r>
      <w:r w:rsidRPr="00375708">
        <w:rPr>
          <w:rFonts w:ascii="Times New Roman" w:eastAsia="Calibri" w:hAnsi="Times New Roman" w:cs="Times New Roman"/>
          <w:i/>
          <w:iCs/>
          <w:sz w:val="24"/>
          <w:szCs w:val="24"/>
          <w:lang w:val="en-ZA"/>
        </w:rPr>
        <w:t>Annual Report on Agrochemical Profitability and Market Dynamics</w:t>
      </w:r>
      <w:r w:rsidRPr="00375708">
        <w:rPr>
          <w:rFonts w:ascii="Times New Roman" w:eastAsia="Calibri" w:hAnsi="Times New Roman" w:cs="Times New Roman"/>
          <w:sz w:val="24"/>
          <w:szCs w:val="24"/>
          <w:lang w:val="en-ZA"/>
        </w:rPr>
        <w:t>.</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Kenya Crop Protection Association.</w:t>
      </w:r>
      <w:proofErr w:type="gramEnd"/>
    </w:p>
    <w:p w14:paraId="35746962"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lang w:val="en-ZA"/>
        </w:rPr>
      </w:pPr>
      <w:proofErr w:type="gramStart"/>
      <w:r w:rsidRPr="00375708">
        <w:rPr>
          <w:rFonts w:ascii="Times New Roman" w:eastAsia="Calibri" w:hAnsi="Times New Roman" w:cs="Times New Roman"/>
          <w:sz w:val="24"/>
          <w:szCs w:val="24"/>
          <w:lang w:val="en-ZA"/>
        </w:rPr>
        <w:t>Kenya Crop Protection Association.</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 xml:space="preserve">(2023). </w:t>
      </w:r>
      <w:r w:rsidRPr="00375708">
        <w:rPr>
          <w:rFonts w:ascii="Times New Roman" w:eastAsia="Calibri" w:hAnsi="Times New Roman" w:cs="Times New Roman"/>
          <w:i/>
          <w:iCs/>
          <w:sz w:val="24"/>
          <w:szCs w:val="24"/>
          <w:lang w:val="en-ZA"/>
        </w:rPr>
        <w:t>Annual Report on Agrochemical Usage in Kenya</w:t>
      </w:r>
      <w:r w:rsidRPr="00375708">
        <w:rPr>
          <w:rFonts w:ascii="Times New Roman" w:eastAsia="Calibri" w:hAnsi="Times New Roman" w:cs="Times New Roman"/>
          <w:sz w:val="24"/>
          <w:szCs w:val="24"/>
          <w:lang w:val="en-ZA"/>
        </w:rPr>
        <w:t>.</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Kenya Crop Protection Association.</w:t>
      </w:r>
      <w:proofErr w:type="gramEnd"/>
    </w:p>
    <w:p w14:paraId="4DFBA29A"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proofErr w:type="gramStart"/>
      <w:r w:rsidRPr="00375708">
        <w:rPr>
          <w:rFonts w:ascii="Times New Roman" w:eastAsia="Calibri" w:hAnsi="Times New Roman" w:cs="Times New Roman"/>
          <w:sz w:val="24"/>
          <w:szCs w:val="24"/>
          <w:lang w:val="en-ZA"/>
        </w:rPr>
        <w:t>Kenya Revenue Authority.</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 xml:space="preserve">(2023). </w:t>
      </w:r>
      <w:r w:rsidRPr="00375708">
        <w:rPr>
          <w:rFonts w:ascii="Times New Roman" w:eastAsia="Calibri" w:hAnsi="Times New Roman" w:cs="Times New Roman"/>
          <w:i/>
          <w:iCs/>
          <w:sz w:val="24"/>
          <w:szCs w:val="24"/>
          <w:lang w:val="en-ZA"/>
        </w:rPr>
        <w:t>Annual revenue performance report 2023/24</w:t>
      </w:r>
      <w:r w:rsidRPr="00375708">
        <w:rPr>
          <w:rFonts w:ascii="Times New Roman" w:eastAsia="Calibri" w:hAnsi="Times New Roman" w:cs="Times New Roman"/>
          <w:sz w:val="24"/>
          <w:szCs w:val="24"/>
          <w:lang w:val="en-ZA"/>
        </w:rPr>
        <w:t>.</w:t>
      </w:r>
      <w:proofErr w:type="gramEnd"/>
      <w:r w:rsidRPr="00375708">
        <w:rPr>
          <w:rFonts w:ascii="Times New Roman" w:eastAsia="Calibri" w:hAnsi="Times New Roman" w:cs="Times New Roman"/>
          <w:sz w:val="24"/>
          <w:szCs w:val="24"/>
          <w:lang w:val="en-ZA"/>
        </w:rPr>
        <w:t xml:space="preserve"> https://kra.go.ke/images/publications/Revenue-Performance-Report-2018-19.pdf</w:t>
      </w:r>
    </w:p>
    <w:p w14:paraId="4999CB28" w14:textId="77777777" w:rsidR="00375708" w:rsidRPr="00375708" w:rsidRDefault="00375708" w:rsidP="00375708">
      <w:pPr>
        <w:spacing w:after="0" w:line="240" w:lineRule="auto"/>
        <w:ind w:left="720" w:hanging="720"/>
        <w:rPr>
          <w:rFonts w:ascii="Times New Roman" w:eastAsia="Calibri" w:hAnsi="Times New Roman" w:cs="Times New Roman"/>
          <w:sz w:val="24"/>
          <w:szCs w:val="24"/>
          <w:lang w:val="en-ZA"/>
        </w:rPr>
      </w:pPr>
      <w:proofErr w:type="spellStart"/>
      <w:proofErr w:type="gramStart"/>
      <w:r w:rsidRPr="00375708">
        <w:rPr>
          <w:rFonts w:ascii="Times New Roman" w:eastAsia="Calibri" w:hAnsi="Times New Roman" w:cs="Times New Roman"/>
          <w:sz w:val="24"/>
          <w:szCs w:val="24"/>
          <w:lang w:val="en-ZA"/>
        </w:rPr>
        <w:t>Kiara</w:t>
      </w:r>
      <w:proofErr w:type="spellEnd"/>
      <w:r w:rsidRPr="00375708">
        <w:rPr>
          <w:rFonts w:ascii="Times New Roman" w:eastAsia="Calibri" w:hAnsi="Times New Roman" w:cs="Times New Roman"/>
          <w:sz w:val="24"/>
          <w:szCs w:val="24"/>
          <w:lang w:val="en-ZA"/>
        </w:rPr>
        <w:t xml:space="preserve">, F. G., &amp; </w:t>
      </w:r>
      <w:proofErr w:type="spellStart"/>
      <w:r w:rsidRPr="00375708">
        <w:rPr>
          <w:rFonts w:ascii="Times New Roman" w:eastAsia="Calibri" w:hAnsi="Times New Roman" w:cs="Times New Roman"/>
          <w:sz w:val="24"/>
          <w:szCs w:val="24"/>
          <w:lang w:val="en-ZA"/>
        </w:rPr>
        <w:t>Nekesa</w:t>
      </w:r>
      <w:proofErr w:type="spellEnd"/>
      <w:r w:rsidRPr="00375708">
        <w:rPr>
          <w:rFonts w:ascii="Times New Roman" w:eastAsia="Calibri" w:hAnsi="Times New Roman" w:cs="Times New Roman"/>
          <w:sz w:val="24"/>
          <w:szCs w:val="24"/>
          <w:lang w:val="en-ZA"/>
        </w:rPr>
        <w:t>, M. (2023).</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sz w:val="24"/>
          <w:szCs w:val="24"/>
          <w:lang w:val="en-ZA"/>
        </w:rPr>
        <w:t>Impact of Indirect Tax Policy Reforms on Revenue Performance in Kenya.</w:t>
      </w:r>
      <w:proofErr w:type="gramEnd"/>
      <w:r w:rsidRPr="00375708">
        <w:rPr>
          <w:rFonts w:ascii="Times New Roman" w:eastAsia="Calibri" w:hAnsi="Times New Roman" w:cs="Times New Roman"/>
          <w:sz w:val="24"/>
          <w:szCs w:val="24"/>
          <w:lang w:val="en-ZA"/>
        </w:rPr>
        <w:t xml:space="preserve"> </w:t>
      </w:r>
      <w:proofErr w:type="gramStart"/>
      <w:r w:rsidRPr="00375708">
        <w:rPr>
          <w:rFonts w:ascii="Times New Roman" w:eastAsia="Calibri" w:hAnsi="Times New Roman" w:cs="Times New Roman"/>
          <w:i/>
          <w:sz w:val="24"/>
          <w:szCs w:val="24"/>
          <w:lang w:val="en-ZA"/>
        </w:rPr>
        <w:t>African Tax and Customs Review</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sz w:val="24"/>
          <w:szCs w:val="24"/>
          <w:lang w:val="en-ZA"/>
        </w:rPr>
        <w:t>7</w:t>
      </w:r>
      <w:r w:rsidRPr="00375708">
        <w:rPr>
          <w:rFonts w:ascii="Times New Roman" w:eastAsia="Calibri" w:hAnsi="Times New Roman" w:cs="Times New Roman"/>
          <w:sz w:val="24"/>
          <w:szCs w:val="24"/>
          <w:lang w:val="en-ZA"/>
        </w:rPr>
        <w:t>(1), 31–31.</w:t>
      </w:r>
      <w:proofErr w:type="gramEnd"/>
      <w:r w:rsidRPr="00375708">
        <w:rPr>
          <w:rFonts w:ascii="Times New Roman" w:eastAsia="Calibri" w:hAnsi="Times New Roman" w:cs="Times New Roman"/>
          <w:sz w:val="24"/>
          <w:szCs w:val="24"/>
          <w:lang w:val="en-ZA"/>
        </w:rPr>
        <w:t xml:space="preserve"> Retrieved from </w:t>
      </w:r>
      <w:hyperlink r:id="rId26" w:history="1">
        <w:r w:rsidRPr="00375708">
          <w:rPr>
            <w:rFonts w:ascii="Times New Roman" w:eastAsia="Calibri" w:hAnsi="Times New Roman" w:cs="Times New Roman"/>
            <w:color w:val="0563C1"/>
            <w:sz w:val="24"/>
            <w:szCs w:val="24"/>
            <w:u w:val="single"/>
            <w:lang w:val="en-ZA"/>
          </w:rPr>
          <w:t>https://atcr.kra.go.ke/index.php/atcr/article/view/112</w:t>
        </w:r>
      </w:hyperlink>
    </w:p>
    <w:p w14:paraId="2C1395E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Kirimi</w:t>
      </w:r>
      <w:proofErr w:type="spellEnd"/>
      <w:r w:rsidRPr="00375708">
        <w:rPr>
          <w:rFonts w:ascii="Times New Roman" w:eastAsia="Calibri" w:hAnsi="Times New Roman" w:cs="Times New Roman"/>
          <w:sz w:val="24"/>
          <w:szCs w:val="24"/>
        </w:rPr>
        <w:t xml:space="preserve">, L., </w:t>
      </w:r>
      <w:proofErr w:type="spellStart"/>
      <w:r w:rsidRPr="00375708">
        <w:rPr>
          <w:rFonts w:ascii="Times New Roman" w:eastAsia="Calibri" w:hAnsi="Times New Roman" w:cs="Times New Roman"/>
          <w:sz w:val="24"/>
          <w:szCs w:val="24"/>
        </w:rPr>
        <w:t>Olwande</w:t>
      </w:r>
      <w:proofErr w:type="spellEnd"/>
      <w:r w:rsidRPr="00375708">
        <w:rPr>
          <w:rFonts w:ascii="Times New Roman" w:eastAsia="Calibri" w:hAnsi="Times New Roman" w:cs="Times New Roman"/>
          <w:sz w:val="24"/>
          <w:szCs w:val="24"/>
        </w:rPr>
        <w:t xml:space="preserve">, J., Langat, J., </w:t>
      </w:r>
      <w:proofErr w:type="spellStart"/>
      <w:r w:rsidRPr="00375708">
        <w:rPr>
          <w:rFonts w:ascii="Times New Roman" w:eastAsia="Calibri" w:hAnsi="Times New Roman" w:cs="Times New Roman"/>
          <w:sz w:val="24"/>
          <w:szCs w:val="24"/>
        </w:rPr>
        <w:t>Njagi</w:t>
      </w:r>
      <w:proofErr w:type="spellEnd"/>
      <w:r w:rsidRPr="00375708">
        <w:rPr>
          <w:rFonts w:ascii="Times New Roman" w:eastAsia="Calibri" w:hAnsi="Times New Roman" w:cs="Times New Roman"/>
          <w:sz w:val="24"/>
          <w:szCs w:val="24"/>
        </w:rPr>
        <w:t xml:space="preserve">, T., </w:t>
      </w:r>
      <w:proofErr w:type="spellStart"/>
      <w:r w:rsidRPr="00375708">
        <w:rPr>
          <w:rFonts w:ascii="Times New Roman" w:eastAsia="Calibri" w:hAnsi="Times New Roman" w:cs="Times New Roman"/>
          <w:sz w:val="24"/>
          <w:szCs w:val="24"/>
        </w:rPr>
        <w:t>Kamau</w:t>
      </w:r>
      <w:proofErr w:type="spellEnd"/>
      <w:r w:rsidRPr="00375708">
        <w:rPr>
          <w:rFonts w:ascii="Times New Roman" w:eastAsia="Calibri" w:hAnsi="Times New Roman" w:cs="Times New Roman"/>
          <w:sz w:val="24"/>
          <w:szCs w:val="24"/>
        </w:rPr>
        <w:t xml:space="preserve">, M., &amp; Gideon </w:t>
      </w:r>
      <w:proofErr w:type="spellStart"/>
      <w:r w:rsidRPr="00375708">
        <w:rPr>
          <w:rFonts w:ascii="Times New Roman" w:eastAsia="Calibri" w:hAnsi="Times New Roman" w:cs="Times New Roman"/>
          <w:sz w:val="24"/>
          <w:szCs w:val="24"/>
        </w:rPr>
        <w:t>Obare</w:t>
      </w:r>
      <w:proofErr w:type="spellEnd"/>
      <w:r w:rsidRPr="00375708">
        <w:rPr>
          <w:rFonts w:ascii="Times New Roman" w:eastAsia="Calibri" w:hAnsi="Times New Roman" w:cs="Times New Roman"/>
          <w:sz w:val="24"/>
          <w:szCs w:val="24"/>
        </w:rPr>
        <w:t>.</w:t>
      </w:r>
      <w:proofErr w:type="gramEnd"/>
      <w:r w:rsidRPr="00375708">
        <w:rPr>
          <w:rFonts w:ascii="Times New Roman" w:eastAsia="Calibri" w:hAnsi="Times New Roman" w:cs="Times New Roman"/>
          <w:sz w:val="24"/>
          <w:szCs w:val="24"/>
        </w:rPr>
        <w:t xml:space="preserve"> (2023). Agricultural inputs in Kenya: Demand, Supply, and the policy environment. </w:t>
      </w:r>
      <w:r w:rsidRPr="00375708">
        <w:rPr>
          <w:rFonts w:ascii="Times New Roman" w:eastAsia="Calibri" w:hAnsi="Times New Roman" w:cs="Times New Roman"/>
          <w:i/>
          <w:iCs/>
          <w:sz w:val="24"/>
          <w:szCs w:val="24"/>
        </w:rPr>
        <w:t>International Food Policy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45</w:t>
      </w:r>
      <w:r w:rsidRPr="00375708">
        <w:rPr>
          <w:rFonts w:ascii="Times New Roman" w:eastAsia="Calibri" w:hAnsi="Times New Roman" w:cs="Times New Roman"/>
          <w:sz w:val="24"/>
          <w:szCs w:val="24"/>
        </w:rPr>
        <w:t xml:space="preserve">(9), 102–114. </w:t>
      </w:r>
      <w:hyperlink r:id="rId27" w:history="1">
        <w:r w:rsidRPr="00375708">
          <w:rPr>
            <w:rFonts w:ascii="Times New Roman" w:eastAsia="Calibri" w:hAnsi="Times New Roman" w:cs="Times New Roman"/>
            <w:sz w:val="24"/>
            <w:szCs w:val="24"/>
          </w:rPr>
          <w:t>https://doi.org/10.2499/9780896294561_08</w:t>
        </w:r>
      </w:hyperlink>
    </w:p>
    <w:p w14:paraId="06696BC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t>Kolo</w:t>
      </w:r>
      <w:proofErr w:type="spellEnd"/>
      <w:r w:rsidRPr="00375708">
        <w:rPr>
          <w:rFonts w:ascii="Times New Roman" w:eastAsia="Calibri" w:hAnsi="Times New Roman" w:cs="Times New Roman"/>
          <w:sz w:val="24"/>
          <w:szCs w:val="24"/>
        </w:rPr>
        <w:t xml:space="preserve">, A. (2019). </w:t>
      </w:r>
      <w:proofErr w:type="gramStart"/>
      <w:r w:rsidRPr="00375708">
        <w:rPr>
          <w:rFonts w:ascii="Times New Roman" w:eastAsia="Calibri" w:hAnsi="Times New Roman" w:cs="Times New Roman"/>
          <w:i/>
          <w:iCs/>
          <w:sz w:val="24"/>
          <w:szCs w:val="24"/>
        </w:rPr>
        <w:t>Effects of tax incentives on profitability of millers in Kenya.</w:t>
      </w:r>
      <w:proofErr w:type="gramEnd"/>
      <w:r w:rsidRPr="00375708">
        <w:rPr>
          <w:rFonts w:ascii="Times New Roman" w:eastAsia="Calibri" w:hAnsi="Times New Roman" w:cs="Times New Roman"/>
          <w:i/>
          <w:iCs/>
          <w:sz w:val="24"/>
          <w:szCs w:val="24"/>
        </w:rPr>
        <w:t xml:space="preserve"> </w:t>
      </w:r>
      <w:proofErr w:type="gramStart"/>
      <w:r w:rsidRPr="00375708">
        <w:rPr>
          <w:rFonts w:ascii="Times New Roman" w:eastAsia="Calibri" w:hAnsi="Times New Roman" w:cs="Times New Roman"/>
          <w:i/>
          <w:iCs/>
          <w:sz w:val="24"/>
          <w:szCs w:val="24"/>
        </w:rPr>
        <w:t xml:space="preserve">A case study of </w:t>
      </w:r>
      <w:proofErr w:type="spellStart"/>
      <w:r w:rsidRPr="00375708">
        <w:rPr>
          <w:rFonts w:ascii="Times New Roman" w:eastAsia="Calibri" w:hAnsi="Times New Roman" w:cs="Times New Roman"/>
          <w:i/>
          <w:iCs/>
          <w:sz w:val="24"/>
          <w:szCs w:val="24"/>
        </w:rPr>
        <w:t>Unga</w:t>
      </w:r>
      <w:proofErr w:type="spellEnd"/>
      <w:r w:rsidRPr="00375708">
        <w:rPr>
          <w:rFonts w:ascii="Times New Roman" w:eastAsia="Calibri" w:hAnsi="Times New Roman" w:cs="Times New Roman"/>
          <w:i/>
          <w:iCs/>
          <w:sz w:val="24"/>
          <w:szCs w:val="24"/>
        </w:rPr>
        <w:t xml:space="preserve"> Group Limited</w:t>
      </w:r>
      <w:r w:rsidRPr="00375708">
        <w:rPr>
          <w:rFonts w:ascii="Times New Roman" w:eastAsia="Calibri" w:hAnsi="Times New Roman" w:cs="Times New Roman"/>
          <w:sz w:val="24"/>
          <w:szCs w:val="24"/>
        </w:rPr>
        <w:t xml:space="preserve"> [Master Thesis Business Administration, </w:t>
      </w:r>
      <w:proofErr w:type="spellStart"/>
      <w:r w:rsidRPr="00375708">
        <w:rPr>
          <w:rFonts w:ascii="Times New Roman" w:eastAsia="Calibri" w:hAnsi="Times New Roman" w:cs="Times New Roman"/>
          <w:sz w:val="24"/>
          <w:szCs w:val="24"/>
        </w:rPr>
        <w:t>Jomo</w:t>
      </w:r>
      <w:proofErr w:type="spellEnd"/>
      <w:r w:rsidRPr="00375708">
        <w:rPr>
          <w:rFonts w:ascii="Times New Roman" w:eastAsia="Calibri" w:hAnsi="Times New Roman" w:cs="Times New Roman"/>
          <w:sz w:val="24"/>
          <w:szCs w:val="24"/>
        </w:rPr>
        <w:t xml:space="preserve"> Kenyatta University of Science and </w:t>
      </w:r>
      <w:proofErr w:type="spellStart"/>
      <w:r w:rsidRPr="00375708">
        <w:rPr>
          <w:rFonts w:ascii="Times New Roman" w:eastAsia="Calibri" w:hAnsi="Times New Roman" w:cs="Times New Roman"/>
          <w:sz w:val="24"/>
          <w:szCs w:val="24"/>
        </w:rPr>
        <w:t>Tecnology</w:t>
      </w:r>
      <w:proofErr w:type="spellEnd"/>
      <w:r w:rsidRPr="00375708">
        <w:rPr>
          <w:rFonts w:ascii="Times New Roman" w:eastAsia="Calibri" w:hAnsi="Times New Roman" w:cs="Times New Roman"/>
          <w:sz w:val="24"/>
          <w:szCs w:val="24"/>
        </w:rPr>
        <w:t>].</w:t>
      </w:r>
      <w:proofErr w:type="gramEnd"/>
    </w:p>
    <w:p w14:paraId="155843A7"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 xml:space="preserve">Kothari, A., Peter, N., </w:t>
      </w:r>
      <w:proofErr w:type="spellStart"/>
      <w:r w:rsidRPr="00375708">
        <w:rPr>
          <w:rFonts w:ascii="Times New Roman" w:eastAsia="Calibri" w:hAnsi="Times New Roman" w:cs="Times New Roman"/>
          <w:sz w:val="24"/>
          <w:szCs w:val="24"/>
        </w:rPr>
        <w:t>Donskov</w:t>
      </w:r>
      <w:proofErr w:type="spellEnd"/>
      <w:r w:rsidRPr="00375708">
        <w:rPr>
          <w:rFonts w:ascii="Times New Roman" w:eastAsia="Calibri" w:hAnsi="Times New Roman" w:cs="Times New Roman"/>
          <w:sz w:val="24"/>
          <w:szCs w:val="24"/>
        </w:rPr>
        <w:t xml:space="preserve">, M., &amp; </w:t>
      </w:r>
      <w:proofErr w:type="spellStart"/>
      <w:r w:rsidRPr="00375708">
        <w:rPr>
          <w:rFonts w:ascii="Times New Roman" w:eastAsia="Calibri" w:hAnsi="Times New Roman" w:cs="Times New Roman"/>
          <w:sz w:val="24"/>
          <w:szCs w:val="24"/>
        </w:rPr>
        <w:t>Luciani</w:t>
      </w:r>
      <w:proofErr w:type="spellEnd"/>
      <w:r w:rsidRPr="00375708">
        <w:rPr>
          <w:rFonts w:ascii="Times New Roman" w:eastAsia="Calibri" w:hAnsi="Times New Roman" w:cs="Times New Roman"/>
          <w:sz w:val="24"/>
          <w:szCs w:val="24"/>
        </w:rPr>
        <w:t>, T. (2017).</w:t>
      </w:r>
      <w:proofErr w:type="gramEnd"/>
      <w:r w:rsidRPr="00375708">
        <w:rPr>
          <w:rFonts w:ascii="Times New Roman" w:eastAsia="Calibri" w:hAnsi="Times New Roman" w:cs="Times New Roman"/>
          <w:sz w:val="24"/>
          <w:szCs w:val="24"/>
        </w:rPr>
        <w:t xml:space="preserve"> Research impact of systems-level long-term care research: a multiple case study. </w:t>
      </w:r>
      <w:proofErr w:type="gramStart"/>
      <w:r w:rsidRPr="00375708">
        <w:rPr>
          <w:rFonts w:ascii="Times New Roman" w:eastAsia="Calibri" w:hAnsi="Times New Roman" w:cs="Times New Roman"/>
          <w:i/>
          <w:iCs/>
          <w:sz w:val="24"/>
          <w:szCs w:val="24"/>
        </w:rPr>
        <w:t>Health Research Policy and Systems</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15</w:t>
      </w:r>
      <w:r w:rsidRPr="00375708">
        <w:rPr>
          <w:rFonts w:ascii="Times New Roman" w:eastAsia="Calibri" w:hAnsi="Times New Roman" w:cs="Times New Roman"/>
          <w:sz w:val="24"/>
          <w:szCs w:val="24"/>
        </w:rPr>
        <w:t>(1).</w:t>
      </w:r>
      <w:proofErr w:type="gramEnd"/>
      <w:r w:rsidRPr="00375708">
        <w:rPr>
          <w:rFonts w:ascii="Times New Roman" w:eastAsia="Calibri" w:hAnsi="Times New Roman" w:cs="Times New Roman"/>
          <w:sz w:val="24"/>
          <w:szCs w:val="24"/>
        </w:rPr>
        <w:t xml:space="preserve"> </w:t>
      </w:r>
      <w:hyperlink r:id="rId28" w:history="1">
        <w:r w:rsidRPr="00375708">
          <w:rPr>
            <w:rFonts w:ascii="Times New Roman" w:eastAsia="Calibri" w:hAnsi="Times New Roman" w:cs="Times New Roman"/>
            <w:sz w:val="24"/>
            <w:szCs w:val="24"/>
          </w:rPr>
          <w:t>https://doi.org/10.1186/s12961-017-0185-9</w:t>
        </w:r>
      </w:hyperlink>
    </w:p>
    <w:p w14:paraId="76282466"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proofErr w:type="gramStart"/>
      <w:r w:rsidRPr="00375708">
        <w:rPr>
          <w:rFonts w:ascii="Times New Roman" w:eastAsia="Calibri" w:hAnsi="Times New Roman" w:cs="Times New Roman"/>
          <w:sz w:val="24"/>
          <w:szCs w:val="24"/>
        </w:rPr>
        <w:t>Kumi</w:t>
      </w:r>
      <w:proofErr w:type="spellEnd"/>
      <w:r w:rsidRPr="00375708">
        <w:rPr>
          <w:rFonts w:ascii="Times New Roman" w:eastAsia="Calibri" w:hAnsi="Times New Roman" w:cs="Times New Roman"/>
          <w:sz w:val="24"/>
          <w:szCs w:val="24"/>
        </w:rPr>
        <w:t xml:space="preserve">, R., </w:t>
      </w:r>
      <w:proofErr w:type="spellStart"/>
      <w:r w:rsidRPr="00375708">
        <w:rPr>
          <w:rFonts w:ascii="Times New Roman" w:eastAsia="Calibri" w:hAnsi="Times New Roman" w:cs="Times New Roman"/>
          <w:sz w:val="24"/>
          <w:szCs w:val="24"/>
        </w:rPr>
        <w:t>Bannor</w:t>
      </w:r>
      <w:proofErr w:type="spellEnd"/>
      <w:r w:rsidRPr="00375708">
        <w:rPr>
          <w:rFonts w:ascii="Times New Roman" w:eastAsia="Calibri" w:hAnsi="Times New Roman" w:cs="Times New Roman"/>
          <w:sz w:val="24"/>
          <w:szCs w:val="24"/>
        </w:rPr>
        <w:t xml:space="preserve">, R. K., </w:t>
      </w:r>
      <w:proofErr w:type="spellStart"/>
      <w:r w:rsidRPr="00375708">
        <w:rPr>
          <w:rFonts w:ascii="Times New Roman" w:eastAsia="Calibri" w:hAnsi="Times New Roman" w:cs="Times New Roman"/>
          <w:sz w:val="24"/>
          <w:szCs w:val="24"/>
        </w:rPr>
        <w:t>Oppong-Kyeremeh</w:t>
      </w:r>
      <w:proofErr w:type="spellEnd"/>
      <w:r w:rsidRPr="00375708">
        <w:rPr>
          <w:rFonts w:ascii="Times New Roman" w:eastAsia="Calibri" w:hAnsi="Times New Roman" w:cs="Times New Roman"/>
          <w:sz w:val="24"/>
          <w:szCs w:val="24"/>
        </w:rPr>
        <w:t xml:space="preserve">, H., &amp; </w:t>
      </w:r>
      <w:proofErr w:type="spellStart"/>
      <w:r w:rsidRPr="00375708">
        <w:rPr>
          <w:rFonts w:ascii="Times New Roman" w:eastAsia="Calibri" w:hAnsi="Times New Roman" w:cs="Times New Roman"/>
          <w:sz w:val="24"/>
          <w:szCs w:val="24"/>
        </w:rPr>
        <w:t>Adaletey</w:t>
      </w:r>
      <w:proofErr w:type="spellEnd"/>
      <w:r w:rsidRPr="00375708">
        <w:rPr>
          <w:rFonts w:ascii="Times New Roman" w:eastAsia="Calibri" w:hAnsi="Times New Roman" w:cs="Times New Roman"/>
          <w:sz w:val="24"/>
          <w:szCs w:val="24"/>
        </w:rPr>
        <w:t>, J. E. (2023).</w:t>
      </w:r>
      <w:proofErr w:type="gram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sz w:val="24"/>
          <w:szCs w:val="24"/>
        </w:rPr>
        <w:t>Voluntary and enforced tax compliance determinants and impact among agrochemical businesses in Ghana.</w:t>
      </w:r>
      <w:proofErr w:type="gramEnd"/>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Arab Gulf Journal of Scientific Research</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54</w:t>
      </w:r>
      <w:r w:rsidRPr="00375708">
        <w:rPr>
          <w:rFonts w:ascii="Times New Roman" w:eastAsia="Calibri" w:hAnsi="Times New Roman" w:cs="Times New Roman"/>
          <w:sz w:val="24"/>
          <w:szCs w:val="24"/>
        </w:rPr>
        <w:t xml:space="preserve">(9), 102–114. </w:t>
      </w:r>
      <w:hyperlink r:id="rId29" w:history="1">
        <w:r w:rsidRPr="00375708">
          <w:rPr>
            <w:rFonts w:ascii="Times New Roman" w:eastAsia="Calibri" w:hAnsi="Times New Roman" w:cs="Times New Roman"/>
            <w:sz w:val="24"/>
            <w:szCs w:val="24"/>
          </w:rPr>
          <w:t>https://doi.org/10.1108/agjsr-03-2023-0133</w:t>
        </w:r>
      </w:hyperlink>
    </w:p>
    <w:p w14:paraId="7D0948E0"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spellStart"/>
      <w:r w:rsidRPr="00375708">
        <w:rPr>
          <w:rFonts w:ascii="Times New Roman" w:eastAsia="Calibri" w:hAnsi="Times New Roman" w:cs="Times New Roman"/>
          <w:sz w:val="24"/>
          <w:szCs w:val="24"/>
        </w:rPr>
        <w:t>Laffer</w:t>
      </w:r>
      <w:proofErr w:type="spellEnd"/>
      <w:r w:rsidRPr="00375708">
        <w:rPr>
          <w:rFonts w:ascii="Times New Roman" w:eastAsia="Calibri" w:hAnsi="Times New Roman" w:cs="Times New Roman"/>
          <w:sz w:val="24"/>
          <w:szCs w:val="24"/>
        </w:rPr>
        <w:t xml:space="preserve">, A. (2012). The </w:t>
      </w:r>
      <w:proofErr w:type="spellStart"/>
      <w:r w:rsidRPr="00375708">
        <w:rPr>
          <w:rFonts w:ascii="Times New Roman" w:eastAsia="Calibri" w:hAnsi="Times New Roman" w:cs="Times New Roman"/>
          <w:sz w:val="24"/>
          <w:szCs w:val="24"/>
        </w:rPr>
        <w:t>Laffer</w:t>
      </w:r>
      <w:proofErr w:type="spellEnd"/>
      <w:r w:rsidRPr="00375708">
        <w:rPr>
          <w:rFonts w:ascii="Times New Roman" w:eastAsia="Calibri" w:hAnsi="Times New Roman" w:cs="Times New Roman"/>
          <w:sz w:val="24"/>
          <w:szCs w:val="24"/>
        </w:rPr>
        <w:t xml:space="preserve"> </w:t>
      </w:r>
      <w:proofErr w:type="gramStart"/>
      <w:r w:rsidRPr="00375708">
        <w:rPr>
          <w:rFonts w:ascii="Times New Roman" w:eastAsia="Calibri" w:hAnsi="Times New Roman" w:cs="Times New Roman"/>
          <w:sz w:val="24"/>
          <w:szCs w:val="24"/>
        </w:rPr>
        <w:t>Curve</w:t>
      </w:r>
      <w:proofErr w:type="gramEnd"/>
      <w:r w:rsidRPr="00375708">
        <w:rPr>
          <w:rFonts w:ascii="Times New Roman" w:eastAsia="Calibri" w:hAnsi="Times New Roman" w:cs="Times New Roman"/>
          <w:sz w:val="24"/>
          <w:szCs w:val="24"/>
        </w:rPr>
        <w:t xml:space="preserve"> and the Failure of Stimulus Spending. </w:t>
      </w:r>
      <w:r w:rsidRPr="00375708">
        <w:rPr>
          <w:rFonts w:ascii="Times New Roman" w:eastAsia="Calibri" w:hAnsi="Times New Roman" w:cs="Times New Roman"/>
          <w:i/>
          <w:iCs/>
          <w:sz w:val="24"/>
          <w:szCs w:val="24"/>
        </w:rPr>
        <w:t>SSRN Electronic Journal</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18</w:t>
      </w:r>
      <w:r w:rsidRPr="00375708">
        <w:rPr>
          <w:rFonts w:ascii="Times New Roman" w:eastAsia="Calibri" w:hAnsi="Times New Roman" w:cs="Times New Roman"/>
          <w:sz w:val="24"/>
          <w:szCs w:val="24"/>
        </w:rPr>
        <w:t xml:space="preserve">(31), 101–117. </w:t>
      </w:r>
      <w:hyperlink r:id="rId30" w:history="1">
        <w:r w:rsidRPr="00375708">
          <w:rPr>
            <w:rFonts w:ascii="Times New Roman" w:eastAsia="Calibri" w:hAnsi="Times New Roman" w:cs="Times New Roman"/>
            <w:sz w:val="24"/>
            <w:szCs w:val="24"/>
          </w:rPr>
          <w:t>https://doi.org/10.2139/ssrn.2182070</w:t>
        </w:r>
      </w:hyperlink>
    </w:p>
    <w:p w14:paraId="683DA1E6"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proofErr w:type="spellStart"/>
      <w:proofErr w:type="gramStart"/>
      <w:r w:rsidRPr="00375708">
        <w:rPr>
          <w:rFonts w:ascii="Times New Roman" w:eastAsia="Calibri" w:hAnsi="Times New Roman" w:cs="Times New Roman"/>
          <w:sz w:val="24"/>
          <w:szCs w:val="24"/>
          <w:lang w:val="en-ZA"/>
        </w:rPr>
        <w:t>Lalah</w:t>
      </w:r>
      <w:proofErr w:type="spellEnd"/>
      <w:r w:rsidRPr="00375708">
        <w:rPr>
          <w:rFonts w:ascii="Times New Roman" w:eastAsia="Calibri" w:hAnsi="Times New Roman" w:cs="Times New Roman"/>
          <w:sz w:val="24"/>
          <w:szCs w:val="24"/>
          <w:lang w:val="en-ZA"/>
        </w:rPr>
        <w:t xml:space="preserve">, J. O., </w:t>
      </w:r>
      <w:proofErr w:type="spellStart"/>
      <w:r w:rsidRPr="00375708">
        <w:rPr>
          <w:rFonts w:ascii="Times New Roman" w:eastAsia="Calibri" w:hAnsi="Times New Roman" w:cs="Times New Roman"/>
          <w:sz w:val="24"/>
          <w:szCs w:val="24"/>
          <w:lang w:val="en-ZA"/>
        </w:rPr>
        <w:t>Otieno</w:t>
      </w:r>
      <w:proofErr w:type="spellEnd"/>
      <w:r w:rsidRPr="00375708">
        <w:rPr>
          <w:rFonts w:ascii="Times New Roman" w:eastAsia="Calibri" w:hAnsi="Times New Roman" w:cs="Times New Roman"/>
          <w:sz w:val="24"/>
          <w:szCs w:val="24"/>
          <w:lang w:val="en-ZA"/>
        </w:rPr>
        <w:t xml:space="preserve">, P. O., </w:t>
      </w:r>
      <w:proofErr w:type="spellStart"/>
      <w:r w:rsidRPr="00375708">
        <w:rPr>
          <w:rFonts w:ascii="Times New Roman" w:eastAsia="Calibri" w:hAnsi="Times New Roman" w:cs="Times New Roman"/>
          <w:sz w:val="24"/>
          <w:szCs w:val="24"/>
          <w:lang w:val="en-ZA"/>
        </w:rPr>
        <w:t>Odira</w:t>
      </w:r>
      <w:proofErr w:type="spellEnd"/>
      <w:r w:rsidRPr="00375708">
        <w:rPr>
          <w:rFonts w:ascii="Times New Roman" w:eastAsia="Calibri" w:hAnsi="Times New Roman" w:cs="Times New Roman"/>
          <w:sz w:val="24"/>
          <w:szCs w:val="24"/>
          <w:lang w:val="en-ZA"/>
        </w:rPr>
        <w:t xml:space="preserve">, Z., &amp; </w:t>
      </w:r>
      <w:proofErr w:type="spellStart"/>
      <w:r w:rsidRPr="00375708">
        <w:rPr>
          <w:rFonts w:ascii="Times New Roman" w:eastAsia="Calibri" w:hAnsi="Times New Roman" w:cs="Times New Roman"/>
          <w:sz w:val="24"/>
          <w:szCs w:val="24"/>
          <w:lang w:val="en-ZA"/>
        </w:rPr>
        <w:t>Ogunah</w:t>
      </w:r>
      <w:proofErr w:type="spellEnd"/>
      <w:r w:rsidRPr="00375708">
        <w:rPr>
          <w:rFonts w:ascii="Times New Roman" w:eastAsia="Calibri" w:hAnsi="Times New Roman" w:cs="Times New Roman"/>
          <w:sz w:val="24"/>
          <w:szCs w:val="24"/>
          <w:lang w:val="en-ZA"/>
        </w:rPr>
        <w:t>, J. A. (2022).</w:t>
      </w:r>
      <w:proofErr w:type="gramEnd"/>
      <w:r w:rsidRPr="00375708">
        <w:rPr>
          <w:rFonts w:ascii="Times New Roman" w:eastAsia="Calibri" w:hAnsi="Times New Roman" w:cs="Times New Roman"/>
          <w:sz w:val="24"/>
          <w:szCs w:val="24"/>
          <w:lang w:val="en-ZA"/>
        </w:rPr>
        <w:t xml:space="preserve"> Pesticides: Chemistry, Manufacturing, Regulation, Usage and Impacts on Population in Kenya. </w:t>
      </w:r>
      <w:proofErr w:type="gramStart"/>
      <w:r w:rsidRPr="00375708">
        <w:rPr>
          <w:rFonts w:ascii="Times New Roman" w:eastAsia="Calibri" w:hAnsi="Times New Roman" w:cs="Times New Roman"/>
          <w:sz w:val="24"/>
          <w:szCs w:val="24"/>
          <w:lang w:val="en-ZA"/>
        </w:rPr>
        <w:t xml:space="preserve">In </w:t>
      </w:r>
      <w:proofErr w:type="spellStart"/>
      <w:r w:rsidRPr="00375708">
        <w:rPr>
          <w:rFonts w:ascii="Times New Roman" w:eastAsia="Calibri" w:hAnsi="Times New Roman" w:cs="Times New Roman"/>
          <w:i/>
          <w:iCs/>
          <w:sz w:val="24"/>
          <w:szCs w:val="24"/>
          <w:lang w:val="en-ZA"/>
        </w:rPr>
        <w:t>IntechOpen</w:t>
      </w:r>
      <w:proofErr w:type="spellEnd"/>
      <w:r w:rsidRPr="00375708">
        <w:rPr>
          <w:rFonts w:ascii="Times New Roman" w:eastAsia="Calibri" w:hAnsi="Times New Roman" w:cs="Times New Roman"/>
          <w:i/>
          <w:iCs/>
          <w:sz w:val="24"/>
          <w:szCs w:val="24"/>
          <w:lang w:val="en-ZA"/>
        </w:rPr>
        <w:t xml:space="preserve"> eBooks</w:t>
      </w:r>
      <w:r w:rsidRPr="00375708">
        <w:rPr>
          <w:rFonts w:ascii="Times New Roman" w:eastAsia="Calibri" w:hAnsi="Times New Roman" w:cs="Times New Roman"/>
          <w:sz w:val="24"/>
          <w:szCs w:val="24"/>
          <w:lang w:val="en-ZA"/>
        </w:rPr>
        <w:t>.</w:t>
      </w:r>
      <w:proofErr w:type="gramEnd"/>
      <w:r w:rsidRPr="00375708">
        <w:rPr>
          <w:rFonts w:ascii="Times New Roman" w:eastAsia="Calibri" w:hAnsi="Times New Roman" w:cs="Times New Roman"/>
          <w:sz w:val="24"/>
          <w:szCs w:val="24"/>
          <w:lang w:val="en-ZA"/>
        </w:rPr>
        <w:t xml:space="preserve"> https://doi.org/10.5772/intechopen.105826</w:t>
      </w:r>
    </w:p>
    <w:p w14:paraId="1F78DD62" w14:textId="77777777" w:rsidR="00375708" w:rsidRPr="00375708" w:rsidRDefault="00375708" w:rsidP="00375708">
      <w:pPr>
        <w:spacing w:before="240" w:after="120" w:line="240" w:lineRule="auto"/>
        <w:ind w:left="720" w:hanging="720"/>
        <w:jc w:val="both"/>
        <w:rPr>
          <w:rFonts w:ascii="Times New Roman" w:eastAsia="Calibri" w:hAnsi="Times New Roman" w:cs="Times New Roman"/>
          <w:sz w:val="24"/>
          <w:szCs w:val="24"/>
          <w:lang w:val="en-ZA"/>
        </w:rPr>
      </w:pPr>
      <w:proofErr w:type="spellStart"/>
      <w:proofErr w:type="gramStart"/>
      <w:r w:rsidRPr="00375708">
        <w:rPr>
          <w:rFonts w:ascii="Times New Roman" w:eastAsia="Calibri" w:hAnsi="Times New Roman" w:cs="Times New Roman"/>
          <w:sz w:val="24"/>
          <w:szCs w:val="24"/>
          <w:lang w:val="en-ZA"/>
        </w:rPr>
        <w:lastRenderedPageBreak/>
        <w:t>Lema</w:t>
      </w:r>
      <w:proofErr w:type="spellEnd"/>
      <w:r w:rsidRPr="00375708">
        <w:rPr>
          <w:rFonts w:ascii="Times New Roman" w:eastAsia="Calibri" w:hAnsi="Times New Roman" w:cs="Times New Roman"/>
          <w:sz w:val="24"/>
          <w:szCs w:val="24"/>
          <w:lang w:val="en-ZA"/>
        </w:rPr>
        <w:t xml:space="preserve">, E., </w:t>
      </w:r>
      <w:proofErr w:type="spellStart"/>
      <w:r w:rsidRPr="00375708">
        <w:rPr>
          <w:rFonts w:ascii="Times New Roman" w:eastAsia="Calibri" w:hAnsi="Times New Roman" w:cs="Times New Roman"/>
          <w:sz w:val="24"/>
          <w:szCs w:val="24"/>
          <w:lang w:val="en-ZA"/>
        </w:rPr>
        <w:t>Machunda</w:t>
      </w:r>
      <w:proofErr w:type="spellEnd"/>
      <w:r w:rsidRPr="00375708">
        <w:rPr>
          <w:rFonts w:ascii="Times New Roman" w:eastAsia="Calibri" w:hAnsi="Times New Roman" w:cs="Times New Roman"/>
          <w:sz w:val="24"/>
          <w:szCs w:val="24"/>
          <w:lang w:val="en-ZA"/>
        </w:rPr>
        <w:t xml:space="preserve">, R., &amp; </w:t>
      </w:r>
      <w:proofErr w:type="spellStart"/>
      <w:r w:rsidRPr="00375708">
        <w:rPr>
          <w:rFonts w:ascii="Times New Roman" w:eastAsia="Calibri" w:hAnsi="Times New Roman" w:cs="Times New Roman"/>
          <w:sz w:val="24"/>
          <w:szCs w:val="24"/>
          <w:lang w:val="en-ZA"/>
        </w:rPr>
        <w:t>Njau</w:t>
      </w:r>
      <w:proofErr w:type="spellEnd"/>
      <w:r w:rsidRPr="00375708">
        <w:rPr>
          <w:rFonts w:ascii="Times New Roman" w:eastAsia="Calibri" w:hAnsi="Times New Roman" w:cs="Times New Roman"/>
          <w:sz w:val="24"/>
          <w:szCs w:val="24"/>
          <w:lang w:val="en-ZA"/>
        </w:rPr>
        <w:t>, K. (2014).</w:t>
      </w:r>
      <w:proofErr w:type="gramEnd"/>
      <w:r w:rsidRPr="00375708">
        <w:rPr>
          <w:rFonts w:ascii="Times New Roman" w:eastAsia="Calibri" w:hAnsi="Times New Roman" w:cs="Times New Roman"/>
          <w:sz w:val="24"/>
          <w:szCs w:val="24"/>
          <w:lang w:val="en-ZA"/>
        </w:rPr>
        <w:t xml:space="preserve"> Agrochemicals use in horticulture industry in Tanzania and their potential impact to water resources. </w:t>
      </w:r>
      <w:proofErr w:type="gramStart"/>
      <w:r w:rsidRPr="00375708">
        <w:rPr>
          <w:rFonts w:ascii="Times New Roman" w:eastAsia="Calibri" w:hAnsi="Times New Roman" w:cs="Times New Roman"/>
          <w:i/>
          <w:iCs/>
          <w:sz w:val="24"/>
          <w:szCs w:val="24"/>
          <w:lang w:val="en-ZA"/>
        </w:rPr>
        <w:t>International Journal of Biological and Chemical Sciences</w:t>
      </w:r>
      <w:r w:rsidRPr="00375708">
        <w:rPr>
          <w:rFonts w:ascii="Times New Roman" w:eastAsia="Calibri" w:hAnsi="Times New Roman" w:cs="Times New Roman"/>
          <w:sz w:val="24"/>
          <w:szCs w:val="24"/>
          <w:lang w:val="en-ZA"/>
        </w:rPr>
        <w:t xml:space="preserve">, </w:t>
      </w:r>
      <w:r w:rsidRPr="00375708">
        <w:rPr>
          <w:rFonts w:ascii="Times New Roman" w:eastAsia="Calibri" w:hAnsi="Times New Roman" w:cs="Times New Roman"/>
          <w:i/>
          <w:iCs/>
          <w:sz w:val="24"/>
          <w:szCs w:val="24"/>
          <w:lang w:val="en-ZA"/>
        </w:rPr>
        <w:t>8</w:t>
      </w:r>
      <w:r w:rsidRPr="00375708">
        <w:rPr>
          <w:rFonts w:ascii="Times New Roman" w:eastAsia="Calibri" w:hAnsi="Times New Roman" w:cs="Times New Roman"/>
          <w:sz w:val="24"/>
          <w:szCs w:val="24"/>
          <w:lang w:val="en-ZA"/>
        </w:rPr>
        <w:t>(2), 831.</w:t>
      </w:r>
      <w:proofErr w:type="gramEnd"/>
      <w:r w:rsidRPr="00375708">
        <w:rPr>
          <w:rFonts w:ascii="Times New Roman" w:eastAsia="Calibri" w:hAnsi="Times New Roman" w:cs="Times New Roman"/>
          <w:sz w:val="24"/>
          <w:szCs w:val="24"/>
          <w:lang w:val="en-ZA"/>
        </w:rPr>
        <w:t xml:space="preserve"> https://doi.org/10.4314/ijbcs.v8i2.38</w:t>
      </w:r>
    </w:p>
    <w:p w14:paraId="7AD1B07F" w14:textId="77777777" w:rsidR="00375708" w:rsidRPr="00375708" w:rsidRDefault="00375708" w:rsidP="00375708">
      <w:pPr>
        <w:widowControl w:val="0"/>
        <w:autoSpaceDE w:val="0"/>
        <w:autoSpaceDN w:val="0"/>
        <w:adjustRightInd w:val="0"/>
        <w:spacing w:before="240" w:after="0" w:line="240" w:lineRule="auto"/>
        <w:ind w:left="720" w:hanging="720"/>
        <w:jc w:val="both"/>
        <w:rPr>
          <w:rFonts w:ascii="Times New Roman" w:eastAsia="Calibri" w:hAnsi="Times New Roman" w:cs="Times New Roman"/>
          <w:sz w:val="24"/>
          <w:szCs w:val="24"/>
        </w:rPr>
      </w:pPr>
      <w:proofErr w:type="gramStart"/>
      <w:r w:rsidRPr="00375708">
        <w:rPr>
          <w:rFonts w:ascii="Times New Roman" w:eastAsia="Calibri" w:hAnsi="Times New Roman" w:cs="Times New Roman"/>
          <w:sz w:val="24"/>
          <w:szCs w:val="24"/>
        </w:rPr>
        <w:t>Li, Y., Al-</w:t>
      </w:r>
      <w:proofErr w:type="spellStart"/>
      <w:r w:rsidRPr="00375708">
        <w:rPr>
          <w:rFonts w:ascii="Times New Roman" w:eastAsia="Calibri" w:hAnsi="Times New Roman" w:cs="Times New Roman"/>
          <w:sz w:val="24"/>
          <w:szCs w:val="24"/>
        </w:rPr>
        <w:t>Sulaiti</w:t>
      </w:r>
      <w:proofErr w:type="spellEnd"/>
      <w:r w:rsidRPr="00375708">
        <w:rPr>
          <w:rFonts w:ascii="Times New Roman" w:eastAsia="Calibri" w:hAnsi="Times New Roman" w:cs="Times New Roman"/>
          <w:sz w:val="24"/>
          <w:szCs w:val="24"/>
        </w:rPr>
        <w:t xml:space="preserve">, K., </w:t>
      </w:r>
      <w:proofErr w:type="spellStart"/>
      <w:r w:rsidRPr="00375708">
        <w:rPr>
          <w:rFonts w:ascii="Times New Roman" w:eastAsia="Calibri" w:hAnsi="Times New Roman" w:cs="Times New Roman"/>
          <w:sz w:val="24"/>
          <w:szCs w:val="24"/>
        </w:rPr>
        <w:t>Dongling</w:t>
      </w:r>
      <w:proofErr w:type="spellEnd"/>
      <w:r w:rsidRPr="00375708">
        <w:rPr>
          <w:rFonts w:ascii="Times New Roman" w:eastAsia="Calibri" w:hAnsi="Times New Roman" w:cs="Times New Roman"/>
          <w:sz w:val="24"/>
          <w:szCs w:val="24"/>
        </w:rPr>
        <w:t>, W., Abbas, J., &amp; Al-</w:t>
      </w:r>
      <w:proofErr w:type="spellStart"/>
      <w:r w:rsidRPr="00375708">
        <w:rPr>
          <w:rFonts w:ascii="Times New Roman" w:eastAsia="Calibri" w:hAnsi="Times New Roman" w:cs="Times New Roman"/>
          <w:sz w:val="24"/>
          <w:szCs w:val="24"/>
        </w:rPr>
        <w:t>Sulaiti</w:t>
      </w:r>
      <w:proofErr w:type="spellEnd"/>
      <w:r w:rsidRPr="00375708">
        <w:rPr>
          <w:rFonts w:ascii="Times New Roman" w:eastAsia="Calibri" w:hAnsi="Times New Roman" w:cs="Times New Roman"/>
          <w:sz w:val="24"/>
          <w:szCs w:val="24"/>
        </w:rPr>
        <w:t>, I. (2022).</w:t>
      </w:r>
      <w:proofErr w:type="gramEnd"/>
      <w:r w:rsidRPr="00375708">
        <w:rPr>
          <w:rFonts w:ascii="Times New Roman" w:eastAsia="Calibri" w:hAnsi="Times New Roman" w:cs="Times New Roman"/>
          <w:sz w:val="24"/>
          <w:szCs w:val="24"/>
        </w:rPr>
        <w:t xml:space="preserve"> Tax Avoidance Culture and Employees’ Behavior Affect Sustainable Business Performance: The Moderating Role of Corporate Social Responsibility. </w:t>
      </w:r>
      <w:r w:rsidRPr="00375708">
        <w:rPr>
          <w:rFonts w:ascii="Times New Roman" w:eastAsia="Calibri" w:hAnsi="Times New Roman" w:cs="Times New Roman"/>
          <w:i/>
          <w:iCs/>
          <w:sz w:val="24"/>
          <w:szCs w:val="24"/>
        </w:rPr>
        <w:t>Frontiers in Environmental Science</w:t>
      </w:r>
      <w:r w:rsidRPr="00375708">
        <w:rPr>
          <w:rFonts w:ascii="Times New Roman" w:eastAsia="Calibri" w:hAnsi="Times New Roman" w:cs="Times New Roman"/>
          <w:sz w:val="24"/>
          <w:szCs w:val="24"/>
        </w:rPr>
        <w:t xml:space="preserve">, </w:t>
      </w:r>
      <w:r w:rsidRPr="00375708">
        <w:rPr>
          <w:rFonts w:ascii="Times New Roman" w:eastAsia="Calibri" w:hAnsi="Times New Roman" w:cs="Times New Roman"/>
          <w:i/>
          <w:iCs/>
          <w:sz w:val="24"/>
          <w:szCs w:val="24"/>
        </w:rPr>
        <w:t>10</w:t>
      </w:r>
      <w:r w:rsidRPr="00375708">
        <w:rPr>
          <w:rFonts w:ascii="Times New Roman" w:eastAsia="Calibri" w:hAnsi="Times New Roman" w:cs="Times New Roman"/>
          <w:sz w:val="24"/>
          <w:szCs w:val="24"/>
        </w:rPr>
        <w:t xml:space="preserve">(45), 102–114. </w:t>
      </w:r>
      <w:hyperlink r:id="rId31" w:history="1">
        <w:r w:rsidRPr="00375708">
          <w:rPr>
            <w:rFonts w:ascii="Times New Roman" w:eastAsia="Calibri" w:hAnsi="Times New Roman" w:cs="Times New Roman"/>
            <w:sz w:val="24"/>
            <w:szCs w:val="24"/>
          </w:rPr>
          <w:t>https://doi.org/10.3389/fenvs.2022.964410</w:t>
        </w:r>
      </w:hyperlink>
    </w:p>
    <w:p w14:paraId="57A6D4D2" w14:textId="3C3CEB29" w:rsidR="00EB39E1" w:rsidRPr="00EB39E1" w:rsidRDefault="00EB39E1" w:rsidP="00375708">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p>
    <w:p w14:paraId="1F64DEE0" w14:textId="38D7AAA4" w:rsidR="00980770" w:rsidRPr="00C342DE" w:rsidRDefault="00EB39E1" w:rsidP="009A1DBC">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p w14:paraId="0C763D7F" w14:textId="77777777" w:rsidR="00E9397E" w:rsidRPr="00C342DE" w:rsidRDefault="00E9397E" w:rsidP="003B75B0">
      <w:pPr>
        <w:rPr>
          <w:rFonts w:ascii="Times New Roman" w:hAnsi="Times New Roman" w:cs="Times New Roman"/>
          <w:i/>
          <w:sz w:val="24"/>
          <w:szCs w:val="24"/>
        </w:rPr>
      </w:pPr>
    </w:p>
    <w:sectPr w:rsidR="00E9397E" w:rsidRPr="00C342D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38052" w14:textId="77777777" w:rsidR="00CB2C4E" w:rsidRDefault="00CB2C4E" w:rsidP="009633F9">
      <w:pPr>
        <w:spacing w:after="0" w:line="240" w:lineRule="auto"/>
      </w:pPr>
      <w:r>
        <w:separator/>
      </w:r>
    </w:p>
  </w:endnote>
  <w:endnote w:type="continuationSeparator" w:id="0">
    <w:p w14:paraId="57DE2A6A" w14:textId="77777777" w:rsidR="00CB2C4E" w:rsidRDefault="00CB2C4E" w:rsidP="0096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52F43" w14:textId="77777777" w:rsidR="0051577A" w:rsidRDefault="00515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EE461" w14:textId="2C293340" w:rsidR="007418CA" w:rsidRDefault="007418CA">
    <w:pPr>
      <w:pStyle w:val="Footer"/>
      <w:jc w:val="center"/>
    </w:pPr>
    <w:r>
      <w:fldChar w:fldCharType="begin"/>
    </w:r>
    <w:r>
      <w:instrText xml:space="preserve"> PAGE   \* MERGEFORMAT </w:instrText>
    </w:r>
    <w:r>
      <w:fldChar w:fldCharType="separate"/>
    </w:r>
    <w:r w:rsidR="0050483F">
      <w:rPr>
        <w:noProof/>
      </w:rPr>
      <w:t>7</w:t>
    </w:r>
    <w:r>
      <w:rPr>
        <w:noProof/>
      </w:rPr>
      <w:fldChar w:fldCharType="end"/>
    </w:r>
  </w:p>
  <w:p w14:paraId="75BC5798" w14:textId="77777777" w:rsidR="007418CA" w:rsidRDefault="007418C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79066" w14:textId="77777777" w:rsidR="0051577A" w:rsidRDefault="00515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88D3F" w14:textId="77777777" w:rsidR="00CB2C4E" w:rsidRDefault="00CB2C4E" w:rsidP="009633F9">
      <w:pPr>
        <w:spacing w:after="0" w:line="240" w:lineRule="auto"/>
      </w:pPr>
      <w:r>
        <w:separator/>
      </w:r>
    </w:p>
  </w:footnote>
  <w:footnote w:type="continuationSeparator" w:id="0">
    <w:p w14:paraId="01E3484E" w14:textId="77777777" w:rsidR="00CB2C4E" w:rsidRDefault="00CB2C4E" w:rsidP="00963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16202" w14:textId="5DC4F944" w:rsidR="0051577A" w:rsidRDefault="00CB2C4E">
    <w:pPr>
      <w:pStyle w:val="Header"/>
    </w:pPr>
    <w:r>
      <w:rPr>
        <w:noProof/>
      </w:rPr>
      <w:pict w14:anchorId="591A3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76971" w14:textId="3420B170" w:rsidR="007418CA" w:rsidRDefault="00CB2C4E">
    <w:pPr>
      <w:pStyle w:val="Header"/>
    </w:pPr>
    <w:r>
      <w:rPr>
        <w:noProof/>
      </w:rPr>
      <w:pict w14:anchorId="6B082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544C102" w14:textId="77777777" w:rsidR="007418CA" w:rsidRDefault="007418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5AFC2" w14:textId="5769CD2D" w:rsidR="0051577A" w:rsidRDefault="00CB2C4E">
    <w:pPr>
      <w:pStyle w:val="Header"/>
    </w:pPr>
    <w:r>
      <w:rPr>
        <w:noProof/>
      </w:rPr>
      <w:pict w14:anchorId="4A4BC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76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FE2206A0"/>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0000009"/>
    <w:multiLevelType w:val="hybridMultilevel"/>
    <w:tmpl w:val="F29A8EC2"/>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181D89"/>
    <w:multiLevelType w:val="multilevel"/>
    <w:tmpl w:val="1B181D89"/>
    <w:lvl w:ilvl="0">
      <w:start w:val="1"/>
      <w:numFmt w:val="upperRoman"/>
      <w:lvlText w:val="%1."/>
      <w:lvlJc w:val="right"/>
      <w:pPr>
        <w:ind w:left="720" w:hanging="360"/>
      </w:pPr>
    </w:lvl>
    <w:lvl w:ilvl="1">
      <w:start w:val="5"/>
      <w:numFmt w:val="decimal"/>
      <w:isLgl/>
      <w:lvlText w:val="%1.%2."/>
      <w:lvlJc w:val="left"/>
      <w:pPr>
        <w:ind w:left="750" w:hanging="39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2160" w:hanging="1800"/>
      </w:pPr>
      <w:rPr>
        <w:rFonts w:asciiTheme="majorHAnsi" w:hAnsiTheme="majorHAnsi" w:cstheme="majorBidi" w:hint="default"/>
      </w:rPr>
    </w:lvl>
  </w:abstractNum>
  <w:abstractNum w:abstractNumId="3">
    <w:nsid w:val="6B001ABA"/>
    <w:multiLevelType w:val="hybridMultilevel"/>
    <w:tmpl w:val="0D221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D249DA"/>
    <w:multiLevelType w:val="multilevel"/>
    <w:tmpl w:val="073E3C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7E7106C3"/>
    <w:multiLevelType w:val="multilevel"/>
    <w:tmpl w:val="38D80E74"/>
    <w:lvl w:ilvl="0">
      <w:start w:val="1"/>
      <w:numFmt w:val="upperRoman"/>
      <w:lvlText w:val="%1."/>
      <w:lvlJc w:val="right"/>
      <w:pPr>
        <w:ind w:left="720" w:hanging="360"/>
      </w:p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3F9"/>
    <w:rsid w:val="0002411D"/>
    <w:rsid w:val="000351D4"/>
    <w:rsid w:val="000374C2"/>
    <w:rsid w:val="000408C7"/>
    <w:rsid w:val="000421D6"/>
    <w:rsid w:val="000472F3"/>
    <w:rsid w:val="00053187"/>
    <w:rsid w:val="0005669B"/>
    <w:rsid w:val="00066777"/>
    <w:rsid w:val="00074DEC"/>
    <w:rsid w:val="000846ED"/>
    <w:rsid w:val="000A5317"/>
    <w:rsid w:val="000B146D"/>
    <w:rsid w:val="000C0213"/>
    <w:rsid w:val="000C1F9E"/>
    <w:rsid w:val="000E2180"/>
    <w:rsid w:val="000E7BC3"/>
    <w:rsid w:val="000F48B9"/>
    <w:rsid w:val="00112D5B"/>
    <w:rsid w:val="00113702"/>
    <w:rsid w:val="0012475F"/>
    <w:rsid w:val="00137058"/>
    <w:rsid w:val="00144A0D"/>
    <w:rsid w:val="00145913"/>
    <w:rsid w:val="00150C10"/>
    <w:rsid w:val="00161D5D"/>
    <w:rsid w:val="00162B2E"/>
    <w:rsid w:val="00164201"/>
    <w:rsid w:val="00164E8A"/>
    <w:rsid w:val="001B7CF6"/>
    <w:rsid w:val="001F103D"/>
    <w:rsid w:val="001F1D6A"/>
    <w:rsid w:val="001F25B2"/>
    <w:rsid w:val="00203F0E"/>
    <w:rsid w:val="002138AD"/>
    <w:rsid w:val="00216585"/>
    <w:rsid w:val="00222DD3"/>
    <w:rsid w:val="0023775D"/>
    <w:rsid w:val="0025785B"/>
    <w:rsid w:val="0028236C"/>
    <w:rsid w:val="002828CB"/>
    <w:rsid w:val="00292183"/>
    <w:rsid w:val="002B17A0"/>
    <w:rsid w:val="002C0305"/>
    <w:rsid w:val="002C4766"/>
    <w:rsid w:val="002E1AA3"/>
    <w:rsid w:val="0031477D"/>
    <w:rsid w:val="003150FE"/>
    <w:rsid w:val="003222D5"/>
    <w:rsid w:val="003224A6"/>
    <w:rsid w:val="00322805"/>
    <w:rsid w:val="0032413F"/>
    <w:rsid w:val="00334D32"/>
    <w:rsid w:val="003555C3"/>
    <w:rsid w:val="00355E07"/>
    <w:rsid w:val="003563E7"/>
    <w:rsid w:val="00372D4A"/>
    <w:rsid w:val="00375708"/>
    <w:rsid w:val="0037776A"/>
    <w:rsid w:val="003B75B0"/>
    <w:rsid w:val="003D2BAB"/>
    <w:rsid w:val="003E42D7"/>
    <w:rsid w:val="00407ABF"/>
    <w:rsid w:val="004230BD"/>
    <w:rsid w:val="00425BBF"/>
    <w:rsid w:val="00430658"/>
    <w:rsid w:val="00455A07"/>
    <w:rsid w:val="00470862"/>
    <w:rsid w:val="004767C4"/>
    <w:rsid w:val="004852A3"/>
    <w:rsid w:val="004856F5"/>
    <w:rsid w:val="00491FAD"/>
    <w:rsid w:val="004A7104"/>
    <w:rsid w:val="004D12ED"/>
    <w:rsid w:val="004D57CE"/>
    <w:rsid w:val="004E7C47"/>
    <w:rsid w:val="004F79DA"/>
    <w:rsid w:val="0050483F"/>
    <w:rsid w:val="00505D5E"/>
    <w:rsid w:val="005112CB"/>
    <w:rsid w:val="0051577A"/>
    <w:rsid w:val="00521351"/>
    <w:rsid w:val="0052340B"/>
    <w:rsid w:val="00527AFE"/>
    <w:rsid w:val="005558E2"/>
    <w:rsid w:val="00584E6B"/>
    <w:rsid w:val="00586943"/>
    <w:rsid w:val="00594F0D"/>
    <w:rsid w:val="005A3233"/>
    <w:rsid w:val="005C12E7"/>
    <w:rsid w:val="005C2BE2"/>
    <w:rsid w:val="005D7386"/>
    <w:rsid w:val="005E4FDD"/>
    <w:rsid w:val="005E5359"/>
    <w:rsid w:val="005F61BE"/>
    <w:rsid w:val="006022D5"/>
    <w:rsid w:val="006307A8"/>
    <w:rsid w:val="00630BCD"/>
    <w:rsid w:val="00633A52"/>
    <w:rsid w:val="00637296"/>
    <w:rsid w:val="00663749"/>
    <w:rsid w:val="00675DF1"/>
    <w:rsid w:val="00683658"/>
    <w:rsid w:val="006B5ADE"/>
    <w:rsid w:val="006C4422"/>
    <w:rsid w:val="006C4912"/>
    <w:rsid w:val="006C4BE3"/>
    <w:rsid w:val="00722F70"/>
    <w:rsid w:val="007418CA"/>
    <w:rsid w:val="00742545"/>
    <w:rsid w:val="00760709"/>
    <w:rsid w:val="00773482"/>
    <w:rsid w:val="007775E3"/>
    <w:rsid w:val="00782808"/>
    <w:rsid w:val="00785999"/>
    <w:rsid w:val="007C685B"/>
    <w:rsid w:val="007D19BB"/>
    <w:rsid w:val="007D540A"/>
    <w:rsid w:val="007D5750"/>
    <w:rsid w:val="0080162E"/>
    <w:rsid w:val="00803072"/>
    <w:rsid w:val="008051D5"/>
    <w:rsid w:val="008163A7"/>
    <w:rsid w:val="008273C7"/>
    <w:rsid w:val="0083344C"/>
    <w:rsid w:val="00851D63"/>
    <w:rsid w:val="00862DEC"/>
    <w:rsid w:val="00871251"/>
    <w:rsid w:val="00876F7E"/>
    <w:rsid w:val="00880F87"/>
    <w:rsid w:val="00883412"/>
    <w:rsid w:val="00892313"/>
    <w:rsid w:val="00896327"/>
    <w:rsid w:val="0089784F"/>
    <w:rsid w:val="008A1C8E"/>
    <w:rsid w:val="008B3E8E"/>
    <w:rsid w:val="008B75E1"/>
    <w:rsid w:val="008D3273"/>
    <w:rsid w:val="008D52C0"/>
    <w:rsid w:val="008E19BD"/>
    <w:rsid w:val="008E6F54"/>
    <w:rsid w:val="008F08AF"/>
    <w:rsid w:val="008F1E94"/>
    <w:rsid w:val="008F24AD"/>
    <w:rsid w:val="008F5525"/>
    <w:rsid w:val="00904CA9"/>
    <w:rsid w:val="00905512"/>
    <w:rsid w:val="0092657B"/>
    <w:rsid w:val="0092661B"/>
    <w:rsid w:val="00947578"/>
    <w:rsid w:val="00950145"/>
    <w:rsid w:val="00951FA5"/>
    <w:rsid w:val="0095609A"/>
    <w:rsid w:val="009633F9"/>
    <w:rsid w:val="00967CEC"/>
    <w:rsid w:val="0097692E"/>
    <w:rsid w:val="00980770"/>
    <w:rsid w:val="00990069"/>
    <w:rsid w:val="009A1DBC"/>
    <w:rsid w:val="009A1F5C"/>
    <w:rsid w:val="009D6477"/>
    <w:rsid w:val="00A1297C"/>
    <w:rsid w:val="00A17897"/>
    <w:rsid w:val="00A22F9C"/>
    <w:rsid w:val="00A25FE8"/>
    <w:rsid w:val="00A410B8"/>
    <w:rsid w:val="00A45352"/>
    <w:rsid w:val="00A66B30"/>
    <w:rsid w:val="00A84F71"/>
    <w:rsid w:val="00A960F1"/>
    <w:rsid w:val="00A97BA1"/>
    <w:rsid w:val="00AB1EA5"/>
    <w:rsid w:val="00AB6370"/>
    <w:rsid w:val="00AC3EF6"/>
    <w:rsid w:val="00AE00EC"/>
    <w:rsid w:val="00B14E6B"/>
    <w:rsid w:val="00B254B3"/>
    <w:rsid w:val="00B871A5"/>
    <w:rsid w:val="00B91713"/>
    <w:rsid w:val="00BB37C8"/>
    <w:rsid w:val="00BC6B0E"/>
    <w:rsid w:val="00BE5002"/>
    <w:rsid w:val="00BF3E43"/>
    <w:rsid w:val="00C120F5"/>
    <w:rsid w:val="00C1426E"/>
    <w:rsid w:val="00C159A6"/>
    <w:rsid w:val="00C16F9F"/>
    <w:rsid w:val="00C17641"/>
    <w:rsid w:val="00C2015B"/>
    <w:rsid w:val="00C2586E"/>
    <w:rsid w:val="00C342DE"/>
    <w:rsid w:val="00C417E3"/>
    <w:rsid w:val="00C84716"/>
    <w:rsid w:val="00C84D78"/>
    <w:rsid w:val="00CB2C4E"/>
    <w:rsid w:val="00CE489F"/>
    <w:rsid w:val="00CE4FB7"/>
    <w:rsid w:val="00CF65A8"/>
    <w:rsid w:val="00D14891"/>
    <w:rsid w:val="00D17049"/>
    <w:rsid w:val="00D2564B"/>
    <w:rsid w:val="00D42813"/>
    <w:rsid w:val="00D4796E"/>
    <w:rsid w:val="00D60197"/>
    <w:rsid w:val="00D62BD4"/>
    <w:rsid w:val="00D7182D"/>
    <w:rsid w:val="00D76632"/>
    <w:rsid w:val="00D817A3"/>
    <w:rsid w:val="00D94A84"/>
    <w:rsid w:val="00DA57BD"/>
    <w:rsid w:val="00DC7438"/>
    <w:rsid w:val="00E06174"/>
    <w:rsid w:val="00E11D34"/>
    <w:rsid w:val="00E35065"/>
    <w:rsid w:val="00E516A4"/>
    <w:rsid w:val="00E60B8A"/>
    <w:rsid w:val="00E637DB"/>
    <w:rsid w:val="00E9397E"/>
    <w:rsid w:val="00E969CE"/>
    <w:rsid w:val="00E97D65"/>
    <w:rsid w:val="00EA6926"/>
    <w:rsid w:val="00EB39E1"/>
    <w:rsid w:val="00EB4DF9"/>
    <w:rsid w:val="00EB7E1F"/>
    <w:rsid w:val="00EC6752"/>
    <w:rsid w:val="00ED7E25"/>
    <w:rsid w:val="00EF56C7"/>
    <w:rsid w:val="00F06A8D"/>
    <w:rsid w:val="00F10C8B"/>
    <w:rsid w:val="00F44243"/>
    <w:rsid w:val="00F6765E"/>
    <w:rsid w:val="00F811C4"/>
    <w:rsid w:val="00FC62C2"/>
    <w:rsid w:val="00FC6852"/>
    <w:rsid w:val="00FD31E5"/>
    <w:rsid w:val="00FD4362"/>
    <w:rsid w:val="00FD4369"/>
    <w:rsid w:val="00FF2DC5"/>
    <w:rsid w:val="00FF423B"/>
    <w:rsid w:val="00FF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B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3F9"/>
  </w:style>
  <w:style w:type="paragraph" w:styleId="Heading1">
    <w:name w:val="heading 1"/>
    <w:basedOn w:val="Normal"/>
    <w:next w:val="Normal"/>
    <w:link w:val="Heading1Char"/>
    <w:uiPriority w:val="9"/>
    <w:qFormat/>
    <w:rsid w:val="008051D5"/>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aliases w:val="HCI_Heading 2,heading 2"/>
    <w:basedOn w:val="Normal"/>
    <w:next w:val="Normal"/>
    <w:link w:val="Heading2Char"/>
    <w:qFormat/>
    <w:rsid w:val="003B75B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EC6752"/>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164201"/>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F9"/>
  </w:style>
  <w:style w:type="paragraph" w:styleId="Footer">
    <w:name w:val="footer"/>
    <w:basedOn w:val="Normal"/>
    <w:link w:val="FooterChar"/>
    <w:unhideWhenUsed/>
    <w:rsid w:val="009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F9"/>
  </w:style>
  <w:style w:type="character" w:styleId="Hyperlink">
    <w:name w:val="Hyperlink"/>
    <w:basedOn w:val="DefaultParagraphFont"/>
    <w:uiPriority w:val="99"/>
    <w:unhideWhenUsed/>
    <w:rsid w:val="009633F9"/>
    <w:rPr>
      <w:color w:val="0563C1" w:themeColor="hyperlink"/>
      <w:u w:val="single"/>
    </w:rPr>
  </w:style>
  <w:style w:type="character" w:customStyle="1" w:styleId="Heading6Char">
    <w:name w:val="Heading 6 Char"/>
    <w:basedOn w:val="DefaultParagraphFont"/>
    <w:link w:val="Heading6"/>
    <w:rsid w:val="00164201"/>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rsid w:val="008051D5"/>
    <w:rPr>
      <w:rFonts w:ascii="Times New Roman" w:eastAsiaTheme="majorEastAsia" w:hAnsi="Times New Roman" w:cstheme="majorBidi"/>
      <w:b/>
      <w:bCs/>
      <w:sz w:val="24"/>
      <w:szCs w:val="28"/>
    </w:rPr>
  </w:style>
  <w:style w:type="character" w:customStyle="1" w:styleId="Heading2Char">
    <w:name w:val="Heading 2 Char"/>
    <w:aliases w:val="HCI_Heading 2 Char,heading 2 Char"/>
    <w:basedOn w:val="DefaultParagraphFont"/>
    <w:link w:val="Heading2"/>
    <w:rsid w:val="003B75B0"/>
    <w:rPr>
      <w:rFonts w:ascii="Arial" w:eastAsia="Times New Roman" w:hAnsi="Arial" w:cs="Arial"/>
      <w:b/>
      <w:bCs/>
      <w:i/>
      <w:iCs/>
      <w:sz w:val="28"/>
      <w:szCs w:val="28"/>
    </w:rPr>
  </w:style>
  <w:style w:type="paragraph" w:styleId="NormalWeb">
    <w:name w:val="Normal (Web)"/>
    <w:basedOn w:val="Normal"/>
    <w:link w:val="NormalWebChar"/>
    <w:rsid w:val="003B75B0"/>
    <w:pPr>
      <w:spacing w:before="100" w:beforeAutospacing="1" w:after="100" w:afterAutospacing="1" w:line="270" w:lineRule="atLeast"/>
    </w:pPr>
    <w:rPr>
      <w:rFonts w:ascii="Georgia" w:eastAsia="Arial Unicode MS" w:hAnsi="Georgia" w:cs="Arial Unicode MS"/>
      <w:sz w:val="21"/>
      <w:szCs w:val="21"/>
    </w:rPr>
  </w:style>
  <w:style w:type="paragraph" w:styleId="BodyText3">
    <w:name w:val="Body Text 3"/>
    <w:basedOn w:val="Normal"/>
    <w:link w:val="BodyText3Char"/>
    <w:rsid w:val="003B75B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75B0"/>
    <w:rPr>
      <w:rFonts w:ascii="Times New Roman" w:eastAsia="Times New Roman" w:hAnsi="Times New Roman" w:cs="Times New Roman"/>
      <w:sz w:val="16"/>
      <w:szCs w:val="16"/>
    </w:rPr>
  </w:style>
  <w:style w:type="character" w:customStyle="1" w:styleId="NormalWebChar">
    <w:name w:val="Normal (Web) Char"/>
    <w:link w:val="NormalWeb"/>
    <w:rsid w:val="003B75B0"/>
    <w:rPr>
      <w:rFonts w:ascii="Georgia" w:eastAsia="Arial Unicode MS" w:hAnsi="Georgia" w:cs="Arial Unicode MS"/>
      <w:sz w:val="21"/>
      <w:szCs w:val="21"/>
    </w:rPr>
  </w:style>
  <w:style w:type="character" w:customStyle="1" w:styleId="Heading3Char">
    <w:name w:val="Heading 3 Char"/>
    <w:basedOn w:val="DefaultParagraphFont"/>
    <w:link w:val="Heading3"/>
    <w:uiPriority w:val="9"/>
    <w:rsid w:val="00EC6752"/>
    <w:rPr>
      <w:rFonts w:asciiTheme="majorHAnsi" w:eastAsiaTheme="majorEastAsia" w:hAnsiTheme="majorHAnsi" w:cstheme="majorBidi"/>
      <w:b/>
      <w:bCs/>
      <w:color w:val="5B9BD5" w:themeColor="accent1"/>
    </w:rPr>
  </w:style>
  <w:style w:type="character" w:customStyle="1" w:styleId="un">
    <w:name w:val="u_n"/>
    <w:basedOn w:val="DefaultParagraphFont"/>
    <w:rsid w:val="00782808"/>
  </w:style>
  <w:style w:type="character" w:styleId="CommentReference">
    <w:name w:val="annotation reference"/>
    <w:basedOn w:val="DefaultParagraphFont"/>
    <w:uiPriority w:val="99"/>
    <w:unhideWhenUsed/>
    <w:rsid w:val="00066777"/>
    <w:rPr>
      <w:sz w:val="16"/>
      <w:szCs w:val="16"/>
    </w:rPr>
  </w:style>
  <w:style w:type="paragraph" w:styleId="CommentText">
    <w:name w:val="annotation text"/>
    <w:basedOn w:val="Normal"/>
    <w:link w:val="CommentTextChar"/>
    <w:uiPriority w:val="99"/>
    <w:unhideWhenUsed/>
    <w:rsid w:val="00066777"/>
    <w:pPr>
      <w:spacing w:line="240" w:lineRule="auto"/>
    </w:pPr>
    <w:rPr>
      <w:sz w:val="20"/>
      <w:szCs w:val="20"/>
    </w:rPr>
  </w:style>
  <w:style w:type="character" w:customStyle="1" w:styleId="CommentTextChar">
    <w:name w:val="Comment Text Char"/>
    <w:basedOn w:val="DefaultParagraphFont"/>
    <w:link w:val="CommentText"/>
    <w:uiPriority w:val="99"/>
    <w:rsid w:val="00066777"/>
    <w:rPr>
      <w:sz w:val="20"/>
      <w:szCs w:val="20"/>
    </w:rPr>
  </w:style>
  <w:style w:type="paragraph" w:styleId="CommentSubject">
    <w:name w:val="annotation subject"/>
    <w:basedOn w:val="CommentText"/>
    <w:next w:val="CommentText"/>
    <w:link w:val="CommentSubjectChar"/>
    <w:uiPriority w:val="99"/>
    <w:semiHidden/>
    <w:unhideWhenUsed/>
    <w:rsid w:val="00066777"/>
    <w:rPr>
      <w:b/>
      <w:bCs/>
    </w:rPr>
  </w:style>
  <w:style w:type="character" w:customStyle="1" w:styleId="CommentSubjectChar">
    <w:name w:val="Comment Subject Char"/>
    <w:basedOn w:val="CommentTextChar"/>
    <w:link w:val="CommentSubject"/>
    <w:uiPriority w:val="99"/>
    <w:semiHidden/>
    <w:rsid w:val="00066777"/>
    <w:rPr>
      <w:b/>
      <w:bCs/>
      <w:sz w:val="20"/>
      <w:szCs w:val="20"/>
    </w:rPr>
  </w:style>
  <w:style w:type="paragraph" w:styleId="BalloonText">
    <w:name w:val="Balloon Text"/>
    <w:basedOn w:val="Normal"/>
    <w:link w:val="BalloonTextChar"/>
    <w:uiPriority w:val="99"/>
    <w:semiHidden/>
    <w:unhideWhenUsed/>
    <w:rsid w:val="0006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77"/>
    <w:rPr>
      <w:rFonts w:ascii="Segoe UI" w:hAnsi="Segoe UI" w:cs="Segoe UI"/>
      <w:sz w:val="18"/>
      <w:szCs w:val="18"/>
    </w:rPr>
  </w:style>
  <w:style w:type="paragraph" w:styleId="ListParagraph">
    <w:name w:val="List Paragraph"/>
    <w:basedOn w:val="Normal"/>
    <w:uiPriority w:val="34"/>
    <w:qFormat/>
    <w:rsid w:val="0031477D"/>
    <w:pPr>
      <w:ind w:left="720"/>
      <w:contextualSpacing/>
    </w:pPr>
  </w:style>
  <w:style w:type="paragraph" w:customStyle="1" w:styleId="Revision1">
    <w:name w:val="Revision1"/>
    <w:hidden/>
    <w:uiPriority w:val="99"/>
    <w:semiHidden/>
    <w:qFormat/>
    <w:rsid w:val="00137058"/>
    <w:pPr>
      <w:spacing w:after="0" w:line="240" w:lineRule="auto"/>
    </w:pPr>
    <w:rPr>
      <w:lang w:val="en-GB"/>
    </w:rPr>
  </w:style>
  <w:style w:type="character" w:customStyle="1" w:styleId="UnresolvedMention1">
    <w:name w:val="Unresolved Mention1"/>
    <w:basedOn w:val="DefaultParagraphFont"/>
    <w:uiPriority w:val="99"/>
    <w:semiHidden/>
    <w:unhideWhenUsed/>
    <w:rsid w:val="003555C3"/>
    <w:rPr>
      <w:color w:val="605E5C"/>
      <w:shd w:val="clear" w:color="auto" w:fill="E1DFDD"/>
    </w:rPr>
  </w:style>
  <w:style w:type="paragraph" w:styleId="Bibliography">
    <w:name w:val="Bibliography"/>
    <w:basedOn w:val="Normal"/>
    <w:next w:val="Normal"/>
    <w:uiPriority w:val="37"/>
    <w:unhideWhenUsed/>
    <w:rsid w:val="005D7386"/>
    <w:pPr>
      <w:spacing w:after="0" w:line="480" w:lineRule="auto"/>
      <w:ind w:left="720" w:hanging="720"/>
    </w:pPr>
  </w:style>
  <w:style w:type="character" w:customStyle="1" w:styleId="UnresolvedMention2">
    <w:name w:val="Unresolved Mention2"/>
    <w:basedOn w:val="DefaultParagraphFont"/>
    <w:uiPriority w:val="99"/>
    <w:semiHidden/>
    <w:unhideWhenUsed/>
    <w:rsid w:val="00633A52"/>
    <w:rPr>
      <w:color w:val="605E5C"/>
      <w:shd w:val="clear" w:color="auto" w:fill="E1DFDD"/>
    </w:rPr>
  </w:style>
  <w:style w:type="table" w:customStyle="1" w:styleId="TableGrid1">
    <w:name w:val="Table Grid1"/>
    <w:basedOn w:val="TableNormal"/>
    <w:next w:val="TableGrid"/>
    <w:uiPriority w:val="39"/>
    <w:rsid w:val="008F24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869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3F9"/>
  </w:style>
  <w:style w:type="paragraph" w:styleId="Heading1">
    <w:name w:val="heading 1"/>
    <w:basedOn w:val="Normal"/>
    <w:next w:val="Normal"/>
    <w:link w:val="Heading1Char"/>
    <w:uiPriority w:val="9"/>
    <w:qFormat/>
    <w:rsid w:val="008051D5"/>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aliases w:val="HCI_Heading 2,heading 2"/>
    <w:basedOn w:val="Normal"/>
    <w:next w:val="Normal"/>
    <w:link w:val="Heading2Char"/>
    <w:qFormat/>
    <w:rsid w:val="003B75B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EC6752"/>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qFormat/>
    <w:rsid w:val="00164201"/>
    <w:pPr>
      <w:keepNext/>
      <w:spacing w:after="0" w:line="240" w:lineRule="auto"/>
      <w:jc w:val="center"/>
      <w:outlineLvl w:val="5"/>
    </w:pPr>
    <w:rPr>
      <w:rFonts w:ascii="Arial Black" w:eastAsia="Times New Roman" w:hAnsi="Arial Black"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F9"/>
  </w:style>
  <w:style w:type="paragraph" w:styleId="Footer">
    <w:name w:val="footer"/>
    <w:basedOn w:val="Normal"/>
    <w:link w:val="FooterChar"/>
    <w:unhideWhenUsed/>
    <w:rsid w:val="00963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3F9"/>
  </w:style>
  <w:style w:type="character" w:styleId="Hyperlink">
    <w:name w:val="Hyperlink"/>
    <w:basedOn w:val="DefaultParagraphFont"/>
    <w:uiPriority w:val="99"/>
    <w:unhideWhenUsed/>
    <w:rsid w:val="009633F9"/>
    <w:rPr>
      <w:color w:val="0563C1" w:themeColor="hyperlink"/>
      <w:u w:val="single"/>
    </w:rPr>
  </w:style>
  <w:style w:type="character" w:customStyle="1" w:styleId="Heading6Char">
    <w:name w:val="Heading 6 Char"/>
    <w:basedOn w:val="DefaultParagraphFont"/>
    <w:link w:val="Heading6"/>
    <w:rsid w:val="00164201"/>
    <w:rPr>
      <w:rFonts w:ascii="Arial Black" w:eastAsia="Times New Roman" w:hAnsi="Arial Black" w:cs="Times New Roman"/>
      <w:sz w:val="32"/>
      <w:szCs w:val="24"/>
    </w:rPr>
  </w:style>
  <w:style w:type="character" w:customStyle="1" w:styleId="Heading1Char">
    <w:name w:val="Heading 1 Char"/>
    <w:basedOn w:val="DefaultParagraphFont"/>
    <w:link w:val="Heading1"/>
    <w:uiPriority w:val="9"/>
    <w:rsid w:val="008051D5"/>
    <w:rPr>
      <w:rFonts w:ascii="Times New Roman" w:eastAsiaTheme="majorEastAsia" w:hAnsi="Times New Roman" w:cstheme="majorBidi"/>
      <w:b/>
      <w:bCs/>
      <w:sz w:val="24"/>
      <w:szCs w:val="28"/>
    </w:rPr>
  </w:style>
  <w:style w:type="character" w:customStyle="1" w:styleId="Heading2Char">
    <w:name w:val="Heading 2 Char"/>
    <w:aliases w:val="HCI_Heading 2 Char,heading 2 Char"/>
    <w:basedOn w:val="DefaultParagraphFont"/>
    <w:link w:val="Heading2"/>
    <w:rsid w:val="003B75B0"/>
    <w:rPr>
      <w:rFonts w:ascii="Arial" w:eastAsia="Times New Roman" w:hAnsi="Arial" w:cs="Arial"/>
      <w:b/>
      <w:bCs/>
      <w:i/>
      <w:iCs/>
      <w:sz w:val="28"/>
      <w:szCs w:val="28"/>
    </w:rPr>
  </w:style>
  <w:style w:type="paragraph" w:styleId="NormalWeb">
    <w:name w:val="Normal (Web)"/>
    <w:basedOn w:val="Normal"/>
    <w:link w:val="NormalWebChar"/>
    <w:rsid w:val="003B75B0"/>
    <w:pPr>
      <w:spacing w:before="100" w:beforeAutospacing="1" w:after="100" w:afterAutospacing="1" w:line="270" w:lineRule="atLeast"/>
    </w:pPr>
    <w:rPr>
      <w:rFonts w:ascii="Georgia" w:eastAsia="Arial Unicode MS" w:hAnsi="Georgia" w:cs="Arial Unicode MS"/>
      <w:sz w:val="21"/>
      <w:szCs w:val="21"/>
    </w:rPr>
  </w:style>
  <w:style w:type="paragraph" w:styleId="BodyText3">
    <w:name w:val="Body Text 3"/>
    <w:basedOn w:val="Normal"/>
    <w:link w:val="BodyText3Char"/>
    <w:rsid w:val="003B75B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75B0"/>
    <w:rPr>
      <w:rFonts w:ascii="Times New Roman" w:eastAsia="Times New Roman" w:hAnsi="Times New Roman" w:cs="Times New Roman"/>
      <w:sz w:val="16"/>
      <w:szCs w:val="16"/>
    </w:rPr>
  </w:style>
  <w:style w:type="character" w:customStyle="1" w:styleId="NormalWebChar">
    <w:name w:val="Normal (Web) Char"/>
    <w:link w:val="NormalWeb"/>
    <w:rsid w:val="003B75B0"/>
    <w:rPr>
      <w:rFonts w:ascii="Georgia" w:eastAsia="Arial Unicode MS" w:hAnsi="Georgia" w:cs="Arial Unicode MS"/>
      <w:sz w:val="21"/>
      <w:szCs w:val="21"/>
    </w:rPr>
  </w:style>
  <w:style w:type="character" w:customStyle="1" w:styleId="Heading3Char">
    <w:name w:val="Heading 3 Char"/>
    <w:basedOn w:val="DefaultParagraphFont"/>
    <w:link w:val="Heading3"/>
    <w:uiPriority w:val="9"/>
    <w:rsid w:val="00EC6752"/>
    <w:rPr>
      <w:rFonts w:asciiTheme="majorHAnsi" w:eastAsiaTheme="majorEastAsia" w:hAnsiTheme="majorHAnsi" w:cstheme="majorBidi"/>
      <w:b/>
      <w:bCs/>
      <w:color w:val="5B9BD5" w:themeColor="accent1"/>
    </w:rPr>
  </w:style>
  <w:style w:type="character" w:customStyle="1" w:styleId="un">
    <w:name w:val="u_n"/>
    <w:basedOn w:val="DefaultParagraphFont"/>
    <w:rsid w:val="00782808"/>
  </w:style>
  <w:style w:type="character" w:styleId="CommentReference">
    <w:name w:val="annotation reference"/>
    <w:basedOn w:val="DefaultParagraphFont"/>
    <w:uiPriority w:val="99"/>
    <w:unhideWhenUsed/>
    <w:rsid w:val="00066777"/>
    <w:rPr>
      <w:sz w:val="16"/>
      <w:szCs w:val="16"/>
    </w:rPr>
  </w:style>
  <w:style w:type="paragraph" w:styleId="CommentText">
    <w:name w:val="annotation text"/>
    <w:basedOn w:val="Normal"/>
    <w:link w:val="CommentTextChar"/>
    <w:uiPriority w:val="99"/>
    <w:unhideWhenUsed/>
    <w:rsid w:val="00066777"/>
    <w:pPr>
      <w:spacing w:line="240" w:lineRule="auto"/>
    </w:pPr>
    <w:rPr>
      <w:sz w:val="20"/>
      <w:szCs w:val="20"/>
    </w:rPr>
  </w:style>
  <w:style w:type="character" w:customStyle="1" w:styleId="CommentTextChar">
    <w:name w:val="Comment Text Char"/>
    <w:basedOn w:val="DefaultParagraphFont"/>
    <w:link w:val="CommentText"/>
    <w:uiPriority w:val="99"/>
    <w:rsid w:val="00066777"/>
    <w:rPr>
      <w:sz w:val="20"/>
      <w:szCs w:val="20"/>
    </w:rPr>
  </w:style>
  <w:style w:type="paragraph" w:styleId="CommentSubject">
    <w:name w:val="annotation subject"/>
    <w:basedOn w:val="CommentText"/>
    <w:next w:val="CommentText"/>
    <w:link w:val="CommentSubjectChar"/>
    <w:uiPriority w:val="99"/>
    <w:semiHidden/>
    <w:unhideWhenUsed/>
    <w:rsid w:val="00066777"/>
    <w:rPr>
      <w:b/>
      <w:bCs/>
    </w:rPr>
  </w:style>
  <w:style w:type="character" w:customStyle="1" w:styleId="CommentSubjectChar">
    <w:name w:val="Comment Subject Char"/>
    <w:basedOn w:val="CommentTextChar"/>
    <w:link w:val="CommentSubject"/>
    <w:uiPriority w:val="99"/>
    <w:semiHidden/>
    <w:rsid w:val="00066777"/>
    <w:rPr>
      <w:b/>
      <w:bCs/>
      <w:sz w:val="20"/>
      <w:szCs w:val="20"/>
    </w:rPr>
  </w:style>
  <w:style w:type="paragraph" w:styleId="BalloonText">
    <w:name w:val="Balloon Text"/>
    <w:basedOn w:val="Normal"/>
    <w:link w:val="BalloonTextChar"/>
    <w:uiPriority w:val="99"/>
    <w:semiHidden/>
    <w:unhideWhenUsed/>
    <w:rsid w:val="00066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77"/>
    <w:rPr>
      <w:rFonts w:ascii="Segoe UI" w:hAnsi="Segoe UI" w:cs="Segoe UI"/>
      <w:sz w:val="18"/>
      <w:szCs w:val="18"/>
    </w:rPr>
  </w:style>
  <w:style w:type="paragraph" w:styleId="ListParagraph">
    <w:name w:val="List Paragraph"/>
    <w:basedOn w:val="Normal"/>
    <w:uiPriority w:val="34"/>
    <w:qFormat/>
    <w:rsid w:val="0031477D"/>
    <w:pPr>
      <w:ind w:left="720"/>
      <w:contextualSpacing/>
    </w:pPr>
  </w:style>
  <w:style w:type="paragraph" w:customStyle="1" w:styleId="Revision1">
    <w:name w:val="Revision1"/>
    <w:hidden/>
    <w:uiPriority w:val="99"/>
    <w:semiHidden/>
    <w:qFormat/>
    <w:rsid w:val="00137058"/>
    <w:pPr>
      <w:spacing w:after="0" w:line="240" w:lineRule="auto"/>
    </w:pPr>
    <w:rPr>
      <w:lang w:val="en-GB"/>
    </w:rPr>
  </w:style>
  <w:style w:type="character" w:customStyle="1" w:styleId="UnresolvedMention1">
    <w:name w:val="Unresolved Mention1"/>
    <w:basedOn w:val="DefaultParagraphFont"/>
    <w:uiPriority w:val="99"/>
    <w:semiHidden/>
    <w:unhideWhenUsed/>
    <w:rsid w:val="003555C3"/>
    <w:rPr>
      <w:color w:val="605E5C"/>
      <w:shd w:val="clear" w:color="auto" w:fill="E1DFDD"/>
    </w:rPr>
  </w:style>
  <w:style w:type="paragraph" w:styleId="Bibliography">
    <w:name w:val="Bibliography"/>
    <w:basedOn w:val="Normal"/>
    <w:next w:val="Normal"/>
    <w:uiPriority w:val="37"/>
    <w:unhideWhenUsed/>
    <w:rsid w:val="005D7386"/>
    <w:pPr>
      <w:spacing w:after="0" w:line="480" w:lineRule="auto"/>
      <w:ind w:left="720" w:hanging="720"/>
    </w:pPr>
  </w:style>
  <w:style w:type="character" w:customStyle="1" w:styleId="UnresolvedMention2">
    <w:name w:val="Unresolved Mention2"/>
    <w:basedOn w:val="DefaultParagraphFont"/>
    <w:uiPriority w:val="99"/>
    <w:semiHidden/>
    <w:unhideWhenUsed/>
    <w:rsid w:val="00633A52"/>
    <w:rPr>
      <w:color w:val="605E5C"/>
      <w:shd w:val="clear" w:color="auto" w:fill="E1DFDD"/>
    </w:rPr>
  </w:style>
  <w:style w:type="table" w:customStyle="1" w:styleId="TableGrid1">
    <w:name w:val="Table Grid1"/>
    <w:basedOn w:val="TableNormal"/>
    <w:next w:val="TableGrid"/>
    <w:uiPriority w:val="39"/>
    <w:rsid w:val="008F24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2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86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14494">
      <w:bodyDiv w:val="1"/>
      <w:marLeft w:val="0"/>
      <w:marRight w:val="0"/>
      <w:marTop w:val="0"/>
      <w:marBottom w:val="0"/>
      <w:divBdr>
        <w:top w:val="none" w:sz="0" w:space="0" w:color="auto"/>
        <w:left w:val="none" w:sz="0" w:space="0" w:color="auto"/>
        <w:bottom w:val="none" w:sz="0" w:space="0" w:color="auto"/>
        <w:right w:val="none" w:sz="0" w:space="0" w:color="auto"/>
      </w:divBdr>
      <w:divsChild>
        <w:div w:id="1742829933">
          <w:marLeft w:val="0"/>
          <w:marRight w:val="0"/>
          <w:marTop w:val="0"/>
          <w:marBottom w:val="0"/>
          <w:divBdr>
            <w:top w:val="none" w:sz="0" w:space="0" w:color="auto"/>
            <w:left w:val="none" w:sz="0" w:space="0" w:color="auto"/>
            <w:bottom w:val="none" w:sz="0" w:space="0" w:color="auto"/>
            <w:right w:val="none" w:sz="0" w:space="0" w:color="auto"/>
          </w:divBdr>
          <w:divsChild>
            <w:div w:id="1851604335">
              <w:marLeft w:val="0"/>
              <w:marRight w:val="0"/>
              <w:marTop w:val="0"/>
              <w:marBottom w:val="0"/>
              <w:divBdr>
                <w:top w:val="none" w:sz="0" w:space="0" w:color="auto"/>
                <w:left w:val="none" w:sz="0" w:space="0" w:color="auto"/>
                <w:bottom w:val="none" w:sz="0" w:space="0" w:color="auto"/>
                <w:right w:val="none" w:sz="0" w:space="0" w:color="auto"/>
              </w:divBdr>
              <w:divsChild>
                <w:div w:id="1208569087">
                  <w:marLeft w:val="0"/>
                  <w:marRight w:val="0"/>
                  <w:marTop w:val="0"/>
                  <w:marBottom w:val="0"/>
                  <w:divBdr>
                    <w:top w:val="none" w:sz="0" w:space="0" w:color="auto"/>
                    <w:left w:val="none" w:sz="0" w:space="0" w:color="auto"/>
                    <w:bottom w:val="none" w:sz="0" w:space="0" w:color="auto"/>
                    <w:right w:val="none" w:sz="0" w:space="0" w:color="auto"/>
                  </w:divBdr>
                  <w:divsChild>
                    <w:div w:id="296112616">
                      <w:marLeft w:val="0"/>
                      <w:marRight w:val="0"/>
                      <w:marTop w:val="0"/>
                      <w:marBottom w:val="0"/>
                      <w:divBdr>
                        <w:top w:val="none" w:sz="0" w:space="0" w:color="auto"/>
                        <w:left w:val="none" w:sz="0" w:space="0" w:color="auto"/>
                        <w:bottom w:val="none" w:sz="0" w:space="0" w:color="auto"/>
                        <w:right w:val="none" w:sz="0" w:space="0" w:color="auto"/>
                      </w:divBdr>
                      <w:divsChild>
                        <w:div w:id="811796127">
                          <w:marLeft w:val="0"/>
                          <w:marRight w:val="0"/>
                          <w:marTop w:val="0"/>
                          <w:marBottom w:val="0"/>
                          <w:divBdr>
                            <w:top w:val="none" w:sz="0" w:space="0" w:color="auto"/>
                            <w:left w:val="none" w:sz="0" w:space="0" w:color="auto"/>
                            <w:bottom w:val="none" w:sz="0" w:space="0" w:color="auto"/>
                            <w:right w:val="none" w:sz="0" w:space="0" w:color="auto"/>
                          </w:divBdr>
                          <w:divsChild>
                            <w:div w:id="1899314241">
                              <w:marLeft w:val="0"/>
                              <w:marRight w:val="0"/>
                              <w:marTop w:val="0"/>
                              <w:marBottom w:val="0"/>
                              <w:divBdr>
                                <w:top w:val="none" w:sz="0" w:space="0" w:color="auto"/>
                                <w:left w:val="none" w:sz="0" w:space="0" w:color="auto"/>
                                <w:bottom w:val="none" w:sz="0" w:space="0" w:color="auto"/>
                                <w:right w:val="none" w:sz="0" w:space="0" w:color="auto"/>
                              </w:divBdr>
                              <w:divsChild>
                                <w:div w:id="1662001357">
                                  <w:marLeft w:val="0"/>
                                  <w:marRight w:val="0"/>
                                  <w:marTop w:val="0"/>
                                  <w:marBottom w:val="0"/>
                                  <w:divBdr>
                                    <w:top w:val="none" w:sz="0" w:space="0" w:color="auto"/>
                                    <w:left w:val="none" w:sz="0" w:space="0" w:color="auto"/>
                                    <w:bottom w:val="none" w:sz="0" w:space="0" w:color="auto"/>
                                    <w:right w:val="none" w:sz="0" w:space="0" w:color="auto"/>
                                  </w:divBdr>
                                  <w:divsChild>
                                    <w:div w:id="1137841436">
                                      <w:marLeft w:val="0"/>
                                      <w:marRight w:val="0"/>
                                      <w:marTop w:val="0"/>
                                      <w:marBottom w:val="0"/>
                                      <w:divBdr>
                                        <w:top w:val="none" w:sz="0" w:space="0" w:color="auto"/>
                                        <w:left w:val="none" w:sz="0" w:space="0" w:color="auto"/>
                                        <w:bottom w:val="none" w:sz="0" w:space="0" w:color="auto"/>
                                        <w:right w:val="none" w:sz="0" w:space="0" w:color="auto"/>
                                      </w:divBdr>
                                      <w:divsChild>
                                        <w:div w:id="1835998398">
                                          <w:marLeft w:val="0"/>
                                          <w:marRight w:val="0"/>
                                          <w:marTop w:val="0"/>
                                          <w:marBottom w:val="0"/>
                                          <w:divBdr>
                                            <w:top w:val="none" w:sz="0" w:space="0" w:color="auto"/>
                                            <w:left w:val="none" w:sz="0" w:space="0" w:color="auto"/>
                                            <w:bottom w:val="none" w:sz="0" w:space="0" w:color="auto"/>
                                            <w:right w:val="none" w:sz="0" w:space="0" w:color="auto"/>
                                          </w:divBdr>
                                          <w:divsChild>
                                            <w:div w:id="5613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214552">
          <w:marLeft w:val="0"/>
          <w:marRight w:val="0"/>
          <w:marTop w:val="0"/>
          <w:marBottom w:val="0"/>
          <w:divBdr>
            <w:top w:val="none" w:sz="0" w:space="0" w:color="auto"/>
            <w:left w:val="none" w:sz="0" w:space="0" w:color="auto"/>
            <w:bottom w:val="none" w:sz="0" w:space="0" w:color="auto"/>
            <w:right w:val="none" w:sz="0" w:space="0" w:color="auto"/>
          </w:divBdr>
          <w:divsChild>
            <w:div w:id="1994724088">
              <w:marLeft w:val="0"/>
              <w:marRight w:val="0"/>
              <w:marTop w:val="0"/>
              <w:marBottom w:val="0"/>
              <w:divBdr>
                <w:top w:val="none" w:sz="0" w:space="0" w:color="auto"/>
                <w:left w:val="none" w:sz="0" w:space="0" w:color="auto"/>
                <w:bottom w:val="none" w:sz="0" w:space="0" w:color="auto"/>
                <w:right w:val="none" w:sz="0" w:space="0" w:color="auto"/>
              </w:divBdr>
              <w:divsChild>
                <w:div w:id="2041974289">
                  <w:marLeft w:val="0"/>
                  <w:marRight w:val="0"/>
                  <w:marTop w:val="0"/>
                  <w:marBottom w:val="0"/>
                  <w:divBdr>
                    <w:top w:val="none" w:sz="0" w:space="0" w:color="auto"/>
                    <w:left w:val="none" w:sz="0" w:space="0" w:color="auto"/>
                    <w:bottom w:val="none" w:sz="0" w:space="0" w:color="auto"/>
                    <w:right w:val="none" w:sz="0" w:space="0" w:color="auto"/>
                  </w:divBdr>
                  <w:divsChild>
                    <w:div w:id="251205306">
                      <w:marLeft w:val="0"/>
                      <w:marRight w:val="0"/>
                      <w:marTop w:val="0"/>
                      <w:marBottom w:val="0"/>
                      <w:divBdr>
                        <w:top w:val="none" w:sz="0" w:space="0" w:color="auto"/>
                        <w:left w:val="none" w:sz="0" w:space="0" w:color="auto"/>
                        <w:bottom w:val="none" w:sz="0" w:space="0" w:color="auto"/>
                        <w:right w:val="none" w:sz="0" w:space="0" w:color="auto"/>
                      </w:divBdr>
                      <w:divsChild>
                        <w:div w:id="1509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1925">
                  <w:marLeft w:val="0"/>
                  <w:marRight w:val="0"/>
                  <w:marTop w:val="0"/>
                  <w:marBottom w:val="0"/>
                  <w:divBdr>
                    <w:top w:val="none" w:sz="0" w:space="0" w:color="auto"/>
                    <w:left w:val="none" w:sz="0" w:space="0" w:color="auto"/>
                    <w:bottom w:val="none" w:sz="0" w:space="0" w:color="auto"/>
                    <w:right w:val="none" w:sz="0" w:space="0" w:color="auto"/>
                  </w:divBdr>
                  <w:divsChild>
                    <w:div w:id="676006707">
                      <w:marLeft w:val="0"/>
                      <w:marRight w:val="0"/>
                      <w:marTop w:val="0"/>
                      <w:marBottom w:val="0"/>
                      <w:divBdr>
                        <w:top w:val="none" w:sz="0" w:space="0" w:color="auto"/>
                        <w:left w:val="none" w:sz="0" w:space="0" w:color="auto"/>
                        <w:bottom w:val="none" w:sz="0" w:space="0" w:color="auto"/>
                        <w:right w:val="none" w:sz="0" w:space="0" w:color="auto"/>
                      </w:divBdr>
                      <w:divsChild>
                        <w:div w:id="815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71208">
          <w:marLeft w:val="0"/>
          <w:marRight w:val="0"/>
          <w:marTop w:val="0"/>
          <w:marBottom w:val="0"/>
          <w:divBdr>
            <w:top w:val="none" w:sz="0" w:space="0" w:color="auto"/>
            <w:left w:val="none" w:sz="0" w:space="0" w:color="auto"/>
            <w:bottom w:val="none" w:sz="0" w:space="0" w:color="auto"/>
            <w:right w:val="none" w:sz="0" w:space="0" w:color="auto"/>
          </w:divBdr>
          <w:divsChild>
            <w:div w:id="1449158521">
              <w:marLeft w:val="0"/>
              <w:marRight w:val="0"/>
              <w:marTop w:val="0"/>
              <w:marBottom w:val="0"/>
              <w:divBdr>
                <w:top w:val="none" w:sz="0" w:space="0" w:color="auto"/>
                <w:left w:val="none" w:sz="0" w:space="0" w:color="auto"/>
                <w:bottom w:val="none" w:sz="0" w:space="0" w:color="auto"/>
                <w:right w:val="none" w:sz="0" w:space="0" w:color="auto"/>
              </w:divBdr>
              <w:divsChild>
                <w:div w:id="1427457895">
                  <w:marLeft w:val="0"/>
                  <w:marRight w:val="0"/>
                  <w:marTop w:val="0"/>
                  <w:marBottom w:val="0"/>
                  <w:divBdr>
                    <w:top w:val="none" w:sz="0" w:space="0" w:color="auto"/>
                    <w:left w:val="none" w:sz="0" w:space="0" w:color="auto"/>
                    <w:bottom w:val="none" w:sz="0" w:space="0" w:color="auto"/>
                    <w:right w:val="none" w:sz="0" w:space="0" w:color="auto"/>
                  </w:divBdr>
                  <w:divsChild>
                    <w:div w:id="7806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76831">
          <w:marLeft w:val="0"/>
          <w:marRight w:val="0"/>
          <w:marTop w:val="0"/>
          <w:marBottom w:val="0"/>
          <w:divBdr>
            <w:top w:val="none" w:sz="0" w:space="0" w:color="auto"/>
            <w:left w:val="none" w:sz="0" w:space="0" w:color="auto"/>
            <w:bottom w:val="none" w:sz="0" w:space="0" w:color="auto"/>
            <w:right w:val="none" w:sz="0" w:space="0" w:color="auto"/>
          </w:divBdr>
          <w:divsChild>
            <w:div w:id="1235092794">
              <w:marLeft w:val="0"/>
              <w:marRight w:val="0"/>
              <w:marTop w:val="0"/>
              <w:marBottom w:val="0"/>
              <w:divBdr>
                <w:top w:val="none" w:sz="0" w:space="0" w:color="auto"/>
                <w:left w:val="none" w:sz="0" w:space="0" w:color="auto"/>
                <w:bottom w:val="none" w:sz="0" w:space="0" w:color="auto"/>
                <w:right w:val="none" w:sz="0" w:space="0" w:color="auto"/>
              </w:divBdr>
              <w:divsChild>
                <w:div w:id="416832784">
                  <w:marLeft w:val="0"/>
                  <w:marRight w:val="0"/>
                  <w:marTop w:val="0"/>
                  <w:marBottom w:val="0"/>
                  <w:divBdr>
                    <w:top w:val="none" w:sz="0" w:space="0" w:color="auto"/>
                    <w:left w:val="none" w:sz="0" w:space="0" w:color="auto"/>
                    <w:bottom w:val="none" w:sz="0" w:space="0" w:color="auto"/>
                    <w:right w:val="none" w:sz="0" w:space="0" w:color="auto"/>
                  </w:divBdr>
                  <w:divsChild>
                    <w:div w:id="6854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9551">
          <w:marLeft w:val="0"/>
          <w:marRight w:val="0"/>
          <w:marTop w:val="0"/>
          <w:marBottom w:val="0"/>
          <w:divBdr>
            <w:top w:val="none" w:sz="0" w:space="0" w:color="auto"/>
            <w:left w:val="none" w:sz="0" w:space="0" w:color="auto"/>
            <w:bottom w:val="none" w:sz="0" w:space="0" w:color="auto"/>
            <w:right w:val="none" w:sz="0" w:space="0" w:color="auto"/>
          </w:divBdr>
          <w:divsChild>
            <w:div w:id="1763717834">
              <w:marLeft w:val="0"/>
              <w:marRight w:val="0"/>
              <w:marTop w:val="0"/>
              <w:marBottom w:val="0"/>
              <w:divBdr>
                <w:top w:val="none" w:sz="0" w:space="0" w:color="auto"/>
                <w:left w:val="none" w:sz="0" w:space="0" w:color="auto"/>
                <w:bottom w:val="none" w:sz="0" w:space="0" w:color="auto"/>
                <w:right w:val="none" w:sz="0" w:space="0" w:color="auto"/>
              </w:divBdr>
              <w:divsChild>
                <w:div w:id="1746954045">
                  <w:marLeft w:val="0"/>
                  <w:marRight w:val="0"/>
                  <w:marTop w:val="0"/>
                  <w:marBottom w:val="0"/>
                  <w:divBdr>
                    <w:top w:val="none" w:sz="0" w:space="0" w:color="auto"/>
                    <w:left w:val="none" w:sz="0" w:space="0" w:color="auto"/>
                    <w:bottom w:val="none" w:sz="0" w:space="0" w:color="auto"/>
                    <w:right w:val="none" w:sz="0" w:space="0" w:color="auto"/>
                  </w:divBdr>
                  <w:divsChild>
                    <w:div w:id="1295259772">
                      <w:marLeft w:val="0"/>
                      <w:marRight w:val="0"/>
                      <w:marTop w:val="0"/>
                      <w:marBottom w:val="0"/>
                      <w:divBdr>
                        <w:top w:val="none" w:sz="0" w:space="0" w:color="auto"/>
                        <w:left w:val="none" w:sz="0" w:space="0" w:color="auto"/>
                        <w:bottom w:val="none" w:sz="0" w:space="0" w:color="auto"/>
                        <w:right w:val="none" w:sz="0" w:space="0" w:color="auto"/>
                      </w:divBdr>
                    </w:div>
                  </w:divsChild>
                </w:div>
                <w:div w:id="1138037944">
                  <w:marLeft w:val="0"/>
                  <w:marRight w:val="0"/>
                  <w:marTop w:val="0"/>
                  <w:marBottom w:val="0"/>
                  <w:divBdr>
                    <w:top w:val="none" w:sz="0" w:space="0" w:color="auto"/>
                    <w:left w:val="none" w:sz="0" w:space="0" w:color="auto"/>
                    <w:bottom w:val="none" w:sz="0" w:space="0" w:color="auto"/>
                    <w:right w:val="none" w:sz="0" w:space="0" w:color="auto"/>
                  </w:divBdr>
                  <w:divsChild>
                    <w:div w:id="7796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9812">
          <w:marLeft w:val="0"/>
          <w:marRight w:val="0"/>
          <w:marTop w:val="0"/>
          <w:marBottom w:val="0"/>
          <w:divBdr>
            <w:top w:val="none" w:sz="0" w:space="0" w:color="auto"/>
            <w:left w:val="none" w:sz="0" w:space="0" w:color="auto"/>
            <w:bottom w:val="none" w:sz="0" w:space="0" w:color="auto"/>
            <w:right w:val="none" w:sz="0" w:space="0" w:color="auto"/>
          </w:divBdr>
          <w:divsChild>
            <w:div w:id="648093149">
              <w:marLeft w:val="0"/>
              <w:marRight w:val="0"/>
              <w:marTop w:val="0"/>
              <w:marBottom w:val="0"/>
              <w:divBdr>
                <w:top w:val="none" w:sz="0" w:space="0" w:color="auto"/>
                <w:left w:val="none" w:sz="0" w:space="0" w:color="auto"/>
                <w:bottom w:val="none" w:sz="0" w:space="0" w:color="auto"/>
                <w:right w:val="none" w:sz="0" w:space="0" w:color="auto"/>
              </w:divBdr>
              <w:divsChild>
                <w:div w:id="1313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1568">
      <w:bodyDiv w:val="1"/>
      <w:marLeft w:val="0"/>
      <w:marRight w:val="0"/>
      <w:marTop w:val="0"/>
      <w:marBottom w:val="0"/>
      <w:divBdr>
        <w:top w:val="none" w:sz="0" w:space="0" w:color="auto"/>
        <w:left w:val="none" w:sz="0" w:space="0" w:color="auto"/>
        <w:bottom w:val="none" w:sz="0" w:space="0" w:color="auto"/>
        <w:right w:val="none" w:sz="0" w:space="0" w:color="auto"/>
      </w:divBdr>
    </w:div>
    <w:div w:id="848569715">
      <w:bodyDiv w:val="1"/>
      <w:marLeft w:val="0"/>
      <w:marRight w:val="0"/>
      <w:marTop w:val="0"/>
      <w:marBottom w:val="0"/>
      <w:divBdr>
        <w:top w:val="none" w:sz="0" w:space="0" w:color="auto"/>
        <w:left w:val="none" w:sz="0" w:space="0" w:color="auto"/>
        <w:bottom w:val="none" w:sz="0" w:space="0" w:color="auto"/>
        <w:right w:val="none" w:sz="0" w:space="0" w:color="auto"/>
      </w:divBdr>
      <w:divsChild>
        <w:div w:id="1803306567">
          <w:marLeft w:val="0"/>
          <w:marRight w:val="0"/>
          <w:marTop w:val="0"/>
          <w:marBottom w:val="0"/>
          <w:divBdr>
            <w:top w:val="none" w:sz="0" w:space="0" w:color="auto"/>
            <w:left w:val="none" w:sz="0" w:space="0" w:color="auto"/>
            <w:bottom w:val="none" w:sz="0" w:space="0" w:color="auto"/>
            <w:right w:val="none" w:sz="0" w:space="0" w:color="auto"/>
          </w:divBdr>
          <w:divsChild>
            <w:div w:id="1529946809">
              <w:marLeft w:val="0"/>
              <w:marRight w:val="0"/>
              <w:marTop w:val="0"/>
              <w:marBottom w:val="0"/>
              <w:divBdr>
                <w:top w:val="none" w:sz="0" w:space="0" w:color="auto"/>
                <w:left w:val="none" w:sz="0" w:space="0" w:color="auto"/>
                <w:bottom w:val="none" w:sz="0" w:space="0" w:color="auto"/>
                <w:right w:val="none" w:sz="0" w:space="0" w:color="auto"/>
              </w:divBdr>
              <w:divsChild>
                <w:div w:id="569464463">
                  <w:marLeft w:val="0"/>
                  <w:marRight w:val="0"/>
                  <w:marTop w:val="0"/>
                  <w:marBottom w:val="0"/>
                  <w:divBdr>
                    <w:top w:val="none" w:sz="0" w:space="0" w:color="auto"/>
                    <w:left w:val="none" w:sz="0" w:space="0" w:color="auto"/>
                    <w:bottom w:val="none" w:sz="0" w:space="0" w:color="auto"/>
                    <w:right w:val="none" w:sz="0" w:space="0" w:color="auto"/>
                  </w:divBdr>
                  <w:divsChild>
                    <w:div w:id="2075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78628">
              <w:marLeft w:val="0"/>
              <w:marRight w:val="0"/>
              <w:marTop w:val="0"/>
              <w:marBottom w:val="0"/>
              <w:divBdr>
                <w:top w:val="none" w:sz="0" w:space="0" w:color="auto"/>
                <w:left w:val="none" w:sz="0" w:space="0" w:color="auto"/>
                <w:bottom w:val="none" w:sz="0" w:space="0" w:color="auto"/>
                <w:right w:val="none" w:sz="0" w:space="0" w:color="auto"/>
              </w:divBdr>
              <w:divsChild>
                <w:div w:id="7530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77560">
      <w:bodyDiv w:val="1"/>
      <w:marLeft w:val="0"/>
      <w:marRight w:val="0"/>
      <w:marTop w:val="0"/>
      <w:marBottom w:val="0"/>
      <w:divBdr>
        <w:top w:val="none" w:sz="0" w:space="0" w:color="auto"/>
        <w:left w:val="none" w:sz="0" w:space="0" w:color="auto"/>
        <w:bottom w:val="none" w:sz="0" w:space="0" w:color="auto"/>
        <w:right w:val="none" w:sz="0" w:space="0" w:color="auto"/>
      </w:divBdr>
      <w:divsChild>
        <w:div w:id="771630416">
          <w:marLeft w:val="0"/>
          <w:marRight w:val="0"/>
          <w:marTop w:val="0"/>
          <w:marBottom w:val="0"/>
          <w:divBdr>
            <w:top w:val="none" w:sz="0" w:space="0" w:color="auto"/>
            <w:left w:val="none" w:sz="0" w:space="0" w:color="auto"/>
            <w:bottom w:val="none" w:sz="0" w:space="0" w:color="auto"/>
            <w:right w:val="none" w:sz="0" w:space="0" w:color="auto"/>
          </w:divBdr>
        </w:div>
        <w:div w:id="336618278">
          <w:marLeft w:val="0"/>
          <w:marRight w:val="0"/>
          <w:marTop w:val="0"/>
          <w:marBottom w:val="0"/>
          <w:divBdr>
            <w:top w:val="none" w:sz="0" w:space="0" w:color="auto"/>
            <w:left w:val="none" w:sz="0" w:space="0" w:color="auto"/>
            <w:bottom w:val="none" w:sz="0" w:space="0" w:color="auto"/>
            <w:right w:val="none" w:sz="0" w:space="0" w:color="auto"/>
          </w:divBdr>
          <w:divsChild>
            <w:div w:id="19621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68575">
      <w:bodyDiv w:val="1"/>
      <w:marLeft w:val="0"/>
      <w:marRight w:val="0"/>
      <w:marTop w:val="0"/>
      <w:marBottom w:val="0"/>
      <w:divBdr>
        <w:top w:val="none" w:sz="0" w:space="0" w:color="auto"/>
        <w:left w:val="none" w:sz="0" w:space="0" w:color="auto"/>
        <w:bottom w:val="none" w:sz="0" w:space="0" w:color="auto"/>
        <w:right w:val="none" w:sz="0" w:space="0" w:color="auto"/>
      </w:divBdr>
      <w:divsChild>
        <w:div w:id="20277675">
          <w:marLeft w:val="0"/>
          <w:marRight w:val="0"/>
          <w:marTop w:val="0"/>
          <w:marBottom w:val="0"/>
          <w:divBdr>
            <w:top w:val="none" w:sz="0" w:space="0" w:color="auto"/>
            <w:left w:val="none" w:sz="0" w:space="0" w:color="auto"/>
            <w:bottom w:val="none" w:sz="0" w:space="0" w:color="auto"/>
            <w:right w:val="none" w:sz="0" w:space="0" w:color="auto"/>
          </w:divBdr>
        </w:div>
        <w:div w:id="846989816">
          <w:marLeft w:val="0"/>
          <w:marRight w:val="0"/>
          <w:marTop w:val="0"/>
          <w:marBottom w:val="0"/>
          <w:divBdr>
            <w:top w:val="none" w:sz="0" w:space="0" w:color="auto"/>
            <w:left w:val="none" w:sz="0" w:space="0" w:color="auto"/>
            <w:bottom w:val="none" w:sz="0" w:space="0" w:color="auto"/>
            <w:right w:val="none" w:sz="0" w:space="0" w:color="auto"/>
          </w:divBdr>
          <w:divsChild>
            <w:div w:id="20847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3850">
      <w:bodyDiv w:val="1"/>
      <w:marLeft w:val="0"/>
      <w:marRight w:val="0"/>
      <w:marTop w:val="0"/>
      <w:marBottom w:val="0"/>
      <w:divBdr>
        <w:top w:val="none" w:sz="0" w:space="0" w:color="auto"/>
        <w:left w:val="none" w:sz="0" w:space="0" w:color="auto"/>
        <w:bottom w:val="none" w:sz="0" w:space="0" w:color="auto"/>
        <w:right w:val="none" w:sz="0" w:space="0" w:color="auto"/>
      </w:divBdr>
    </w:div>
    <w:div w:id="1934121709">
      <w:bodyDiv w:val="1"/>
      <w:marLeft w:val="0"/>
      <w:marRight w:val="0"/>
      <w:marTop w:val="0"/>
      <w:marBottom w:val="0"/>
      <w:divBdr>
        <w:top w:val="none" w:sz="0" w:space="0" w:color="auto"/>
        <w:left w:val="none" w:sz="0" w:space="0" w:color="auto"/>
        <w:bottom w:val="none" w:sz="0" w:space="0" w:color="auto"/>
        <w:right w:val="none" w:sz="0" w:space="0" w:color="auto"/>
      </w:divBdr>
    </w:div>
    <w:div w:id="211670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cr.kra.go.ke/" TargetMode="External"/><Relationship Id="rId18" Type="http://schemas.openxmlformats.org/officeDocument/2006/relationships/hyperlink" Target="https://doi.org/10.1504/ijtmkt.2019.102264" TargetMode="External"/><Relationship Id="rId26" Type="http://schemas.openxmlformats.org/officeDocument/2006/relationships/hyperlink" Target="https://atcr.kra.go.ke/index.php/atcr/article/view/112" TargetMode="External"/><Relationship Id="rId39" Type="http://schemas.openxmlformats.org/officeDocument/2006/relationships/theme" Target="theme/theme1.xml"/><Relationship Id="rId21" Type="http://schemas.openxmlformats.org/officeDocument/2006/relationships/hyperlink" Target="https://doi.org/10.1086/701357"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oi.org/10.1177/1744987120927206" TargetMode="External"/><Relationship Id="rId17" Type="http://schemas.openxmlformats.org/officeDocument/2006/relationships/hyperlink" Target="https://doi.org/10.1111/1475-5890.12205" TargetMode="External"/><Relationship Id="rId25" Type="http://schemas.openxmlformats.org/officeDocument/2006/relationships/hyperlink" Target="https://doi.org/10.2139/ssrn.255985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jcaf.22371" TargetMode="External"/><Relationship Id="rId20" Type="http://schemas.openxmlformats.org/officeDocument/2006/relationships/hyperlink" Target="https://doi.org/10.1111/boer.12211" TargetMode="External"/><Relationship Id="rId29" Type="http://schemas.openxmlformats.org/officeDocument/2006/relationships/hyperlink" Target="https://doi.org/10.1108/agjsr-03-2023-01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1467-6435.1971.tb00612.x" TargetMode="External"/><Relationship Id="rId24" Type="http://schemas.openxmlformats.org/officeDocument/2006/relationships/hyperlink" Target="https://doi.org/10.1201/978131515327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oi.org/10.1016/j.ibusrev.2020.101692" TargetMode="External"/><Relationship Id="rId23" Type="http://schemas.openxmlformats.org/officeDocument/2006/relationships/hyperlink" Target="https://doi.org/10.1136/eb-2015-102129" TargetMode="External"/><Relationship Id="rId28" Type="http://schemas.openxmlformats.org/officeDocument/2006/relationships/hyperlink" Target="https://doi.org/10.1186/s12961-017-0185-9" TargetMode="External"/><Relationship Id="rId36" Type="http://schemas.openxmlformats.org/officeDocument/2006/relationships/header" Target="header3.xml"/><Relationship Id="rId10" Type="http://schemas.openxmlformats.org/officeDocument/2006/relationships/hyperlink" Target="https://doi.org/10.1007/978-94-009-8174-4_3" TargetMode="External"/><Relationship Id="rId19" Type="http://schemas.openxmlformats.org/officeDocument/2006/relationships/hyperlink" Target="https://doi.org/10.1016/j.retrec.2021.101041" TargetMode="External"/><Relationship Id="rId31" Type="http://schemas.openxmlformats.org/officeDocument/2006/relationships/hyperlink" Target="https://doi.org/10.3389/fenvs.2022.964410" TargetMode="External"/><Relationship Id="rId4" Type="http://schemas.microsoft.com/office/2007/relationships/stylesWithEffects" Target="stylesWithEffects.xml"/><Relationship Id="rId9" Type="http://schemas.openxmlformats.org/officeDocument/2006/relationships/hyperlink" Target="https://doi.org/10.2466/pr0.103.5.139-144" TargetMode="External"/><Relationship Id="rId14" Type="http://schemas.openxmlformats.org/officeDocument/2006/relationships/hyperlink" Target="https://doi.org/10.1016/j.ibusrev.2019.101640" TargetMode="External"/><Relationship Id="rId22" Type="http://schemas.openxmlformats.org/officeDocument/2006/relationships/hyperlink" Target="https://doi.org/10.1287/mnsc.27.1.33" TargetMode="External"/><Relationship Id="rId27" Type="http://schemas.openxmlformats.org/officeDocument/2006/relationships/hyperlink" Target="https://doi.org/10.2499/9780896294561_08" TargetMode="External"/><Relationship Id="rId30" Type="http://schemas.openxmlformats.org/officeDocument/2006/relationships/hyperlink" Target="https://doi.org/10.2139/ssrn.2182070"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A6EF3-5FFC-4D49-9DC3-E994C67F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7461</Words>
  <Characters>42531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Muathe</dc:creator>
  <cp:lastModifiedBy>SDI 1055</cp:lastModifiedBy>
  <cp:revision>6</cp:revision>
  <dcterms:created xsi:type="dcterms:W3CDTF">2025-10-13T08:31:00Z</dcterms:created>
  <dcterms:modified xsi:type="dcterms:W3CDTF">2025-10-22T07:56:00Z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id="5oQp3yKI"/&gt;&lt;style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