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6ECA6" w14:textId="76C028B9" w:rsidR="00685965" w:rsidRPr="00201AD3" w:rsidRDefault="000457C8" w:rsidP="00055D83">
      <w:pPr>
        <w:spacing w:line="240" w:lineRule="auto"/>
        <w:jc w:val="center"/>
        <w:rPr>
          <w:rFonts w:cs="Times New Roman"/>
          <w:b/>
          <w:bCs/>
          <w:color w:val="000000" w:themeColor="text1"/>
          <w:sz w:val="36"/>
          <w:szCs w:val="36"/>
        </w:rPr>
      </w:pPr>
      <w:r w:rsidRPr="00201AD3">
        <w:rPr>
          <w:rFonts w:cs="Times New Roman"/>
          <w:b/>
          <w:bCs/>
          <w:color w:val="000000" w:themeColor="text1"/>
          <w:sz w:val="36"/>
          <w:szCs w:val="36"/>
        </w:rPr>
        <w:t>Firm Characteristics on the Financial Performance of Pension Funds Schemes with Moderating Role of Regulatory Frameworks in Kenya</w:t>
      </w:r>
    </w:p>
    <w:p w14:paraId="5A05B718" w14:textId="77777777" w:rsidR="007A48D9" w:rsidRPr="00201AD3" w:rsidRDefault="007A48D9" w:rsidP="00055D83">
      <w:pPr>
        <w:spacing w:before="0" w:line="240" w:lineRule="auto"/>
        <w:jc w:val="center"/>
        <w:rPr>
          <w:rFonts w:cs="Times New Roman"/>
          <w:b/>
          <w:color w:val="000000" w:themeColor="text1"/>
          <w:szCs w:val="24"/>
        </w:rPr>
      </w:pPr>
    </w:p>
    <w:p w14:paraId="42946DD8" w14:textId="77777777" w:rsidR="00055D83" w:rsidRPr="00201AD3" w:rsidRDefault="00055D83" w:rsidP="00055D83">
      <w:pPr>
        <w:pStyle w:val="Heading1"/>
      </w:pPr>
      <w:bookmarkStart w:id="0" w:name="_Toc488404692"/>
      <w:bookmarkStart w:id="1" w:name="_Toc102409737"/>
      <w:r w:rsidRPr="00201AD3">
        <w:t>ABSTRACT</w:t>
      </w:r>
      <w:bookmarkEnd w:id="0"/>
      <w:bookmarkEnd w:id="1"/>
    </w:p>
    <w:p w14:paraId="5D852DDF" w14:textId="341472A9" w:rsidR="00685965" w:rsidRPr="00201AD3" w:rsidRDefault="00685965" w:rsidP="00685965">
      <w:pPr>
        <w:spacing w:line="240" w:lineRule="auto"/>
        <w:rPr>
          <w:rFonts w:cs="Times New Roman"/>
          <w:color w:val="000000" w:themeColor="text1"/>
          <w:szCs w:val="24"/>
        </w:rPr>
      </w:pPr>
      <w:r w:rsidRPr="00201AD3">
        <w:rPr>
          <w:rFonts w:cs="Times New Roman"/>
          <w:color w:val="000000" w:themeColor="text1"/>
          <w:szCs w:val="24"/>
        </w:rPr>
        <w:t xml:space="preserve">Pension schemes are critical to national economic stability, offering retirement income security and supporting long-term financial planning. While global studies have explored determinants of pension fund performance, limited evidence exists in the Kenyan context. This study investigated the effect of firm characteristics on the financial performance of pension schemes in Kenya, focusing on fund size, fund design, portfolio mix, and membership age, while also examining the moderating role of regulatory frameworks. Anchored on Stakeholder Theory, Agency Theory, and the Theory of Constraints, the study employed a descriptive research design targeting 1,075 registered pension schemes, with a purposive sample of 39 schemes. Secondary data from annual reports (2018–2022) were analyzed using SPSS Version 20, employing both descriptive and inferential statistics. Multiple regression analysis, supported by diagnostic tests, confirmed model reliability. The findings revealed that fund size, portfolio composition, and membership age significantly and positively influenced financial performance, whereas fund design had a significant negative effect. Furthermore, the regulatory framework moderated the relationship between firm characteristics and financial outcomes. The </w:t>
      </w:r>
      <w:r w:rsidR="00DF04C0" w:rsidRPr="00201AD3">
        <w:rPr>
          <w:rFonts w:cs="Times New Roman"/>
          <w:color w:val="000000" w:themeColor="text1"/>
          <w:szCs w:val="24"/>
        </w:rPr>
        <w:t xml:space="preserve">conclusion of study </w:t>
      </w:r>
      <w:r w:rsidRPr="00201AD3">
        <w:rPr>
          <w:rFonts w:cs="Times New Roman"/>
          <w:color w:val="000000" w:themeColor="text1"/>
          <w:szCs w:val="24"/>
        </w:rPr>
        <w:t>concludes that these characteristics are critical determinants of pension fund performance in Kenya. Key recommendations include encouraging consolidation strategies to achieve economies of scale, diversifying investment portfolios to enhance returns, attracting younger contributors to ensure sustainability, transitioning from defined benefit to contributory schemes, and strengthening regulatory oversight to foster innovation and compliance. These insights contribute to policy and practice, offering actionable strategies to enhance pension fund sustainability and performance in Kenya.</w:t>
      </w:r>
    </w:p>
    <w:p w14:paraId="593DB886" w14:textId="77777777" w:rsidR="00685965" w:rsidRPr="00201AD3" w:rsidRDefault="00685965" w:rsidP="00685965">
      <w:pPr>
        <w:spacing w:line="240" w:lineRule="auto"/>
        <w:rPr>
          <w:rFonts w:cs="Times New Roman"/>
          <w:color w:val="000000" w:themeColor="text1"/>
          <w:szCs w:val="24"/>
        </w:rPr>
      </w:pPr>
    </w:p>
    <w:p w14:paraId="04306579" w14:textId="199E3984" w:rsidR="00F74BD5" w:rsidRPr="00685965" w:rsidRDefault="00685965" w:rsidP="00685965">
      <w:pPr>
        <w:spacing w:line="240" w:lineRule="auto"/>
        <w:rPr>
          <w:rFonts w:cs="Times New Roman"/>
          <w:i/>
          <w:color w:val="000000" w:themeColor="text1"/>
          <w:szCs w:val="24"/>
        </w:rPr>
      </w:pPr>
      <w:r w:rsidRPr="00201AD3">
        <w:rPr>
          <w:rFonts w:cs="Times New Roman"/>
          <w:b/>
          <w:color w:val="000000" w:themeColor="text1"/>
          <w:szCs w:val="24"/>
        </w:rPr>
        <w:t>Keywords:</w:t>
      </w:r>
      <w:r w:rsidRPr="00201AD3">
        <w:rPr>
          <w:rFonts w:cs="Times New Roman"/>
          <w:color w:val="000000" w:themeColor="text1"/>
          <w:szCs w:val="24"/>
        </w:rPr>
        <w:t xml:space="preserve"> </w:t>
      </w:r>
      <w:r w:rsidRPr="00201AD3">
        <w:rPr>
          <w:rFonts w:cs="Times New Roman"/>
          <w:i/>
          <w:color w:val="000000" w:themeColor="text1"/>
          <w:szCs w:val="24"/>
        </w:rPr>
        <w:t>Pension schemes, firm characteristics, financial performance, fund size, portfolio mix,</w:t>
      </w:r>
      <w:r w:rsidRPr="00685965">
        <w:rPr>
          <w:rFonts w:cs="Times New Roman"/>
          <w:i/>
          <w:color w:val="000000" w:themeColor="text1"/>
          <w:szCs w:val="24"/>
        </w:rPr>
        <w:t xml:space="preserve"> </w:t>
      </w:r>
    </w:p>
    <w:p w14:paraId="2CF9CB18" w14:textId="1C2F1B41" w:rsidR="00FB2E0F" w:rsidRDefault="00FB2E0F" w:rsidP="00FB2E0F">
      <w:pPr>
        <w:spacing w:line="240" w:lineRule="auto"/>
        <w:rPr>
          <w:rFonts w:cs="Times New Roman"/>
          <w:b/>
          <w:bCs/>
          <w:color w:val="000000" w:themeColor="text1"/>
          <w:szCs w:val="24"/>
        </w:rPr>
      </w:pPr>
    </w:p>
    <w:p w14:paraId="56354E19" w14:textId="77777777" w:rsidR="00685965" w:rsidRPr="00FB2E0F" w:rsidRDefault="00685965" w:rsidP="00FB2E0F">
      <w:pPr>
        <w:spacing w:line="240" w:lineRule="auto"/>
        <w:rPr>
          <w:rFonts w:cs="Times New Roman"/>
          <w:color w:val="000000" w:themeColor="text1"/>
          <w:szCs w:val="24"/>
        </w:rPr>
      </w:pPr>
    </w:p>
    <w:p w14:paraId="60C890DF" w14:textId="77777777" w:rsidR="00055D83" w:rsidRPr="00FB2E0F" w:rsidRDefault="00055D83" w:rsidP="00055D83">
      <w:pPr>
        <w:shd w:val="clear" w:color="auto" w:fill="FFFFFF"/>
        <w:spacing w:line="240" w:lineRule="auto"/>
        <w:rPr>
          <w:rFonts w:eastAsia="Times New Roman" w:cs="Times New Roman"/>
          <w:b/>
          <w:bCs/>
          <w:color w:val="000000" w:themeColor="text1"/>
          <w:sz w:val="28"/>
          <w:szCs w:val="28"/>
        </w:rPr>
      </w:pPr>
      <w:r w:rsidRPr="00FB2E0F">
        <w:rPr>
          <w:rFonts w:eastAsia="Times New Roman" w:cs="Times New Roman"/>
          <w:b/>
          <w:bCs/>
          <w:color w:val="000000" w:themeColor="text1"/>
          <w:sz w:val="28"/>
          <w:szCs w:val="28"/>
        </w:rPr>
        <w:t>1.0 INTRODUCTION</w:t>
      </w:r>
    </w:p>
    <w:p w14:paraId="5EBAFE34" w14:textId="77777777" w:rsidR="00685965" w:rsidRPr="00685965" w:rsidRDefault="00685965" w:rsidP="00685965">
      <w:pPr>
        <w:shd w:val="clear" w:color="auto" w:fill="FFFFFF"/>
        <w:spacing w:line="240" w:lineRule="auto"/>
        <w:rPr>
          <w:rFonts w:cs="Times New Roman"/>
          <w:color w:val="000000" w:themeColor="text1"/>
          <w:szCs w:val="24"/>
        </w:rPr>
      </w:pPr>
      <w:r w:rsidRPr="00685965">
        <w:rPr>
          <w:rFonts w:cs="Times New Roman"/>
          <w:color w:val="000000" w:themeColor="text1"/>
          <w:szCs w:val="24"/>
        </w:rPr>
        <w:t>Pension funds play a critical role in fostering economic development by strengthening capital markets and providing long-term investment capital. Higher levels of pension fund assets enhance enterprise financing, thereby stimulating overall economic growth (</w:t>
      </w:r>
      <w:proofErr w:type="spellStart"/>
      <w:r w:rsidRPr="00685965">
        <w:rPr>
          <w:rFonts w:cs="Times New Roman"/>
          <w:color w:val="000000" w:themeColor="text1"/>
          <w:szCs w:val="24"/>
        </w:rPr>
        <w:t>Bajlsma</w:t>
      </w:r>
      <w:proofErr w:type="spellEnd"/>
      <w:r w:rsidRPr="00685965">
        <w:rPr>
          <w:rFonts w:cs="Times New Roman"/>
          <w:color w:val="000000" w:themeColor="text1"/>
          <w:szCs w:val="24"/>
        </w:rPr>
        <w:t xml:space="preserve">, Bonekamp, Ewijk &amp; </w:t>
      </w:r>
      <w:proofErr w:type="spellStart"/>
      <w:r w:rsidRPr="00685965">
        <w:rPr>
          <w:rFonts w:cs="Times New Roman"/>
          <w:color w:val="000000" w:themeColor="text1"/>
          <w:szCs w:val="24"/>
        </w:rPr>
        <w:t>Haaijen</w:t>
      </w:r>
      <w:proofErr w:type="spellEnd"/>
      <w:r w:rsidRPr="00685965">
        <w:rPr>
          <w:rFonts w:cs="Times New Roman"/>
          <w:color w:val="000000" w:themeColor="text1"/>
          <w:szCs w:val="24"/>
        </w:rPr>
        <w:t xml:space="preserve">, 2018). Pension funds primarily serve to accumulate financial reserves during an individual’s active working life to meet retirement needs (Consigli, </w:t>
      </w:r>
      <w:proofErr w:type="spellStart"/>
      <w:r w:rsidRPr="00685965">
        <w:rPr>
          <w:rFonts w:cs="Times New Roman"/>
          <w:color w:val="000000" w:themeColor="text1"/>
          <w:szCs w:val="24"/>
        </w:rPr>
        <w:t>Moriggia</w:t>
      </w:r>
      <w:proofErr w:type="spellEnd"/>
      <w:r w:rsidRPr="00685965">
        <w:rPr>
          <w:rFonts w:cs="Times New Roman"/>
          <w:color w:val="000000" w:themeColor="text1"/>
          <w:szCs w:val="24"/>
        </w:rPr>
        <w:t xml:space="preserve"> &amp; </w:t>
      </w:r>
      <w:proofErr w:type="spellStart"/>
      <w:r w:rsidRPr="00685965">
        <w:rPr>
          <w:rFonts w:cs="Times New Roman"/>
          <w:color w:val="000000" w:themeColor="text1"/>
          <w:szCs w:val="24"/>
        </w:rPr>
        <w:t>Uristani</w:t>
      </w:r>
      <w:proofErr w:type="spellEnd"/>
      <w:r w:rsidRPr="00685965">
        <w:rPr>
          <w:rFonts w:cs="Times New Roman"/>
          <w:color w:val="000000" w:themeColor="text1"/>
          <w:szCs w:val="24"/>
        </w:rPr>
        <w:t>, 2018).</w:t>
      </w:r>
    </w:p>
    <w:p w14:paraId="72075D39" w14:textId="77777777" w:rsidR="00685965" w:rsidRPr="00685965" w:rsidRDefault="00685965" w:rsidP="00685965">
      <w:pPr>
        <w:shd w:val="clear" w:color="auto" w:fill="FFFFFF"/>
        <w:spacing w:line="240" w:lineRule="auto"/>
        <w:rPr>
          <w:rFonts w:cs="Times New Roman"/>
          <w:color w:val="000000" w:themeColor="text1"/>
          <w:szCs w:val="24"/>
        </w:rPr>
      </w:pPr>
      <w:r w:rsidRPr="00685965">
        <w:rPr>
          <w:rFonts w:cs="Times New Roman"/>
          <w:color w:val="000000" w:themeColor="text1"/>
          <w:szCs w:val="24"/>
        </w:rPr>
        <w:t>Globally, pension funds are a major source of investment, with assets in developed nations accounting for up to 62% of GDP (</w:t>
      </w:r>
      <w:proofErr w:type="spellStart"/>
      <w:r w:rsidRPr="00685965">
        <w:rPr>
          <w:rFonts w:cs="Times New Roman"/>
          <w:color w:val="000000" w:themeColor="text1"/>
          <w:szCs w:val="24"/>
        </w:rPr>
        <w:t>Pandurics</w:t>
      </w:r>
      <w:proofErr w:type="spellEnd"/>
      <w:r w:rsidRPr="00685965">
        <w:rPr>
          <w:rFonts w:cs="Times New Roman"/>
          <w:color w:val="000000" w:themeColor="text1"/>
          <w:szCs w:val="24"/>
        </w:rPr>
        <w:t xml:space="preserve"> &amp; Szalai, 2017). In Africa, pension schemes predominantly adopt pay-as-you-go defined benefit plans, where contributions from current workers finance the benefits of current retirees. Out of 38 pension systems globally, 31 operate as pay-as-you-go programs, while four are guarantee funds (World Bank, 2019). These schemes have been credited with reducing poverty levels by 13% and improving the incomes of vulnerable groups by more than 50% (Stewart &amp; Yermo, 2009).</w:t>
      </w:r>
    </w:p>
    <w:p w14:paraId="13638695" w14:textId="56BFB916" w:rsidR="00822A7E" w:rsidRDefault="00685965" w:rsidP="00685965">
      <w:pPr>
        <w:shd w:val="clear" w:color="auto" w:fill="FFFFFF"/>
        <w:spacing w:line="240" w:lineRule="auto"/>
        <w:rPr>
          <w:rFonts w:cs="Times New Roman"/>
          <w:color w:val="000000" w:themeColor="text1"/>
          <w:szCs w:val="24"/>
        </w:rPr>
      </w:pPr>
      <w:r w:rsidRPr="00685965">
        <w:rPr>
          <w:rFonts w:cs="Times New Roman"/>
          <w:color w:val="000000" w:themeColor="text1"/>
          <w:szCs w:val="24"/>
        </w:rPr>
        <w:lastRenderedPageBreak/>
        <w:t>In Kenya, however, pension coverage remains limited. Only about 20% of the workforce participates in pension systems, largely because most schemes target formal sector employees, who represent less than one-fifth of the labor force. Over 80% of workers in the informal sector lack structured mechanisms for retirement savings (</w:t>
      </w:r>
      <w:proofErr w:type="spellStart"/>
      <w:r w:rsidRPr="00685965">
        <w:rPr>
          <w:rFonts w:cs="Times New Roman"/>
          <w:color w:val="000000" w:themeColor="text1"/>
          <w:szCs w:val="24"/>
        </w:rPr>
        <w:t>Cytonn</w:t>
      </w:r>
      <w:proofErr w:type="spellEnd"/>
      <w:r w:rsidRPr="00685965">
        <w:rPr>
          <w:rFonts w:cs="Times New Roman"/>
          <w:color w:val="000000" w:themeColor="text1"/>
          <w:szCs w:val="24"/>
        </w:rPr>
        <w:t xml:space="preserve">, 2022). In response, the Retirement Benefits Authority (RBA) has promoted digital pension products such as Haba </w:t>
      </w:r>
      <w:proofErr w:type="spellStart"/>
      <w:r w:rsidRPr="00685965">
        <w:rPr>
          <w:rFonts w:cs="Times New Roman"/>
          <w:color w:val="000000" w:themeColor="text1"/>
          <w:szCs w:val="24"/>
        </w:rPr>
        <w:t>na</w:t>
      </w:r>
      <w:proofErr w:type="spellEnd"/>
      <w:r w:rsidRPr="00685965">
        <w:rPr>
          <w:rFonts w:cs="Times New Roman"/>
          <w:color w:val="000000" w:themeColor="text1"/>
          <w:szCs w:val="24"/>
        </w:rPr>
        <w:t xml:space="preserve"> Haba by NSSF, Gift a Pension by Zamara, and </w:t>
      </w:r>
      <w:proofErr w:type="spellStart"/>
      <w:r w:rsidRPr="00685965">
        <w:rPr>
          <w:rFonts w:cs="Times New Roman"/>
          <w:color w:val="000000" w:themeColor="text1"/>
          <w:szCs w:val="24"/>
        </w:rPr>
        <w:t>Mobikeza</w:t>
      </w:r>
      <w:proofErr w:type="spellEnd"/>
      <w:r w:rsidRPr="00685965">
        <w:rPr>
          <w:rFonts w:cs="Times New Roman"/>
          <w:color w:val="000000" w:themeColor="text1"/>
          <w:szCs w:val="24"/>
        </w:rPr>
        <w:t xml:space="preserve"> by Octagon. Nonetheless, the National Social Security Fund (NSSF) continues to face slow growth in membership and contributions, constrained by sluggish economic growth and persistent unemployment.</w:t>
      </w:r>
    </w:p>
    <w:p w14:paraId="7B310FC2" w14:textId="4691E662" w:rsidR="00685965" w:rsidRPr="00685965" w:rsidRDefault="00685965" w:rsidP="00685965">
      <w:bookmarkStart w:id="2" w:name="_Toc158290079"/>
      <w:bookmarkStart w:id="3" w:name="_Toc206759940"/>
      <w:r w:rsidRPr="00685965">
        <w:t xml:space="preserve">Figure </w:t>
      </w:r>
      <w:r>
        <w:t>1</w:t>
      </w:r>
      <w:r w:rsidRPr="00685965">
        <w:t xml:space="preserve"> NSSF Members Contribution </w:t>
      </w:r>
      <w:proofErr w:type="gramStart"/>
      <w:r w:rsidRPr="00685965">
        <w:t>Trend(</w:t>
      </w:r>
      <w:proofErr w:type="spellStart"/>
      <w:proofErr w:type="gramEnd"/>
      <w:r w:rsidRPr="00685965">
        <w:t>Ksh</w:t>
      </w:r>
      <w:proofErr w:type="spellEnd"/>
      <w:r w:rsidRPr="00685965">
        <w:t xml:space="preserve"> Bn)</w:t>
      </w:r>
      <w:bookmarkEnd w:id="2"/>
      <w:bookmarkEnd w:id="3"/>
    </w:p>
    <w:p w14:paraId="24368994" w14:textId="77777777" w:rsidR="00685965" w:rsidRPr="003F0065" w:rsidRDefault="00685965" w:rsidP="00685965">
      <w:pPr>
        <w:keepNext/>
        <w:autoSpaceDE w:val="0"/>
        <w:autoSpaceDN w:val="0"/>
        <w:adjustRightInd w:val="0"/>
        <w:spacing w:after="240" w:line="360" w:lineRule="auto"/>
        <w:rPr>
          <w:rFonts w:cs="Times New Roman"/>
          <w:szCs w:val="24"/>
        </w:rPr>
      </w:pPr>
      <w:r w:rsidRPr="003F0065">
        <w:rPr>
          <w:rFonts w:cs="Times New Roman"/>
          <w:noProof/>
          <w:szCs w:val="24"/>
        </w:rPr>
        <w:drawing>
          <wp:inline distT="0" distB="0" distL="0" distR="0" wp14:anchorId="0E775AAE" wp14:editId="13DE7C70">
            <wp:extent cx="6143625" cy="20574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3397" t="28221" r="11539" b="35291"/>
                    <a:stretch/>
                  </pic:blipFill>
                  <pic:spPr bwMode="auto">
                    <a:xfrm>
                      <a:off x="0" y="0"/>
                      <a:ext cx="6143625" cy="2057400"/>
                    </a:xfrm>
                    <a:prstGeom prst="rect">
                      <a:avLst/>
                    </a:prstGeom>
                    <a:ln>
                      <a:noFill/>
                    </a:ln>
                    <a:extLst>
                      <a:ext uri="{53640926-AAD7-44D8-BBD7-CCE9431645EC}">
                        <a14:shadowObscured xmlns:a14="http://schemas.microsoft.com/office/drawing/2010/main"/>
                      </a:ext>
                    </a:extLst>
                  </pic:spPr>
                </pic:pic>
              </a:graphicData>
            </a:graphic>
          </wp:inline>
        </w:drawing>
      </w:r>
    </w:p>
    <w:p w14:paraId="5B48AF3B" w14:textId="77777777" w:rsidR="00685965" w:rsidRPr="003F0065" w:rsidRDefault="00685965" w:rsidP="00685965">
      <w:pPr>
        <w:autoSpaceDE w:val="0"/>
        <w:autoSpaceDN w:val="0"/>
        <w:adjustRightInd w:val="0"/>
        <w:spacing w:after="240" w:line="360" w:lineRule="auto"/>
        <w:rPr>
          <w:rFonts w:cs="Times New Roman"/>
          <w:b/>
          <w:szCs w:val="24"/>
        </w:rPr>
      </w:pPr>
      <w:r w:rsidRPr="003F0065">
        <w:rPr>
          <w:rFonts w:cs="Times New Roman"/>
          <w:b/>
          <w:szCs w:val="24"/>
        </w:rPr>
        <w:t>Source: NSSF Annual Reports</w:t>
      </w:r>
    </w:p>
    <w:p w14:paraId="1C407BA9" w14:textId="77777777" w:rsidR="00685965" w:rsidRPr="00685965" w:rsidRDefault="00685965" w:rsidP="00685965">
      <w:pPr>
        <w:shd w:val="clear" w:color="auto" w:fill="FFFFFF"/>
        <w:spacing w:line="240" w:lineRule="auto"/>
        <w:rPr>
          <w:rFonts w:cs="Times New Roman"/>
          <w:color w:val="000000" w:themeColor="text1"/>
          <w:szCs w:val="24"/>
        </w:rPr>
      </w:pPr>
      <w:r w:rsidRPr="00685965">
        <w:rPr>
          <w:rFonts w:cs="Times New Roman"/>
          <w:color w:val="000000" w:themeColor="text1"/>
          <w:szCs w:val="24"/>
        </w:rPr>
        <w:t>Pension funds play a critical role in ensuring financial security for retirees by providing income through lump sums or annuities, while also supplying capital to firms, consumers, and governments through investments or guaranteed loans (Chohan, 2017). In Kenya, retirement income accounts for 68% of retirees’ total income (RBA, 2019), underscoring the importance of effective pension fund management. Fund directors are therefore tasked with prudent investment decisions across various asset classes to safeguard contributors’ savings and support individuals in their later years (Antolin, 2008). Given this context, the efficient management and monitoring of resources entrusted to pension schemes is crucial.</w:t>
      </w:r>
    </w:p>
    <w:p w14:paraId="70D4D02B" w14:textId="77777777" w:rsidR="00685965" w:rsidRPr="00685965" w:rsidRDefault="00685965" w:rsidP="00685965">
      <w:pPr>
        <w:shd w:val="clear" w:color="auto" w:fill="FFFFFF"/>
        <w:spacing w:line="240" w:lineRule="auto"/>
        <w:rPr>
          <w:rFonts w:cs="Times New Roman"/>
          <w:color w:val="000000" w:themeColor="text1"/>
          <w:szCs w:val="24"/>
        </w:rPr>
      </w:pPr>
    </w:p>
    <w:p w14:paraId="0BEC24D2" w14:textId="01657667" w:rsidR="00685965" w:rsidRPr="00685965" w:rsidRDefault="00685965" w:rsidP="00685965">
      <w:pPr>
        <w:shd w:val="clear" w:color="auto" w:fill="FFFFFF"/>
        <w:spacing w:line="240" w:lineRule="auto"/>
        <w:rPr>
          <w:rFonts w:cs="Times New Roman"/>
          <w:color w:val="000000" w:themeColor="text1"/>
          <w:szCs w:val="24"/>
        </w:rPr>
      </w:pPr>
      <w:r w:rsidRPr="00685965">
        <w:rPr>
          <w:rFonts w:cs="Times New Roman"/>
          <w:color w:val="000000" w:themeColor="text1"/>
          <w:szCs w:val="24"/>
        </w:rPr>
        <w:t>Firm characteristics refer to the attributes that differentiate one pension scheme from another. These features, often reflected in financial statements and reports, guide stakeholders in assessing financial performance and making informed decisions (</w:t>
      </w:r>
      <w:proofErr w:type="spellStart"/>
      <w:r w:rsidRPr="00685965">
        <w:rPr>
          <w:rFonts w:cs="Times New Roman"/>
          <w:color w:val="000000" w:themeColor="text1"/>
          <w:szCs w:val="24"/>
        </w:rPr>
        <w:t>Shuaibul</w:t>
      </w:r>
      <w:proofErr w:type="spellEnd"/>
      <w:r w:rsidRPr="00685965">
        <w:rPr>
          <w:rFonts w:cs="Times New Roman"/>
          <w:color w:val="000000" w:themeColor="text1"/>
          <w:szCs w:val="24"/>
        </w:rPr>
        <w:t xml:space="preserve"> &amp; Moh’d, 2019). Literature identifies several firm-level attributes influencing pension performance, including fund size, fund design, portfolio mix, and membership age. This study emphasizes these characteristics due to their consistent empirical significance across contexts.</w:t>
      </w:r>
      <w:r>
        <w:rPr>
          <w:rFonts w:cs="Times New Roman"/>
          <w:color w:val="000000" w:themeColor="text1"/>
          <w:szCs w:val="24"/>
        </w:rPr>
        <w:t xml:space="preserve"> </w:t>
      </w:r>
      <w:r w:rsidRPr="00685965">
        <w:rPr>
          <w:rFonts w:cs="Times New Roman"/>
          <w:color w:val="000000" w:themeColor="text1"/>
          <w:szCs w:val="24"/>
        </w:rPr>
        <w:t xml:space="preserve">Fund size is one of the most widely studied characteristics. Pension assets, which represent accumulated long-term contributions, determine fund size. Larger funds tend to enjoy economies of scale, greater investment flexibility, and stronger bargaining power. Kigen (2016) and Muli &amp; </w:t>
      </w:r>
      <w:proofErr w:type="spellStart"/>
      <w:r w:rsidRPr="00685965">
        <w:rPr>
          <w:rFonts w:cs="Times New Roman"/>
          <w:color w:val="000000" w:themeColor="text1"/>
          <w:szCs w:val="24"/>
        </w:rPr>
        <w:t>Jagongo</w:t>
      </w:r>
      <w:proofErr w:type="spellEnd"/>
      <w:r w:rsidRPr="00685965">
        <w:rPr>
          <w:rFonts w:cs="Times New Roman"/>
          <w:color w:val="000000" w:themeColor="text1"/>
          <w:szCs w:val="24"/>
        </w:rPr>
        <w:t xml:space="preserve"> (2019) highlight that fund size directly influences investment strategies, thereby enhancing financial performance.</w:t>
      </w:r>
    </w:p>
    <w:p w14:paraId="6CD7F280" w14:textId="17365BEC" w:rsidR="00685965" w:rsidRPr="00685965" w:rsidRDefault="00685965" w:rsidP="00685965">
      <w:pPr>
        <w:shd w:val="clear" w:color="auto" w:fill="FFFFFF"/>
        <w:spacing w:line="240" w:lineRule="auto"/>
        <w:rPr>
          <w:rFonts w:cs="Times New Roman"/>
          <w:color w:val="000000" w:themeColor="text1"/>
          <w:szCs w:val="24"/>
        </w:rPr>
      </w:pPr>
      <w:r w:rsidRPr="00685965">
        <w:rPr>
          <w:rFonts w:cs="Times New Roman"/>
          <w:color w:val="000000" w:themeColor="text1"/>
          <w:szCs w:val="24"/>
        </w:rPr>
        <w:t xml:space="preserve">Fund design is another critical determinant of outcomes. Kenya’s pension landscape includes defined contribution (DC) and defined benefit (DB) schemes. Under DC systems, both employers and employees contribute fixed amounts, with retirement benefits tied to accumulated contributions and investment returns. Conversely, DB schemes predetermine benefits based on salary and years of service. Empirical evidence suggests that DC plans tend </w:t>
      </w:r>
      <w:r w:rsidRPr="00685965">
        <w:rPr>
          <w:rFonts w:cs="Times New Roman"/>
          <w:color w:val="000000" w:themeColor="text1"/>
          <w:szCs w:val="24"/>
        </w:rPr>
        <w:lastRenderedPageBreak/>
        <w:t>to outperform DB schemes due to their flexibility and efficiency (</w:t>
      </w:r>
      <w:proofErr w:type="spellStart"/>
      <w:r w:rsidRPr="00685965">
        <w:rPr>
          <w:rFonts w:cs="Times New Roman"/>
          <w:color w:val="000000" w:themeColor="text1"/>
          <w:szCs w:val="24"/>
        </w:rPr>
        <w:t>Nyangeri</w:t>
      </w:r>
      <w:proofErr w:type="spellEnd"/>
      <w:r w:rsidRPr="00685965">
        <w:rPr>
          <w:rFonts w:cs="Times New Roman"/>
          <w:color w:val="000000" w:themeColor="text1"/>
          <w:szCs w:val="24"/>
        </w:rPr>
        <w:t>, 2014).</w:t>
      </w:r>
      <w:r>
        <w:rPr>
          <w:rFonts w:cs="Times New Roman"/>
          <w:color w:val="000000" w:themeColor="text1"/>
          <w:szCs w:val="24"/>
        </w:rPr>
        <w:t xml:space="preserve"> </w:t>
      </w:r>
      <w:r w:rsidRPr="00685965">
        <w:rPr>
          <w:rFonts w:cs="Times New Roman"/>
          <w:color w:val="000000" w:themeColor="text1"/>
          <w:szCs w:val="24"/>
        </w:rPr>
        <w:t xml:space="preserve">Membership age also shapes pension performance. Younger membership cohorts allow for longer investment horizons, which can yield higher returns. </w:t>
      </w:r>
      <w:proofErr w:type="spellStart"/>
      <w:r w:rsidRPr="00685965">
        <w:rPr>
          <w:rFonts w:cs="Times New Roman"/>
          <w:color w:val="000000" w:themeColor="text1"/>
          <w:szCs w:val="24"/>
        </w:rPr>
        <w:t>Nyangeri</w:t>
      </w:r>
      <w:proofErr w:type="spellEnd"/>
      <w:r w:rsidRPr="00685965">
        <w:rPr>
          <w:rFonts w:cs="Times New Roman"/>
          <w:color w:val="000000" w:themeColor="text1"/>
          <w:szCs w:val="24"/>
        </w:rPr>
        <w:t xml:space="preserve"> (2014) stresses that financial performance improves when schemes attract younger contributors, as this provides stability in contribution flows and supports compounding returns over time. This implies the need for regulations and policies that encourage early enrollment in pension plans.</w:t>
      </w:r>
    </w:p>
    <w:p w14:paraId="6C5FE2F5" w14:textId="0DC2364C" w:rsidR="00685965" w:rsidRPr="00685965" w:rsidRDefault="00685965" w:rsidP="00685965">
      <w:pPr>
        <w:shd w:val="clear" w:color="auto" w:fill="FFFFFF"/>
        <w:spacing w:line="240" w:lineRule="auto"/>
        <w:rPr>
          <w:rFonts w:cs="Times New Roman"/>
          <w:color w:val="000000" w:themeColor="text1"/>
          <w:szCs w:val="24"/>
        </w:rPr>
      </w:pPr>
      <w:r w:rsidRPr="00685965">
        <w:rPr>
          <w:rFonts w:cs="Times New Roman"/>
          <w:color w:val="000000" w:themeColor="text1"/>
          <w:szCs w:val="24"/>
        </w:rPr>
        <w:t>Portfolio mix</w:t>
      </w:r>
      <w:r w:rsidR="00806DB8">
        <w:rPr>
          <w:rFonts w:cs="Times New Roman"/>
          <w:color w:val="000000" w:themeColor="text1"/>
          <w:szCs w:val="24"/>
        </w:rPr>
        <w:t xml:space="preserve"> </w:t>
      </w:r>
      <w:r w:rsidRPr="00685965">
        <w:rPr>
          <w:rFonts w:cs="Times New Roman"/>
          <w:color w:val="000000" w:themeColor="text1"/>
          <w:szCs w:val="24"/>
        </w:rPr>
        <w:t>the composition of assets in which pension contributions are invested</w:t>
      </w:r>
      <w:r w:rsidR="00806DB8">
        <w:rPr>
          <w:rFonts w:cs="Times New Roman"/>
          <w:color w:val="000000" w:themeColor="text1"/>
          <w:szCs w:val="24"/>
        </w:rPr>
        <w:t xml:space="preserve"> </w:t>
      </w:r>
      <w:r w:rsidRPr="00685965">
        <w:rPr>
          <w:rFonts w:cs="Times New Roman"/>
          <w:color w:val="000000" w:themeColor="text1"/>
          <w:szCs w:val="24"/>
        </w:rPr>
        <w:t>is equally significant. Modern Portfolio Theory (Markowitz, 1952) emphasizes diversification to minimize unsystematic risks. In Kenya, pension schemes typically invest in government securities, equities, and real estate, which help reduce risk and improve fund performance (Maina, 2013; Ondieki, 2022). A well-diversified portfolio not only safeguards member contributions but also enhances fund competitiveness and service quality.</w:t>
      </w:r>
      <w:r>
        <w:rPr>
          <w:rFonts w:cs="Times New Roman"/>
          <w:color w:val="000000" w:themeColor="text1"/>
          <w:szCs w:val="24"/>
        </w:rPr>
        <w:t xml:space="preserve"> </w:t>
      </w:r>
      <w:r w:rsidRPr="00685965">
        <w:rPr>
          <w:rFonts w:cs="Times New Roman"/>
          <w:color w:val="000000" w:themeColor="text1"/>
          <w:szCs w:val="24"/>
        </w:rPr>
        <w:t>Collectively, these characteristics</w:t>
      </w:r>
      <w:r w:rsidR="00806DB8">
        <w:rPr>
          <w:rFonts w:cs="Times New Roman"/>
          <w:color w:val="000000" w:themeColor="text1"/>
          <w:szCs w:val="24"/>
        </w:rPr>
        <w:t xml:space="preserve"> </w:t>
      </w:r>
      <w:r w:rsidRPr="00685965">
        <w:rPr>
          <w:rFonts w:cs="Times New Roman"/>
          <w:color w:val="000000" w:themeColor="text1"/>
          <w:szCs w:val="24"/>
        </w:rPr>
        <w:t>fund size, design, membership age, and portfolio mix</w:t>
      </w:r>
      <w:r w:rsidR="00806DB8">
        <w:rPr>
          <w:rFonts w:cs="Times New Roman"/>
          <w:color w:val="000000" w:themeColor="text1"/>
          <w:szCs w:val="24"/>
        </w:rPr>
        <w:t xml:space="preserve"> </w:t>
      </w:r>
      <w:r w:rsidRPr="00685965">
        <w:rPr>
          <w:rFonts w:cs="Times New Roman"/>
          <w:color w:val="000000" w:themeColor="text1"/>
          <w:szCs w:val="24"/>
        </w:rPr>
        <w:t xml:space="preserve">represent crucial internal drivers of pension fund performance. Firms that adapt effectively to these factors are better positioned to meet client expectations and sustain competitiveness (Adekoya, </w:t>
      </w:r>
      <w:proofErr w:type="spellStart"/>
      <w:r w:rsidRPr="00685965">
        <w:rPr>
          <w:rFonts w:cs="Times New Roman"/>
          <w:color w:val="000000" w:themeColor="text1"/>
          <w:szCs w:val="24"/>
        </w:rPr>
        <w:t>Nwaobia</w:t>
      </w:r>
      <w:proofErr w:type="spellEnd"/>
      <w:r w:rsidRPr="00685965">
        <w:rPr>
          <w:rFonts w:cs="Times New Roman"/>
          <w:color w:val="000000" w:themeColor="text1"/>
          <w:szCs w:val="24"/>
        </w:rPr>
        <w:t xml:space="preserve"> &amp; </w:t>
      </w:r>
      <w:proofErr w:type="spellStart"/>
      <w:r w:rsidRPr="00685965">
        <w:rPr>
          <w:rFonts w:cs="Times New Roman"/>
          <w:color w:val="000000" w:themeColor="text1"/>
          <w:szCs w:val="24"/>
        </w:rPr>
        <w:t>Siyanbola</w:t>
      </w:r>
      <w:proofErr w:type="spellEnd"/>
      <w:r w:rsidRPr="00685965">
        <w:rPr>
          <w:rFonts w:cs="Times New Roman"/>
          <w:color w:val="000000" w:themeColor="text1"/>
          <w:szCs w:val="24"/>
        </w:rPr>
        <w:t>, 2022).</w:t>
      </w:r>
    </w:p>
    <w:p w14:paraId="18E1A1A4" w14:textId="77777777" w:rsidR="00685965" w:rsidRPr="00685965" w:rsidRDefault="00685965" w:rsidP="00685965">
      <w:pPr>
        <w:shd w:val="clear" w:color="auto" w:fill="FFFFFF"/>
        <w:spacing w:line="240" w:lineRule="auto"/>
        <w:rPr>
          <w:rFonts w:cs="Times New Roman"/>
          <w:color w:val="000000" w:themeColor="text1"/>
          <w:szCs w:val="24"/>
        </w:rPr>
      </w:pPr>
      <w:r w:rsidRPr="00685965">
        <w:rPr>
          <w:rFonts w:cs="Times New Roman"/>
          <w:color w:val="000000" w:themeColor="text1"/>
          <w:szCs w:val="24"/>
        </w:rPr>
        <w:t>The financial performance of pension funds is pivotal not only for members’ welfare but also for national economic stability. Performance encompasses the ability of an institution to meet its objectives, generate adequate returns, and ensure client satisfaction (</w:t>
      </w:r>
      <w:proofErr w:type="spellStart"/>
      <w:r w:rsidRPr="00685965">
        <w:rPr>
          <w:rFonts w:cs="Times New Roman"/>
          <w:color w:val="000000" w:themeColor="text1"/>
          <w:szCs w:val="24"/>
        </w:rPr>
        <w:t>Aguinis</w:t>
      </w:r>
      <w:proofErr w:type="spellEnd"/>
      <w:r w:rsidRPr="00685965">
        <w:rPr>
          <w:rFonts w:cs="Times New Roman"/>
          <w:color w:val="000000" w:themeColor="text1"/>
          <w:szCs w:val="24"/>
        </w:rPr>
        <w:t xml:space="preserve"> &amp; </w:t>
      </w:r>
      <w:proofErr w:type="spellStart"/>
      <w:r w:rsidRPr="00685965">
        <w:rPr>
          <w:rFonts w:cs="Times New Roman"/>
          <w:color w:val="000000" w:themeColor="text1"/>
          <w:szCs w:val="24"/>
        </w:rPr>
        <w:t>Kraiger</w:t>
      </w:r>
      <w:proofErr w:type="spellEnd"/>
      <w:r w:rsidRPr="00685965">
        <w:rPr>
          <w:rFonts w:cs="Times New Roman"/>
          <w:color w:val="000000" w:themeColor="text1"/>
          <w:szCs w:val="24"/>
        </w:rPr>
        <w:t>, 2012). In the pension sector, performance is typically assessed using profitability, efficiency, liquidity, and market value indicators.</w:t>
      </w:r>
    </w:p>
    <w:p w14:paraId="6FD0A798" w14:textId="52322D9B" w:rsidR="00685965" w:rsidRPr="00685965" w:rsidRDefault="00685965" w:rsidP="00685965">
      <w:pPr>
        <w:shd w:val="clear" w:color="auto" w:fill="FFFFFF"/>
        <w:spacing w:line="240" w:lineRule="auto"/>
        <w:rPr>
          <w:rFonts w:cs="Times New Roman"/>
          <w:color w:val="000000" w:themeColor="text1"/>
          <w:szCs w:val="24"/>
        </w:rPr>
      </w:pPr>
      <w:r w:rsidRPr="00685965">
        <w:rPr>
          <w:rFonts w:cs="Times New Roman"/>
          <w:color w:val="000000" w:themeColor="text1"/>
          <w:szCs w:val="24"/>
        </w:rPr>
        <w:t>Ratio analysis is commonly employed in evaluating financial health. Ratios such as Return on Assets (ROA) and Return on Equity (ROE) measure how effectively resources are utilized to generate returns. ROE reflects management’s ability to deploy shareholder capital, while ROA indicates the return generated from total assets (Brunner, 2008). Return on Investment (ROI), however, is often preferred as a holistic measure, since it evaluates profitability relative to total capital outlay (Gallagher &amp; Martin, 2009). ROI highlights the efficiency of fund management and serves as an accurate performance indicator in the pension context.</w:t>
      </w:r>
      <w:r>
        <w:rPr>
          <w:rFonts w:cs="Times New Roman"/>
          <w:color w:val="000000" w:themeColor="text1"/>
          <w:szCs w:val="24"/>
        </w:rPr>
        <w:t xml:space="preserve"> </w:t>
      </w:r>
      <w:r w:rsidRPr="00685965">
        <w:rPr>
          <w:rFonts w:cs="Times New Roman"/>
          <w:color w:val="000000" w:themeColor="text1"/>
          <w:szCs w:val="24"/>
        </w:rPr>
        <w:t>Kigen (2016) observes that the challenges facing pension plans are less about stock market volatility and more about inappropriate benchmark selection for evaluating risk and returns. Thus, rigorous performance measurement through ROI analysis provides insights into the effectiveness of investment decisions and management practices.</w:t>
      </w:r>
    </w:p>
    <w:p w14:paraId="26D49C8F" w14:textId="77777777" w:rsidR="00685965" w:rsidRPr="00685965" w:rsidRDefault="00685965" w:rsidP="00685965">
      <w:pPr>
        <w:shd w:val="clear" w:color="auto" w:fill="FFFFFF"/>
        <w:spacing w:line="240" w:lineRule="auto"/>
        <w:rPr>
          <w:rFonts w:cs="Times New Roman"/>
          <w:color w:val="000000" w:themeColor="text1"/>
          <w:szCs w:val="24"/>
        </w:rPr>
      </w:pPr>
      <w:r w:rsidRPr="00685965">
        <w:rPr>
          <w:rFonts w:cs="Times New Roman"/>
          <w:color w:val="000000" w:themeColor="text1"/>
          <w:szCs w:val="24"/>
        </w:rPr>
        <w:t>Regulation plays a central role in safeguarding pension funds. Oversight frameworks ensure compliance with investment standards, risk controls, and fiduciary responsibilities. Globally, pension systems are subject to quantitative restrictions and legal frameworks designed to protect members’ contributions. In Kenya, the Retirement Benefits Authority (RBA) regulates the industry under the Retirement Benefits Act.</w:t>
      </w:r>
    </w:p>
    <w:p w14:paraId="4586E793" w14:textId="77777777" w:rsidR="00685965" w:rsidRPr="00685965" w:rsidRDefault="00685965" w:rsidP="00685965">
      <w:pPr>
        <w:shd w:val="clear" w:color="auto" w:fill="FFFFFF"/>
        <w:spacing w:line="240" w:lineRule="auto"/>
        <w:rPr>
          <w:rFonts w:cs="Times New Roman"/>
          <w:color w:val="000000" w:themeColor="text1"/>
          <w:szCs w:val="24"/>
        </w:rPr>
      </w:pPr>
    </w:p>
    <w:p w14:paraId="636ED322" w14:textId="77777777" w:rsidR="00685965" w:rsidRPr="00685965" w:rsidRDefault="00685965" w:rsidP="00685965">
      <w:pPr>
        <w:shd w:val="clear" w:color="auto" w:fill="FFFFFF"/>
        <w:spacing w:line="240" w:lineRule="auto"/>
        <w:rPr>
          <w:rFonts w:cs="Times New Roman"/>
          <w:color w:val="000000" w:themeColor="text1"/>
          <w:szCs w:val="24"/>
        </w:rPr>
      </w:pPr>
      <w:r w:rsidRPr="00685965">
        <w:rPr>
          <w:rFonts w:cs="Times New Roman"/>
          <w:color w:val="000000" w:themeColor="text1"/>
          <w:szCs w:val="24"/>
        </w:rPr>
        <w:t xml:space="preserve">Empirical studies reveal that regulation positively influences pension fund performance. Miriti (2014) highlights that restrictions on investments improve fund stability, while Njeru (2012) emphasizes that the Retirement Benefits Act enhanced operational coherence and spurred sectoral growth. Similarly, </w:t>
      </w:r>
      <w:proofErr w:type="spellStart"/>
      <w:r w:rsidRPr="00685965">
        <w:rPr>
          <w:rFonts w:cs="Times New Roman"/>
          <w:color w:val="000000" w:themeColor="text1"/>
          <w:szCs w:val="24"/>
        </w:rPr>
        <w:t>Kusewa</w:t>
      </w:r>
      <w:proofErr w:type="spellEnd"/>
      <w:r w:rsidRPr="00685965">
        <w:rPr>
          <w:rFonts w:cs="Times New Roman"/>
          <w:color w:val="000000" w:themeColor="text1"/>
          <w:szCs w:val="24"/>
        </w:rPr>
        <w:t xml:space="preserve"> (2007) found a statistically significant positive relationship between regulatory enforcement and pension fund outcomes. Effective regulation thus provides both oversight and investor confidence, contributing to sustained financial performance.</w:t>
      </w:r>
    </w:p>
    <w:p w14:paraId="27426883" w14:textId="02FBD77B" w:rsidR="00685965" w:rsidRPr="00685965" w:rsidRDefault="00685965" w:rsidP="00685965">
      <w:pPr>
        <w:shd w:val="clear" w:color="auto" w:fill="FFFFFF"/>
        <w:spacing w:line="240" w:lineRule="auto"/>
        <w:rPr>
          <w:rFonts w:cs="Times New Roman"/>
          <w:color w:val="000000" w:themeColor="text1"/>
          <w:szCs w:val="24"/>
        </w:rPr>
      </w:pPr>
      <w:r w:rsidRPr="00685965">
        <w:rPr>
          <w:rFonts w:cs="Times New Roman"/>
          <w:color w:val="000000" w:themeColor="text1"/>
          <w:szCs w:val="24"/>
        </w:rPr>
        <w:t xml:space="preserve">Kenya’s pension sector comprises four major programs: </w:t>
      </w:r>
      <w:r w:rsidR="00806DB8" w:rsidRPr="00685965">
        <w:rPr>
          <w:rFonts w:cs="Times New Roman"/>
          <w:color w:val="000000" w:themeColor="text1"/>
          <w:szCs w:val="24"/>
        </w:rPr>
        <w:t>The</w:t>
      </w:r>
      <w:r w:rsidRPr="00685965">
        <w:rPr>
          <w:rFonts w:cs="Times New Roman"/>
          <w:color w:val="000000" w:themeColor="text1"/>
          <w:szCs w:val="24"/>
        </w:rPr>
        <w:t xml:space="preserve"> Civil Service Pension Scheme, the National Social Security Fund (NSSF), occupational retirement schemes, and individual retirement schemes (RBA, Chapter 197). The first two </w:t>
      </w:r>
      <w:r w:rsidR="00806DB8" w:rsidRPr="00685965">
        <w:rPr>
          <w:rFonts w:cs="Times New Roman"/>
          <w:color w:val="000000" w:themeColor="text1"/>
          <w:szCs w:val="24"/>
        </w:rPr>
        <w:t>is</w:t>
      </w:r>
      <w:r w:rsidRPr="00685965">
        <w:rPr>
          <w:rFonts w:cs="Times New Roman"/>
          <w:color w:val="000000" w:themeColor="text1"/>
          <w:szCs w:val="24"/>
        </w:rPr>
        <w:t xml:space="preserve"> established through Acts of Parliament, while occupational and individual schemes are founded on trust deeds. Occupational schemes mainly serve formal sector employees, whereas individual schemes accommodate both formal and informal sector contributors on a voluntary basis.</w:t>
      </w:r>
      <w:r>
        <w:rPr>
          <w:rFonts w:cs="Times New Roman"/>
          <w:color w:val="000000" w:themeColor="text1"/>
          <w:szCs w:val="24"/>
        </w:rPr>
        <w:t xml:space="preserve"> </w:t>
      </w:r>
      <w:r w:rsidRPr="00685965">
        <w:rPr>
          <w:rFonts w:cs="Times New Roman"/>
          <w:color w:val="000000" w:themeColor="text1"/>
          <w:szCs w:val="24"/>
        </w:rPr>
        <w:t xml:space="preserve">The sector’s contribution to the economy is significant. As of June 2021, pension assets totaled </w:t>
      </w:r>
      <w:proofErr w:type="spellStart"/>
      <w:r w:rsidRPr="00685965">
        <w:rPr>
          <w:rFonts w:cs="Times New Roman"/>
          <w:color w:val="000000" w:themeColor="text1"/>
          <w:szCs w:val="24"/>
        </w:rPr>
        <w:t>Ksh</w:t>
      </w:r>
      <w:proofErr w:type="spellEnd"/>
      <w:r w:rsidRPr="00685965">
        <w:rPr>
          <w:rFonts w:cs="Times New Roman"/>
          <w:color w:val="000000" w:themeColor="text1"/>
          <w:szCs w:val="24"/>
        </w:rPr>
        <w:t>. 1.5 trillion</w:t>
      </w:r>
      <w:r w:rsidR="00806DB8">
        <w:rPr>
          <w:rFonts w:cs="Times New Roman"/>
          <w:color w:val="000000" w:themeColor="text1"/>
          <w:szCs w:val="24"/>
        </w:rPr>
        <w:t xml:space="preserve"> </w:t>
      </w:r>
      <w:proofErr w:type="gramStart"/>
      <w:r w:rsidRPr="00685965">
        <w:rPr>
          <w:rFonts w:cs="Times New Roman"/>
          <w:color w:val="000000" w:themeColor="text1"/>
          <w:szCs w:val="24"/>
        </w:rPr>
        <w:t>equivalent</w:t>
      </w:r>
      <w:proofErr w:type="gramEnd"/>
      <w:r w:rsidRPr="00685965">
        <w:rPr>
          <w:rFonts w:cs="Times New Roman"/>
          <w:color w:val="000000" w:themeColor="text1"/>
          <w:szCs w:val="24"/>
        </w:rPr>
        <w:t xml:space="preserve"> to 16% of Kenya’s GDP (RBA, 2022). Investment allocations were heavily concentrated in government securities (44.1%), listed equities </w:t>
      </w:r>
      <w:r w:rsidRPr="00685965">
        <w:rPr>
          <w:rFonts w:cs="Times New Roman"/>
          <w:color w:val="000000" w:themeColor="text1"/>
          <w:szCs w:val="24"/>
        </w:rPr>
        <w:lastRenderedPageBreak/>
        <w:t>(16.9%), and real estate (16.7%). Pension funds therefore play a dual role: ensuring financial stability for retirees while channeling capital into national development through investments in infrastructure and capital markets.</w:t>
      </w:r>
    </w:p>
    <w:p w14:paraId="142C64E0" w14:textId="39B00BA9" w:rsidR="00685965" w:rsidRPr="00FB2E0F" w:rsidRDefault="00685965" w:rsidP="00685965">
      <w:pPr>
        <w:shd w:val="clear" w:color="auto" w:fill="FFFFFF"/>
        <w:spacing w:line="240" w:lineRule="auto"/>
        <w:rPr>
          <w:rFonts w:cs="Times New Roman"/>
          <w:color w:val="000000" w:themeColor="text1"/>
          <w:szCs w:val="24"/>
        </w:rPr>
      </w:pPr>
      <w:r w:rsidRPr="00685965">
        <w:rPr>
          <w:rFonts w:cs="Times New Roman"/>
          <w:color w:val="000000" w:themeColor="text1"/>
          <w:szCs w:val="24"/>
        </w:rPr>
        <w:t>The growth of pension assets has also enabled the government to design retirement-focused policies that protect public interests while leveraging pension resources for economic growth. In many developing economies, including Kenya, pension funds are increasingly viewed as strategic tools for reducing public debt, fostering investment, and driving long-term growth.</w:t>
      </w:r>
      <w:r>
        <w:rPr>
          <w:rFonts w:cs="Times New Roman"/>
          <w:color w:val="000000" w:themeColor="text1"/>
          <w:szCs w:val="24"/>
        </w:rPr>
        <w:t xml:space="preserve"> </w:t>
      </w:r>
      <w:r w:rsidRPr="00685965">
        <w:rPr>
          <w:rFonts w:cs="Times New Roman"/>
          <w:color w:val="000000" w:themeColor="text1"/>
          <w:szCs w:val="24"/>
        </w:rPr>
        <w:t>Pension funds are central to both individual welfare and macroeconomic stability. Their performance is shaped by firm characteristics such as fund size, design, portfolio mix, and membership age, which influence investment strategies and returns. Financial performance is best assessed using ROI and related ratios, while robust regulatory frameworks enhance trust, efficiency, and sustainability. Kenya’s pension sector, with assets equivalent to 16% of GDP, plays a pivotal role in securing retiree livelihoods and financing national development. Effective governance and strategic management of firm characteristics are therefore essential for ensuring both the growth of pension schemes and their contribution to economic progress</w:t>
      </w:r>
    </w:p>
    <w:p w14:paraId="48C38FDC" w14:textId="4C473802" w:rsidR="00055D83" w:rsidRPr="00FB2E0F" w:rsidRDefault="00055D83" w:rsidP="00CE4C91">
      <w:pPr>
        <w:shd w:val="clear" w:color="auto" w:fill="FFFFFF"/>
        <w:spacing w:line="240" w:lineRule="auto"/>
        <w:rPr>
          <w:rFonts w:eastAsia="Times New Roman" w:cs="Times New Roman"/>
          <w:b/>
          <w:bCs/>
          <w:color w:val="000000" w:themeColor="text1"/>
          <w:sz w:val="28"/>
          <w:szCs w:val="28"/>
        </w:rPr>
      </w:pPr>
      <w:r w:rsidRPr="00FB2E0F">
        <w:rPr>
          <w:rFonts w:eastAsia="Times New Roman" w:cs="Times New Roman"/>
          <w:b/>
          <w:bCs/>
          <w:color w:val="000000" w:themeColor="text1"/>
          <w:sz w:val="28"/>
          <w:szCs w:val="28"/>
        </w:rPr>
        <w:t>1.1 Research Problem</w:t>
      </w:r>
    </w:p>
    <w:p w14:paraId="3C6C03C9" w14:textId="4D7B30C6" w:rsidR="0021142D" w:rsidRPr="0021142D" w:rsidRDefault="0021142D" w:rsidP="0021142D">
      <w:pPr>
        <w:spacing w:line="240" w:lineRule="auto"/>
        <w:rPr>
          <w:rFonts w:cs="Times New Roman"/>
          <w:color w:val="000000" w:themeColor="text1"/>
          <w:szCs w:val="24"/>
        </w:rPr>
      </w:pPr>
      <w:r w:rsidRPr="0021142D">
        <w:rPr>
          <w:rFonts w:cs="Times New Roman"/>
          <w:color w:val="000000" w:themeColor="text1"/>
          <w:szCs w:val="24"/>
        </w:rPr>
        <w:t>Financial performance is a vital indicator of an organization’s wellbeing, reflecting its ability to sustain growth and meet obligations. In the pension industry, strong performance is particularly crucial as it encourages individuals to save for retirement, thereby ensuring long-term financial security. However, recent trends reveal inconsistencies in the financial performance of pension funds, raising questions about the firm-level characteristics that may influence these outcomes.</w:t>
      </w:r>
      <w:r>
        <w:rPr>
          <w:rFonts w:cs="Times New Roman"/>
          <w:color w:val="000000" w:themeColor="text1"/>
          <w:szCs w:val="24"/>
        </w:rPr>
        <w:t xml:space="preserve"> </w:t>
      </w:r>
      <w:r w:rsidRPr="0021142D">
        <w:rPr>
          <w:rFonts w:cs="Times New Roman"/>
          <w:color w:val="000000" w:themeColor="text1"/>
          <w:szCs w:val="24"/>
        </w:rPr>
        <w:t>The Retirement Benefits Authority (2022) reports show uneven growth in assets under management between 2013 and 2020, signaling suboptimal investment decisions and high administrative costs. Similarly, ACTSERV Surveys (2022) highlight erratic pension industry returns, fluctuating from as high as 20.3% in 2013 to as low as 1.4% in 2015, with no consistent upward trend. These findings suggest that despite the growth of the sector, performance remains volatile.</w:t>
      </w:r>
    </w:p>
    <w:p w14:paraId="45367CC9" w14:textId="77777777" w:rsidR="0021142D" w:rsidRPr="0021142D" w:rsidRDefault="0021142D" w:rsidP="0021142D">
      <w:pPr>
        <w:spacing w:line="240" w:lineRule="auto"/>
        <w:rPr>
          <w:rFonts w:cs="Times New Roman"/>
          <w:color w:val="000000" w:themeColor="text1"/>
          <w:szCs w:val="24"/>
        </w:rPr>
      </w:pPr>
      <w:r w:rsidRPr="0021142D">
        <w:rPr>
          <w:rFonts w:cs="Times New Roman"/>
          <w:color w:val="000000" w:themeColor="text1"/>
          <w:szCs w:val="24"/>
        </w:rPr>
        <w:t xml:space="preserve">Scholarly work underscores the importance of organizational characteristics in shaping pension fund outcomes. For instance, Adekoya, </w:t>
      </w:r>
      <w:proofErr w:type="spellStart"/>
      <w:r w:rsidRPr="0021142D">
        <w:rPr>
          <w:rFonts w:cs="Times New Roman"/>
          <w:color w:val="000000" w:themeColor="text1"/>
          <w:szCs w:val="24"/>
        </w:rPr>
        <w:t>Nwaobia</w:t>
      </w:r>
      <w:proofErr w:type="spellEnd"/>
      <w:r w:rsidRPr="0021142D">
        <w:rPr>
          <w:rFonts w:cs="Times New Roman"/>
          <w:color w:val="000000" w:themeColor="text1"/>
          <w:szCs w:val="24"/>
        </w:rPr>
        <w:t xml:space="preserve">, and </w:t>
      </w:r>
      <w:proofErr w:type="spellStart"/>
      <w:r w:rsidRPr="0021142D">
        <w:rPr>
          <w:rFonts w:cs="Times New Roman"/>
          <w:color w:val="000000" w:themeColor="text1"/>
          <w:szCs w:val="24"/>
        </w:rPr>
        <w:t>Siyanbola</w:t>
      </w:r>
      <w:proofErr w:type="spellEnd"/>
      <w:r w:rsidRPr="0021142D">
        <w:rPr>
          <w:rFonts w:cs="Times New Roman"/>
          <w:color w:val="000000" w:themeColor="text1"/>
          <w:szCs w:val="24"/>
        </w:rPr>
        <w:t xml:space="preserve"> (2022) found that factors such as firm age, size, membership, board composition, and branch networks significantly influenced pension fund management in Nigeria. Yet, their study concentrated more on firm value than financial performance. In Kenya, Kigen (2016) observed that fund size strongly influences financial outcomes, with larger funds often underperforming due to managerial inefficiencies. Similarly, Oluoch (2013) noted that increased fund valuations did not always translate to improved returns. Conversely, Ondieki (2022) and </w:t>
      </w:r>
      <w:proofErr w:type="spellStart"/>
      <w:r w:rsidRPr="0021142D">
        <w:rPr>
          <w:rFonts w:cs="Times New Roman"/>
          <w:color w:val="000000" w:themeColor="text1"/>
          <w:szCs w:val="24"/>
        </w:rPr>
        <w:t>Nyangeri</w:t>
      </w:r>
      <w:proofErr w:type="spellEnd"/>
      <w:r w:rsidRPr="0021142D">
        <w:rPr>
          <w:rFonts w:cs="Times New Roman"/>
          <w:color w:val="000000" w:themeColor="text1"/>
          <w:szCs w:val="24"/>
        </w:rPr>
        <w:t xml:space="preserve"> (2014) suggested that while larger funds face greater risks, they also have the potential to generate higher returns through better investment opportunities.</w:t>
      </w:r>
    </w:p>
    <w:p w14:paraId="565E1365" w14:textId="77777777" w:rsidR="0021142D" w:rsidRPr="0021142D" w:rsidRDefault="0021142D" w:rsidP="0021142D">
      <w:pPr>
        <w:spacing w:line="240" w:lineRule="auto"/>
        <w:rPr>
          <w:rFonts w:cs="Times New Roman"/>
          <w:color w:val="000000" w:themeColor="text1"/>
          <w:szCs w:val="24"/>
        </w:rPr>
      </w:pPr>
    </w:p>
    <w:p w14:paraId="721AE480" w14:textId="77777777" w:rsidR="0021142D" w:rsidRPr="0021142D" w:rsidRDefault="0021142D" w:rsidP="0021142D">
      <w:pPr>
        <w:spacing w:line="240" w:lineRule="auto"/>
        <w:rPr>
          <w:rFonts w:cs="Times New Roman"/>
          <w:color w:val="000000" w:themeColor="text1"/>
          <w:szCs w:val="24"/>
        </w:rPr>
      </w:pPr>
      <w:r w:rsidRPr="0021142D">
        <w:rPr>
          <w:rFonts w:cs="Times New Roman"/>
          <w:color w:val="000000" w:themeColor="text1"/>
          <w:szCs w:val="24"/>
        </w:rPr>
        <w:t xml:space="preserve">Beyond organizational traits, governance and investment practices also affect pension fund performance. Poor investment diversification, as highlighted by Ngugi, Njuguna, and </w:t>
      </w:r>
      <w:proofErr w:type="spellStart"/>
      <w:r w:rsidRPr="0021142D">
        <w:rPr>
          <w:rFonts w:cs="Times New Roman"/>
          <w:color w:val="000000" w:themeColor="text1"/>
          <w:szCs w:val="24"/>
        </w:rPr>
        <w:t>Wambalaba</w:t>
      </w:r>
      <w:proofErr w:type="spellEnd"/>
      <w:r w:rsidRPr="0021142D">
        <w:rPr>
          <w:rFonts w:cs="Times New Roman"/>
          <w:color w:val="000000" w:themeColor="text1"/>
          <w:szCs w:val="24"/>
        </w:rPr>
        <w:t xml:space="preserve"> (2018), exposes schemes to avoidable risks. Moreover, cases of mismanagement and embezzlement by politically appointed executives (</w:t>
      </w:r>
      <w:proofErr w:type="spellStart"/>
      <w:r w:rsidRPr="0021142D">
        <w:rPr>
          <w:rFonts w:cs="Times New Roman"/>
          <w:color w:val="000000" w:themeColor="text1"/>
          <w:szCs w:val="24"/>
        </w:rPr>
        <w:t>Namusonge</w:t>
      </w:r>
      <w:proofErr w:type="spellEnd"/>
      <w:r w:rsidRPr="0021142D">
        <w:rPr>
          <w:rFonts w:cs="Times New Roman"/>
          <w:color w:val="000000" w:themeColor="text1"/>
          <w:szCs w:val="24"/>
        </w:rPr>
        <w:t xml:space="preserve"> &amp; Gathogo, 2017) undermine trust and lead to financial losses for beneficiaries. These governance failures highlight structural weaknesses that threaten the sustainability of pension funds.</w:t>
      </w:r>
    </w:p>
    <w:p w14:paraId="17E29A75" w14:textId="5430BB86" w:rsidR="00B717D1" w:rsidRPr="00201AD3" w:rsidRDefault="0021142D" w:rsidP="0021142D">
      <w:pPr>
        <w:spacing w:line="240" w:lineRule="auto"/>
        <w:rPr>
          <w:rFonts w:cs="Times New Roman"/>
          <w:color w:val="000000" w:themeColor="text1"/>
          <w:szCs w:val="24"/>
        </w:rPr>
      </w:pPr>
      <w:r w:rsidRPr="0021142D">
        <w:rPr>
          <w:rFonts w:cs="Times New Roman"/>
          <w:color w:val="000000" w:themeColor="text1"/>
          <w:szCs w:val="24"/>
        </w:rPr>
        <w:t>Despite these insights, existing literature reveals a critical gap. While several studies have investigated pension fund performance, few have examined the direct influence of specific firm-level characteristics on financial outcomes within the Kenyan context. Given that pension funds are unique institutions with long-term obligations to beneficiaries (Oyoo, 2020), understanding the drivers of their financial performance is essential for strengthening regulatory frameworks and improving fund management practices.</w:t>
      </w:r>
      <w:r>
        <w:rPr>
          <w:rFonts w:cs="Times New Roman"/>
          <w:color w:val="000000" w:themeColor="text1"/>
          <w:szCs w:val="24"/>
        </w:rPr>
        <w:t xml:space="preserve"> </w:t>
      </w:r>
      <w:r w:rsidRPr="0021142D">
        <w:rPr>
          <w:rFonts w:cs="Times New Roman"/>
          <w:color w:val="000000" w:themeColor="text1"/>
          <w:szCs w:val="24"/>
        </w:rPr>
        <w:t>This study therefore seeks to explore how firm characteristics</w:t>
      </w:r>
      <w:r w:rsidR="00806DB8">
        <w:rPr>
          <w:rFonts w:cs="Times New Roman"/>
          <w:color w:val="000000" w:themeColor="text1"/>
          <w:szCs w:val="24"/>
        </w:rPr>
        <w:t xml:space="preserve"> </w:t>
      </w:r>
      <w:r w:rsidRPr="0021142D">
        <w:rPr>
          <w:rFonts w:cs="Times New Roman"/>
          <w:color w:val="000000" w:themeColor="text1"/>
          <w:szCs w:val="24"/>
        </w:rPr>
        <w:t>such as fund size, governance structures, and operational practices</w:t>
      </w:r>
      <w:r w:rsidR="00806DB8">
        <w:rPr>
          <w:rFonts w:cs="Times New Roman"/>
          <w:color w:val="000000" w:themeColor="text1"/>
          <w:szCs w:val="24"/>
        </w:rPr>
        <w:t xml:space="preserve"> </w:t>
      </w:r>
      <w:r w:rsidRPr="0021142D">
        <w:rPr>
          <w:rFonts w:cs="Times New Roman"/>
          <w:color w:val="000000" w:themeColor="text1"/>
          <w:szCs w:val="24"/>
        </w:rPr>
        <w:t xml:space="preserve">affect the financial performance </w:t>
      </w:r>
      <w:r w:rsidRPr="0021142D">
        <w:rPr>
          <w:rFonts w:cs="Times New Roman"/>
          <w:color w:val="000000" w:themeColor="text1"/>
          <w:szCs w:val="24"/>
        </w:rPr>
        <w:lastRenderedPageBreak/>
        <w:t xml:space="preserve">of pension </w:t>
      </w:r>
      <w:r w:rsidRPr="00201AD3">
        <w:rPr>
          <w:rFonts w:cs="Times New Roman"/>
          <w:color w:val="000000" w:themeColor="text1"/>
          <w:szCs w:val="24"/>
        </w:rPr>
        <w:t>funds in Kenya. By addressing this research gap, the study aims to provide evidence-based insights that can guide policy reforms and enhance the sustainability of pension schemes</w:t>
      </w:r>
      <w:r w:rsidR="00A81F27" w:rsidRPr="00201AD3">
        <w:rPr>
          <w:rFonts w:cs="Times New Roman"/>
          <w:color w:val="000000" w:themeColor="text1"/>
          <w:szCs w:val="24"/>
        </w:rPr>
        <w:t>.</w:t>
      </w:r>
      <w:r w:rsidR="00A85B82" w:rsidRPr="00201AD3">
        <w:rPr>
          <w:rFonts w:cs="Times New Roman"/>
          <w:color w:val="000000" w:themeColor="text1"/>
          <w:szCs w:val="24"/>
        </w:rPr>
        <w:t xml:space="preserve"> </w:t>
      </w:r>
    </w:p>
    <w:p w14:paraId="12200D21" w14:textId="2E86DCE3" w:rsidR="00BD15A0" w:rsidRPr="00201AD3" w:rsidRDefault="007E0F37" w:rsidP="00BD15A0">
      <w:r w:rsidRPr="00201AD3">
        <w:t>Table 1: Assets Under Management from 2013-2022 in Kenyan Shilling (KSH) (Billion)</w:t>
      </w:r>
    </w:p>
    <w:tbl>
      <w:tblPr>
        <w:tblW w:w="4774" w:type="dxa"/>
        <w:tblInd w:w="-5" w:type="dxa"/>
        <w:tblLook w:val="04A0" w:firstRow="1" w:lastRow="0" w:firstColumn="1" w:lastColumn="0" w:noHBand="0" w:noVBand="1"/>
      </w:tblPr>
      <w:tblGrid>
        <w:gridCol w:w="897"/>
        <w:gridCol w:w="1938"/>
        <w:gridCol w:w="1939"/>
      </w:tblGrid>
      <w:tr w:rsidR="00BD15A0" w:rsidRPr="00201AD3" w14:paraId="0F103EDA" w14:textId="77777777" w:rsidTr="004A5E22">
        <w:trPr>
          <w:trHeight w:val="300"/>
        </w:trPr>
        <w:tc>
          <w:tcPr>
            <w:tcW w:w="897" w:type="dxa"/>
            <w:tcBorders>
              <w:top w:val="single" w:sz="4" w:space="0" w:color="auto"/>
              <w:left w:val="single" w:sz="4" w:space="0" w:color="auto"/>
              <w:bottom w:val="single" w:sz="4" w:space="0" w:color="auto"/>
              <w:right w:val="single" w:sz="4" w:space="0" w:color="auto"/>
            </w:tcBorders>
            <w:noWrap/>
            <w:vAlign w:val="bottom"/>
            <w:hideMark/>
          </w:tcPr>
          <w:p w14:paraId="26D16C84" w14:textId="77777777" w:rsidR="00BD15A0" w:rsidRPr="00201AD3" w:rsidRDefault="00BD15A0" w:rsidP="00BD15A0">
            <w:pPr>
              <w:spacing w:before="0" w:line="240" w:lineRule="auto"/>
              <w:rPr>
                <w:rFonts w:eastAsia="Times New Roman" w:cs="Times New Roman"/>
                <w:b/>
                <w:szCs w:val="24"/>
              </w:rPr>
            </w:pPr>
            <w:r w:rsidRPr="00201AD3">
              <w:rPr>
                <w:rFonts w:eastAsia="Times New Roman" w:cs="Times New Roman"/>
                <w:b/>
                <w:szCs w:val="24"/>
              </w:rPr>
              <w:t>YEAR</w:t>
            </w:r>
          </w:p>
        </w:tc>
        <w:tc>
          <w:tcPr>
            <w:tcW w:w="1938" w:type="dxa"/>
            <w:tcBorders>
              <w:top w:val="single" w:sz="4" w:space="0" w:color="auto"/>
              <w:left w:val="nil"/>
              <w:bottom w:val="single" w:sz="4" w:space="0" w:color="auto"/>
              <w:right w:val="single" w:sz="4" w:space="0" w:color="auto"/>
            </w:tcBorders>
            <w:noWrap/>
            <w:vAlign w:val="bottom"/>
            <w:hideMark/>
          </w:tcPr>
          <w:p w14:paraId="4B3CD10E" w14:textId="77777777" w:rsidR="00BD15A0" w:rsidRPr="00201AD3" w:rsidRDefault="00BD15A0" w:rsidP="00BD15A0">
            <w:pPr>
              <w:spacing w:before="0" w:line="240" w:lineRule="auto"/>
              <w:rPr>
                <w:rFonts w:eastAsia="Times New Roman" w:cs="Times New Roman"/>
                <w:b/>
                <w:szCs w:val="24"/>
              </w:rPr>
            </w:pPr>
            <w:r w:rsidRPr="00201AD3">
              <w:rPr>
                <w:rFonts w:eastAsia="Times New Roman" w:cs="Times New Roman"/>
                <w:b/>
                <w:szCs w:val="24"/>
              </w:rPr>
              <w:t>KSH BILLION</w:t>
            </w:r>
          </w:p>
        </w:tc>
        <w:tc>
          <w:tcPr>
            <w:tcW w:w="1939" w:type="dxa"/>
            <w:tcBorders>
              <w:top w:val="single" w:sz="4" w:space="0" w:color="auto"/>
              <w:left w:val="nil"/>
              <w:bottom w:val="single" w:sz="4" w:space="0" w:color="auto"/>
              <w:right w:val="single" w:sz="4" w:space="0" w:color="auto"/>
            </w:tcBorders>
            <w:noWrap/>
            <w:vAlign w:val="bottom"/>
            <w:hideMark/>
          </w:tcPr>
          <w:p w14:paraId="772CDC66" w14:textId="77777777" w:rsidR="00BD15A0" w:rsidRPr="00201AD3" w:rsidRDefault="00BD15A0" w:rsidP="00BD15A0">
            <w:pPr>
              <w:spacing w:before="0" w:line="240" w:lineRule="auto"/>
              <w:rPr>
                <w:rFonts w:eastAsia="Times New Roman" w:cs="Times New Roman"/>
                <w:b/>
                <w:szCs w:val="24"/>
              </w:rPr>
            </w:pPr>
            <w:r w:rsidRPr="00201AD3">
              <w:rPr>
                <w:rFonts w:eastAsia="Times New Roman" w:cs="Times New Roman"/>
                <w:b/>
                <w:szCs w:val="24"/>
              </w:rPr>
              <w:t xml:space="preserve"> % INCREASE </w:t>
            </w:r>
          </w:p>
        </w:tc>
      </w:tr>
      <w:tr w:rsidR="00BD15A0" w:rsidRPr="00201AD3" w14:paraId="3EFB16C2" w14:textId="77777777" w:rsidTr="004A5E22">
        <w:trPr>
          <w:trHeight w:val="300"/>
        </w:trPr>
        <w:tc>
          <w:tcPr>
            <w:tcW w:w="897" w:type="dxa"/>
            <w:tcBorders>
              <w:top w:val="nil"/>
              <w:left w:val="single" w:sz="4" w:space="0" w:color="auto"/>
              <w:bottom w:val="single" w:sz="4" w:space="0" w:color="auto"/>
              <w:right w:val="single" w:sz="4" w:space="0" w:color="auto"/>
            </w:tcBorders>
            <w:noWrap/>
            <w:vAlign w:val="bottom"/>
            <w:hideMark/>
          </w:tcPr>
          <w:p w14:paraId="7D47E62B" w14:textId="77777777" w:rsidR="00BD15A0" w:rsidRPr="00201AD3" w:rsidRDefault="00BD15A0" w:rsidP="00BD15A0">
            <w:pPr>
              <w:spacing w:before="0" w:line="240" w:lineRule="auto"/>
              <w:jc w:val="right"/>
              <w:rPr>
                <w:rFonts w:eastAsia="Times New Roman" w:cs="Times New Roman"/>
                <w:szCs w:val="24"/>
              </w:rPr>
            </w:pPr>
            <w:r w:rsidRPr="00201AD3">
              <w:rPr>
                <w:rFonts w:eastAsia="Times New Roman" w:cs="Times New Roman"/>
                <w:szCs w:val="24"/>
              </w:rPr>
              <w:t>2013</w:t>
            </w:r>
          </w:p>
        </w:tc>
        <w:tc>
          <w:tcPr>
            <w:tcW w:w="1938" w:type="dxa"/>
            <w:tcBorders>
              <w:top w:val="nil"/>
              <w:left w:val="nil"/>
              <w:bottom w:val="single" w:sz="4" w:space="0" w:color="auto"/>
              <w:right w:val="single" w:sz="4" w:space="0" w:color="auto"/>
            </w:tcBorders>
            <w:noWrap/>
            <w:vAlign w:val="bottom"/>
            <w:hideMark/>
          </w:tcPr>
          <w:p w14:paraId="4A55E992" w14:textId="77777777" w:rsidR="00BD15A0" w:rsidRPr="00201AD3" w:rsidRDefault="00BD15A0" w:rsidP="00BD15A0">
            <w:pPr>
              <w:spacing w:before="0" w:line="240" w:lineRule="auto"/>
              <w:jc w:val="center"/>
              <w:rPr>
                <w:rFonts w:eastAsia="Times New Roman" w:cs="Times New Roman"/>
                <w:szCs w:val="24"/>
              </w:rPr>
            </w:pPr>
            <w:r w:rsidRPr="00201AD3">
              <w:rPr>
                <w:rFonts w:eastAsia="Times New Roman" w:cs="Times New Roman"/>
                <w:szCs w:val="24"/>
              </w:rPr>
              <w:t>696</w:t>
            </w:r>
          </w:p>
        </w:tc>
        <w:tc>
          <w:tcPr>
            <w:tcW w:w="1939" w:type="dxa"/>
            <w:tcBorders>
              <w:top w:val="nil"/>
              <w:left w:val="nil"/>
              <w:bottom w:val="single" w:sz="4" w:space="0" w:color="auto"/>
              <w:right w:val="single" w:sz="4" w:space="0" w:color="auto"/>
            </w:tcBorders>
            <w:noWrap/>
            <w:vAlign w:val="bottom"/>
            <w:hideMark/>
          </w:tcPr>
          <w:p w14:paraId="5CEE59E2" w14:textId="77777777" w:rsidR="00BD15A0" w:rsidRPr="00201AD3" w:rsidRDefault="00BD15A0" w:rsidP="00BD15A0">
            <w:pPr>
              <w:spacing w:before="0" w:line="240" w:lineRule="auto"/>
              <w:jc w:val="center"/>
              <w:rPr>
                <w:rFonts w:eastAsia="Times New Roman" w:cs="Times New Roman"/>
                <w:szCs w:val="24"/>
              </w:rPr>
            </w:pPr>
            <w:r w:rsidRPr="00201AD3">
              <w:rPr>
                <w:rFonts w:eastAsia="Times New Roman" w:cs="Times New Roman"/>
                <w:szCs w:val="24"/>
              </w:rPr>
              <w:t>26.78</w:t>
            </w:r>
          </w:p>
        </w:tc>
      </w:tr>
      <w:tr w:rsidR="00BD15A0" w:rsidRPr="00201AD3" w14:paraId="206D0BDE" w14:textId="77777777" w:rsidTr="004A5E22">
        <w:trPr>
          <w:trHeight w:val="300"/>
        </w:trPr>
        <w:tc>
          <w:tcPr>
            <w:tcW w:w="897" w:type="dxa"/>
            <w:tcBorders>
              <w:top w:val="nil"/>
              <w:left w:val="single" w:sz="4" w:space="0" w:color="auto"/>
              <w:bottom w:val="single" w:sz="4" w:space="0" w:color="auto"/>
              <w:right w:val="single" w:sz="4" w:space="0" w:color="auto"/>
            </w:tcBorders>
            <w:noWrap/>
            <w:vAlign w:val="bottom"/>
            <w:hideMark/>
          </w:tcPr>
          <w:p w14:paraId="41A4DA48" w14:textId="77777777" w:rsidR="00BD15A0" w:rsidRPr="00201AD3" w:rsidRDefault="00BD15A0" w:rsidP="00BD15A0">
            <w:pPr>
              <w:spacing w:before="0" w:line="240" w:lineRule="auto"/>
              <w:jc w:val="right"/>
              <w:rPr>
                <w:rFonts w:eastAsia="Times New Roman" w:cs="Times New Roman"/>
                <w:szCs w:val="24"/>
              </w:rPr>
            </w:pPr>
            <w:r w:rsidRPr="00201AD3">
              <w:rPr>
                <w:rFonts w:eastAsia="Times New Roman" w:cs="Times New Roman"/>
                <w:szCs w:val="24"/>
              </w:rPr>
              <w:t>2014</w:t>
            </w:r>
          </w:p>
        </w:tc>
        <w:tc>
          <w:tcPr>
            <w:tcW w:w="1938" w:type="dxa"/>
            <w:tcBorders>
              <w:top w:val="nil"/>
              <w:left w:val="nil"/>
              <w:bottom w:val="single" w:sz="4" w:space="0" w:color="auto"/>
              <w:right w:val="single" w:sz="4" w:space="0" w:color="auto"/>
            </w:tcBorders>
            <w:noWrap/>
            <w:vAlign w:val="bottom"/>
            <w:hideMark/>
          </w:tcPr>
          <w:p w14:paraId="6C56D2C5" w14:textId="77777777" w:rsidR="00BD15A0" w:rsidRPr="00201AD3" w:rsidRDefault="00BD15A0" w:rsidP="00BD15A0">
            <w:pPr>
              <w:spacing w:before="0" w:line="240" w:lineRule="auto"/>
              <w:jc w:val="center"/>
              <w:rPr>
                <w:rFonts w:eastAsia="Times New Roman" w:cs="Times New Roman"/>
                <w:szCs w:val="24"/>
              </w:rPr>
            </w:pPr>
            <w:r w:rsidRPr="00201AD3">
              <w:rPr>
                <w:rFonts w:eastAsia="Times New Roman" w:cs="Times New Roman"/>
                <w:szCs w:val="24"/>
              </w:rPr>
              <w:t>788</w:t>
            </w:r>
          </w:p>
        </w:tc>
        <w:tc>
          <w:tcPr>
            <w:tcW w:w="1939" w:type="dxa"/>
            <w:tcBorders>
              <w:top w:val="nil"/>
              <w:left w:val="nil"/>
              <w:bottom w:val="single" w:sz="4" w:space="0" w:color="auto"/>
              <w:right w:val="single" w:sz="4" w:space="0" w:color="auto"/>
            </w:tcBorders>
            <w:noWrap/>
            <w:vAlign w:val="bottom"/>
            <w:hideMark/>
          </w:tcPr>
          <w:p w14:paraId="59E0CEDE" w14:textId="77777777" w:rsidR="00BD15A0" w:rsidRPr="00201AD3" w:rsidRDefault="00BD15A0" w:rsidP="00BD15A0">
            <w:pPr>
              <w:spacing w:before="0" w:line="240" w:lineRule="auto"/>
              <w:jc w:val="center"/>
              <w:rPr>
                <w:rFonts w:eastAsia="Times New Roman" w:cs="Times New Roman"/>
                <w:szCs w:val="24"/>
              </w:rPr>
            </w:pPr>
            <w:r w:rsidRPr="00201AD3">
              <w:rPr>
                <w:rFonts w:eastAsia="Times New Roman" w:cs="Times New Roman"/>
                <w:szCs w:val="24"/>
              </w:rPr>
              <w:t>11.68</w:t>
            </w:r>
          </w:p>
        </w:tc>
      </w:tr>
      <w:tr w:rsidR="00BD15A0" w:rsidRPr="00201AD3" w14:paraId="09CCAEE1" w14:textId="77777777" w:rsidTr="004A5E22">
        <w:trPr>
          <w:trHeight w:val="300"/>
        </w:trPr>
        <w:tc>
          <w:tcPr>
            <w:tcW w:w="897" w:type="dxa"/>
            <w:tcBorders>
              <w:top w:val="nil"/>
              <w:left w:val="single" w:sz="4" w:space="0" w:color="auto"/>
              <w:bottom w:val="single" w:sz="4" w:space="0" w:color="auto"/>
              <w:right w:val="single" w:sz="4" w:space="0" w:color="auto"/>
            </w:tcBorders>
            <w:noWrap/>
            <w:vAlign w:val="bottom"/>
            <w:hideMark/>
          </w:tcPr>
          <w:p w14:paraId="126D08BC" w14:textId="77777777" w:rsidR="00BD15A0" w:rsidRPr="00201AD3" w:rsidRDefault="00BD15A0" w:rsidP="00BD15A0">
            <w:pPr>
              <w:spacing w:before="0" w:line="240" w:lineRule="auto"/>
              <w:jc w:val="right"/>
              <w:rPr>
                <w:rFonts w:eastAsia="Times New Roman" w:cs="Times New Roman"/>
                <w:szCs w:val="24"/>
              </w:rPr>
            </w:pPr>
            <w:r w:rsidRPr="00201AD3">
              <w:rPr>
                <w:rFonts w:eastAsia="Times New Roman" w:cs="Times New Roman"/>
                <w:szCs w:val="24"/>
              </w:rPr>
              <w:t>2015</w:t>
            </w:r>
          </w:p>
        </w:tc>
        <w:tc>
          <w:tcPr>
            <w:tcW w:w="1938" w:type="dxa"/>
            <w:tcBorders>
              <w:top w:val="nil"/>
              <w:left w:val="nil"/>
              <w:bottom w:val="single" w:sz="4" w:space="0" w:color="auto"/>
              <w:right w:val="single" w:sz="4" w:space="0" w:color="auto"/>
            </w:tcBorders>
            <w:noWrap/>
            <w:vAlign w:val="bottom"/>
            <w:hideMark/>
          </w:tcPr>
          <w:p w14:paraId="7BF4D9E7" w14:textId="77777777" w:rsidR="00BD15A0" w:rsidRPr="00201AD3" w:rsidRDefault="00BD15A0" w:rsidP="00BD15A0">
            <w:pPr>
              <w:spacing w:before="0" w:line="240" w:lineRule="auto"/>
              <w:jc w:val="center"/>
              <w:rPr>
                <w:rFonts w:eastAsia="Times New Roman" w:cs="Times New Roman"/>
                <w:szCs w:val="24"/>
              </w:rPr>
            </w:pPr>
            <w:r w:rsidRPr="00201AD3">
              <w:rPr>
                <w:rFonts w:eastAsia="Times New Roman" w:cs="Times New Roman"/>
                <w:szCs w:val="24"/>
              </w:rPr>
              <w:t>814</w:t>
            </w:r>
          </w:p>
        </w:tc>
        <w:tc>
          <w:tcPr>
            <w:tcW w:w="1939" w:type="dxa"/>
            <w:tcBorders>
              <w:top w:val="nil"/>
              <w:left w:val="nil"/>
              <w:bottom w:val="single" w:sz="4" w:space="0" w:color="auto"/>
              <w:right w:val="single" w:sz="4" w:space="0" w:color="auto"/>
            </w:tcBorders>
            <w:noWrap/>
            <w:vAlign w:val="bottom"/>
            <w:hideMark/>
          </w:tcPr>
          <w:p w14:paraId="7B58694D" w14:textId="77777777" w:rsidR="00BD15A0" w:rsidRPr="00201AD3" w:rsidRDefault="00BD15A0" w:rsidP="00BD15A0">
            <w:pPr>
              <w:spacing w:before="0" w:line="240" w:lineRule="auto"/>
              <w:jc w:val="center"/>
              <w:rPr>
                <w:rFonts w:eastAsia="Times New Roman" w:cs="Times New Roman"/>
                <w:szCs w:val="24"/>
              </w:rPr>
            </w:pPr>
            <w:r w:rsidRPr="00201AD3">
              <w:rPr>
                <w:rFonts w:eastAsia="Times New Roman" w:cs="Times New Roman"/>
                <w:szCs w:val="24"/>
              </w:rPr>
              <w:t>3.30</w:t>
            </w:r>
          </w:p>
        </w:tc>
      </w:tr>
      <w:tr w:rsidR="00BD15A0" w:rsidRPr="00201AD3" w14:paraId="17D3603E" w14:textId="77777777" w:rsidTr="004A5E22">
        <w:trPr>
          <w:trHeight w:val="300"/>
        </w:trPr>
        <w:tc>
          <w:tcPr>
            <w:tcW w:w="897" w:type="dxa"/>
            <w:tcBorders>
              <w:top w:val="nil"/>
              <w:left w:val="single" w:sz="4" w:space="0" w:color="auto"/>
              <w:bottom w:val="single" w:sz="4" w:space="0" w:color="auto"/>
              <w:right w:val="single" w:sz="4" w:space="0" w:color="auto"/>
            </w:tcBorders>
            <w:noWrap/>
            <w:vAlign w:val="bottom"/>
            <w:hideMark/>
          </w:tcPr>
          <w:p w14:paraId="0C5DA39D" w14:textId="77777777" w:rsidR="00BD15A0" w:rsidRPr="00201AD3" w:rsidRDefault="00BD15A0" w:rsidP="00BD15A0">
            <w:pPr>
              <w:spacing w:before="0" w:line="240" w:lineRule="auto"/>
              <w:jc w:val="right"/>
              <w:rPr>
                <w:rFonts w:eastAsia="Times New Roman" w:cs="Times New Roman"/>
                <w:szCs w:val="24"/>
              </w:rPr>
            </w:pPr>
            <w:r w:rsidRPr="00201AD3">
              <w:rPr>
                <w:rFonts w:eastAsia="Times New Roman" w:cs="Times New Roman"/>
                <w:szCs w:val="24"/>
              </w:rPr>
              <w:t>2016</w:t>
            </w:r>
          </w:p>
        </w:tc>
        <w:tc>
          <w:tcPr>
            <w:tcW w:w="1938" w:type="dxa"/>
            <w:tcBorders>
              <w:top w:val="nil"/>
              <w:left w:val="nil"/>
              <w:bottom w:val="single" w:sz="4" w:space="0" w:color="auto"/>
              <w:right w:val="single" w:sz="4" w:space="0" w:color="auto"/>
            </w:tcBorders>
            <w:noWrap/>
            <w:vAlign w:val="bottom"/>
            <w:hideMark/>
          </w:tcPr>
          <w:p w14:paraId="7F5A8883" w14:textId="77777777" w:rsidR="00BD15A0" w:rsidRPr="00201AD3" w:rsidRDefault="00BD15A0" w:rsidP="00BD15A0">
            <w:pPr>
              <w:spacing w:before="0" w:line="240" w:lineRule="auto"/>
              <w:jc w:val="center"/>
              <w:rPr>
                <w:rFonts w:eastAsia="Times New Roman" w:cs="Times New Roman"/>
                <w:szCs w:val="24"/>
              </w:rPr>
            </w:pPr>
            <w:r w:rsidRPr="00201AD3">
              <w:rPr>
                <w:rFonts w:eastAsia="Times New Roman" w:cs="Times New Roman"/>
                <w:szCs w:val="24"/>
              </w:rPr>
              <w:t>912</w:t>
            </w:r>
          </w:p>
        </w:tc>
        <w:tc>
          <w:tcPr>
            <w:tcW w:w="1939" w:type="dxa"/>
            <w:tcBorders>
              <w:top w:val="nil"/>
              <w:left w:val="nil"/>
              <w:bottom w:val="single" w:sz="4" w:space="0" w:color="auto"/>
              <w:right w:val="single" w:sz="4" w:space="0" w:color="auto"/>
            </w:tcBorders>
            <w:noWrap/>
            <w:vAlign w:val="bottom"/>
            <w:hideMark/>
          </w:tcPr>
          <w:p w14:paraId="4F33F88F" w14:textId="77777777" w:rsidR="00BD15A0" w:rsidRPr="00201AD3" w:rsidRDefault="00BD15A0" w:rsidP="00BD15A0">
            <w:pPr>
              <w:spacing w:before="0" w:line="240" w:lineRule="auto"/>
              <w:jc w:val="center"/>
              <w:rPr>
                <w:rFonts w:eastAsia="Times New Roman" w:cs="Times New Roman"/>
                <w:szCs w:val="24"/>
              </w:rPr>
            </w:pPr>
            <w:r w:rsidRPr="00201AD3">
              <w:rPr>
                <w:rFonts w:eastAsia="Times New Roman" w:cs="Times New Roman"/>
                <w:szCs w:val="24"/>
              </w:rPr>
              <w:t>12.04</w:t>
            </w:r>
          </w:p>
        </w:tc>
      </w:tr>
      <w:tr w:rsidR="00BD15A0" w:rsidRPr="00201AD3" w14:paraId="1574D4D4" w14:textId="77777777" w:rsidTr="004A5E22">
        <w:trPr>
          <w:trHeight w:val="300"/>
        </w:trPr>
        <w:tc>
          <w:tcPr>
            <w:tcW w:w="897" w:type="dxa"/>
            <w:tcBorders>
              <w:top w:val="nil"/>
              <w:left w:val="single" w:sz="4" w:space="0" w:color="auto"/>
              <w:bottom w:val="single" w:sz="4" w:space="0" w:color="auto"/>
              <w:right w:val="single" w:sz="4" w:space="0" w:color="auto"/>
            </w:tcBorders>
            <w:noWrap/>
            <w:vAlign w:val="bottom"/>
            <w:hideMark/>
          </w:tcPr>
          <w:p w14:paraId="231FD948" w14:textId="77777777" w:rsidR="00BD15A0" w:rsidRPr="00201AD3" w:rsidRDefault="00BD15A0" w:rsidP="00BD15A0">
            <w:pPr>
              <w:spacing w:before="0" w:line="240" w:lineRule="auto"/>
              <w:jc w:val="right"/>
              <w:rPr>
                <w:rFonts w:eastAsia="Times New Roman" w:cs="Times New Roman"/>
                <w:szCs w:val="24"/>
              </w:rPr>
            </w:pPr>
            <w:r w:rsidRPr="00201AD3">
              <w:rPr>
                <w:rFonts w:eastAsia="Times New Roman" w:cs="Times New Roman"/>
                <w:szCs w:val="24"/>
              </w:rPr>
              <w:t>2017</w:t>
            </w:r>
          </w:p>
        </w:tc>
        <w:tc>
          <w:tcPr>
            <w:tcW w:w="1938" w:type="dxa"/>
            <w:tcBorders>
              <w:top w:val="nil"/>
              <w:left w:val="nil"/>
              <w:bottom w:val="single" w:sz="4" w:space="0" w:color="auto"/>
              <w:right w:val="single" w:sz="4" w:space="0" w:color="auto"/>
            </w:tcBorders>
            <w:noWrap/>
            <w:vAlign w:val="bottom"/>
            <w:hideMark/>
          </w:tcPr>
          <w:p w14:paraId="17DF5FD2" w14:textId="77777777" w:rsidR="00BD15A0" w:rsidRPr="00201AD3" w:rsidRDefault="00BD15A0" w:rsidP="00BD15A0">
            <w:pPr>
              <w:spacing w:before="0" w:line="240" w:lineRule="auto"/>
              <w:jc w:val="center"/>
              <w:rPr>
                <w:rFonts w:eastAsia="Times New Roman" w:cs="Times New Roman"/>
                <w:szCs w:val="24"/>
              </w:rPr>
            </w:pPr>
            <w:r w:rsidRPr="00201AD3">
              <w:rPr>
                <w:rFonts w:eastAsia="Times New Roman" w:cs="Times New Roman"/>
                <w:szCs w:val="24"/>
              </w:rPr>
              <w:t>1080</w:t>
            </w:r>
          </w:p>
        </w:tc>
        <w:tc>
          <w:tcPr>
            <w:tcW w:w="1939" w:type="dxa"/>
            <w:tcBorders>
              <w:top w:val="nil"/>
              <w:left w:val="nil"/>
              <w:bottom w:val="single" w:sz="4" w:space="0" w:color="auto"/>
              <w:right w:val="single" w:sz="4" w:space="0" w:color="auto"/>
            </w:tcBorders>
            <w:noWrap/>
            <w:vAlign w:val="bottom"/>
            <w:hideMark/>
          </w:tcPr>
          <w:p w14:paraId="6F6BCBC2" w14:textId="77777777" w:rsidR="00BD15A0" w:rsidRPr="00201AD3" w:rsidRDefault="00BD15A0" w:rsidP="00BD15A0">
            <w:pPr>
              <w:spacing w:before="0" w:line="240" w:lineRule="auto"/>
              <w:jc w:val="center"/>
              <w:rPr>
                <w:rFonts w:eastAsia="Times New Roman" w:cs="Times New Roman"/>
                <w:szCs w:val="24"/>
              </w:rPr>
            </w:pPr>
            <w:r w:rsidRPr="00201AD3">
              <w:rPr>
                <w:rFonts w:eastAsia="Times New Roman" w:cs="Times New Roman"/>
                <w:szCs w:val="24"/>
              </w:rPr>
              <w:t>18.44</w:t>
            </w:r>
          </w:p>
        </w:tc>
      </w:tr>
      <w:tr w:rsidR="00BD15A0" w:rsidRPr="00201AD3" w14:paraId="1B802575" w14:textId="77777777" w:rsidTr="004A5E22">
        <w:trPr>
          <w:trHeight w:val="300"/>
        </w:trPr>
        <w:tc>
          <w:tcPr>
            <w:tcW w:w="897" w:type="dxa"/>
            <w:tcBorders>
              <w:top w:val="nil"/>
              <w:left w:val="single" w:sz="4" w:space="0" w:color="auto"/>
              <w:bottom w:val="single" w:sz="4" w:space="0" w:color="auto"/>
              <w:right w:val="single" w:sz="4" w:space="0" w:color="auto"/>
            </w:tcBorders>
            <w:noWrap/>
            <w:vAlign w:val="bottom"/>
            <w:hideMark/>
          </w:tcPr>
          <w:p w14:paraId="3E158C87" w14:textId="77777777" w:rsidR="00BD15A0" w:rsidRPr="00201AD3" w:rsidRDefault="00BD15A0" w:rsidP="00BD15A0">
            <w:pPr>
              <w:spacing w:before="0" w:line="240" w:lineRule="auto"/>
              <w:jc w:val="right"/>
              <w:rPr>
                <w:rFonts w:eastAsia="Times New Roman" w:cs="Times New Roman"/>
                <w:szCs w:val="24"/>
              </w:rPr>
            </w:pPr>
            <w:r w:rsidRPr="00201AD3">
              <w:rPr>
                <w:rFonts w:eastAsia="Times New Roman" w:cs="Times New Roman"/>
                <w:szCs w:val="24"/>
              </w:rPr>
              <w:t>2018</w:t>
            </w:r>
          </w:p>
        </w:tc>
        <w:tc>
          <w:tcPr>
            <w:tcW w:w="1938" w:type="dxa"/>
            <w:tcBorders>
              <w:top w:val="nil"/>
              <w:left w:val="nil"/>
              <w:bottom w:val="single" w:sz="4" w:space="0" w:color="auto"/>
              <w:right w:val="single" w:sz="4" w:space="0" w:color="auto"/>
            </w:tcBorders>
            <w:noWrap/>
            <w:vAlign w:val="bottom"/>
            <w:hideMark/>
          </w:tcPr>
          <w:p w14:paraId="5BBCE3C5" w14:textId="77777777" w:rsidR="00BD15A0" w:rsidRPr="00201AD3" w:rsidRDefault="00BD15A0" w:rsidP="00BD15A0">
            <w:pPr>
              <w:spacing w:before="0" w:line="240" w:lineRule="auto"/>
              <w:jc w:val="center"/>
              <w:rPr>
                <w:rFonts w:eastAsia="Times New Roman" w:cs="Times New Roman"/>
                <w:szCs w:val="24"/>
              </w:rPr>
            </w:pPr>
            <w:r w:rsidRPr="00201AD3">
              <w:rPr>
                <w:rFonts w:eastAsia="Times New Roman" w:cs="Times New Roman"/>
                <w:szCs w:val="24"/>
              </w:rPr>
              <w:t>1166</w:t>
            </w:r>
          </w:p>
        </w:tc>
        <w:tc>
          <w:tcPr>
            <w:tcW w:w="1939" w:type="dxa"/>
            <w:tcBorders>
              <w:top w:val="nil"/>
              <w:left w:val="nil"/>
              <w:bottom w:val="single" w:sz="4" w:space="0" w:color="auto"/>
              <w:right w:val="single" w:sz="4" w:space="0" w:color="auto"/>
            </w:tcBorders>
            <w:noWrap/>
            <w:vAlign w:val="bottom"/>
            <w:hideMark/>
          </w:tcPr>
          <w:p w14:paraId="787AD667" w14:textId="77777777" w:rsidR="00BD15A0" w:rsidRPr="00201AD3" w:rsidRDefault="00BD15A0" w:rsidP="00BD15A0">
            <w:pPr>
              <w:spacing w:before="0" w:line="240" w:lineRule="auto"/>
              <w:jc w:val="center"/>
              <w:rPr>
                <w:rFonts w:eastAsia="Times New Roman" w:cs="Times New Roman"/>
                <w:szCs w:val="24"/>
              </w:rPr>
            </w:pPr>
            <w:r w:rsidRPr="00201AD3">
              <w:rPr>
                <w:rFonts w:eastAsia="Times New Roman" w:cs="Times New Roman"/>
                <w:szCs w:val="24"/>
              </w:rPr>
              <w:t>7.99</w:t>
            </w:r>
          </w:p>
        </w:tc>
      </w:tr>
      <w:tr w:rsidR="00BD15A0" w:rsidRPr="00201AD3" w14:paraId="45D173B1" w14:textId="77777777" w:rsidTr="004A5E22">
        <w:trPr>
          <w:trHeight w:val="300"/>
        </w:trPr>
        <w:tc>
          <w:tcPr>
            <w:tcW w:w="897" w:type="dxa"/>
            <w:tcBorders>
              <w:top w:val="nil"/>
              <w:left w:val="single" w:sz="4" w:space="0" w:color="auto"/>
              <w:bottom w:val="single" w:sz="4" w:space="0" w:color="auto"/>
              <w:right w:val="single" w:sz="4" w:space="0" w:color="auto"/>
            </w:tcBorders>
            <w:noWrap/>
            <w:vAlign w:val="bottom"/>
            <w:hideMark/>
          </w:tcPr>
          <w:p w14:paraId="1E29ACAF" w14:textId="77777777" w:rsidR="00BD15A0" w:rsidRPr="00201AD3" w:rsidRDefault="00BD15A0" w:rsidP="00BD15A0">
            <w:pPr>
              <w:spacing w:before="0" w:line="240" w:lineRule="auto"/>
              <w:jc w:val="right"/>
              <w:rPr>
                <w:rFonts w:eastAsia="Times New Roman" w:cs="Times New Roman"/>
                <w:szCs w:val="24"/>
              </w:rPr>
            </w:pPr>
            <w:r w:rsidRPr="00201AD3">
              <w:rPr>
                <w:rFonts w:eastAsia="Times New Roman" w:cs="Times New Roman"/>
                <w:szCs w:val="24"/>
              </w:rPr>
              <w:t>2019</w:t>
            </w:r>
          </w:p>
        </w:tc>
        <w:tc>
          <w:tcPr>
            <w:tcW w:w="1938" w:type="dxa"/>
            <w:tcBorders>
              <w:top w:val="nil"/>
              <w:left w:val="nil"/>
              <w:bottom w:val="single" w:sz="4" w:space="0" w:color="auto"/>
              <w:right w:val="single" w:sz="4" w:space="0" w:color="auto"/>
            </w:tcBorders>
            <w:noWrap/>
            <w:vAlign w:val="bottom"/>
            <w:hideMark/>
          </w:tcPr>
          <w:p w14:paraId="3FD26B60" w14:textId="77777777" w:rsidR="00BD15A0" w:rsidRPr="00201AD3" w:rsidRDefault="00BD15A0" w:rsidP="00BD15A0">
            <w:pPr>
              <w:spacing w:before="0" w:line="240" w:lineRule="auto"/>
              <w:jc w:val="center"/>
              <w:rPr>
                <w:rFonts w:eastAsia="Times New Roman" w:cs="Times New Roman"/>
                <w:szCs w:val="24"/>
              </w:rPr>
            </w:pPr>
            <w:r w:rsidRPr="00201AD3">
              <w:rPr>
                <w:rFonts w:eastAsia="Times New Roman" w:cs="Times New Roman"/>
                <w:szCs w:val="24"/>
              </w:rPr>
              <w:t>1298</w:t>
            </w:r>
          </w:p>
        </w:tc>
        <w:tc>
          <w:tcPr>
            <w:tcW w:w="1939" w:type="dxa"/>
            <w:tcBorders>
              <w:top w:val="nil"/>
              <w:left w:val="nil"/>
              <w:bottom w:val="single" w:sz="4" w:space="0" w:color="auto"/>
              <w:right w:val="single" w:sz="4" w:space="0" w:color="auto"/>
            </w:tcBorders>
            <w:noWrap/>
            <w:vAlign w:val="bottom"/>
            <w:hideMark/>
          </w:tcPr>
          <w:p w14:paraId="066E0564" w14:textId="77777777" w:rsidR="00BD15A0" w:rsidRPr="00201AD3" w:rsidRDefault="00BD15A0" w:rsidP="00BD15A0">
            <w:pPr>
              <w:spacing w:before="0" w:line="240" w:lineRule="auto"/>
              <w:jc w:val="center"/>
              <w:rPr>
                <w:rFonts w:eastAsia="Times New Roman" w:cs="Times New Roman"/>
                <w:szCs w:val="24"/>
              </w:rPr>
            </w:pPr>
            <w:r w:rsidRPr="00201AD3">
              <w:rPr>
                <w:rFonts w:eastAsia="Times New Roman" w:cs="Times New Roman"/>
                <w:szCs w:val="24"/>
              </w:rPr>
              <w:t>11.30</w:t>
            </w:r>
          </w:p>
        </w:tc>
      </w:tr>
      <w:tr w:rsidR="00BD15A0" w:rsidRPr="00201AD3" w14:paraId="33FE1F4E" w14:textId="77777777" w:rsidTr="004A5E22">
        <w:trPr>
          <w:trHeight w:val="300"/>
        </w:trPr>
        <w:tc>
          <w:tcPr>
            <w:tcW w:w="897" w:type="dxa"/>
            <w:tcBorders>
              <w:top w:val="nil"/>
              <w:left w:val="single" w:sz="4" w:space="0" w:color="auto"/>
              <w:bottom w:val="single" w:sz="4" w:space="0" w:color="auto"/>
              <w:right w:val="single" w:sz="4" w:space="0" w:color="auto"/>
            </w:tcBorders>
            <w:noWrap/>
            <w:vAlign w:val="bottom"/>
            <w:hideMark/>
          </w:tcPr>
          <w:p w14:paraId="0F502725" w14:textId="77777777" w:rsidR="00BD15A0" w:rsidRPr="00201AD3" w:rsidRDefault="00BD15A0" w:rsidP="00BD15A0">
            <w:pPr>
              <w:spacing w:before="0" w:line="240" w:lineRule="auto"/>
              <w:jc w:val="right"/>
              <w:rPr>
                <w:rFonts w:eastAsia="Times New Roman" w:cs="Times New Roman"/>
                <w:szCs w:val="24"/>
              </w:rPr>
            </w:pPr>
            <w:r w:rsidRPr="00201AD3">
              <w:rPr>
                <w:rFonts w:eastAsia="Times New Roman" w:cs="Times New Roman"/>
                <w:szCs w:val="24"/>
              </w:rPr>
              <w:t>2020</w:t>
            </w:r>
          </w:p>
        </w:tc>
        <w:tc>
          <w:tcPr>
            <w:tcW w:w="1938" w:type="dxa"/>
            <w:tcBorders>
              <w:top w:val="nil"/>
              <w:left w:val="nil"/>
              <w:bottom w:val="single" w:sz="4" w:space="0" w:color="auto"/>
              <w:right w:val="single" w:sz="4" w:space="0" w:color="auto"/>
            </w:tcBorders>
            <w:noWrap/>
            <w:vAlign w:val="bottom"/>
            <w:hideMark/>
          </w:tcPr>
          <w:p w14:paraId="10FA61C1" w14:textId="77777777" w:rsidR="00BD15A0" w:rsidRPr="00201AD3" w:rsidRDefault="00BD15A0" w:rsidP="00BD15A0">
            <w:pPr>
              <w:spacing w:before="0" w:line="240" w:lineRule="auto"/>
              <w:jc w:val="center"/>
              <w:rPr>
                <w:rFonts w:eastAsia="Times New Roman" w:cs="Times New Roman"/>
                <w:szCs w:val="24"/>
              </w:rPr>
            </w:pPr>
            <w:r w:rsidRPr="00201AD3">
              <w:rPr>
                <w:rFonts w:eastAsia="Times New Roman" w:cs="Times New Roman"/>
                <w:szCs w:val="24"/>
              </w:rPr>
              <w:t>1399</w:t>
            </w:r>
          </w:p>
        </w:tc>
        <w:tc>
          <w:tcPr>
            <w:tcW w:w="1939" w:type="dxa"/>
            <w:tcBorders>
              <w:top w:val="nil"/>
              <w:left w:val="nil"/>
              <w:bottom w:val="single" w:sz="4" w:space="0" w:color="auto"/>
              <w:right w:val="single" w:sz="4" w:space="0" w:color="auto"/>
            </w:tcBorders>
            <w:noWrap/>
            <w:vAlign w:val="bottom"/>
            <w:hideMark/>
          </w:tcPr>
          <w:p w14:paraId="7084DC23" w14:textId="77777777" w:rsidR="00BD15A0" w:rsidRPr="00201AD3" w:rsidRDefault="00BD15A0" w:rsidP="00BD15A0">
            <w:pPr>
              <w:spacing w:before="0" w:line="240" w:lineRule="auto"/>
              <w:jc w:val="center"/>
              <w:rPr>
                <w:rFonts w:eastAsia="Times New Roman" w:cs="Times New Roman"/>
                <w:szCs w:val="24"/>
              </w:rPr>
            </w:pPr>
            <w:r w:rsidRPr="00201AD3">
              <w:rPr>
                <w:rFonts w:eastAsia="Times New Roman" w:cs="Times New Roman"/>
                <w:szCs w:val="24"/>
              </w:rPr>
              <w:t>7.75</w:t>
            </w:r>
          </w:p>
        </w:tc>
      </w:tr>
      <w:tr w:rsidR="00BD15A0" w:rsidRPr="00201AD3" w14:paraId="2D977F5C" w14:textId="77777777" w:rsidTr="004A5E22">
        <w:trPr>
          <w:trHeight w:val="300"/>
        </w:trPr>
        <w:tc>
          <w:tcPr>
            <w:tcW w:w="897" w:type="dxa"/>
            <w:tcBorders>
              <w:top w:val="nil"/>
              <w:left w:val="single" w:sz="4" w:space="0" w:color="auto"/>
              <w:bottom w:val="single" w:sz="4" w:space="0" w:color="auto"/>
              <w:right w:val="single" w:sz="4" w:space="0" w:color="auto"/>
            </w:tcBorders>
            <w:noWrap/>
            <w:vAlign w:val="bottom"/>
            <w:hideMark/>
          </w:tcPr>
          <w:p w14:paraId="3703BF17" w14:textId="77777777" w:rsidR="00BD15A0" w:rsidRPr="00201AD3" w:rsidRDefault="00BD15A0" w:rsidP="00BD15A0">
            <w:pPr>
              <w:spacing w:before="0" w:line="240" w:lineRule="auto"/>
              <w:jc w:val="right"/>
              <w:rPr>
                <w:rFonts w:eastAsia="Times New Roman" w:cs="Times New Roman"/>
                <w:szCs w:val="24"/>
              </w:rPr>
            </w:pPr>
            <w:r w:rsidRPr="00201AD3">
              <w:rPr>
                <w:rFonts w:eastAsia="Times New Roman" w:cs="Times New Roman"/>
                <w:szCs w:val="24"/>
              </w:rPr>
              <w:t>2021</w:t>
            </w:r>
          </w:p>
        </w:tc>
        <w:tc>
          <w:tcPr>
            <w:tcW w:w="1938" w:type="dxa"/>
            <w:tcBorders>
              <w:top w:val="nil"/>
              <w:left w:val="nil"/>
              <w:bottom w:val="single" w:sz="4" w:space="0" w:color="auto"/>
              <w:right w:val="single" w:sz="4" w:space="0" w:color="auto"/>
            </w:tcBorders>
            <w:noWrap/>
            <w:vAlign w:val="bottom"/>
            <w:hideMark/>
          </w:tcPr>
          <w:p w14:paraId="25C6A156" w14:textId="77777777" w:rsidR="00BD15A0" w:rsidRPr="00201AD3" w:rsidRDefault="00BD15A0" w:rsidP="00BD15A0">
            <w:pPr>
              <w:spacing w:before="0" w:line="240" w:lineRule="auto"/>
              <w:jc w:val="center"/>
              <w:rPr>
                <w:rFonts w:eastAsia="Times New Roman" w:cs="Times New Roman"/>
                <w:szCs w:val="24"/>
              </w:rPr>
            </w:pPr>
            <w:r w:rsidRPr="00201AD3">
              <w:rPr>
                <w:rFonts w:eastAsia="Times New Roman" w:cs="Times New Roman"/>
                <w:szCs w:val="24"/>
              </w:rPr>
              <w:t>1547</w:t>
            </w:r>
          </w:p>
        </w:tc>
        <w:tc>
          <w:tcPr>
            <w:tcW w:w="1939" w:type="dxa"/>
            <w:tcBorders>
              <w:top w:val="nil"/>
              <w:left w:val="nil"/>
              <w:bottom w:val="single" w:sz="4" w:space="0" w:color="auto"/>
              <w:right w:val="single" w:sz="4" w:space="0" w:color="auto"/>
            </w:tcBorders>
            <w:noWrap/>
            <w:vAlign w:val="bottom"/>
            <w:hideMark/>
          </w:tcPr>
          <w:p w14:paraId="50281AC3" w14:textId="77777777" w:rsidR="00BD15A0" w:rsidRPr="00201AD3" w:rsidRDefault="00BD15A0" w:rsidP="00BD15A0">
            <w:pPr>
              <w:spacing w:before="0" w:line="240" w:lineRule="auto"/>
              <w:jc w:val="center"/>
              <w:rPr>
                <w:rFonts w:eastAsia="Times New Roman" w:cs="Times New Roman"/>
                <w:szCs w:val="24"/>
              </w:rPr>
            </w:pPr>
            <w:r w:rsidRPr="00201AD3">
              <w:rPr>
                <w:rFonts w:eastAsia="Times New Roman" w:cs="Times New Roman"/>
                <w:szCs w:val="24"/>
              </w:rPr>
              <w:t>10.62</w:t>
            </w:r>
          </w:p>
        </w:tc>
      </w:tr>
    </w:tbl>
    <w:p w14:paraId="162709C0" w14:textId="72ADCEB5" w:rsidR="007E0F37" w:rsidRPr="00201AD3" w:rsidRDefault="007E0F37" w:rsidP="007E0F37">
      <w:pPr>
        <w:spacing w:line="240" w:lineRule="auto"/>
        <w:jc w:val="left"/>
        <w:rPr>
          <w:rFonts w:cs="Times New Roman"/>
          <w:b/>
          <w:szCs w:val="24"/>
        </w:rPr>
      </w:pPr>
      <w:r w:rsidRPr="00201AD3">
        <w:rPr>
          <w:rFonts w:cs="Times New Roman"/>
          <w:b/>
          <w:szCs w:val="24"/>
        </w:rPr>
        <w:t xml:space="preserve">  Source: Retirement Benefit Authority (RBA), (2013-2022)</w:t>
      </w:r>
    </w:p>
    <w:p w14:paraId="7860FC20" w14:textId="6F39C427" w:rsidR="00055D83" w:rsidRPr="00201AD3" w:rsidRDefault="00055D83" w:rsidP="00E5141C">
      <w:pPr>
        <w:spacing w:line="240" w:lineRule="auto"/>
        <w:rPr>
          <w:rFonts w:cs="Times New Roman"/>
          <w:b/>
          <w:bCs/>
          <w:color w:val="000000" w:themeColor="text1"/>
          <w:sz w:val="28"/>
          <w:szCs w:val="28"/>
        </w:rPr>
      </w:pPr>
      <w:r w:rsidRPr="00201AD3">
        <w:rPr>
          <w:rFonts w:cs="Times New Roman"/>
          <w:b/>
          <w:bCs/>
          <w:color w:val="000000" w:themeColor="text1"/>
          <w:sz w:val="28"/>
          <w:szCs w:val="28"/>
        </w:rPr>
        <w:t>1.2 Research Objective</w:t>
      </w:r>
    </w:p>
    <w:p w14:paraId="3A006523" w14:textId="15D89F88" w:rsidR="0054398C" w:rsidRPr="00FB2E0F" w:rsidRDefault="00055D83" w:rsidP="0054398C">
      <w:pPr>
        <w:spacing w:line="240" w:lineRule="auto"/>
        <w:rPr>
          <w:rFonts w:cs="Times New Roman"/>
          <w:color w:val="000000" w:themeColor="text1"/>
          <w:szCs w:val="24"/>
        </w:rPr>
      </w:pPr>
      <w:r w:rsidRPr="00201AD3">
        <w:rPr>
          <w:rFonts w:cs="Times New Roman"/>
          <w:color w:val="000000" w:themeColor="text1"/>
          <w:szCs w:val="24"/>
        </w:rPr>
        <w:t>This study was guided by the following general objective to:</w:t>
      </w:r>
      <w:r w:rsidR="00784B96" w:rsidRPr="00201AD3">
        <w:rPr>
          <w:rFonts w:cs="Times New Roman"/>
          <w:color w:val="000000" w:themeColor="text1"/>
          <w:szCs w:val="24"/>
        </w:rPr>
        <w:t xml:space="preserve"> </w:t>
      </w:r>
      <w:r w:rsidR="0021142D" w:rsidRPr="00201AD3">
        <w:rPr>
          <w:rFonts w:cs="Times New Roman"/>
          <w:color w:val="000000" w:themeColor="text1"/>
          <w:szCs w:val="24"/>
        </w:rPr>
        <w:t>decide</w:t>
      </w:r>
      <w:r w:rsidR="0021142D" w:rsidRPr="0021142D">
        <w:rPr>
          <w:rFonts w:cs="Times New Roman"/>
          <w:color w:val="000000" w:themeColor="text1"/>
          <w:szCs w:val="24"/>
        </w:rPr>
        <w:t xml:space="preserve"> whether firm characteristics have an impact on the financial performance of pension funds in Kenya</w:t>
      </w:r>
      <w:r w:rsidR="00D54CAA" w:rsidRPr="00D54CAA">
        <w:rPr>
          <w:rFonts w:cs="Times New Roman"/>
          <w:color w:val="000000" w:themeColor="text1"/>
          <w:szCs w:val="24"/>
        </w:rPr>
        <w:t>.</w:t>
      </w:r>
    </w:p>
    <w:p w14:paraId="6B071E8F" w14:textId="77777777" w:rsidR="00E448DE" w:rsidRPr="00FB2E0F" w:rsidRDefault="0054398C" w:rsidP="00F42A52">
      <w:pPr>
        <w:spacing w:line="240" w:lineRule="auto"/>
        <w:rPr>
          <w:rFonts w:cs="Times New Roman"/>
          <w:color w:val="000000" w:themeColor="text1"/>
          <w:szCs w:val="24"/>
        </w:rPr>
      </w:pPr>
      <w:r w:rsidRPr="00FB2E0F">
        <w:rPr>
          <w:rFonts w:cs="Times New Roman"/>
          <w:color w:val="000000" w:themeColor="text1"/>
          <w:szCs w:val="24"/>
        </w:rPr>
        <w:t>Specific Objectives were to;</w:t>
      </w:r>
      <w:r w:rsidR="00784B96" w:rsidRPr="00FB2E0F">
        <w:rPr>
          <w:rFonts w:cs="Times New Roman"/>
          <w:color w:val="000000" w:themeColor="text1"/>
          <w:szCs w:val="24"/>
        </w:rPr>
        <w:t xml:space="preserve"> </w:t>
      </w:r>
    </w:p>
    <w:p w14:paraId="67644D83" w14:textId="77777777" w:rsidR="0021142D" w:rsidRPr="0021142D" w:rsidRDefault="0021142D" w:rsidP="0021142D">
      <w:pPr>
        <w:pStyle w:val="ListParagraph"/>
        <w:numPr>
          <w:ilvl w:val="0"/>
          <w:numId w:val="14"/>
        </w:numPr>
        <w:spacing w:line="240" w:lineRule="auto"/>
        <w:rPr>
          <w:rFonts w:ascii="Times New Roman" w:hAnsi="Times New Roman"/>
          <w:color w:val="000000" w:themeColor="text1"/>
          <w:sz w:val="24"/>
          <w:szCs w:val="32"/>
        </w:rPr>
      </w:pPr>
      <w:r w:rsidRPr="0021142D">
        <w:rPr>
          <w:rFonts w:ascii="Times New Roman" w:hAnsi="Times New Roman"/>
          <w:color w:val="000000" w:themeColor="text1"/>
          <w:sz w:val="24"/>
          <w:szCs w:val="32"/>
        </w:rPr>
        <w:t>To evaluate the impact of fund size on the financial performance of pension funds in Kenya.</w:t>
      </w:r>
    </w:p>
    <w:p w14:paraId="0DFE80CC" w14:textId="77777777" w:rsidR="0021142D" w:rsidRPr="0021142D" w:rsidRDefault="0021142D" w:rsidP="0021142D">
      <w:pPr>
        <w:pStyle w:val="ListParagraph"/>
        <w:numPr>
          <w:ilvl w:val="0"/>
          <w:numId w:val="14"/>
        </w:numPr>
        <w:spacing w:line="240" w:lineRule="auto"/>
        <w:rPr>
          <w:rFonts w:ascii="Times New Roman" w:hAnsi="Times New Roman"/>
          <w:color w:val="000000" w:themeColor="text1"/>
          <w:sz w:val="24"/>
          <w:szCs w:val="32"/>
        </w:rPr>
      </w:pPr>
      <w:r w:rsidRPr="0021142D">
        <w:rPr>
          <w:rFonts w:ascii="Times New Roman" w:hAnsi="Times New Roman"/>
          <w:color w:val="000000" w:themeColor="text1"/>
          <w:sz w:val="24"/>
          <w:szCs w:val="32"/>
        </w:rPr>
        <w:t xml:space="preserve">To establish the effect of fund design on the financial performance of pension funds in Kenya. </w:t>
      </w:r>
    </w:p>
    <w:p w14:paraId="779FBC4A" w14:textId="77777777" w:rsidR="0021142D" w:rsidRPr="0021142D" w:rsidRDefault="0021142D" w:rsidP="0021142D">
      <w:pPr>
        <w:pStyle w:val="ListParagraph"/>
        <w:numPr>
          <w:ilvl w:val="0"/>
          <w:numId w:val="14"/>
        </w:numPr>
        <w:spacing w:line="240" w:lineRule="auto"/>
        <w:rPr>
          <w:rFonts w:ascii="Times New Roman" w:hAnsi="Times New Roman"/>
          <w:color w:val="000000" w:themeColor="text1"/>
          <w:sz w:val="24"/>
          <w:szCs w:val="32"/>
        </w:rPr>
      </w:pPr>
      <w:r w:rsidRPr="0021142D">
        <w:rPr>
          <w:rFonts w:ascii="Times New Roman" w:hAnsi="Times New Roman"/>
          <w:color w:val="000000" w:themeColor="text1"/>
          <w:sz w:val="24"/>
          <w:szCs w:val="32"/>
        </w:rPr>
        <w:t xml:space="preserve">To identify the impact of </w:t>
      </w:r>
      <w:proofErr w:type="gramStart"/>
      <w:r w:rsidRPr="0021142D">
        <w:rPr>
          <w:rFonts w:ascii="Times New Roman" w:hAnsi="Times New Roman"/>
          <w:color w:val="000000" w:themeColor="text1"/>
          <w:sz w:val="24"/>
          <w:szCs w:val="32"/>
        </w:rPr>
        <w:t>portfolio</w:t>
      </w:r>
      <w:proofErr w:type="gramEnd"/>
      <w:r w:rsidRPr="0021142D">
        <w:rPr>
          <w:rFonts w:ascii="Times New Roman" w:hAnsi="Times New Roman"/>
          <w:color w:val="000000" w:themeColor="text1"/>
          <w:sz w:val="24"/>
          <w:szCs w:val="32"/>
        </w:rPr>
        <w:t xml:space="preserve"> mix on the financial performance of pension funds in Kenya. </w:t>
      </w:r>
    </w:p>
    <w:p w14:paraId="46076D33" w14:textId="77777777" w:rsidR="0021142D" w:rsidRPr="0021142D" w:rsidRDefault="0021142D" w:rsidP="0021142D">
      <w:pPr>
        <w:pStyle w:val="ListParagraph"/>
        <w:numPr>
          <w:ilvl w:val="0"/>
          <w:numId w:val="14"/>
        </w:numPr>
        <w:spacing w:line="240" w:lineRule="auto"/>
        <w:rPr>
          <w:rFonts w:ascii="Times New Roman" w:hAnsi="Times New Roman"/>
          <w:color w:val="000000" w:themeColor="text1"/>
          <w:sz w:val="24"/>
          <w:szCs w:val="32"/>
        </w:rPr>
      </w:pPr>
      <w:r w:rsidRPr="0021142D">
        <w:rPr>
          <w:rFonts w:ascii="Times New Roman" w:hAnsi="Times New Roman"/>
          <w:color w:val="000000" w:themeColor="text1"/>
          <w:sz w:val="24"/>
          <w:szCs w:val="32"/>
        </w:rPr>
        <w:t>To find out the influence of membership age on the financial performance of pension funds in Kenya.</w:t>
      </w:r>
    </w:p>
    <w:p w14:paraId="296CC6CA" w14:textId="25F5235B" w:rsidR="00D54CAA" w:rsidRPr="00D54CAA" w:rsidRDefault="0021142D" w:rsidP="0021142D">
      <w:pPr>
        <w:pStyle w:val="ListParagraph"/>
        <w:numPr>
          <w:ilvl w:val="0"/>
          <w:numId w:val="14"/>
        </w:numPr>
        <w:spacing w:line="240" w:lineRule="auto"/>
        <w:rPr>
          <w:rFonts w:ascii="Times New Roman" w:hAnsi="Times New Roman"/>
          <w:color w:val="000000" w:themeColor="text1"/>
          <w:sz w:val="24"/>
          <w:szCs w:val="32"/>
        </w:rPr>
      </w:pPr>
      <w:r w:rsidRPr="0021142D">
        <w:rPr>
          <w:rFonts w:ascii="Times New Roman" w:hAnsi="Times New Roman"/>
          <w:color w:val="000000" w:themeColor="text1"/>
          <w:sz w:val="24"/>
          <w:szCs w:val="32"/>
        </w:rPr>
        <w:t>To find out the moderating effect of regulation on the relationship between firm characteristics and financial performance of pension funds in Kenya</w:t>
      </w:r>
      <w:r w:rsidR="00D54CAA" w:rsidRPr="00D54CAA">
        <w:rPr>
          <w:rFonts w:ascii="Times New Roman" w:hAnsi="Times New Roman"/>
          <w:color w:val="000000" w:themeColor="text1"/>
          <w:sz w:val="24"/>
          <w:szCs w:val="32"/>
        </w:rPr>
        <w:t>.</w:t>
      </w:r>
    </w:p>
    <w:p w14:paraId="06BA9B23" w14:textId="6ACA2F1A" w:rsidR="001450C8" w:rsidRPr="00201AD3" w:rsidRDefault="00055D83" w:rsidP="001450C8">
      <w:pPr>
        <w:spacing w:line="240" w:lineRule="auto"/>
        <w:rPr>
          <w:rFonts w:eastAsia="Times New Roman" w:cs="Times New Roman"/>
          <w:b/>
          <w:bCs/>
          <w:color w:val="000000" w:themeColor="text1"/>
          <w:sz w:val="28"/>
          <w:szCs w:val="28"/>
        </w:rPr>
      </w:pPr>
      <w:r w:rsidRPr="00FB2E0F">
        <w:rPr>
          <w:rFonts w:eastAsia="Times New Roman" w:cs="Times New Roman"/>
          <w:b/>
          <w:bCs/>
          <w:color w:val="000000" w:themeColor="text1"/>
          <w:sz w:val="28"/>
          <w:szCs w:val="28"/>
        </w:rPr>
        <w:t xml:space="preserve">1.3 </w:t>
      </w:r>
      <w:r w:rsidR="00F00D01" w:rsidRPr="00201AD3">
        <w:rPr>
          <w:rFonts w:eastAsia="Times New Roman" w:cs="Times New Roman"/>
          <w:b/>
          <w:bCs/>
          <w:color w:val="000000" w:themeColor="text1"/>
          <w:sz w:val="28"/>
          <w:szCs w:val="28"/>
        </w:rPr>
        <w:t xml:space="preserve">Research </w:t>
      </w:r>
      <w:r w:rsidR="00750F50" w:rsidRPr="00201AD3">
        <w:rPr>
          <w:rFonts w:eastAsia="Times New Roman" w:cs="Times New Roman"/>
          <w:b/>
          <w:bCs/>
          <w:color w:val="000000" w:themeColor="text1"/>
          <w:sz w:val="28"/>
          <w:szCs w:val="28"/>
        </w:rPr>
        <w:t>Hypothesis</w:t>
      </w:r>
    </w:p>
    <w:p w14:paraId="0E3A51F1" w14:textId="77777777" w:rsidR="00750F50" w:rsidRPr="00201AD3" w:rsidRDefault="00750F50" w:rsidP="00750F50">
      <w:pPr>
        <w:shd w:val="clear" w:color="auto" w:fill="FFFFFF"/>
        <w:spacing w:line="240" w:lineRule="auto"/>
        <w:rPr>
          <w:rFonts w:cs="Times New Roman"/>
          <w:color w:val="auto"/>
          <w:kern w:val="2"/>
          <w:szCs w:val="24"/>
        </w:rPr>
      </w:pPr>
      <w:r w:rsidRPr="00201AD3">
        <w:rPr>
          <w:rFonts w:cs="Times New Roman"/>
          <w:color w:val="auto"/>
          <w:kern w:val="2"/>
          <w:szCs w:val="24"/>
        </w:rPr>
        <w:t>The study tested the following Hypothesis:</w:t>
      </w:r>
    </w:p>
    <w:p w14:paraId="6E664FA2" w14:textId="49207548" w:rsidR="00750F50" w:rsidRPr="00201AD3" w:rsidRDefault="00750F50" w:rsidP="00750F50">
      <w:pPr>
        <w:shd w:val="clear" w:color="auto" w:fill="FFFFFF"/>
        <w:spacing w:line="240" w:lineRule="auto"/>
        <w:rPr>
          <w:rFonts w:cs="Times New Roman"/>
          <w:color w:val="auto"/>
          <w:kern w:val="2"/>
          <w:szCs w:val="24"/>
        </w:rPr>
      </w:pPr>
      <w:r w:rsidRPr="00201AD3">
        <w:rPr>
          <w:rFonts w:cs="Times New Roman"/>
          <w:color w:val="auto"/>
          <w:kern w:val="2"/>
          <w:szCs w:val="24"/>
        </w:rPr>
        <w:t>H_O1- Fund size has significant relationship with the financial performance of pension funds in Kenya</w:t>
      </w:r>
    </w:p>
    <w:p w14:paraId="6609E5D2" w14:textId="7D40145C" w:rsidR="00750F50" w:rsidRPr="00201AD3" w:rsidRDefault="00750F50" w:rsidP="00750F50">
      <w:pPr>
        <w:shd w:val="clear" w:color="auto" w:fill="FFFFFF"/>
        <w:spacing w:line="240" w:lineRule="auto"/>
        <w:rPr>
          <w:rFonts w:cs="Times New Roman"/>
          <w:color w:val="auto"/>
          <w:kern w:val="2"/>
          <w:szCs w:val="24"/>
        </w:rPr>
      </w:pPr>
      <w:r w:rsidRPr="00201AD3">
        <w:rPr>
          <w:rFonts w:cs="Times New Roman"/>
          <w:color w:val="auto"/>
          <w:kern w:val="2"/>
          <w:szCs w:val="24"/>
        </w:rPr>
        <w:t>H_O2- Fund design has significant relationship with the financial performance of pension funds in Kenya</w:t>
      </w:r>
    </w:p>
    <w:p w14:paraId="24C29FC1" w14:textId="1E59F905" w:rsidR="00750F50" w:rsidRPr="00201AD3" w:rsidRDefault="00750F50" w:rsidP="00750F50">
      <w:pPr>
        <w:shd w:val="clear" w:color="auto" w:fill="FFFFFF"/>
        <w:spacing w:line="240" w:lineRule="auto"/>
        <w:rPr>
          <w:rFonts w:cs="Times New Roman"/>
          <w:color w:val="auto"/>
          <w:kern w:val="2"/>
          <w:szCs w:val="24"/>
        </w:rPr>
      </w:pPr>
      <w:r w:rsidRPr="00201AD3">
        <w:rPr>
          <w:rFonts w:cs="Times New Roman"/>
          <w:color w:val="auto"/>
          <w:kern w:val="2"/>
          <w:szCs w:val="24"/>
        </w:rPr>
        <w:t>H_O3- Portfolio mix has significant relationship with the financial performance of pension funds in Kenya</w:t>
      </w:r>
    </w:p>
    <w:p w14:paraId="59776942" w14:textId="7CB3085C" w:rsidR="00750F50" w:rsidRPr="00201AD3" w:rsidRDefault="00750F50" w:rsidP="00750F50">
      <w:pPr>
        <w:shd w:val="clear" w:color="auto" w:fill="FFFFFF"/>
        <w:spacing w:line="240" w:lineRule="auto"/>
        <w:rPr>
          <w:rFonts w:cs="Times New Roman"/>
          <w:color w:val="auto"/>
          <w:kern w:val="2"/>
          <w:szCs w:val="24"/>
        </w:rPr>
      </w:pPr>
      <w:r w:rsidRPr="00201AD3">
        <w:rPr>
          <w:rFonts w:cs="Times New Roman"/>
          <w:color w:val="auto"/>
          <w:kern w:val="2"/>
          <w:szCs w:val="24"/>
        </w:rPr>
        <w:t>H_O4- Membership age has significant relationship with the financial performance of pension funds in Kenya.</w:t>
      </w:r>
    </w:p>
    <w:p w14:paraId="00423E9D" w14:textId="7B549F90" w:rsidR="00750F50" w:rsidRPr="00201AD3" w:rsidRDefault="00750F50" w:rsidP="00750F50">
      <w:pPr>
        <w:shd w:val="clear" w:color="auto" w:fill="FFFFFF"/>
        <w:spacing w:line="240" w:lineRule="auto"/>
        <w:rPr>
          <w:rFonts w:cs="Times New Roman"/>
          <w:color w:val="auto"/>
          <w:kern w:val="2"/>
          <w:szCs w:val="24"/>
        </w:rPr>
      </w:pPr>
      <w:r w:rsidRPr="00201AD3">
        <w:rPr>
          <w:rFonts w:cs="Times New Roman"/>
          <w:color w:val="auto"/>
          <w:kern w:val="2"/>
          <w:szCs w:val="24"/>
        </w:rPr>
        <w:t>H_O5- Regulation does significantly moderate the relationship between company firm characteristics and the financial performance of pension systems in Kenya</w:t>
      </w:r>
    </w:p>
    <w:p w14:paraId="35FF4706" w14:textId="6CBBEB64" w:rsidR="00055D83" w:rsidRPr="00201AD3" w:rsidRDefault="00055D83" w:rsidP="00750F50">
      <w:pPr>
        <w:shd w:val="clear" w:color="auto" w:fill="FFFFFF"/>
        <w:spacing w:line="240" w:lineRule="auto"/>
        <w:rPr>
          <w:rFonts w:eastAsia="Times New Roman" w:cs="Times New Roman"/>
          <w:b/>
          <w:bCs/>
          <w:color w:val="000000" w:themeColor="text1"/>
          <w:sz w:val="28"/>
          <w:szCs w:val="28"/>
        </w:rPr>
      </w:pPr>
      <w:r w:rsidRPr="00201AD3">
        <w:rPr>
          <w:rFonts w:eastAsia="Times New Roman" w:cs="Times New Roman"/>
          <w:b/>
          <w:bCs/>
          <w:color w:val="000000" w:themeColor="text1"/>
          <w:sz w:val="28"/>
          <w:szCs w:val="28"/>
        </w:rPr>
        <w:t>1.4 Justification of the Study</w:t>
      </w:r>
    </w:p>
    <w:p w14:paraId="2F66289A" w14:textId="07CE9D9E" w:rsidR="003E0D69" w:rsidRPr="00FB2E0F" w:rsidRDefault="00750F50" w:rsidP="00AD0959">
      <w:pPr>
        <w:autoSpaceDE w:val="0"/>
        <w:autoSpaceDN w:val="0"/>
        <w:adjustRightInd w:val="0"/>
        <w:spacing w:before="0" w:after="240" w:line="240" w:lineRule="auto"/>
        <w:rPr>
          <w:color w:val="000000" w:themeColor="text1"/>
          <w:szCs w:val="24"/>
        </w:rPr>
      </w:pPr>
      <w:r w:rsidRPr="00201AD3">
        <w:rPr>
          <w:color w:val="000000" w:themeColor="text1"/>
          <w:szCs w:val="24"/>
        </w:rPr>
        <w:t>This study provides valuable insights into the relationship between firm characteristics and the financial performance of pension funds in Kenya. The findings are relevant to regulators</w:t>
      </w:r>
      <w:r w:rsidRPr="00750F50">
        <w:rPr>
          <w:color w:val="000000" w:themeColor="text1"/>
          <w:szCs w:val="24"/>
        </w:rPr>
        <w:t xml:space="preserve">, policymakers, and practitioners, as </w:t>
      </w:r>
      <w:r w:rsidRPr="00750F50">
        <w:rPr>
          <w:color w:val="000000" w:themeColor="text1"/>
          <w:szCs w:val="24"/>
        </w:rPr>
        <w:lastRenderedPageBreak/>
        <w:t>pension fund performance directly influences national economic stability. Regulators will benefit by understanding how prudential standards designed to minimize credit and liquidity risks affect fund outcomes, while policymakers</w:t>
      </w:r>
      <w:r w:rsidR="00806DB8">
        <w:rPr>
          <w:color w:val="000000" w:themeColor="text1"/>
          <w:szCs w:val="24"/>
        </w:rPr>
        <w:t xml:space="preserve"> </w:t>
      </w:r>
      <w:r w:rsidRPr="00750F50">
        <w:rPr>
          <w:color w:val="000000" w:themeColor="text1"/>
          <w:szCs w:val="24"/>
        </w:rPr>
        <w:t>both in government and the private sector</w:t>
      </w:r>
      <w:r w:rsidR="00806DB8">
        <w:rPr>
          <w:color w:val="000000" w:themeColor="text1"/>
          <w:szCs w:val="24"/>
        </w:rPr>
        <w:t xml:space="preserve"> </w:t>
      </w:r>
      <w:r w:rsidRPr="00750F50">
        <w:rPr>
          <w:color w:val="000000" w:themeColor="text1"/>
          <w:szCs w:val="24"/>
        </w:rPr>
        <w:t>can use the evidence to craft more effective policies. Pension scheme managers will gain practical guidance on performance-related factors within their control, enabling more informed decision-making and improved fund management. Additionally, the research contributes to the broader academic discourse on pension management, offering a foundation for future studies and highlighting new areas of inquiry. The results are especially valuable to pension schemes and stakeholders in Kenya seeking to enhance profitability, sustainability, and overall efficiency in the sector</w:t>
      </w:r>
      <w:r w:rsidR="00D54CAA" w:rsidRPr="00D54CAA">
        <w:rPr>
          <w:color w:val="000000" w:themeColor="text1"/>
          <w:szCs w:val="24"/>
        </w:rPr>
        <w:t>.</w:t>
      </w:r>
    </w:p>
    <w:p w14:paraId="0B892AC5" w14:textId="29BE698D" w:rsidR="00AE4AA5" w:rsidRPr="00FB2E0F" w:rsidRDefault="00AE4AA5" w:rsidP="00AE4AA5">
      <w:pPr>
        <w:rPr>
          <w:rFonts w:cs="Times New Roman"/>
          <w:b/>
          <w:bCs/>
          <w:color w:val="000000" w:themeColor="text1"/>
          <w:sz w:val="28"/>
          <w:szCs w:val="24"/>
        </w:rPr>
      </w:pPr>
      <w:r w:rsidRPr="00FB2E0F">
        <w:rPr>
          <w:rFonts w:cs="Times New Roman"/>
          <w:b/>
          <w:bCs/>
          <w:color w:val="000000" w:themeColor="text1"/>
          <w:sz w:val="28"/>
          <w:szCs w:val="24"/>
        </w:rPr>
        <w:t xml:space="preserve">1.5 </w:t>
      </w:r>
      <w:r w:rsidR="00D54CAA" w:rsidRPr="00D54CAA">
        <w:rPr>
          <w:rFonts w:cs="Times New Roman"/>
          <w:b/>
          <w:bCs/>
          <w:color w:val="000000" w:themeColor="text1"/>
          <w:sz w:val="28"/>
          <w:szCs w:val="24"/>
        </w:rPr>
        <w:t>Limitations of the Study</w:t>
      </w:r>
    </w:p>
    <w:p w14:paraId="01448711" w14:textId="543A687E" w:rsidR="001E21F0" w:rsidRPr="00FB2E0F" w:rsidRDefault="00750F50" w:rsidP="00AE4AA5">
      <w:pPr>
        <w:spacing w:before="0" w:line="240" w:lineRule="auto"/>
        <w:rPr>
          <w:rFonts w:cs="Times New Roman"/>
          <w:color w:val="000000" w:themeColor="text1"/>
        </w:rPr>
      </w:pPr>
      <w:r w:rsidRPr="00750F50">
        <w:rPr>
          <w:rFonts w:cs="Times New Roman"/>
          <w:color w:val="000000" w:themeColor="text1"/>
          <w:lang w:val="en-GB"/>
        </w:rPr>
        <w:t>The study was constrained by incomplete data from many pension schemes, which heightened the risk of error bias. To address this, a probabilistic sampling technique was employed, ensuring inclusion of schemes with consistent and reliable disclosures. The research examined four key variables presumed to influence pension scheme performance in Kenya. While some determinants, such as administrative quality, lie within managerial control, others</w:t>
      </w:r>
      <w:r w:rsidR="00806DB8">
        <w:rPr>
          <w:rFonts w:cs="Times New Roman"/>
          <w:color w:val="000000" w:themeColor="text1"/>
          <w:lang w:val="en-GB"/>
        </w:rPr>
        <w:t xml:space="preserve"> </w:t>
      </w:r>
      <w:r w:rsidRPr="00750F50">
        <w:rPr>
          <w:rFonts w:cs="Times New Roman"/>
          <w:color w:val="000000" w:themeColor="text1"/>
          <w:lang w:val="en-GB"/>
        </w:rPr>
        <w:t>including unemployment levels and political instability</w:t>
      </w:r>
      <w:r w:rsidR="00806DB8">
        <w:rPr>
          <w:rFonts w:cs="Times New Roman"/>
          <w:color w:val="000000" w:themeColor="text1"/>
          <w:lang w:val="en-GB"/>
        </w:rPr>
        <w:t xml:space="preserve"> </w:t>
      </w:r>
      <w:r w:rsidRPr="00750F50">
        <w:rPr>
          <w:rFonts w:cs="Times New Roman"/>
          <w:color w:val="000000" w:themeColor="text1"/>
          <w:lang w:val="en-GB"/>
        </w:rPr>
        <w:t>remain external, yet significantly affect operational outcomes and financial performance</w:t>
      </w:r>
      <w:r w:rsidR="003E0D69" w:rsidRPr="00FB2E0F">
        <w:rPr>
          <w:rFonts w:cs="Times New Roman"/>
          <w:color w:val="000000" w:themeColor="text1"/>
          <w:lang w:val="en-GB"/>
        </w:rPr>
        <w:t>.</w:t>
      </w:r>
      <w:r w:rsidR="001E21F0" w:rsidRPr="00FB2E0F">
        <w:rPr>
          <w:rFonts w:cs="Times New Roman"/>
          <w:color w:val="000000" w:themeColor="text1"/>
        </w:rPr>
        <w:br w:type="page"/>
      </w:r>
    </w:p>
    <w:p w14:paraId="60555E06" w14:textId="2D326474" w:rsidR="00055D83" w:rsidRPr="00FB2E0F" w:rsidRDefault="00055D83" w:rsidP="00055D83">
      <w:pPr>
        <w:pStyle w:val="ListParagraph"/>
        <w:autoSpaceDE w:val="0"/>
        <w:autoSpaceDN w:val="0"/>
        <w:adjustRightInd w:val="0"/>
        <w:spacing w:before="480" w:after="240" w:line="240" w:lineRule="auto"/>
        <w:ind w:left="0"/>
        <w:rPr>
          <w:rFonts w:ascii="Times New Roman" w:hAnsi="Times New Roman"/>
          <w:b/>
          <w:color w:val="000000" w:themeColor="text1"/>
          <w:sz w:val="28"/>
          <w:szCs w:val="28"/>
          <w:lang w:val="en-GB"/>
        </w:rPr>
      </w:pPr>
      <w:r w:rsidRPr="00FB2E0F">
        <w:rPr>
          <w:rFonts w:ascii="Times New Roman" w:hAnsi="Times New Roman"/>
          <w:b/>
          <w:color w:val="000000" w:themeColor="text1"/>
          <w:sz w:val="28"/>
          <w:szCs w:val="28"/>
          <w:lang w:val="en-GB"/>
        </w:rPr>
        <w:lastRenderedPageBreak/>
        <w:t xml:space="preserve">2.0 LITERATURE REVIEW  </w:t>
      </w:r>
    </w:p>
    <w:p w14:paraId="56FCEE52" w14:textId="77777777" w:rsidR="000D1B44" w:rsidRPr="000D1B44" w:rsidRDefault="000D1B44" w:rsidP="000D1B44">
      <w:pPr>
        <w:spacing w:before="0" w:after="160" w:line="259" w:lineRule="auto"/>
        <w:rPr>
          <w:rFonts w:cs="Times New Roman"/>
          <w:b/>
          <w:i/>
          <w:iCs/>
          <w:color w:val="000000" w:themeColor="text1"/>
          <w:kern w:val="2"/>
          <w:szCs w:val="24"/>
          <w:lang w:val="en-GB"/>
        </w:rPr>
      </w:pPr>
      <w:r w:rsidRPr="000D1B44">
        <w:rPr>
          <w:rFonts w:cs="Times New Roman"/>
          <w:b/>
          <w:i/>
          <w:iCs/>
          <w:color w:val="000000" w:themeColor="text1"/>
          <w:kern w:val="2"/>
          <w:szCs w:val="24"/>
          <w:lang w:val="en-GB"/>
        </w:rPr>
        <w:t>Theoretical Review</w:t>
      </w:r>
    </w:p>
    <w:p w14:paraId="7011BDF5" w14:textId="77777777" w:rsidR="00421E84" w:rsidRPr="00421E84" w:rsidRDefault="00421E84" w:rsidP="00421E84">
      <w:pPr>
        <w:spacing w:before="0" w:after="160" w:line="259" w:lineRule="auto"/>
        <w:rPr>
          <w:rFonts w:cs="Times New Roman"/>
          <w:bCs/>
          <w:color w:val="000000" w:themeColor="text1"/>
          <w:kern w:val="2"/>
          <w:szCs w:val="24"/>
          <w:lang w:val="en-GB"/>
        </w:rPr>
      </w:pPr>
      <w:r w:rsidRPr="00421E84">
        <w:rPr>
          <w:rFonts w:cs="Times New Roman"/>
          <w:bCs/>
          <w:color w:val="000000" w:themeColor="text1"/>
          <w:kern w:val="2"/>
          <w:szCs w:val="24"/>
          <w:lang w:val="en-GB"/>
        </w:rPr>
        <w:t>This study draws on key theoretical perspectives to explain the relationship between firm characteristics and the financial performance of pension funds in Kenya. Specifically, the Stakeholder Theory, Agency Theory, and Theory of Constraints provide a conceptual foundation for examining how pension fund managers and contributors interact to influence financial outcomes.</w:t>
      </w:r>
    </w:p>
    <w:p w14:paraId="75A25022" w14:textId="04AEF74B" w:rsidR="00421E84" w:rsidRPr="00421E84" w:rsidRDefault="00421E84" w:rsidP="00421E84">
      <w:pPr>
        <w:spacing w:before="0" w:after="160" w:line="259" w:lineRule="auto"/>
        <w:rPr>
          <w:rFonts w:cs="Times New Roman"/>
          <w:bCs/>
          <w:color w:val="000000" w:themeColor="text1"/>
          <w:kern w:val="2"/>
          <w:szCs w:val="24"/>
          <w:lang w:val="en-GB"/>
        </w:rPr>
      </w:pPr>
      <w:r w:rsidRPr="00421E84">
        <w:rPr>
          <w:rFonts w:cs="Times New Roman"/>
          <w:bCs/>
          <w:color w:val="000000" w:themeColor="text1"/>
          <w:kern w:val="2"/>
          <w:szCs w:val="24"/>
          <w:lang w:val="en-GB"/>
        </w:rPr>
        <w:t>Stakeholder Theory, introduced by Freeman (1994), emphasizes that organizations operate within a network of stakeholders, including shareholders, employees, suppliers, financiers, customers, and the community. The theory argues that firms must address the needs of these stakeholders to ensure sustainability. However, the theory has been critiqued for insufficiently distinguishing between internal and external stakeholders (Key, 1999). To address this, Post, Preston, and Sachs (2002) proposed a three-layer model of stakeholder relations</w:t>
      </w:r>
      <w:r w:rsidR="00806DB8">
        <w:rPr>
          <w:rFonts w:cs="Times New Roman"/>
          <w:bCs/>
          <w:color w:val="000000" w:themeColor="text1"/>
          <w:kern w:val="2"/>
          <w:szCs w:val="24"/>
          <w:lang w:val="en-GB"/>
        </w:rPr>
        <w:t xml:space="preserve"> </w:t>
      </w:r>
      <w:r w:rsidRPr="00421E84">
        <w:rPr>
          <w:rFonts w:cs="Times New Roman"/>
          <w:bCs/>
          <w:color w:val="000000" w:themeColor="text1"/>
          <w:kern w:val="2"/>
          <w:szCs w:val="24"/>
          <w:lang w:val="en-GB"/>
        </w:rPr>
        <w:t>resource base, industrial structure, and socio-political environment</w:t>
      </w:r>
      <w:r w:rsidR="00806DB8">
        <w:rPr>
          <w:rFonts w:cs="Times New Roman"/>
          <w:bCs/>
          <w:color w:val="000000" w:themeColor="text1"/>
          <w:kern w:val="2"/>
          <w:szCs w:val="24"/>
          <w:lang w:val="en-GB"/>
        </w:rPr>
        <w:t xml:space="preserve"> </w:t>
      </w:r>
      <w:r w:rsidRPr="00421E84">
        <w:rPr>
          <w:rFonts w:cs="Times New Roman"/>
          <w:bCs/>
          <w:color w:val="000000" w:themeColor="text1"/>
          <w:kern w:val="2"/>
          <w:szCs w:val="24"/>
          <w:lang w:val="en-GB"/>
        </w:rPr>
        <w:t xml:space="preserve">providing a clearer framework for </w:t>
      </w:r>
      <w:proofErr w:type="spellStart"/>
      <w:r w:rsidRPr="00421E84">
        <w:rPr>
          <w:rFonts w:cs="Times New Roman"/>
          <w:bCs/>
          <w:color w:val="000000" w:themeColor="text1"/>
          <w:kern w:val="2"/>
          <w:szCs w:val="24"/>
          <w:lang w:val="en-GB"/>
        </w:rPr>
        <w:t>analyzing</w:t>
      </w:r>
      <w:proofErr w:type="spellEnd"/>
      <w:r w:rsidRPr="00421E84">
        <w:rPr>
          <w:rFonts w:cs="Times New Roman"/>
          <w:bCs/>
          <w:color w:val="000000" w:themeColor="text1"/>
          <w:kern w:val="2"/>
          <w:szCs w:val="24"/>
          <w:lang w:val="en-GB"/>
        </w:rPr>
        <w:t xml:space="preserve"> stakeholder interactions (Carroll &amp; Buchholtz, 2006). In the pension fund context, the most critical stakeholders are fund managers and contributors, as fund performance directly affects retirement savings decisions and confidence in Pension Fund Administrators (PFAs) (Ajibade, 2022).</w:t>
      </w:r>
    </w:p>
    <w:p w14:paraId="02F093E3" w14:textId="77777777" w:rsidR="00421E84" w:rsidRPr="00421E84" w:rsidRDefault="00421E84" w:rsidP="00421E84">
      <w:pPr>
        <w:spacing w:before="0" w:after="160" w:line="259" w:lineRule="auto"/>
        <w:rPr>
          <w:rFonts w:cs="Times New Roman"/>
          <w:bCs/>
          <w:color w:val="000000" w:themeColor="text1"/>
          <w:kern w:val="2"/>
          <w:szCs w:val="24"/>
          <w:lang w:val="en-GB"/>
        </w:rPr>
      </w:pPr>
      <w:r w:rsidRPr="00421E84">
        <w:rPr>
          <w:rFonts w:cs="Times New Roman"/>
          <w:bCs/>
          <w:color w:val="000000" w:themeColor="text1"/>
          <w:kern w:val="2"/>
          <w:szCs w:val="24"/>
          <w:lang w:val="en-GB"/>
        </w:rPr>
        <w:t xml:space="preserve">Agency Theory, originally developed by </w:t>
      </w:r>
      <w:proofErr w:type="spellStart"/>
      <w:r w:rsidRPr="00421E84">
        <w:rPr>
          <w:rFonts w:cs="Times New Roman"/>
          <w:bCs/>
          <w:color w:val="000000" w:themeColor="text1"/>
          <w:kern w:val="2"/>
          <w:szCs w:val="24"/>
          <w:lang w:val="en-GB"/>
        </w:rPr>
        <w:t>Alchian</w:t>
      </w:r>
      <w:proofErr w:type="spellEnd"/>
      <w:r w:rsidRPr="00421E84">
        <w:rPr>
          <w:rFonts w:cs="Times New Roman"/>
          <w:bCs/>
          <w:color w:val="000000" w:themeColor="text1"/>
          <w:kern w:val="2"/>
          <w:szCs w:val="24"/>
          <w:lang w:val="en-GB"/>
        </w:rPr>
        <w:t xml:space="preserve"> and </w:t>
      </w:r>
      <w:proofErr w:type="spellStart"/>
      <w:r w:rsidRPr="00421E84">
        <w:rPr>
          <w:rFonts w:cs="Times New Roman"/>
          <w:bCs/>
          <w:color w:val="000000" w:themeColor="text1"/>
          <w:kern w:val="2"/>
          <w:szCs w:val="24"/>
          <w:lang w:val="en-GB"/>
        </w:rPr>
        <w:t>Demsetz</w:t>
      </w:r>
      <w:proofErr w:type="spellEnd"/>
      <w:r w:rsidRPr="00421E84">
        <w:rPr>
          <w:rFonts w:cs="Times New Roman"/>
          <w:bCs/>
          <w:color w:val="000000" w:themeColor="text1"/>
          <w:kern w:val="2"/>
          <w:szCs w:val="24"/>
          <w:lang w:val="en-GB"/>
        </w:rPr>
        <w:t xml:space="preserve"> (1972) and expanded by Jensen and Meckling (1976), conceptualizes the relationship between principals and agents. Principals delegate decision-making authority to agents, who may act in their own self-interest, creating a conflict of interest. Mechanisms such as incentives and monitoring are used to align interests, though they incur agency costs. Van Essen (2011) emphasized that ownership structures significantly influence firm strategy and performance, while Roe (1991) argued that political and legal contexts historically shaped ownership-control divisions in the U.S. In this study, contributors to pension schemes act as principals, while pension fund managers serve as agents. Their competence and integrity are crucial, as fund managers’ investment decisions directly determine financial performance outcomes.</w:t>
      </w:r>
    </w:p>
    <w:p w14:paraId="6C213BBC" w14:textId="707B474D" w:rsidR="00B449E1" w:rsidRPr="000D1B44" w:rsidRDefault="00421E84" w:rsidP="00421E84">
      <w:pPr>
        <w:spacing w:before="0" w:after="160" w:line="259" w:lineRule="auto"/>
        <w:rPr>
          <w:rFonts w:cs="Times New Roman"/>
          <w:bCs/>
          <w:color w:val="000000" w:themeColor="text1"/>
          <w:szCs w:val="24"/>
        </w:rPr>
      </w:pPr>
      <w:r w:rsidRPr="00421E84">
        <w:rPr>
          <w:rFonts w:cs="Times New Roman"/>
          <w:bCs/>
          <w:color w:val="000000" w:themeColor="text1"/>
          <w:kern w:val="2"/>
          <w:szCs w:val="24"/>
          <w:lang w:val="en-GB"/>
        </w:rPr>
        <w:t>The Theory of Constraints (TOC), developed by Goldratt in the early 1980s, views organizational performance as being limited by key bottlenecks. The theory emphasizes identifying and addressing these constraints to optimize overall system performance (IMA, 1999). Although initially applied to production scheduling, TOC has since been extended to a variety of organizational contexts. In pension fund management, effective handling of members’ contributions is critical. Fund administrators must overcome constraints such as limited investment opportunities, regulatory requirements, or overreliance on low-risk government securities. Optimizing resource allocation and designing sound investment strategies are therefore central to enhancing fund performance (Rosenthall &amp; Horn, 2013).</w:t>
      </w:r>
      <w:r>
        <w:rPr>
          <w:rFonts w:cs="Times New Roman"/>
          <w:bCs/>
          <w:color w:val="000000" w:themeColor="text1"/>
          <w:kern w:val="2"/>
          <w:szCs w:val="24"/>
          <w:lang w:val="en-GB"/>
        </w:rPr>
        <w:t xml:space="preserve"> </w:t>
      </w:r>
      <w:r w:rsidRPr="00421E84">
        <w:rPr>
          <w:rFonts w:cs="Times New Roman"/>
          <w:bCs/>
          <w:color w:val="000000" w:themeColor="text1"/>
          <w:kern w:val="2"/>
          <w:szCs w:val="24"/>
          <w:lang w:val="en-GB"/>
        </w:rPr>
        <w:t xml:space="preserve">Taken together, these theories provide a comprehensive lens for </w:t>
      </w:r>
      <w:proofErr w:type="spellStart"/>
      <w:r w:rsidRPr="00421E84">
        <w:rPr>
          <w:rFonts w:cs="Times New Roman"/>
          <w:bCs/>
          <w:color w:val="000000" w:themeColor="text1"/>
          <w:kern w:val="2"/>
          <w:szCs w:val="24"/>
          <w:lang w:val="en-GB"/>
        </w:rPr>
        <w:t>analyzing</w:t>
      </w:r>
      <w:proofErr w:type="spellEnd"/>
      <w:r w:rsidRPr="00421E84">
        <w:rPr>
          <w:rFonts w:cs="Times New Roman"/>
          <w:bCs/>
          <w:color w:val="000000" w:themeColor="text1"/>
          <w:kern w:val="2"/>
          <w:szCs w:val="24"/>
          <w:lang w:val="en-GB"/>
        </w:rPr>
        <w:t xml:space="preserve"> the financial performance of pension funds in Kenya. Stakeholder Theory underscores the importance of balancing diverse interests, Agency Theory highlights the role of governance and accountability, while TOC stresses the need to identify and manage operational constraints. Their integration enables a deeper understanding of how firm characteristics shape pension fund outcomes</w:t>
      </w:r>
      <w:r w:rsidR="000D1B44" w:rsidRPr="000D1B44">
        <w:rPr>
          <w:rFonts w:cs="Times New Roman"/>
          <w:bCs/>
          <w:color w:val="000000" w:themeColor="text1"/>
          <w:kern w:val="2"/>
          <w:szCs w:val="24"/>
          <w:lang w:val="en-GB"/>
        </w:rPr>
        <w:t>.</w:t>
      </w:r>
    </w:p>
    <w:p w14:paraId="0236764D" w14:textId="19E3A4FA" w:rsidR="0025635B" w:rsidRPr="00FB2E0F" w:rsidRDefault="00E0554F" w:rsidP="0025635B">
      <w:pPr>
        <w:spacing w:before="0" w:after="160" w:line="259" w:lineRule="auto"/>
        <w:rPr>
          <w:rFonts w:cs="Times New Roman"/>
          <w:b/>
          <w:bCs/>
          <w:color w:val="000000" w:themeColor="text1"/>
          <w:sz w:val="28"/>
          <w:szCs w:val="28"/>
        </w:rPr>
      </w:pPr>
      <w:r w:rsidRPr="00FB2E0F">
        <w:rPr>
          <w:rFonts w:cs="Times New Roman"/>
          <w:b/>
          <w:bCs/>
          <w:color w:val="000000" w:themeColor="text1"/>
          <w:sz w:val="28"/>
          <w:szCs w:val="28"/>
        </w:rPr>
        <w:t xml:space="preserve">2.1 </w:t>
      </w:r>
      <w:r w:rsidR="00CB6E82" w:rsidRPr="00FB2E0F">
        <w:rPr>
          <w:rFonts w:cs="Times New Roman"/>
          <w:b/>
          <w:bCs/>
          <w:color w:val="000000" w:themeColor="text1"/>
          <w:sz w:val="28"/>
          <w:szCs w:val="28"/>
        </w:rPr>
        <w:t>Empirical Review</w:t>
      </w:r>
    </w:p>
    <w:p w14:paraId="0BBDC226" w14:textId="77777777" w:rsidR="00BD1ED4" w:rsidRPr="00BD1ED4" w:rsidRDefault="00BD1ED4" w:rsidP="00BD1ED4">
      <w:pPr>
        <w:spacing w:before="0" w:after="160" w:line="259" w:lineRule="auto"/>
        <w:rPr>
          <w:rFonts w:cs="Times New Roman"/>
          <w:bCs/>
          <w:iCs/>
          <w:color w:val="000000" w:themeColor="text1"/>
          <w:szCs w:val="24"/>
        </w:rPr>
      </w:pPr>
      <w:r w:rsidRPr="00BD1ED4">
        <w:rPr>
          <w:rFonts w:cs="Times New Roman"/>
          <w:bCs/>
          <w:iCs/>
          <w:color w:val="000000" w:themeColor="text1"/>
          <w:szCs w:val="24"/>
        </w:rPr>
        <w:t xml:space="preserve">The relationship between fund size and financial performance has been a dominant theme in pension research. Ondieki (2022) examined retirement schemes in Kenya between 2009 and 2017, establishing that scheme size exerted a substantial influence on returns. Using a descriptive research design, the study emphasized the role of operational efficiency in maximizing returns and recommended further investigation into the impact of global crises on fund size and financial competence. Similarly, Waweru (2021) confirmed that larger pension funds significantly </w:t>
      </w:r>
      <w:r w:rsidRPr="00BD1ED4">
        <w:rPr>
          <w:rFonts w:cs="Times New Roman"/>
          <w:bCs/>
          <w:iCs/>
          <w:color w:val="000000" w:themeColor="text1"/>
          <w:szCs w:val="24"/>
        </w:rPr>
        <w:lastRenderedPageBreak/>
        <w:t>outperformed smaller ones between 2016 and 2020, attributing this advantage to their stronger bargaining power and ability to secure favorable investment agreements.</w:t>
      </w:r>
    </w:p>
    <w:p w14:paraId="3BD3099F" w14:textId="12E8D3AC" w:rsidR="00BD1ED4" w:rsidRPr="00BD1ED4" w:rsidRDefault="00BD1ED4" w:rsidP="00BD1ED4">
      <w:pPr>
        <w:spacing w:before="0" w:after="160" w:line="259" w:lineRule="auto"/>
        <w:rPr>
          <w:rFonts w:cs="Times New Roman"/>
          <w:bCs/>
          <w:iCs/>
          <w:color w:val="000000" w:themeColor="text1"/>
          <w:szCs w:val="24"/>
        </w:rPr>
      </w:pPr>
      <w:r w:rsidRPr="00BD1ED4">
        <w:rPr>
          <w:rFonts w:cs="Times New Roman"/>
          <w:bCs/>
          <w:iCs/>
          <w:color w:val="000000" w:themeColor="text1"/>
          <w:szCs w:val="24"/>
        </w:rPr>
        <w:t xml:space="preserve">Complementary evidence from </w:t>
      </w:r>
      <w:proofErr w:type="spellStart"/>
      <w:r w:rsidRPr="00BD1ED4">
        <w:rPr>
          <w:rFonts w:cs="Times New Roman"/>
          <w:bCs/>
          <w:iCs/>
          <w:color w:val="000000" w:themeColor="text1"/>
          <w:szCs w:val="24"/>
        </w:rPr>
        <w:t>Ichingwa</w:t>
      </w:r>
      <w:proofErr w:type="spellEnd"/>
      <w:r w:rsidRPr="00BD1ED4">
        <w:rPr>
          <w:rFonts w:cs="Times New Roman"/>
          <w:bCs/>
          <w:iCs/>
          <w:color w:val="000000" w:themeColor="text1"/>
          <w:szCs w:val="24"/>
        </w:rPr>
        <w:t xml:space="preserve"> and Mbithi (2017) revealed that aggregate contributions</w:t>
      </w:r>
      <w:r w:rsidR="00806DB8">
        <w:rPr>
          <w:rFonts w:cs="Times New Roman"/>
          <w:bCs/>
          <w:iCs/>
          <w:color w:val="000000" w:themeColor="text1"/>
          <w:szCs w:val="24"/>
        </w:rPr>
        <w:t xml:space="preserve"> </w:t>
      </w:r>
      <w:r w:rsidRPr="00BD1ED4">
        <w:rPr>
          <w:rFonts w:cs="Times New Roman"/>
          <w:bCs/>
          <w:iCs/>
          <w:color w:val="000000" w:themeColor="text1"/>
          <w:szCs w:val="24"/>
        </w:rPr>
        <w:t>an indicator of fund size</w:t>
      </w:r>
      <w:r w:rsidR="00806DB8">
        <w:rPr>
          <w:rFonts w:cs="Times New Roman"/>
          <w:bCs/>
          <w:iCs/>
          <w:color w:val="000000" w:themeColor="text1"/>
          <w:szCs w:val="24"/>
        </w:rPr>
        <w:t xml:space="preserve"> </w:t>
      </w:r>
      <w:r w:rsidRPr="00BD1ED4">
        <w:rPr>
          <w:rFonts w:cs="Times New Roman"/>
          <w:bCs/>
          <w:iCs/>
          <w:color w:val="000000" w:themeColor="text1"/>
          <w:szCs w:val="24"/>
        </w:rPr>
        <w:t xml:space="preserve">positively and significantly influenced pension schemes’ financial performance. The study advised pension schemes to increase membership and contributions to enhance financial outcomes. Research beyond Kenya provides similar insights. Adekoya, </w:t>
      </w:r>
      <w:proofErr w:type="spellStart"/>
      <w:r w:rsidRPr="00BD1ED4">
        <w:rPr>
          <w:rFonts w:cs="Times New Roman"/>
          <w:bCs/>
          <w:iCs/>
          <w:color w:val="000000" w:themeColor="text1"/>
          <w:szCs w:val="24"/>
        </w:rPr>
        <w:t>Nwaobia</w:t>
      </w:r>
      <w:proofErr w:type="spellEnd"/>
      <w:r w:rsidRPr="00BD1ED4">
        <w:rPr>
          <w:rFonts w:cs="Times New Roman"/>
          <w:bCs/>
          <w:iCs/>
          <w:color w:val="000000" w:themeColor="text1"/>
          <w:szCs w:val="24"/>
        </w:rPr>
        <w:t xml:space="preserve">, and </w:t>
      </w:r>
      <w:proofErr w:type="spellStart"/>
      <w:r w:rsidRPr="00BD1ED4">
        <w:rPr>
          <w:rFonts w:cs="Times New Roman"/>
          <w:bCs/>
          <w:iCs/>
          <w:color w:val="000000" w:themeColor="text1"/>
          <w:szCs w:val="24"/>
        </w:rPr>
        <w:t>Siyanbola</w:t>
      </w:r>
      <w:proofErr w:type="spellEnd"/>
      <w:r w:rsidRPr="00BD1ED4">
        <w:rPr>
          <w:rFonts w:cs="Times New Roman"/>
          <w:bCs/>
          <w:iCs/>
          <w:color w:val="000000" w:themeColor="text1"/>
          <w:szCs w:val="24"/>
        </w:rPr>
        <w:t xml:space="preserve"> (2022), analyzing Nigerian pension funds between 2011 and 2020, found that while individual firm characteristics had insignificant effects on net asset value, their combined influence was positive and significant. The study highlighted asset size, marketing strategies, and governance experience as critical factors in enhancing performance.</w:t>
      </w:r>
    </w:p>
    <w:p w14:paraId="62DE3942" w14:textId="77777777" w:rsidR="00BD1ED4" w:rsidRPr="00BD1ED4" w:rsidRDefault="00BD1ED4" w:rsidP="00BD1ED4">
      <w:pPr>
        <w:spacing w:before="0" w:after="160" w:line="259" w:lineRule="auto"/>
        <w:rPr>
          <w:rFonts w:cs="Times New Roman"/>
          <w:bCs/>
          <w:iCs/>
          <w:color w:val="000000" w:themeColor="text1"/>
          <w:szCs w:val="24"/>
        </w:rPr>
      </w:pPr>
      <w:r w:rsidRPr="00BD1ED4">
        <w:rPr>
          <w:rFonts w:cs="Times New Roman"/>
          <w:bCs/>
          <w:iCs/>
          <w:color w:val="000000" w:themeColor="text1"/>
          <w:szCs w:val="24"/>
        </w:rPr>
        <w:t>Oyoo (2020) further demonstrated that in Kenya, larger pension funds had a significant performance edge due to their capacity to make substantial stock market investments. However, he observed that fund size did not affect operational efficiency, suggesting that scale primarily influences investment opportunities rather than internal processes. Collectively, these studies underscore that fund size enhances financial performance through economies of scale, improved investment options, and better negotiation power, though operational efficiency may depend on other factors.</w:t>
      </w:r>
    </w:p>
    <w:p w14:paraId="71C594B4" w14:textId="77777777" w:rsidR="00BD1ED4" w:rsidRPr="00BD1ED4" w:rsidRDefault="00BD1ED4" w:rsidP="00BD1ED4">
      <w:pPr>
        <w:spacing w:before="0" w:after="160" w:line="259" w:lineRule="auto"/>
        <w:rPr>
          <w:rFonts w:cs="Times New Roman"/>
          <w:bCs/>
          <w:iCs/>
          <w:color w:val="000000" w:themeColor="text1"/>
          <w:szCs w:val="24"/>
        </w:rPr>
      </w:pPr>
      <w:r w:rsidRPr="00BD1ED4">
        <w:rPr>
          <w:rFonts w:cs="Times New Roman"/>
          <w:bCs/>
          <w:iCs/>
          <w:color w:val="000000" w:themeColor="text1"/>
          <w:szCs w:val="24"/>
        </w:rPr>
        <w:t xml:space="preserve">The structure of pension schemes is also pivotal in shaping financial outcomes. Ondieki (2022) and </w:t>
      </w:r>
      <w:proofErr w:type="spellStart"/>
      <w:r w:rsidRPr="00BD1ED4">
        <w:rPr>
          <w:rFonts w:cs="Times New Roman"/>
          <w:bCs/>
          <w:iCs/>
          <w:color w:val="000000" w:themeColor="text1"/>
          <w:szCs w:val="24"/>
        </w:rPr>
        <w:t>Okeiga</w:t>
      </w:r>
      <w:proofErr w:type="spellEnd"/>
      <w:r w:rsidRPr="00BD1ED4">
        <w:rPr>
          <w:rFonts w:cs="Times New Roman"/>
          <w:bCs/>
          <w:iCs/>
          <w:color w:val="000000" w:themeColor="text1"/>
          <w:szCs w:val="24"/>
        </w:rPr>
        <w:t xml:space="preserve"> (2015) examined the influence of defined benefit (DB) and defined contribution (DC) schemes. Their findings suggested that DC plans generally outperform DB plans, as contributions from members reduce costs to sponsoring firms and provide incentives for long-term retention. While </w:t>
      </w:r>
      <w:proofErr w:type="spellStart"/>
      <w:r w:rsidRPr="00BD1ED4">
        <w:rPr>
          <w:rFonts w:cs="Times New Roman"/>
          <w:bCs/>
          <w:iCs/>
          <w:color w:val="000000" w:themeColor="text1"/>
          <w:szCs w:val="24"/>
        </w:rPr>
        <w:t>Okeiga</w:t>
      </w:r>
      <w:proofErr w:type="spellEnd"/>
      <w:r w:rsidRPr="00BD1ED4">
        <w:rPr>
          <w:rFonts w:cs="Times New Roman"/>
          <w:bCs/>
          <w:iCs/>
          <w:color w:val="000000" w:themeColor="text1"/>
          <w:szCs w:val="24"/>
        </w:rPr>
        <w:t xml:space="preserve"> (2015) demonstrated that DC plans encouraged employees to remain longer in service, DB plans often motivated earlier retirement.</w:t>
      </w:r>
    </w:p>
    <w:p w14:paraId="114A22DB" w14:textId="059320BC" w:rsidR="00BD1ED4" w:rsidRPr="00BD1ED4" w:rsidRDefault="00BD1ED4" w:rsidP="00BD1ED4">
      <w:pPr>
        <w:spacing w:before="0" w:after="160" w:line="259" w:lineRule="auto"/>
        <w:rPr>
          <w:rFonts w:cs="Times New Roman"/>
          <w:bCs/>
          <w:iCs/>
          <w:color w:val="000000" w:themeColor="text1"/>
          <w:szCs w:val="24"/>
        </w:rPr>
      </w:pPr>
      <w:r w:rsidRPr="00BD1ED4">
        <w:rPr>
          <w:rFonts w:cs="Times New Roman"/>
          <w:bCs/>
          <w:iCs/>
          <w:color w:val="000000" w:themeColor="text1"/>
          <w:szCs w:val="24"/>
        </w:rPr>
        <w:t>International perspectives reinforce this shift. Tonks (2005) and Brady (2009) documented the global transition from DB to DC plans as organizations sought to minimize risks and reduce operating costs. Under DC schemes, contributions are jointly made by employers and employees, with returns determined largely by market dynamics. This structure aligns with employers’ desire to transfer risk while encouraging employees to secure their post-retirement well-being.</w:t>
      </w:r>
      <w:r>
        <w:rPr>
          <w:rFonts w:cs="Times New Roman"/>
          <w:bCs/>
          <w:iCs/>
          <w:color w:val="000000" w:themeColor="text1"/>
          <w:szCs w:val="24"/>
        </w:rPr>
        <w:t xml:space="preserve"> </w:t>
      </w:r>
      <w:r w:rsidRPr="00BD1ED4">
        <w:rPr>
          <w:rFonts w:cs="Times New Roman"/>
          <w:bCs/>
          <w:iCs/>
          <w:color w:val="000000" w:themeColor="text1"/>
          <w:szCs w:val="24"/>
        </w:rPr>
        <w:t xml:space="preserve">In Kenya, the Retirement Benefits Authority (RBA, 2014) recognized both DB and DC frameworks, but the sector has rapidly transitioned toward DC schemes, particularly occupational retirement plans. However, as Rutledge and </w:t>
      </w:r>
      <w:proofErr w:type="spellStart"/>
      <w:r w:rsidRPr="00BD1ED4">
        <w:rPr>
          <w:rFonts w:cs="Times New Roman"/>
          <w:bCs/>
          <w:iCs/>
          <w:color w:val="000000" w:themeColor="text1"/>
          <w:szCs w:val="24"/>
        </w:rPr>
        <w:t>Penglase</w:t>
      </w:r>
      <w:proofErr w:type="spellEnd"/>
      <w:r w:rsidRPr="00BD1ED4">
        <w:rPr>
          <w:rFonts w:cs="Times New Roman"/>
          <w:bCs/>
          <w:iCs/>
          <w:color w:val="000000" w:themeColor="text1"/>
          <w:szCs w:val="24"/>
        </w:rPr>
        <w:t xml:space="preserve"> (2014) observed, participation remains uneven: higher-income earners are more likely to engage in pension schemes than their lower-income counterparts. Despite this, evidence on how scheme design directly influences the financial performance of funds remains limited, with most studies focusing on participation and retirement incentives rather than investment outcomes.</w:t>
      </w:r>
    </w:p>
    <w:p w14:paraId="4BD5E7CF" w14:textId="77777777" w:rsidR="00BD1ED4" w:rsidRPr="00BD1ED4" w:rsidRDefault="00BD1ED4" w:rsidP="00BD1ED4">
      <w:pPr>
        <w:spacing w:before="0" w:after="160" w:line="259" w:lineRule="auto"/>
        <w:rPr>
          <w:rFonts w:cs="Times New Roman"/>
          <w:bCs/>
          <w:iCs/>
          <w:color w:val="000000" w:themeColor="text1"/>
          <w:szCs w:val="24"/>
        </w:rPr>
      </w:pPr>
      <w:r w:rsidRPr="00BD1ED4">
        <w:rPr>
          <w:rFonts w:cs="Times New Roman"/>
          <w:bCs/>
          <w:iCs/>
          <w:color w:val="000000" w:themeColor="text1"/>
          <w:szCs w:val="24"/>
        </w:rPr>
        <w:t xml:space="preserve">Asset allocation remains a central determinant of pension fund performance. </w:t>
      </w:r>
      <w:proofErr w:type="spellStart"/>
      <w:r w:rsidRPr="00BD1ED4">
        <w:rPr>
          <w:rFonts w:cs="Times New Roman"/>
          <w:bCs/>
          <w:iCs/>
          <w:color w:val="000000" w:themeColor="text1"/>
          <w:szCs w:val="24"/>
        </w:rPr>
        <w:t>Namusonge</w:t>
      </w:r>
      <w:proofErr w:type="spellEnd"/>
      <w:r w:rsidRPr="00BD1ED4">
        <w:rPr>
          <w:rFonts w:cs="Times New Roman"/>
          <w:bCs/>
          <w:iCs/>
          <w:color w:val="000000" w:themeColor="text1"/>
          <w:szCs w:val="24"/>
        </w:rPr>
        <w:t xml:space="preserve"> and Gathogo (2017) found that portfolio mix explained 66.1% of the variation in financial outcomes among Kenyan pension schemes, underlining the critical role of investment structure in ensuring sustainability. Waweru (2021) corroborated these findings, showing that diversified portfolios enhanced pension fund performance between 2016 and 2020.</w:t>
      </w:r>
    </w:p>
    <w:p w14:paraId="7D9DD33F" w14:textId="3239AEF4" w:rsidR="00BD1ED4" w:rsidRPr="00BD1ED4" w:rsidRDefault="00BD1ED4" w:rsidP="00BD1ED4">
      <w:pPr>
        <w:spacing w:before="0" w:after="160" w:line="259" w:lineRule="auto"/>
        <w:rPr>
          <w:rFonts w:cs="Times New Roman"/>
          <w:bCs/>
          <w:iCs/>
          <w:color w:val="000000" w:themeColor="text1"/>
          <w:szCs w:val="24"/>
        </w:rPr>
      </w:pPr>
      <w:r w:rsidRPr="00BD1ED4">
        <w:rPr>
          <w:rFonts w:cs="Times New Roman"/>
          <w:bCs/>
          <w:iCs/>
          <w:color w:val="000000" w:themeColor="text1"/>
          <w:szCs w:val="24"/>
        </w:rPr>
        <w:t>Other scholars echo these conclusions. Njeru, Njeru, and Kasomi (2015) revealed that pension funds’ financial performance is shaped by investment flexibility and nondiscretionary decisions imposed on fund managers. Similarly, Chirchir (2007) and Nyakundi (2014) established a positive association between resource allocation and financial returns, emphasizing the importance of asset allocation strategies in delivering superior results.</w:t>
      </w:r>
      <w:r>
        <w:rPr>
          <w:rFonts w:cs="Times New Roman"/>
          <w:bCs/>
          <w:iCs/>
          <w:color w:val="000000" w:themeColor="text1"/>
          <w:szCs w:val="24"/>
        </w:rPr>
        <w:t xml:space="preserve"> </w:t>
      </w:r>
      <w:r w:rsidRPr="00BD1ED4">
        <w:rPr>
          <w:rFonts w:cs="Times New Roman"/>
          <w:bCs/>
          <w:iCs/>
          <w:color w:val="000000" w:themeColor="text1"/>
          <w:szCs w:val="24"/>
        </w:rPr>
        <w:t>These findings align with modern portfolio theory, which advocates for diversification as a means of minimizing risk and enhancing returns. However, few studies directly explore how fund managers’ investment decision-making processes mediate the link between asset mix and performance. This remains a critical gap in pension research, particularly in developing economies where market structures may limit diversification options.</w:t>
      </w:r>
    </w:p>
    <w:p w14:paraId="71652013" w14:textId="15BB1FEB" w:rsidR="00BD1ED4" w:rsidRPr="00BD1ED4" w:rsidRDefault="00BD1ED4" w:rsidP="00BD1ED4">
      <w:pPr>
        <w:spacing w:before="0" w:after="160" w:line="259" w:lineRule="auto"/>
        <w:rPr>
          <w:rFonts w:cs="Times New Roman"/>
          <w:bCs/>
          <w:iCs/>
          <w:color w:val="000000" w:themeColor="text1"/>
          <w:szCs w:val="24"/>
        </w:rPr>
      </w:pPr>
      <w:r w:rsidRPr="00BD1ED4">
        <w:rPr>
          <w:rFonts w:cs="Times New Roman"/>
          <w:bCs/>
          <w:iCs/>
          <w:color w:val="000000" w:themeColor="text1"/>
          <w:szCs w:val="24"/>
        </w:rPr>
        <w:lastRenderedPageBreak/>
        <w:t>Membership demographics, particularly age composition, significantly affect pension funds’ performance. Lungu (2019) argued that younger membership bases provide higher contribution flows, enabling funds to pursue expansive investment strategies and generate higher earnings. In contrast, funds with older members allocate more resources to benefit payouts, limiting investable surpluses and reducing returns.</w:t>
      </w:r>
      <w:r>
        <w:rPr>
          <w:rFonts w:cs="Times New Roman"/>
          <w:bCs/>
          <w:iCs/>
          <w:color w:val="000000" w:themeColor="text1"/>
          <w:szCs w:val="24"/>
        </w:rPr>
        <w:t xml:space="preserve"> </w:t>
      </w:r>
      <w:r w:rsidRPr="00BD1ED4">
        <w:rPr>
          <w:rFonts w:cs="Times New Roman"/>
          <w:bCs/>
          <w:iCs/>
          <w:color w:val="000000" w:themeColor="text1"/>
          <w:szCs w:val="24"/>
        </w:rPr>
        <w:t>Defau and De Moor (2018) supported this view, noting that pension strategies account for participant age profiles, with younger active members contributing more heavily to financial asset growth than retired or dormant ones. Similarly, Lucas and Zeldes (2019), analyzing data from U.S. states and municipalities, found that scheme maturity influenced equity investment strategies, as funds sought to minimize exposure to high-risk assets when members approached retirement.</w:t>
      </w:r>
    </w:p>
    <w:p w14:paraId="5A0EFE24" w14:textId="77777777" w:rsidR="00BD1ED4" w:rsidRPr="00BD1ED4" w:rsidRDefault="00BD1ED4" w:rsidP="00BD1ED4">
      <w:pPr>
        <w:spacing w:before="0" w:after="160" w:line="259" w:lineRule="auto"/>
        <w:rPr>
          <w:rFonts w:cs="Times New Roman"/>
          <w:bCs/>
          <w:iCs/>
          <w:color w:val="000000" w:themeColor="text1"/>
          <w:szCs w:val="24"/>
        </w:rPr>
      </w:pPr>
      <w:r w:rsidRPr="00BD1ED4">
        <w:rPr>
          <w:rFonts w:cs="Times New Roman"/>
          <w:bCs/>
          <w:iCs/>
          <w:color w:val="000000" w:themeColor="text1"/>
          <w:szCs w:val="24"/>
        </w:rPr>
        <w:t xml:space="preserve">However, evidence from Kenya complicates this narrative. Ngugi, Njuguna, and </w:t>
      </w:r>
      <w:proofErr w:type="spellStart"/>
      <w:r w:rsidRPr="00BD1ED4">
        <w:rPr>
          <w:rFonts w:cs="Times New Roman"/>
          <w:bCs/>
          <w:iCs/>
          <w:color w:val="000000" w:themeColor="text1"/>
          <w:szCs w:val="24"/>
        </w:rPr>
        <w:t>Wambalaba</w:t>
      </w:r>
      <w:proofErr w:type="spellEnd"/>
      <w:r w:rsidRPr="00BD1ED4">
        <w:rPr>
          <w:rFonts w:cs="Times New Roman"/>
          <w:bCs/>
          <w:iCs/>
          <w:color w:val="000000" w:themeColor="text1"/>
          <w:szCs w:val="24"/>
        </w:rPr>
        <w:t xml:space="preserve"> (2018), studying 206 occupational pension schemes, found little effect of scheme maturity on investment strategies, contrary to life cycle theory. This suggests that Kenyan pension schemes may not sufficiently adjust asset allocations in line with member demographics, raising concerns about sustainability and risk management practices.</w:t>
      </w:r>
    </w:p>
    <w:p w14:paraId="38665311" w14:textId="77777777" w:rsidR="00BD1ED4" w:rsidRPr="00BD1ED4" w:rsidRDefault="00BD1ED4" w:rsidP="00BD1ED4">
      <w:pPr>
        <w:spacing w:before="0" w:after="160" w:line="259" w:lineRule="auto"/>
        <w:rPr>
          <w:rFonts w:cs="Times New Roman"/>
          <w:bCs/>
          <w:iCs/>
          <w:color w:val="000000" w:themeColor="text1"/>
          <w:szCs w:val="24"/>
        </w:rPr>
      </w:pPr>
      <w:r w:rsidRPr="00BD1ED4">
        <w:rPr>
          <w:rFonts w:cs="Times New Roman"/>
          <w:bCs/>
          <w:iCs/>
          <w:color w:val="000000" w:themeColor="text1"/>
          <w:szCs w:val="24"/>
        </w:rPr>
        <w:t>The role of regulatory compliance in shaping pension fund performance has also been extensively examined. Since the enactment of the Retirement Benefits Authority Act, pension management in Kenya has become more structured and efficient. Miriti (2014) demonstrated a positive association between RBA investment directives and financial outcomes, attributing performance improvements to enhanced oversight and operational efficiency.</w:t>
      </w:r>
    </w:p>
    <w:p w14:paraId="32563425" w14:textId="2E2F6993" w:rsidR="00BD1ED4" w:rsidRPr="00BD1ED4" w:rsidRDefault="00BD1ED4" w:rsidP="00BD1ED4">
      <w:pPr>
        <w:spacing w:before="0" w:after="160" w:line="259" w:lineRule="auto"/>
        <w:rPr>
          <w:rFonts w:cs="Times New Roman"/>
          <w:bCs/>
          <w:iCs/>
          <w:color w:val="000000" w:themeColor="text1"/>
          <w:szCs w:val="24"/>
        </w:rPr>
      </w:pPr>
      <w:r w:rsidRPr="00BD1ED4">
        <w:rPr>
          <w:rFonts w:cs="Times New Roman"/>
          <w:bCs/>
          <w:iCs/>
          <w:color w:val="000000" w:themeColor="text1"/>
          <w:szCs w:val="24"/>
        </w:rPr>
        <w:t>Globally, regulatory regimes vary significantly. While some countries impose stringent oversight, others, such as the United States, adopt a “prudent person rule,” granting fund managers discretion without strict asset allocation guidelines. Kipkoech (2012) emphasized that regulation stimulates pension plan growth and strengthens economic development, while Mutula (2018) found that diversity, management ability, investment strategies, and regulatory compliance collectively enhanced pension fund investment performance.</w:t>
      </w:r>
      <w:r>
        <w:rPr>
          <w:rFonts w:cs="Times New Roman"/>
          <w:bCs/>
          <w:iCs/>
          <w:color w:val="000000" w:themeColor="text1"/>
          <w:szCs w:val="24"/>
        </w:rPr>
        <w:t xml:space="preserve"> </w:t>
      </w:r>
      <w:r w:rsidRPr="00BD1ED4">
        <w:rPr>
          <w:rFonts w:cs="Times New Roman"/>
          <w:bCs/>
          <w:iCs/>
          <w:color w:val="000000" w:themeColor="text1"/>
          <w:szCs w:val="24"/>
        </w:rPr>
        <w:t>In Kenya, compliance with RBA regulations has been associated with growth in both occupational and individual pension schemes. These findings highlight the moderating role of regulation, ensuring prudent investment practices, protecting contributors, and enhancing fund performance. However, overregulation could constrain innovation and flexibility, suggesting the need for balanced approaches.</w:t>
      </w:r>
    </w:p>
    <w:p w14:paraId="1211445F" w14:textId="5D216063" w:rsidR="00CB6E82" w:rsidRDefault="00BD1ED4" w:rsidP="00BD1ED4">
      <w:pPr>
        <w:spacing w:before="0" w:after="160" w:line="259" w:lineRule="auto"/>
        <w:rPr>
          <w:rFonts w:cs="Times New Roman"/>
          <w:color w:val="000000" w:themeColor="text1"/>
          <w:szCs w:val="24"/>
        </w:rPr>
      </w:pPr>
      <w:r w:rsidRPr="00BD1ED4">
        <w:rPr>
          <w:rFonts w:cs="Times New Roman"/>
          <w:bCs/>
          <w:iCs/>
          <w:color w:val="000000" w:themeColor="text1"/>
          <w:szCs w:val="24"/>
        </w:rPr>
        <w:t>Overall, empirical research reveals that pension fund performance is shaped by a complex interplay of fund size, design, portfolio composition, membership demographics, and regulatory compliance. Larger funds benefit from economies of scale and enhanced bargaining power, while diversified portfolios consistently outperform concentrated ones. Fund design, particularly the shift from DB to DC schemes, has improved cost efficiency and reduced employer risk, though its direct impact on fund performance is less clear. Membership demographics, especially age distribution, strongly influence contribution flows and investment strategies, though evidence from Kenya suggests limited adaptation to life cycle considerations. Finally, regulatory compliance plays a critical moderating role, enhancing oversight and ensuring sustainability.</w:t>
      </w:r>
      <w:r>
        <w:rPr>
          <w:rFonts w:cs="Times New Roman"/>
          <w:bCs/>
          <w:iCs/>
          <w:color w:val="000000" w:themeColor="text1"/>
          <w:szCs w:val="24"/>
        </w:rPr>
        <w:t xml:space="preserve"> </w:t>
      </w:r>
      <w:r w:rsidRPr="00BD1ED4">
        <w:rPr>
          <w:rFonts w:cs="Times New Roman"/>
          <w:bCs/>
          <w:iCs/>
          <w:color w:val="000000" w:themeColor="text1"/>
          <w:szCs w:val="24"/>
        </w:rPr>
        <w:t>Despite these insights, several gaps remain. Few studies explore how fund managers’ decision-making processes mediate performance outcomes, how global financial shocks interact with fund characteristics, or how regulatory frameworks can balance flexibility with prudence. Addressing these gaps would strengthen understanding of pension fund dynamics in Kenya and beyond, informing both policy and practice</w:t>
      </w:r>
      <w:r w:rsidR="00C237CE" w:rsidRPr="00C237CE">
        <w:rPr>
          <w:rFonts w:cs="Times New Roman"/>
          <w:color w:val="000000" w:themeColor="text1"/>
          <w:szCs w:val="24"/>
        </w:rPr>
        <w:t>.</w:t>
      </w:r>
    </w:p>
    <w:p w14:paraId="45142BC9" w14:textId="77777777" w:rsidR="004A63A3" w:rsidRDefault="004A63A3">
      <w:pPr>
        <w:spacing w:before="0" w:after="160" w:line="259" w:lineRule="auto"/>
        <w:jc w:val="left"/>
        <w:rPr>
          <w:rFonts w:cs="Times New Roman"/>
          <w:b/>
          <w:bCs/>
          <w:color w:val="000000" w:themeColor="text1"/>
          <w:sz w:val="28"/>
          <w:szCs w:val="28"/>
        </w:rPr>
      </w:pPr>
      <w:r>
        <w:rPr>
          <w:rFonts w:cs="Times New Roman"/>
          <w:b/>
          <w:bCs/>
          <w:color w:val="000000" w:themeColor="text1"/>
          <w:sz w:val="28"/>
          <w:szCs w:val="28"/>
        </w:rPr>
        <w:br w:type="page"/>
      </w:r>
    </w:p>
    <w:p w14:paraId="35BCEF5F" w14:textId="511C4872" w:rsidR="00055D83" w:rsidRPr="00FB2E0F" w:rsidRDefault="00055D83" w:rsidP="002C6F25">
      <w:pPr>
        <w:spacing w:line="240" w:lineRule="auto"/>
        <w:rPr>
          <w:rFonts w:cs="Times New Roman"/>
          <w:b/>
          <w:bCs/>
          <w:color w:val="000000" w:themeColor="text1"/>
          <w:sz w:val="28"/>
          <w:szCs w:val="28"/>
        </w:rPr>
      </w:pPr>
      <w:r w:rsidRPr="00FB2E0F">
        <w:rPr>
          <w:rFonts w:cs="Times New Roman"/>
          <w:b/>
          <w:bCs/>
          <w:color w:val="000000" w:themeColor="text1"/>
          <w:sz w:val="28"/>
          <w:szCs w:val="28"/>
        </w:rPr>
        <w:lastRenderedPageBreak/>
        <w:t>3.0 RESEARCH METHODOLOGY</w:t>
      </w:r>
    </w:p>
    <w:p w14:paraId="38308C9F" w14:textId="368C0F9A" w:rsidR="00A63E94" w:rsidRPr="00A63E94" w:rsidRDefault="00A63E94" w:rsidP="00A63E94">
      <w:pPr>
        <w:spacing w:after="160" w:line="259" w:lineRule="auto"/>
        <w:rPr>
          <w:rFonts w:cs="Times New Roman"/>
          <w:color w:val="000000" w:themeColor="text1"/>
          <w:szCs w:val="24"/>
        </w:rPr>
      </w:pPr>
      <w:r w:rsidRPr="00A63E94">
        <w:rPr>
          <w:rFonts w:cs="Times New Roman"/>
          <w:color w:val="000000" w:themeColor="text1"/>
          <w:szCs w:val="24"/>
        </w:rPr>
        <w:t>This study employed a descriptive research design to investigate the relationship between firm characteristics and the financial performance of pension funds in Kenya. A descriptive design was appropriate because it enabled the collection and evaluation of information without manipulating the study environment, thus reflecting the actual state of affairs (Cooper &amp; Schindler, 2008). The objective was to examine associations among the study variables systematically and objectively.</w:t>
      </w:r>
      <w:r>
        <w:rPr>
          <w:rFonts w:cs="Times New Roman"/>
          <w:color w:val="000000" w:themeColor="text1"/>
          <w:szCs w:val="24"/>
        </w:rPr>
        <w:t xml:space="preserve"> </w:t>
      </w:r>
      <w:r w:rsidRPr="00A63E94">
        <w:rPr>
          <w:rFonts w:cs="Times New Roman"/>
          <w:color w:val="000000" w:themeColor="text1"/>
          <w:szCs w:val="24"/>
        </w:rPr>
        <w:t>The target population consisted of all 1,075 pension schemes registered in Kenya as of 2022. The study focused on the period between 2018 and 2022 to capture recent trends. From this population, a sample of 39 officially registered schemes was selected using a simple random sampling technique. This method ensured that each scheme had an equal chance of selection, thereby minimizing selection bias and enhancing the representativeness of findings (Bryman, 2016).</w:t>
      </w:r>
    </w:p>
    <w:p w14:paraId="4F968D89" w14:textId="77777777" w:rsidR="00A63E94" w:rsidRPr="00A63E94" w:rsidRDefault="00A63E94" w:rsidP="00A63E94">
      <w:pPr>
        <w:spacing w:after="160" w:line="259" w:lineRule="auto"/>
        <w:rPr>
          <w:rFonts w:cs="Times New Roman"/>
          <w:color w:val="000000" w:themeColor="text1"/>
          <w:szCs w:val="24"/>
        </w:rPr>
      </w:pPr>
      <w:r w:rsidRPr="00A63E94">
        <w:rPr>
          <w:rFonts w:cs="Times New Roman"/>
          <w:color w:val="000000" w:themeColor="text1"/>
          <w:szCs w:val="24"/>
        </w:rPr>
        <w:t>Data collection relied on secondary sources, primarily annual financial statements and reports published by pension schemes and the Retirement Benefits Authority (RBA). These sources provided information on key fund characteristics such as fund size, design, membership age, and portfolio mix, alongside financial performance indicators. A secondary data extraction tool (Appendix 1) was used to systematically record data covering the five-year period. Prior to data collection, authorization was obtained from the National Commission for Science, Technology and Innovation (NACOSTI). The data collection exercise spanned three months.</w:t>
      </w:r>
    </w:p>
    <w:p w14:paraId="40ECA4DC" w14:textId="77777777" w:rsidR="00A63E94" w:rsidRPr="00A63E94" w:rsidRDefault="00A63E94" w:rsidP="00A63E94">
      <w:pPr>
        <w:spacing w:after="160" w:line="259" w:lineRule="auto"/>
        <w:rPr>
          <w:rFonts w:cs="Times New Roman"/>
          <w:color w:val="000000" w:themeColor="text1"/>
          <w:szCs w:val="24"/>
        </w:rPr>
      </w:pPr>
      <w:r w:rsidRPr="00A63E94">
        <w:rPr>
          <w:rFonts w:cs="Times New Roman"/>
          <w:color w:val="000000" w:themeColor="text1"/>
          <w:szCs w:val="24"/>
        </w:rPr>
        <w:t>The analysis was conducted using SPSS version 20. Descriptive statistics, including means, maximums, minimums, and standard deviations, were computed to provide insights into the distribution of variables. Inferential statistics were then applied to test hypotheses. Correlation analysis determined the strength and direction of associations between variables, while multivariate regression analysis assessed the linear relationships between dependent and independent variables.</w:t>
      </w:r>
    </w:p>
    <w:p w14:paraId="68ECED9B" w14:textId="102BDD02" w:rsidR="009B3203" w:rsidRPr="00C237CE" w:rsidRDefault="00A63E94" w:rsidP="00A63E94">
      <w:pPr>
        <w:spacing w:after="160" w:line="259" w:lineRule="auto"/>
        <w:rPr>
          <w:rFonts w:cs="Times New Roman"/>
          <w:color w:val="000000" w:themeColor="text1"/>
          <w:szCs w:val="24"/>
        </w:rPr>
      </w:pPr>
      <w:r w:rsidRPr="00A63E94">
        <w:rPr>
          <w:rFonts w:cs="Times New Roman"/>
          <w:color w:val="000000" w:themeColor="text1"/>
          <w:szCs w:val="24"/>
        </w:rPr>
        <w:t>To ensure validity and robustness, diagnostic tests were performed on the regression model. Normality of residuals was assessed using the Shapiro-Wilk and Kolmogorov-Smirnov tests, with logarithmic transformations applied where necessary. Stationarity was evaluated using the Dickey-Fuller test, and robust standard errors were applied if assumptions were violated (Khan, 2008). Autocorrelation was tested using the Wooldridge test, while multicollinearity was examined through Variance Inflation Factors (VIF) and tolerance levels. Heteroscedasticity was assessed using White’s test (</w:t>
      </w:r>
      <w:proofErr w:type="spellStart"/>
      <w:r w:rsidRPr="00A63E94">
        <w:rPr>
          <w:rFonts w:cs="Times New Roman"/>
          <w:color w:val="000000" w:themeColor="text1"/>
          <w:szCs w:val="24"/>
        </w:rPr>
        <w:t>Ghozali</w:t>
      </w:r>
      <w:proofErr w:type="spellEnd"/>
      <w:r w:rsidRPr="00A63E94">
        <w:rPr>
          <w:rFonts w:cs="Times New Roman"/>
          <w:color w:val="000000" w:themeColor="text1"/>
          <w:szCs w:val="24"/>
        </w:rPr>
        <w:t>, 2002).</w:t>
      </w:r>
      <w:r>
        <w:rPr>
          <w:rFonts w:cs="Times New Roman"/>
          <w:color w:val="000000" w:themeColor="text1"/>
          <w:szCs w:val="24"/>
        </w:rPr>
        <w:t xml:space="preserve"> </w:t>
      </w:r>
      <w:r w:rsidRPr="00A63E94">
        <w:rPr>
          <w:rFonts w:cs="Times New Roman"/>
          <w:color w:val="000000" w:themeColor="text1"/>
          <w:szCs w:val="24"/>
        </w:rPr>
        <w:t>By integrating these procedures, the study ensured that results were unbiased, reliable, and generalizable. The combination of descriptive and inferential analyses, supported by rigorous diagnostic tests, provided a strong foundation for understanding how firm characteristics influence the financial performance of pension funds in Kenya.</w:t>
      </w:r>
    </w:p>
    <w:p w14:paraId="7C961926" w14:textId="77777777" w:rsidR="00B55CEF" w:rsidRDefault="00B55CEF">
      <w:pPr>
        <w:spacing w:before="0" w:after="160" w:line="259" w:lineRule="auto"/>
        <w:jc w:val="left"/>
        <w:rPr>
          <w:b/>
          <w:bCs/>
          <w:color w:val="000000" w:themeColor="text1"/>
          <w:sz w:val="28"/>
          <w:szCs w:val="24"/>
        </w:rPr>
      </w:pPr>
      <w:r>
        <w:rPr>
          <w:b/>
          <w:bCs/>
          <w:color w:val="000000" w:themeColor="text1"/>
          <w:sz w:val="28"/>
          <w:szCs w:val="24"/>
        </w:rPr>
        <w:br w:type="page"/>
      </w:r>
    </w:p>
    <w:p w14:paraId="2E8664C6" w14:textId="654A43DF" w:rsidR="00E730D7" w:rsidRPr="00DE7041" w:rsidRDefault="002B2D3C" w:rsidP="00DE7041">
      <w:pPr>
        <w:rPr>
          <w:b/>
          <w:bCs/>
          <w:color w:val="000000" w:themeColor="text1"/>
          <w:sz w:val="28"/>
          <w:szCs w:val="24"/>
        </w:rPr>
      </w:pPr>
      <w:r w:rsidRPr="00FB2E0F">
        <w:rPr>
          <w:b/>
          <w:bCs/>
          <w:color w:val="000000" w:themeColor="text1"/>
          <w:sz w:val="28"/>
          <w:szCs w:val="24"/>
        </w:rPr>
        <w:lastRenderedPageBreak/>
        <w:t xml:space="preserve">4.0 </w:t>
      </w:r>
      <w:r w:rsidR="00055D83" w:rsidRPr="00FB2E0F">
        <w:rPr>
          <w:b/>
          <w:bCs/>
          <w:color w:val="000000" w:themeColor="text1"/>
          <w:sz w:val="28"/>
          <w:szCs w:val="24"/>
        </w:rPr>
        <w:t>RESULTS AND DISCUSSION</w:t>
      </w:r>
    </w:p>
    <w:p w14:paraId="6694CEDC" w14:textId="77777777" w:rsidR="00615B2D" w:rsidRPr="00FB2E0F" w:rsidRDefault="00615B2D" w:rsidP="00615B2D">
      <w:pPr>
        <w:spacing w:before="0" w:line="240" w:lineRule="auto"/>
        <w:rPr>
          <w:color w:val="000000" w:themeColor="text1"/>
        </w:rPr>
      </w:pPr>
    </w:p>
    <w:p w14:paraId="695C60A9" w14:textId="0342A487" w:rsidR="00BB3A83" w:rsidRDefault="00BB3A83" w:rsidP="002B2D3C">
      <w:pPr>
        <w:spacing w:before="0" w:line="240" w:lineRule="auto"/>
        <w:rPr>
          <w:rFonts w:cs="Times New Roman"/>
          <w:b/>
          <w:bCs/>
          <w:color w:val="000000" w:themeColor="text1"/>
          <w:sz w:val="28"/>
          <w:szCs w:val="24"/>
        </w:rPr>
      </w:pPr>
      <w:r w:rsidRPr="00FB2E0F">
        <w:rPr>
          <w:rFonts w:cs="Times New Roman"/>
          <w:b/>
          <w:bCs/>
          <w:color w:val="000000" w:themeColor="text1"/>
          <w:sz w:val="28"/>
          <w:szCs w:val="24"/>
        </w:rPr>
        <w:t>4.</w:t>
      </w:r>
      <w:r w:rsidR="00DE7041">
        <w:rPr>
          <w:rFonts w:cs="Times New Roman"/>
          <w:b/>
          <w:bCs/>
          <w:color w:val="000000" w:themeColor="text1"/>
          <w:sz w:val="28"/>
          <w:szCs w:val="24"/>
        </w:rPr>
        <w:t>1</w:t>
      </w:r>
      <w:r w:rsidRPr="00FB2E0F">
        <w:rPr>
          <w:rFonts w:cs="Times New Roman"/>
          <w:b/>
          <w:bCs/>
          <w:color w:val="000000" w:themeColor="text1"/>
          <w:sz w:val="28"/>
          <w:szCs w:val="24"/>
        </w:rPr>
        <w:t xml:space="preserve"> Descriptive </w:t>
      </w:r>
      <w:bookmarkStart w:id="4" w:name="_Toc180395353"/>
      <w:r w:rsidR="00A52C12" w:rsidRPr="00FB2E0F">
        <w:rPr>
          <w:rFonts w:cs="Times New Roman"/>
          <w:b/>
          <w:bCs/>
          <w:color w:val="000000" w:themeColor="text1"/>
          <w:sz w:val="28"/>
          <w:szCs w:val="24"/>
        </w:rPr>
        <w:t>Analysis</w:t>
      </w:r>
    </w:p>
    <w:p w14:paraId="2EAE8A2A" w14:textId="3D6C44E8" w:rsidR="00DE7041" w:rsidRDefault="00DE7041" w:rsidP="002B2D3C">
      <w:pPr>
        <w:spacing w:before="0" w:line="240" w:lineRule="auto"/>
        <w:rPr>
          <w:rFonts w:cs="Times New Roman"/>
          <w:b/>
          <w:bCs/>
          <w:color w:val="000000" w:themeColor="text1"/>
          <w:sz w:val="28"/>
          <w:szCs w:val="24"/>
        </w:rPr>
      </w:pPr>
    </w:p>
    <w:p w14:paraId="22AE6761" w14:textId="25F23A95" w:rsidR="00DE7041" w:rsidRPr="00DE7041" w:rsidRDefault="00DE7041" w:rsidP="00DE7041">
      <w:pPr>
        <w:spacing w:before="0" w:line="240" w:lineRule="auto"/>
        <w:rPr>
          <w:rFonts w:cs="Times New Roman"/>
          <w:bCs/>
          <w:color w:val="000000" w:themeColor="text1"/>
          <w:szCs w:val="24"/>
        </w:rPr>
      </w:pPr>
      <w:r w:rsidRPr="00DE7041">
        <w:rPr>
          <w:rFonts w:cs="Times New Roman"/>
          <w:bCs/>
          <w:color w:val="000000" w:themeColor="text1"/>
          <w:szCs w:val="24"/>
        </w:rPr>
        <w:t>Descriptive statistical techniques were applied to profile the unbalanced panel dataset and reveal underlying patterns in the characteristics of pension funds. These methods provided insights into central tendencies</w:t>
      </w:r>
      <w:r w:rsidR="00806DB8">
        <w:rPr>
          <w:rFonts w:cs="Times New Roman"/>
          <w:bCs/>
          <w:color w:val="000000" w:themeColor="text1"/>
          <w:szCs w:val="24"/>
        </w:rPr>
        <w:t xml:space="preserve"> </w:t>
      </w:r>
      <w:r w:rsidRPr="00DE7041">
        <w:rPr>
          <w:rFonts w:cs="Times New Roman"/>
          <w:bCs/>
          <w:color w:val="000000" w:themeColor="text1"/>
          <w:szCs w:val="24"/>
        </w:rPr>
        <w:t>such as mean values</w:t>
      </w:r>
      <w:r w:rsidR="00806DB8">
        <w:rPr>
          <w:rFonts w:cs="Times New Roman"/>
          <w:bCs/>
          <w:color w:val="000000" w:themeColor="text1"/>
          <w:szCs w:val="24"/>
        </w:rPr>
        <w:t xml:space="preserve"> </w:t>
      </w:r>
      <w:r w:rsidRPr="00DE7041">
        <w:rPr>
          <w:rFonts w:cs="Times New Roman"/>
          <w:bCs/>
          <w:color w:val="000000" w:themeColor="text1"/>
          <w:szCs w:val="24"/>
        </w:rPr>
        <w:t>and measures of variability, including standard deviation, minimum, and maximum values. Distributional properties were also examined through skewness and kurtosis, offering a clearer understanding of the dataset’s structure. Although descriptive statistics do not allow inferential conclusions, they effectively contextualized the data for subsequent regression analysis.</w:t>
      </w:r>
    </w:p>
    <w:p w14:paraId="17C0BAAC" w14:textId="77777777" w:rsidR="00DE7041" w:rsidRPr="00DE7041" w:rsidRDefault="00DE7041" w:rsidP="00DE7041">
      <w:pPr>
        <w:spacing w:before="0" w:line="240" w:lineRule="auto"/>
        <w:rPr>
          <w:rFonts w:cs="Times New Roman"/>
          <w:bCs/>
          <w:color w:val="000000" w:themeColor="text1"/>
          <w:szCs w:val="24"/>
        </w:rPr>
      </w:pPr>
    </w:p>
    <w:p w14:paraId="57C6286F" w14:textId="77777777" w:rsidR="00DE7041" w:rsidRPr="00DE7041" w:rsidRDefault="00DE7041" w:rsidP="00DE7041">
      <w:pPr>
        <w:spacing w:before="0" w:line="240" w:lineRule="auto"/>
        <w:rPr>
          <w:rFonts w:cs="Times New Roman"/>
          <w:bCs/>
          <w:color w:val="000000" w:themeColor="text1"/>
          <w:szCs w:val="24"/>
        </w:rPr>
      </w:pPr>
      <w:r w:rsidRPr="00DE7041">
        <w:rPr>
          <w:rFonts w:cs="Times New Roman"/>
          <w:bCs/>
          <w:color w:val="000000" w:themeColor="text1"/>
          <w:szCs w:val="24"/>
        </w:rPr>
        <w:t>The results showed that the mean values of the study variables ranged from 0.07 to 57.88. Financial performance, measured by Return on Investment (ROI), recorded an average of 1.41 with a standard deviation of 4.475, indicating fluctuations of approximately 4.5% around the mean. Firm size, expressed as the natural logarithm of total assets, had a mean of 0.16 and a standard deviation of 0.622, reflecting moderate variability across pension schemes.</w:t>
      </w:r>
    </w:p>
    <w:p w14:paraId="6809FCE5" w14:textId="77777777" w:rsidR="00DE7041" w:rsidRPr="00DE7041" w:rsidRDefault="00DE7041" w:rsidP="00DE7041">
      <w:pPr>
        <w:spacing w:before="0" w:line="240" w:lineRule="auto"/>
        <w:rPr>
          <w:rFonts w:cs="Times New Roman"/>
          <w:bCs/>
          <w:color w:val="000000" w:themeColor="text1"/>
          <w:szCs w:val="24"/>
        </w:rPr>
      </w:pPr>
    </w:p>
    <w:p w14:paraId="7D9C5A82" w14:textId="6237BD79" w:rsidR="00DE7041" w:rsidRPr="00DE7041" w:rsidRDefault="00DE7041" w:rsidP="00DE7041">
      <w:pPr>
        <w:spacing w:before="0" w:line="240" w:lineRule="auto"/>
        <w:rPr>
          <w:rFonts w:cs="Times New Roman"/>
          <w:bCs/>
          <w:color w:val="000000" w:themeColor="text1"/>
          <w:szCs w:val="24"/>
        </w:rPr>
      </w:pPr>
      <w:r w:rsidRPr="00DE7041">
        <w:rPr>
          <w:rFonts w:cs="Times New Roman"/>
          <w:bCs/>
          <w:color w:val="000000" w:themeColor="text1"/>
          <w:szCs w:val="24"/>
        </w:rPr>
        <w:t>Additional variables exhibited notable patterns. Fund structure, participant age, and asset allocation recorded mean values of 17.717, 56.67, and 16.30, respectively, with standard deviations of 5.777, 3.276, and 4.74. The average participant age was 56.67 years, with variability spanning about three years. Fund size, based on total investments, recorded a mean of 1.191 and a standard deviation of 0.622, underscoring moderate dispersion. Overall, the relatively high mean scores of the independent variables suggested their measurable influence on the financial performance of pension funds in Kenya.</w:t>
      </w:r>
    </w:p>
    <w:p w14:paraId="2EBBEA94" w14:textId="27679D81" w:rsidR="00DE7041" w:rsidRDefault="00DE7041" w:rsidP="002B2D3C">
      <w:pPr>
        <w:spacing w:before="0" w:line="240" w:lineRule="auto"/>
        <w:rPr>
          <w:rFonts w:cs="Times New Roman"/>
          <w:b/>
          <w:bCs/>
          <w:color w:val="000000" w:themeColor="text1"/>
          <w:sz w:val="28"/>
          <w:szCs w:val="24"/>
        </w:rPr>
      </w:pPr>
    </w:p>
    <w:p w14:paraId="36150A63" w14:textId="77777777" w:rsidR="00DE7041" w:rsidRPr="00DE7041" w:rsidRDefault="00DE7041" w:rsidP="00DE7041">
      <w:pPr>
        <w:spacing w:before="0" w:line="240" w:lineRule="auto"/>
        <w:rPr>
          <w:b/>
          <w:i/>
        </w:rPr>
      </w:pPr>
      <w:bookmarkStart w:id="5" w:name="_Toc206758537"/>
      <w:r w:rsidRPr="00DE7041">
        <w:rPr>
          <w:b/>
          <w:i/>
        </w:rPr>
        <w:t>Table 2 Summary Descriptive Statistics</w:t>
      </w:r>
      <w:bookmarkEnd w:id="5"/>
    </w:p>
    <w:p w14:paraId="05041E8C" w14:textId="77777777" w:rsidR="00DE7041" w:rsidRPr="004F2CD0" w:rsidRDefault="00DE7041" w:rsidP="00DE7041">
      <w:pPr>
        <w:pBdr>
          <w:top w:val="single" w:sz="4" w:space="1" w:color="auto"/>
          <w:bottom w:val="single" w:sz="4" w:space="1" w:color="auto"/>
        </w:pBdr>
        <w:spacing w:line="240" w:lineRule="auto"/>
        <w:rPr>
          <w:szCs w:val="24"/>
        </w:rPr>
      </w:pPr>
      <w:r w:rsidRPr="004F2CD0">
        <w:rPr>
          <w:szCs w:val="24"/>
        </w:rPr>
        <w:t xml:space="preserve">VAR                             MINIM                         MAXIM                            MEAN </w:t>
      </w:r>
      <w:r>
        <w:rPr>
          <w:szCs w:val="24"/>
        </w:rPr>
        <w:t xml:space="preserve">                      STDDV</w:t>
      </w:r>
    </w:p>
    <w:p w14:paraId="0A148E7F" w14:textId="77777777" w:rsidR="00DE7041" w:rsidRPr="004F2CD0" w:rsidRDefault="00DE7041" w:rsidP="00DE7041">
      <w:pPr>
        <w:spacing w:before="0" w:line="240" w:lineRule="auto"/>
        <w:rPr>
          <w:szCs w:val="24"/>
        </w:rPr>
      </w:pPr>
      <w:r w:rsidRPr="004F2CD0">
        <w:rPr>
          <w:szCs w:val="24"/>
        </w:rPr>
        <w:t xml:space="preserve">Portfolio mix             0.20                              21.21                      </w:t>
      </w:r>
      <w:r>
        <w:rPr>
          <w:szCs w:val="24"/>
        </w:rPr>
        <w:t xml:space="preserve">        16.30                   </w:t>
      </w:r>
      <w:r w:rsidRPr="004F2CD0">
        <w:rPr>
          <w:szCs w:val="24"/>
        </w:rPr>
        <w:t xml:space="preserve"> </w:t>
      </w:r>
      <w:r>
        <w:rPr>
          <w:szCs w:val="24"/>
        </w:rPr>
        <w:t xml:space="preserve"> </w:t>
      </w:r>
      <w:r w:rsidRPr="004F2CD0">
        <w:rPr>
          <w:szCs w:val="24"/>
        </w:rPr>
        <w:t xml:space="preserve">     4.740</w:t>
      </w:r>
    </w:p>
    <w:p w14:paraId="51AB4300" w14:textId="77777777" w:rsidR="00DE7041" w:rsidRPr="004F2CD0" w:rsidRDefault="00DE7041" w:rsidP="00DE7041">
      <w:pPr>
        <w:spacing w:before="0" w:line="240" w:lineRule="auto"/>
        <w:rPr>
          <w:szCs w:val="24"/>
        </w:rPr>
      </w:pPr>
      <w:r w:rsidRPr="004F2CD0">
        <w:rPr>
          <w:szCs w:val="24"/>
        </w:rPr>
        <w:t xml:space="preserve">Fund size                  </w:t>
      </w:r>
      <w:r>
        <w:rPr>
          <w:szCs w:val="24"/>
        </w:rPr>
        <w:t xml:space="preserve"> </w:t>
      </w:r>
      <w:r w:rsidRPr="004F2CD0">
        <w:rPr>
          <w:szCs w:val="24"/>
        </w:rPr>
        <w:t xml:space="preserve">0.16                                 2.98                                </w:t>
      </w:r>
      <w:r>
        <w:rPr>
          <w:szCs w:val="24"/>
        </w:rPr>
        <w:t>1.19</w:t>
      </w:r>
      <w:r w:rsidRPr="004F2CD0">
        <w:rPr>
          <w:szCs w:val="24"/>
        </w:rPr>
        <w:t xml:space="preserve"> </w:t>
      </w:r>
      <w:r>
        <w:rPr>
          <w:szCs w:val="24"/>
        </w:rPr>
        <w:t xml:space="preserve">                         </w:t>
      </w:r>
      <w:r w:rsidRPr="004F2CD0">
        <w:rPr>
          <w:szCs w:val="24"/>
        </w:rPr>
        <w:t>0.622</w:t>
      </w:r>
    </w:p>
    <w:p w14:paraId="32363EED" w14:textId="77777777" w:rsidR="00DE7041" w:rsidRPr="004F2CD0" w:rsidRDefault="00DE7041" w:rsidP="00DE7041">
      <w:pPr>
        <w:spacing w:before="0" w:line="240" w:lineRule="auto"/>
        <w:rPr>
          <w:szCs w:val="24"/>
        </w:rPr>
      </w:pPr>
      <w:r w:rsidRPr="004F2CD0">
        <w:rPr>
          <w:szCs w:val="24"/>
        </w:rPr>
        <w:t xml:space="preserve">Member Age        </w:t>
      </w:r>
      <w:r>
        <w:rPr>
          <w:szCs w:val="24"/>
        </w:rPr>
        <w:t xml:space="preserve"> </w:t>
      </w:r>
      <w:r w:rsidRPr="004F2CD0">
        <w:rPr>
          <w:szCs w:val="24"/>
        </w:rPr>
        <w:t xml:space="preserve">  55.56                              57.88                               56.67  </w:t>
      </w:r>
      <w:r>
        <w:rPr>
          <w:szCs w:val="24"/>
        </w:rPr>
        <w:t xml:space="preserve">                       </w:t>
      </w:r>
      <w:r w:rsidRPr="004F2CD0">
        <w:rPr>
          <w:szCs w:val="24"/>
        </w:rPr>
        <w:t>3.276</w:t>
      </w:r>
    </w:p>
    <w:p w14:paraId="6618E176" w14:textId="77777777" w:rsidR="00DE7041" w:rsidRPr="004F2CD0" w:rsidRDefault="00DE7041" w:rsidP="00DE7041">
      <w:pPr>
        <w:spacing w:before="0" w:line="240" w:lineRule="auto"/>
        <w:rPr>
          <w:szCs w:val="24"/>
        </w:rPr>
      </w:pPr>
      <w:r w:rsidRPr="004F2CD0">
        <w:rPr>
          <w:szCs w:val="24"/>
        </w:rPr>
        <w:t xml:space="preserve">Fund design              0.07                             27.23                             </w:t>
      </w:r>
      <w:r>
        <w:rPr>
          <w:szCs w:val="24"/>
        </w:rPr>
        <w:t xml:space="preserve"> </w:t>
      </w:r>
      <w:r w:rsidRPr="004F2CD0">
        <w:rPr>
          <w:szCs w:val="24"/>
        </w:rPr>
        <w:t xml:space="preserve">  </w:t>
      </w:r>
      <w:r>
        <w:rPr>
          <w:szCs w:val="24"/>
        </w:rPr>
        <w:t xml:space="preserve">17.72 </w:t>
      </w:r>
      <w:r w:rsidRPr="004F2CD0">
        <w:rPr>
          <w:szCs w:val="24"/>
        </w:rPr>
        <w:t xml:space="preserve"> </w:t>
      </w:r>
      <w:r>
        <w:rPr>
          <w:szCs w:val="24"/>
        </w:rPr>
        <w:t xml:space="preserve">                        </w:t>
      </w:r>
      <w:r w:rsidRPr="004F2CD0">
        <w:rPr>
          <w:szCs w:val="24"/>
        </w:rPr>
        <w:t>5.777</w:t>
      </w:r>
    </w:p>
    <w:p w14:paraId="638E6420" w14:textId="77777777" w:rsidR="00DE7041" w:rsidRPr="004F2CD0" w:rsidRDefault="00DE7041" w:rsidP="00DE7041">
      <w:pPr>
        <w:pBdr>
          <w:bottom w:val="single" w:sz="4" w:space="1" w:color="auto"/>
        </w:pBdr>
        <w:spacing w:before="0" w:line="240" w:lineRule="auto"/>
        <w:rPr>
          <w:szCs w:val="24"/>
        </w:rPr>
      </w:pPr>
      <w:r w:rsidRPr="004F2CD0">
        <w:rPr>
          <w:szCs w:val="24"/>
        </w:rPr>
        <w:t>ROI                              0.27                             20.45                                1.41</w:t>
      </w:r>
      <w:r>
        <w:rPr>
          <w:szCs w:val="24"/>
        </w:rPr>
        <w:t xml:space="preserve">                           </w:t>
      </w:r>
      <w:r w:rsidRPr="004F2CD0">
        <w:rPr>
          <w:szCs w:val="24"/>
        </w:rPr>
        <w:t>4.475</w:t>
      </w:r>
    </w:p>
    <w:p w14:paraId="68A40DEB" w14:textId="77777777" w:rsidR="00DE7041" w:rsidRPr="004F2CD0" w:rsidRDefault="00DE7041" w:rsidP="00DE7041">
      <w:pPr>
        <w:pBdr>
          <w:bottom w:val="single" w:sz="4" w:space="1" w:color="auto"/>
        </w:pBdr>
        <w:spacing w:before="0" w:line="240" w:lineRule="auto"/>
        <w:rPr>
          <w:szCs w:val="24"/>
        </w:rPr>
      </w:pPr>
      <w:r w:rsidRPr="004F2CD0">
        <w:rPr>
          <w:szCs w:val="24"/>
        </w:rPr>
        <w:t>Regulations                0.09                             0.82                                  0.73</w:t>
      </w:r>
      <w:r>
        <w:rPr>
          <w:szCs w:val="24"/>
        </w:rPr>
        <w:t xml:space="preserve">                           </w:t>
      </w:r>
      <w:r w:rsidRPr="004F2CD0">
        <w:rPr>
          <w:szCs w:val="24"/>
        </w:rPr>
        <w:t>2.976</w:t>
      </w:r>
    </w:p>
    <w:p w14:paraId="78B6D898" w14:textId="6456EDDF" w:rsidR="00DE7041" w:rsidRDefault="00DE7041" w:rsidP="00DE7041">
      <w:pPr>
        <w:spacing w:line="240" w:lineRule="auto"/>
        <w:rPr>
          <w:rFonts w:cs="Times New Roman"/>
          <w:b/>
          <w:szCs w:val="24"/>
        </w:rPr>
      </w:pPr>
      <w:r w:rsidRPr="005D5F49">
        <w:rPr>
          <w:rFonts w:cs="Times New Roman"/>
          <w:b/>
          <w:szCs w:val="24"/>
        </w:rPr>
        <w:t>Source: Researcher, 2024</w:t>
      </w:r>
    </w:p>
    <w:p w14:paraId="2FF1EF8E" w14:textId="3B4E6E53" w:rsidR="004A5E22" w:rsidRDefault="00120FC1" w:rsidP="00DE7041">
      <w:pPr>
        <w:spacing w:line="240" w:lineRule="auto"/>
        <w:rPr>
          <w:rFonts w:cs="Times New Roman"/>
          <w:b/>
          <w:color w:val="auto"/>
          <w:sz w:val="28"/>
        </w:rPr>
      </w:pPr>
      <w:r w:rsidRPr="00120FC1">
        <w:rPr>
          <w:rFonts w:cs="Times New Roman"/>
          <w:b/>
          <w:color w:val="auto"/>
          <w:sz w:val="28"/>
        </w:rPr>
        <w:t>4.2</w:t>
      </w:r>
      <w:r w:rsidR="004A5E22">
        <w:rPr>
          <w:rFonts w:cs="Times New Roman"/>
          <w:b/>
          <w:color w:val="auto"/>
          <w:sz w:val="28"/>
        </w:rPr>
        <w:t xml:space="preserve"> Diagnostic tests</w:t>
      </w:r>
      <w:r w:rsidRPr="00120FC1">
        <w:rPr>
          <w:rFonts w:cs="Times New Roman"/>
          <w:b/>
          <w:color w:val="auto"/>
          <w:sz w:val="28"/>
        </w:rPr>
        <w:t xml:space="preserve"> </w:t>
      </w:r>
    </w:p>
    <w:p w14:paraId="75F072D4" w14:textId="770C5A52" w:rsidR="00120FC1" w:rsidRPr="004A63A3" w:rsidRDefault="00120FC1" w:rsidP="00DE7041">
      <w:pPr>
        <w:spacing w:line="240" w:lineRule="auto"/>
        <w:rPr>
          <w:rFonts w:cs="Times New Roman"/>
          <w:b/>
          <w:i/>
          <w:color w:val="auto"/>
        </w:rPr>
      </w:pPr>
      <w:r w:rsidRPr="004A63A3">
        <w:rPr>
          <w:rFonts w:cs="Times New Roman"/>
          <w:b/>
          <w:i/>
          <w:color w:val="auto"/>
        </w:rPr>
        <w:t>Test of Normality</w:t>
      </w:r>
    </w:p>
    <w:p w14:paraId="600FEDB2" w14:textId="62F4C905" w:rsidR="004E6332" w:rsidRPr="004E6332" w:rsidRDefault="004E6332" w:rsidP="004E6332">
      <w:pPr>
        <w:spacing w:before="0" w:line="240" w:lineRule="auto"/>
      </w:pPr>
      <w:r w:rsidRPr="004E6332">
        <w:t xml:space="preserve">The study assessed variable distribution using the Kolmogorov-Smirnov, Shapiro-Wilk, and Jarque-Bera tests. Results (Table </w:t>
      </w:r>
      <w:r w:rsidR="009A28E6">
        <w:t>3</w:t>
      </w:r>
      <w:r w:rsidRPr="004E6332">
        <w:t>) indicated that p-values for fund design, portfolio composition, participant age, fund magnitude, and return on investment exceeded the 5% threshold, confirming no violation of the normality assumption. The Shapiro-Wilk test reinforced these findings, while the Jarque-Bera test further validated normal distribution with p-values above 0.05. Overall, the variables were deemed normally distributed and independently dispersed, justifying their suitability for subsequent statistical analysis</w:t>
      </w:r>
    </w:p>
    <w:p w14:paraId="3E3E77A3" w14:textId="26B8B350" w:rsidR="00120FC1" w:rsidRDefault="00120FC1" w:rsidP="004E6332">
      <w:pPr>
        <w:spacing w:before="0" w:line="240" w:lineRule="auto"/>
        <w:rPr>
          <w:rFonts w:cs="Times New Roman"/>
          <w:b/>
          <w:szCs w:val="24"/>
        </w:rPr>
      </w:pPr>
    </w:p>
    <w:p w14:paraId="766EB95F" w14:textId="77777777" w:rsidR="004E6332" w:rsidRPr="004E6332" w:rsidRDefault="004E6332" w:rsidP="004E6332">
      <w:pPr>
        <w:spacing w:before="0" w:line="240" w:lineRule="auto"/>
        <w:rPr>
          <w:b/>
          <w:i/>
        </w:rPr>
      </w:pPr>
      <w:bookmarkStart w:id="6" w:name="_Toc206758533"/>
      <w:r w:rsidRPr="004E6332">
        <w:rPr>
          <w:b/>
          <w:i/>
        </w:rPr>
        <w:t xml:space="preserve">Table 3 Kolmogorov-Smirnov Test, Shapiro-Wilk Test </w:t>
      </w:r>
      <w:proofErr w:type="gramStart"/>
      <w:r w:rsidRPr="004E6332">
        <w:rPr>
          <w:b/>
          <w:i/>
        </w:rPr>
        <w:t>And</w:t>
      </w:r>
      <w:proofErr w:type="gramEnd"/>
      <w:r w:rsidRPr="004E6332">
        <w:rPr>
          <w:b/>
          <w:i/>
        </w:rPr>
        <w:t xml:space="preserve"> Jacque-Bera Test</w:t>
      </w:r>
      <w:bookmarkEnd w:id="6"/>
    </w:p>
    <w:p w14:paraId="10CA770A" w14:textId="77777777" w:rsidR="004E6332" w:rsidRPr="00903668" w:rsidRDefault="004E6332" w:rsidP="004E6332">
      <w:pPr>
        <w:pBdr>
          <w:top w:val="single" w:sz="4" w:space="1" w:color="auto"/>
          <w:bottom w:val="single" w:sz="4" w:space="1" w:color="auto"/>
        </w:pBdr>
        <w:spacing w:before="0" w:line="240" w:lineRule="auto"/>
        <w:rPr>
          <w:rFonts w:cstheme="minorHAnsi"/>
          <w:b/>
          <w:szCs w:val="24"/>
        </w:rPr>
      </w:pPr>
      <w:r w:rsidRPr="00903668">
        <w:rPr>
          <w:rFonts w:cstheme="minorHAnsi"/>
          <w:b/>
          <w:szCs w:val="24"/>
        </w:rPr>
        <w:t>Variable                     KS               P (</w:t>
      </w:r>
      <w:proofErr w:type="gramStart"/>
      <w:r w:rsidRPr="00903668">
        <w:rPr>
          <w:rFonts w:cstheme="minorHAnsi"/>
          <w:b/>
          <w:szCs w:val="24"/>
        </w:rPr>
        <w:t xml:space="preserve">KS)   </w:t>
      </w:r>
      <w:proofErr w:type="gramEnd"/>
      <w:r w:rsidRPr="00903668">
        <w:rPr>
          <w:rFonts w:cstheme="minorHAnsi"/>
          <w:b/>
          <w:szCs w:val="24"/>
        </w:rPr>
        <w:t xml:space="preserve">         SW                P (</w:t>
      </w:r>
      <w:proofErr w:type="gramStart"/>
      <w:r w:rsidRPr="00903668">
        <w:rPr>
          <w:rFonts w:cstheme="minorHAnsi"/>
          <w:b/>
          <w:szCs w:val="24"/>
        </w:rPr>
        <w:t xml:space="preserve">SW)   </w:t>
      </w:r>
      <w:proofErr w:type="gramEnd"/>
      <w:r w:rsidRPr="00903668">
        <w:rPr>
          <w:rFonts w:cstheme="minorHAnsi"/>
          <w:b/>
          <w:szCs w:val="24"/>
        </w:rPr>
        <w:t xml:space="preserve">         JB              P-value (JB)</w:t>
      </w:r>
    </w:p>
    <w:p w14:paraId="4245621F" w14:textId="77777777" w:rsidR="004E6332" w:rsidRPr="00903668" w:rsidRDefault="004E6332" w:rsidP="004E6332">
      <w:pPr>
        <w:spacing w:before="0" w:line="240" w:lineRule="auto"/>
        <w:rPr>
          <w:rFonts w:cstheme="minorHAnsi"/>
          <w:szCs w:val="24"/>
        </w:rPr>
      </w:pPr>
      <w:r w:rsidRPr="00903668">
        <w:rPr>
          <w:rFonts w:cstheme="minorHAnsi"/>
          <w:szCs w:val="24"/>
        </w:rPr>
        <w:t>Fund design                 .039              .200c              .973             .058              1.673           0.450</w:t>
      </w:r>
    </w:p>
    <w:p w14:paraId="7AD20E88" w14:textId="77777777" w:rsidR="004E6332" w:rsidRPr="00903668" w:rsidRDefault="004E6332" w:rsidP="004E6332">
      <w:pPr>
        <w:spacing w:before="0" w:line="240" w:lineRule="auto"/>
        <w:rPr>
          <w:rFonts w:cstheme="minorHAnsi"/>
          <w:szCs w:val="24"/>
        </w:rPr>
      </w:pPr>
      <w:r w:rsidRPr="00903668">
        <w:rPr>
          <w:rFonts w:cstheme="minorHAnsi"/>
          <w:szCs w:val="24"/>
        </w:rPr>
        <w:lastRenderedPageBreak/>
        <w:t xml:space="preserve">Portfolio mix               .058              .200c              .992            .876               1.761            0.563           </w:t>
      </w:r>
    </w:p>
    <w:p w14:paraId="67847E5A" w14:textId="77777777" w:rsidR="004E6332" w:rsidRPr="00903668" w:rsidRDefault="004E6332" w:rsidP="004E6332">
      <w:pPr>
        <w:spacing w:before="0" w:line="240" w:lineRule="auto"/>
        <w:rPr>
          <w:rFonts w:cstheme="minorHAnsi"/>
          <w:szCs w:val="24"/>
        </w:rPr>
      </w:pPr>
      <w:r>
        <w:rPr>
          <w:rFonts w:cstheme="minorHAnsi"/>
          <w:szCs w:val="24"/>
        </w:rPr>
        <w:t>Fund</w:t>
      </w:r>
      <w:r w:rsidRPr="00903668">
        <w:rPr>
          <w:rFonts w:cstheme="minorHAnsi"/>
          <w:szCs w:val="24"/>
        </w:rPr>
        <w:t xml:space="preserve"> size                      .080               .178c             .974            .068                1.01             0.674</w:t>
      </w:r>
    </w:p>
    <w:p w14:paraId="60F021C7" w14:textId="77777777" w:rsidR="004E6332" w:rsidRDefault="004E6332" w:rsidP="004E6332">
      <w:pPr>
        <w:spacing w:before="0" w:line="240" w:lineRule="auto"/>
        <w:rPr>
          <w:rFonts w:cstheme="minorHAnsi"/>
          <w:szCs w:val="24"/>
        </w:rPr>
      </w:pPr>
      <w:r w:rsidRPr="00903668">
        <w:rPr>
          <w:rFonts w:cstheme="minorHAnsi"/>
          <w:szCs w:val="24"/>
        </w:rPr>
        <w:t xml:space="preserve">Member age           </w:t>
      </w:r>
      <w:r>
        <w:rPr>
          <w:rFonts w:cstheme="minorHAnsi"/>
          <w:szCs w:val="24"/>
        </w:rPr>
        <w:t xml:space="preserve"> </w:t>
      </w:r>
      <w:r w:rsidRPr="00903668">
        <w:rPr>
          <w:rFonts w:cstheme="minorHAnsi"/>
          <w:szCs w:val="24"/>
        </w:rPr>
        <w:t xml:space="preserve"> </w:t>
      </w:r>
      <w:r>
        <w:rPr>
          <w:rFonts w:cstheme="minorHAnsi"/>
          <w:szCs w:val="24"/>
        </w:rPr>
        <w:t xml:space="preserve">    .081         </w:t>
      </w:r>
      <w:r w:rsidRPr="00903668">
        <w:rPr>
          <w:rFonts w:cstheme="minorHAnsi"/>
          <w:szCs w:val="24"/>
        </w:rPr>
        <w:t xml:space="preserve"> </w:t>
      </w:r>
      <w:r>
        <w:rPr>
          <w:rFonts w:cstheme="minorHAnsi"/>
          <w:szCs w:val="24"/>
        </w:rPr>
        <w:t xml:space="preserve">  </w:t>
      </w:r>
      <w:r w:rsidRPr="00903668">
        <w:rPr>
          <w:rFonts w:cstheme="minorHAnsi"/>
          <w:szCs w:val="24"/>
        </w:rPr>
        <w:t xml:space="preserve">  .194c             .975             .079               1.095          0.806</w:t>
      </w:r>
    </w:p>
    <w:p w14:paraId="774CBC63" w14:textId="77777777" w:rsidR="004E6332" w:rsidRPr="00903668" w:rsidRDefault="004E6332" w:rsidP="004E6332">
      <w:pPr>
        <w:tabs>
          <w:tab w:val="left" w:pos="6969"/>
        </w:tabs>
        <w:spacing w:before="0" w:line="240" w:lineRule="auto"/>
        <w:rPr>
          <w:rFonts w:cstheme="minorHAnsi"/>
          <w:szCs w:val="24"/>
        </w:rPr>
      </w:pPr>
      <w:r>
        <w:rPr>
          <w:rFonts w:cstheme="minorHAnsi"/>
          <w:szCs w:val="24"/>
        </w:rPr>
        <w:t>Regulations                  .021              .210c             .0981            0.61              1.682           0.493</w:t>
      </w:r>
    </w:p>
    <w:p w14:paraId="55E40DC9" w14:textId="77777777" w:rsidR="004E6332" w:rsidRPr="00903668" w:rsidRDefault="004E6332" w:rsidP="004E6332">
      <w:pPr>
        <w:spacing w:before="0" w:line="240" w:lineRule="auto"/>
        <w:rPr>
          <w:rFonts w:cstheme="minorHAnsi"/>
          <w:szCs w:val="24"/>
        </w:rPr>
      </w:pPr>
      <w:r w:rsidRPr="00903668">
        <w:rPr>
          <w:rFonts w:cstheme="minorHAnsi"/>
          <w:szCs w:val="24"/>
        </w:rPr>
        <w:t>Dependent variable</w:t>
      </w:r>
    </w:p>
    <w:p w14:paraId="28F1C08C" w14:textId="77777777" w:rsidR="004E6332" w:rsidRPr="00903668" w:rsidRDefault="004E6332" w:rsidP="004E6332">
      <w:pPr>
        <w:pBdr>
          <w:bottom w:val="single" w:sz="4" w:space="1" w:color="auto"/>
        </w:pBdr>
        <w:spacing w:before="0" w:line="240" w:lineRule="auto"/>
        <w:rPr>
          <w:rFonts w:cstheme="minorHAnsi"/>
          <w:szCs w:val="24"/>
        </w:rPr>
      </w:pPr>
      <w:r w:rsidRPr="00903668">
        <w:rPr>
          <w:rFonts w:cstheme="minorHAnsi"/>
          <w:szCs w:val="24"/>
        </w:rPr>
        <w:t xml:space="preserve">ROI                              .088                .071c             .956           .187                1.563        </w:t>
      </w:r>
      <w:r>
        <w:rPr>
          <w:rFonts w:cstheme="minorHAnsi"/>
          <w:szCs w:val="24"/>
        </w:rPr>
        <w:t xml:space="preserve">   </w:t>
      </w:r>
      <w:r w:rsidRPr="00903668">
        <w:rPr>
          <w:rFonts w:cstheme="minorHAnsi"/>
          <w:szCs w:val="24"/>
        </w:rPr>
        <w:t xml:space="preserve"> 0.915</w:t>
      </w:r>
    </w:p>
    <w:p w14:paraId="16C3CCF8" w14:textId="5D747D3F" w:rsidR="004E6332" w:rsidRDefault="004E6332" w:rsidP="004E6332">
      <w:pPr>
        <w:spacing w:before="0" w:line="240" w:lineRule="auto"/>
        <w:rPr>
          <w:rFonts w:cs="Times New Roman"/>
          <w:b/>
          <w:szCs w:val="24"/>
        </w:rPr>
      </w:pPr>
      <w:r w:rsidRPr="005D5F49">
        <w:rPr>
          <w:b/>
          <w:szCs w:val="24"/>
        </w:rPr>
        <w:t>Source: Researcher, 2024</w:t>
      </w:r>
    </w:p>
    <w:p w14:paraId="42AD2884" w14:textId="1AE2ABC0" w:rsidR="00120FC1" w:rsidRPr="004A63A3" w:rsidRDefault="004A5E22" w:rsidP="00DE7041">
      <w:pPr>
        <w:spacing w:line="240" w:lineRule="auto"/>
        <w:rPr>
          <w:rFonts w:cs="Times New Roman"/>
          <w:b/>
          <w:i/>
          <w:color w:val="auto"/>
        </w:rPr>
      </w:pPr>
      <w:r w:rsidRPr="004A63A3">
        <w:rPr>
          <w:rFonts w:cs="Times New Roman"/>
          <w:b/>
          <w:i/>
          <w:color w:val="auto"/>
        </w:rPr>
        <w:t>Test for Autocorrelation</w:t>
      </w:r>
    </w:p>
    <w:p w14:paraId="04E39994" w14:textId="18147402" w:rsidR="004A5E22" w:rsidRPr="004A5E22" w:rsidRDefault="004A5E22" w:rsidP="004A5E22">
      <w:pPr>
        <w:spacing w:before="0" w:line="240" w:lineRule="auto"/>
      </w:pPr>
      <w:r w:rsidRPr="004A5E22">
        <w:t>The investigation assessed the presence of autocorrelation within the differenced logarithmic series by applying the Wooldridge test tailored for panel data. The null hypothesis underlying this procedure posited that the residuals across any pair of observations were statistically independent. Table 4 presents the outcomes of this diagnostic test. As noted by Gujarati (2017), serial correlation arises when the unique error components exhibit strong interdependence. The Wooldridge test was specifically employed to detect first-order autocorrelation within the panel dataset, with the null hypothesis asserting the absence of such correlation</w:t>
      </w:r>
    </w:p>
    <w:p w14:paraId="00634DD3" w14:textId="49B4E440" w:rsidR="004A5E22" w:rsidRPr="004A5E22" w:rsidRDefault="004A5E22" w:rsidP="004A5E22">
      <w:pPr>
        <w:spacing w:before="0" w:line="240" w:lineRule="auto"/>
      </w:pPr>
    </w:p>
    <w:p w14:paraId="33BDAE3A" w14:textId="53F94D8B" w:rsidR="004A5E22" w:rsidRPr="004A5E22" w:rsidRDefault="004A5E22" w:rsidP="004A5E22">
      <w:pPr>
        <w:spacing w:before="0" w:line="240" w:lineRule="auto"/>
        <w:rPr>
          <w:b/>
        </w:rPr>
      </w:pPr>
      <w:bookmarkStart w:id="7" w:name="_Toc206758534"/>
      <w:r>
        <w:rPr>
          <w:b/>
        </w:rPr>
        <w:t>Table 4</w:t>
      </w:r>
      <w:r w:rsidRPr="004A5E22">
        <w:rPr>
          <w:b/>
        </w:rPr>
        <w:t>Serial Correlation Test</w:t>
      </w:r>
      <w:bookmarkEnd w:id="7"/>
    </w:p>
    <w:p w14:paraId="1B92ADFB" w14:textId="77777777" w:rsidR="004A5E22" w:rsidRPr="008F3570" w:rsidRDefault="004A5E22" w:rsidP="004A5E22">
      <w:pPr>
        <w:pBdr>
          <w:top w:val="single" w:sz="4" w:space="1" w:color="auto"/>
          <w:bottom w:val="single" w:sz="4" w:space="1" w:color="auto"/>
        </w:pBdr>
        <w:spacing w:before="0" w:line="240" w:lineRule="auto"/>
        <w:rPr>
          <w:rFonts w:cstheme="minorHAnsi"/>
          <w:szCs w:val="24"/>
        </w:rPr>
      </w:pPr>
      <w:r w:rsidRPr="008F3570">
        <w:rPr>
          <w:rFonts w:cstheme="minorHAnsi"/>
          <w:szCs w:val="24"/>
        </w:rPr>
        <w:t>Test                                              F                               Prob &gt; F                           Conclusion</w:t>
      </w:r>
    </w:p>
    <w:p w14:paraId="652932CC" w14:textId="77777777" w:rsidR="004A5E22" w:rsidRPr="008F3570" w:rsidRDefault="004A5E22" w:rsidP="004A5E22">
      <w:pPr>
        <w:spacing w:before="0" w:line="240" w:lineRule="auto"/>
        <w:rPr>
          <w:rFonts w:cstheme="minorHAnsi"/>
          <w:szCs w:val="24"/>
        </w:rPr>
      </w:pPr>
      <w:r w:rsidRPr="008F3570">
        <w:rPr>
          <w:rFonts w:cstheme="minorHAnsi"/>
          <w:szCs w:val="24"/>
        </w:rPr>
        <w:t xml:space="preserve">Wooldridge </w:t>
      </w:r>
      <w:proofErr w:type="spellStart"/>
      <w:r w:rsidRPr="008F3570">
        <w:rPr>
          <w:rFonts w:cstheme="minorHAnsi"/>
          <w:szCs w:val="24"/>
        </w:rPr>
        <w:t>testfor</w:t>
      </w:r>
      <w:proofErr w:type="spellEnd"/>
      <w:r w:rsidRPr="008F3570">
        <w:rPr>
          <w:rFonts w:cstheme="minorHAnsi"/>
          <w:szCs w:val="24"/>
        </w:rPr>
        <w:t xml:space="preserve"> </w:t>
      </w:r>
    </w:p>
    <w:p w14:paraId="788EBA49" w14:textId="77777777" w:rsidR="004A5E22" w:rsidRPr="008F3570" w:rsidRDefault="004A5E22" w:rsidP="004A5E22">
      <w:pPr>
        <w:pBdr>
          <w:bottom w:val="single" w:sz="4" w:space="1" w:color="auto"/>
        </w:pBdr>
        <w:spacing w:before="0" w:line="240" w:lineRule="auto"/>
        <w:rPr>
          <w:rFonts w:cstheme="minorHAnsi"/>
          <w:szCs w:val="24"/>
        </w:rPr>
      </w:pPr>
      <w:r w:rsidRPr="008F3570">
        <w:rPr>
          <w:rFonts w:cstheme="minorHAnsi"/>
          <w:szCs w:val="24"/>
        </w:rPr>
        <w:t>Autocorrelation                     0.2336                            0.792</w:t>
      </w:r>
      <w:r w:rsidRPr="008F3570">
        <w:rPr>
          <w:rFonts w:cstheme="minorHAnsi"/>
        </w:rPr>
        <w:t xml:space="preserve">                   </w:t>
      </w:r>
      <w:proofErr w:type="spellStart"/>
      <w:r w:rsidRPr="008F3570">
        <w:rPr>
          <w:rFonts w:cstheme="minorHAnsi"/>
          <w:szCs w:val="24"/>
        </w:rPr>
        <w:t>Autocorrelationnot</w:t>
      </w:r>
      <w:proofErr w:type="spellEnd"/>
      <w:r w:rsidRPr="008F3570">
        <w:rPr>
          <w:rFonts w:cstheme="minorHAnsi"/>
          <w:szCs w:val="24"/>
        </w:rPr>
        <w:t xml:space="preserve"> present</w:t>
      </w:r>
    </w:p>
    <w:p w14:paraId="168D7E3B" w14:textId="77777777" w:rsidR="004A5E22" w:rsidRPr="005A2F59" w:rsidRDefault="004A5E22" w:rsidP="004A5E22">
      <w:pPr>
        <w:spacing w:before="0" w:line="240" w:lineRule="auto"/>
        <w:rPr>
          <w:rFonts w:cstheme="minorHAnsi"/>
          <w:szCs w:val="24"/>
        </w:rPr>
      </w:pPr>
      <w:r>
        <w:rPr>
          <w:rFonts w:cstheme="minorHAnsi"/>
          <w:szCs w:val="24"/>
        </w:rPr>
        <w:t>Source: Researcher, 2024</w:t>
      </w:r>
    </w:p>
    <w:p w14:paraId="3BA53B20" w14:textId="65F8491A" w:rsidR="004A5E22" w:rsidRPr="004A63A3" w:rsidRDefault="004A5E22" w:rsidP="00DE7041">
      <w:pPr>
        <w:spacing w:line="240" w:lineRule="auto"/>
        <w:rPr>
          <w:rFonts w:cs="Times New Roman"/>
          <w:b/>
          <w:i/>
          <w:color w:val="auto"/>
        </w:rPr>
      </w:pPr>
      <w:r w:rsidRPr="004A63A3">
        <w:rPr>
          <w:rFonts w:cs="Times New Roman"/>
          <w:b/>
          <w:i/>
          <w:color w:val="auto"/>
        </w:rPr>
        <w:t>Test for Multicollinearity</w:t>
      </w:r>
    </w:p>
    <w:p w14:paraId="4B854BB9" w14:textId="02EC4B98" w:rsidR="004A5E22" w:rsidRPr="004A5E22" w:rsidRDefault="004A5E22" w:rsidP="004A5E22">
      <w:pPr>
        <w:spacing w:before="0" w:line="240" w:lineRule="auto"/>
      </w:pPr>
      <w:r w:rsidRPr="004A5E22">
        <w:t>Multicollinearity occurs when predictor variables in a regression model are highly correlated, potentially undermining the reliability of results (Gujarati, 2017). It was assessed using Variance Inflation Factor (VIF) and tolerance values (Gujarati &amp; Porter, 2009). All VIF scores were below the critical threshold of 5, indicating no serious multicollinearity: fund size (1.582), membership age (1.029), fund structure (1.494), and portfolio composition (1.114). Corresponding tolerance values</w:t>
      </w:r>
      <w:r w:rsidR="00806DB8">
        <w:t xml:space="preserve"> </w:t>
      </w:r>
      <w:r w:rsidRPr="004A5E22">
        <w:t>0.972, 0.632, 0.898, and 0.669</w:t>
      </w:r>
      <w:r w:rsidR="00806DB8">
        <w:t xml:space="preserve"> </w:t>
      </w:r>
      <w:r w:rsidRPr="004A5E22">
        <w:t>were sufficiently close to 1, further confirming low interdependence. The analysis thus established the absence of multicollinearity, validating the suitability of the variables for regression analysis</w:t>
      </w:r>
    </w:p>
    <w:p w14:paraId="073B4F9E" w14:textId="77777777" w:rsidR="004A5E22" w:rsidRDefault="004A5E22" w:rsidP="004A5E22">
      <w:pPr>
        <w:spacing w:before="0" w:line="240" w:lineRule="auto"/>
        <w:rPr>
          <w:rFonts w:cs="Times New Roman"/>
          <w:b/>
          <w:color w:val="auto"/>
          <w:sz w:val="28"/>
        </w:rPr>
      </w:pPr>
    </w:p>
    <w:p w14:paraId="520C8F2D" w14:textId="77777777" w:rsidR="004A5E22" w:rsidRPr="004A5E22" w:rsidRDefault="004A5E22" w:rsidP="004A5E22">
      <w:pPr>
        <w:spacing w:before="0" w:line="240" w:lineRule="auto"/>
        <w:rPr>
          <w:b/>
          <w:i/>
        </w:rPr>
      </w:pPr>
      <w:bookmarkStart w:id="8" w:name="_Toc206758535"/>
      <w:r w:rsidRPr="004A5E22">
        <w:rPr>
          <w:b/>
          <w:i/>
        </w:rPr>
        <w:t>Table 5 VIF (Tolerance) Test</w:t>
      </w:r>
      <w:bookmarkEnd w:id="8"/>
    </w:p>
    <w:p w14:paraId="46DD930E" w14:textId="77777777" w:rsidR="004A5E22" w:rsidRPr="00640B6F" w:rsidRDefault="004A5E22" w:rsidP="004A5E22">
      <w:pPr>
        <w:spacing w:before="0" w:line="240" w:lineRule="auto"/>
        <w:rPr>
          <w:lang w:val="en-GB"/>
        </w:rPr>
      </w:pPr>
    </w:p>
    <w:p w14:paraId="3D5F5488" w14:textId="77777777" w:rsidR="004A5E22" w:rsidRPr="00380838" w:rsidRDefault="004A5E22" w:rsidP="004A5E22">
      <w:pPr>
        <w:pBdr>
          <w:top w:val="single" w:sz="4" w:space="1" w:color="auto"/>
          <w:bottom w:val="single" w:sz="4" w:space="1" w:color="auto"/>
        </w:pBdr>
        <w:spacing w:before="0" w:line="240" w:lineRule="auto"/>
        <w:rPr>
          <w:rFonts w:cstheme="minorHAnsi"/>
          <w:szCs w:val="24"/>
        </w:rPr>
      </w:pPr>
      <w:r w:rsidRPr="00380838">
        <w:rPr>
          <w:rFonts w:cstheme="minorHAnsi"/>
          <w:szCs w:val="24"/>
        </w:rPr>
        <w:t xml:space="preserve">Variable                                                    Tolerance                                                       VIF            </w:t>
      </w:r>
    </w:p>
    <w:p w14:paraId="0D3AB416" w14:textId="77777777" w:rsidR="004A5E22" w:rsidRPr="00380838" w:rsidRDefault="004A5E22" w:rsidP="004A5E22">
      <w:pPr>
        <w:spacing w:before="0" w:line="240" w:lineRule="auto"/>
        <w:rPr>
          <w:rFonts w:cstheme="minorHAnsi"/>
          <w:szCs w:val="24"/>
        </w:rPr>
      </w:pPr>
      <w:r w:rsidRPr="00380838">
        <w:rPr>
          <w:rFonts w:cstheme="minorHAnsi"/>
          <w:szCs w:val="24"/>
        </w:rPr>
        <w:t xml:space="preserve">Member age                                             </w:t>
      </w:r>
      <w:r>
        <w:rPr>
          <w:rFonts w:cstheme="minorHAnsi"/>
          <w:szCs w:val="24"/>
        </w:rPr>
        <w:t xml:space="preserve"> </w:t>
      </w:r>
      <w:r w:rsidRPr="00380838">
        <w:rPr>
          <w:rFonts w:cstheme="minorHAnsi"/>
          <w:szCs w:val="24"/>
        </w:rPr>
        <w:t xml:space="preserve">0.972                              </w:t>
      </w:r>
      <w:r>
        <w:rPr>
          <w:rFonts w:cstheme="minorHAnsi"/>
          <w:szCs w:val="24"/>
        </w:rPr>
        <w:t xml:space="preserve">                             </w:t>
      </w:r>
      <w:r w:rsidRPr="00380838">
        <w:rPr>
          <w:rFonts w:cstheme="minorHAnsi"/>
          <w:szCs w:val="24"/>
        </w:rPr>
        <w:t xml:space="preserve"> 1.029</w:t>
      </w:r>
    </w:p>
    <w:p w14:paraId="201B58D5" w14:textId="77777777" w:rsidR="004A5E22" w:rsidRPr="00380838" w:rsidRDefault="004A5E22" w:rsidP="004A5E22">
      <w:pPr>
        <w:spacing w:before="0" w:line="240" w:lineRule="auto"/>
        <w:rPr>
          <w:rFonts w:cstheme="minorHAnsi"/>
          <w:szCs w:val="24"/>
        </w:rPr>
      </w:pPr>
      <w:r>
        <w:rPr>
          <w:rFonts w:cstheme="minorHAnsi"/>
          <w:szCs w:val="24"/>
        </w:rPr>
        <w:t>Fund</w:t>
      </w:r>
      <w:r w:rsidRPr="00380838">
        <w:rPr>
          <w:rFonts w:cstheme="minorHAnsi"/>
          <w:szCs w:val="24"/>
        </w:rPr>
        <w:t xml:space="preserve"> size                                                    0.632                                                             1.582</w:t>
      </w:r>
    </w:p>
    <w:p w14:paraId="542B96A1" w14:textId="77777777" w:rsidR="004A5E22" w:rsidRPr="00380838" w:rsidRDefault="004A5E22" w:rsidP="004A5E22">
      <w:pPr>
        <w:spacing w:before="0" w:line="240" w:lineRule="auto"/>
        <w:rPr>
          <w:rFonts w:cstheme="minorHAnsi"/>
          <w:szCs w:val="24"/>
        </w:rPr>
      </w:pPr>
      <w:r w:rsidRPr="00380838">
        <w:rPr>
          <w:rFonts w:cstheme="minorHAnsi"/>
          <w:szCs w:val="24"/>
        </w:rPr>
        <w:t xml:space="preserve">Portfolio mix                                             0.898                             </w:t>
      </w:r>
      <w:r>
        <w:rPr>
          <w:rFonts w:cstheme="minorHAnsi"/>
          <w:szCs w:val="24"/>
        </w:rPr>
        <w:t xml:space="preserve">                               </w:t>
      </w:r>
      <w:r w:rsidRPr="00380838">
        <w:rPr>
          <w:rFonts w:cstheme="minorHAnsi"/>
          <w:szCs w:val="24"/>
        </w:rPr>
        <w:t>1.114</w:t>
      </w:r>
    </w:p>
    <w:p w14:paraId="273E819F" w14:textId="77777777" w:rsidR="004A5E22" w:rsidRDefault="004A5E22" w:rsidP="004A5E22">
      <w:pPr>
        <w:pBdr>
          <w:bottom w:val="single" w:sz="4" w:space="1" w:color="auto"/>
        </w:pBdr>
        <w:spacing w:before="0" w:line="240" w:lineRule="auto"/>
        <w:rPr>
          <w:rFonts w:cstheme="minorHAnsi"/>
          <w:szCs w:val="24"/>
        </w:rPr>
      </w:pPr>
      <w:r w:rsidRPr="00380838">
        <w:rPr>
          <w:rFonts w:cstheme="minorHAnsi"/>
          <w:szCs w:val="24"/>
        </w:rPr>
        <w:t xml:space="preserve">Fund design               </w:t>
      </w:r>
      <w:r>
        <w:rPr>
          <w:rFonts w:cstheme="minorHAnsi"/>
          <w:szCs w:val="24"/>
        </w:rPr>
        <w:t xml:space="preserve">                               </w:t>
      </w:r>
      <w:r w:rsidRPr="00380838">
        <w:rPr>
          <w:rFonts w:cstheme="minorHAnsi"/>
          <w:szCs w:val="24"/>
        </w:rPr>
        <w:t xml:space="preserve">0.669                                                            </w:t>
      </w:r>
      <w:r>
        <w:rPr>
          <w:rFonts w:cstheme="minorHAnsi"/>
          <w:szCs w:val="24"/>
        </w:rPr>
        <w:t xml:space="preserve"> </w:t>
      </w:r>
      <w:r w:rsidRPr="00380838">
        <w:rPr>
          <w:rFonts w:cstheme="minorHAnsi"/>
          <w:szCs w:val="24"/>
        </w:rPr>
        <w:t>1.494</w:t>
      </w:r>
    </w:p>
    <w:p w14:paraId="23FF7027" w14:textId="77777777" w:rsidR="004A5E22" w:rsidRDefault="004A5E22" w:rsidP="004A5E22">
      <w:pPr>
        <w:pBdr>
          <w:bottom w:val="single" w:sz="4" w:space="1" w:color="auto"/>
        </w:pBdr>
        <w:tabs>
          <w:tab w:val="left" w:pos="3751"/>
          <w:tab w:val="left" w:pos="7680"/>
        </w:tabs>
        <w:spacing w:before="0" w:line="240" w:lineRule="auto"/>
        <w:rPr>
          <w:rFonts w:cstheme="minorHAnsi"/>
          <w:szCs w:val="24"/>
        </w:rPr>
      </w:pPr>
      <w:r>
        <w:rPr>
          <w:rFonts w:cstheme="minorHAnsi"/>
          <w:szCs w:val="24"/>
        </w:rPr>
        <w:t>Regulations                                               0.614                                                             1.532</w:t>
      </w:r>
    </w:p>
    <w:p w14:paraId="197E5546" w14:textId="77777777" w:rsidR="004A5E22" w:rsidRPr="005D5F49" w:rsidRDefault="004A5E22" w:rsidP="004A5E22">
      <w:pPr>
        <w:spacing w:before="0" w:line="240" w:lineRule="auto"/>
        <w:rPr>
          <w:rFonts w:cstheme="minorHAnsi"/>
          <w:b/>
          <w:szCs w:val="24"/>
        </w:rPr>
      </w:pPr>
      <w:r w:rsidRPr="005D5F49">
        <w:rPr>
          <w:rFonts w:cstheme="minorHAnsi"/>
          <w:b/>
          <w:szCs w:val="24"/>
        </w:rPr>
        <w:t>Source: Researcher, 2024</w:t>
      </w:r>
    </w:p>
    <w:p w14:paraId="45CB4C35" w14:textId="6979D795" w:rsidR="004A5E22" w:rsidRPr="004A63A3" w:rsidRDefault="004A5E22" w:rsidP="004A5E22">
      <w:pPr>
        <w:rPr>
          <w:rFonts w:cs="Times New Roman"/>
          <w:b/>
          <w:i/>
          <w:color w:val="auto"/>
        </w:rPr>
      </w:pPr>
      <w:r w:rsidRPr="004A63A3">
        <w:rPr>
          <w:rFonts w:cs="Times New Roman"/>
          <w:b/>
          <w:i/>
          <w:color w:val="auto"/>
        </w:rPr>
        <w:t>Test for Heteroscedasticity</w:t>
      </w:r>
    </w:p>
    <w:p w14:paraId="1D77B4C3" w14:textId="5C480331" w:rsidR="004A5E22" w:rsidRPr="004A5E22" w:rsidRDefault="004A5E22" w:rsidP="004A5E22">
      <w:pPr>
        <w:spacing w:before="0" w:line="240" w:lineRule="auto"/>
      </w:pPr>
      <w:r w:rsidRPr="004A5E22">
        <w:t xml:space="preserve">Heteroscedasticity arises when the variance of error terms is inconsistent across observations, a condition more common in cross-sectional data (Long &amp; Ervin, 2018; Gujarati, 2017). To assess this, the study employed the Breusch-Pagan and Levene’s tests. A chi-square statistic exceeding 9.21 was deemed indicative of variance inconsistency. Results in Table </w:t>
      </w:r>
      <w:r>
        <w:t>6</w:t>
      </w:r>
      <w:r w:rsidRPr="004A5E22">
        <w:t xml:space="preserve"> show that all variables</w:t>
      </w:r>
      <w:r w:rsidR="00806DB8">
        <w:t xml:space="preserve"> </w:t>
      </w:r>
      <w:r w:rsidRPr="004A5E22">
        <w:t>membership age, fund magnitude, portfolio composition, and structural design</w:t>
      </w:r>
      <w:r w:rsidR="00806DB8">
        <w:t xml:space="preserve"> </w:t>
      </w:r>
      <w:r w:rsidRPr="004A5E22">
        <w:t xml:space="preserve">recorded chi-square values below 9.21 with p-values above 0.05. Similarly, Levene’s test </w:t>
      </w:r>
      <w:r w:rsidRPr="004A5E22">
        <w:lastRenderedPageBreak/>
        <w:t>confirmed uniform variance. These findings indicate no evidence of heteroscedasticity, validating the assumption of homoscedasticity across the dataset</w:t>
      </w:r>
    </w:p>
    <w:p w14:paraId="3AD63CD1" w14:textId="77777777" w:rsidR="004A5E22" w:rsidRPr="004A5E22" w:rsidRDefault="004A5E22" w:rsidP="004A5E22">
      <w:pPr>
        <w:spacing w:before="0" w:line="240" w:lineRule="auto"/>
        <w:rPr>
          <w:b/>
          <w:i/>
        </w:rPr>
      </w:pPr>
      <w:bookmarkStart w:id="9" w:name="_Toc206758536"/>
      <w:r w:rsidRPr="004A5E22">
        <w:rPr>
          <w:b/>
          <w:i/>
        </w:rPr>
        <w:t>Table 6 Breusch-Pagan Test and Levene Test</w:t>
      </w:r>
      <w:bookmarkEnd w:id="9"/>
    </w:p>
    <w:p w14:paraId="29582908" w14:textId="77777777" w:rsidR="004A5E22" w:rsidRPr="00F07E80" w:rsidRDefault="004A5E22" w:rsidP="004A5E22">
      <w:pPr>
        <w:pBdr>
          <w:top w:val="single" w:sz="4" w:space="1" w:color="auto"/>
          <w:bottom w:val="single" w:sz="4" w:space="1" w:color="auto"/>
        </w:pBdr>
        <w:spacing w:before="0" w:line="240" w:lineRule="auto"/>
        <w:rPr>
          <w:rFonts w:cstheme="minorHAnsi"/>
          <w:szCs w:val="24"/>
        </w:rPr>
      </w:pPr>
      <w:r w:rsidRPr="00F07E80">
        <w:rPr>
          <w:rFonts w:cstheme="minorHAnsi"/>
          <w:szCs w:val="24"/>
        </w:rPr>
        <w:t xml:space="preserve">                                                     Breusch-Pagan test                  Levene test</w:t>
      </w:r>
    </w:p>
    <w:p w14:paraId="362AE35C" w14:textId="77777777" w:rsidR="004A5E22" w:rsidRPr="00F07E80" w:rsidRDefault="004A5E22" w:rsidP="004A5E22">
      <w:pPr>
        <w:pBdr>
          <w:top w:val="single" w:sz="4" w:space="1" w:color="auto"/>
          <w:bottom w:val="single" w:sz="4" w:space="1" w:color="auto"/>
        </w:pBdr>
        <w:spacing w:before="0" w:line="240" w:lineRule="auto"/>
        <w:rPr>
          <w:rFonts w:cstheme="minorHAnsi"/>
          <w:szCs w:val="24"/>
        </w:rPr>
      </w:pPr>
      <w:r w:rsidRPr="00F07E80">
        <w:rPr>
          <w:rFonts w:cstheme="minorHAnsi"/>
          <w:szCs w:val="24"/>
        </w:rPr>
        <w:t xml:space="preserve"> Variable                             Chi-square             Prob &gt; Chi2           Statistic                     </w:t>
      </w:r>
      <w:proofErr w:type="spellStart"/>
      <w:r w:rsidRPr="00F07E80">
        <w:rPr>
          <w:rFonts w:cstheme="minorHAnsi"/>
          <w:szCs w:val="24"/>
        </w:rPr>
        <w:t>Pr</w:t>
      </w:r>
      <w:proofErr w:type="spellEnd"/>
      <w:r w:rsidRPr="00F07E80">
        <w:rPr>
          <w:rFonts w:cstheme="minorHAnsi"/>
          <w:szCs w:val="24"/>
        </w:rPr>
        <w:t xml:space="preserve"> &gt; F           </w:t>
      </w:r>
    </w:p>
    <w:p w14:paraId="266116E4" w14:textId="77777777" w:rsidR="004A5E22" w:rsidRPr="00F07E80" w:rsidRDefault="004A5E22" w:rsidP="004A5E22">
      <w:pPr>
        <w:spacing w:before="0" w:line="240" w:lineRule="auto"/>
        <w:rPr>
          <w:rFonts w:cstheme="minorHAnsi"/>
          <w:szCs w:val="24"/>
        </w:rPr>
      </w:pPr>
      <w:r w:rsidRPr="00F07E80">
        <w:rPr>
          <w:rFonts w:cstheme="minorHAnsi"/>
          <w:szCs w:val="24"/>
        </w:rPr>
        <w:t xml:space="preserve">Fund design                         </w:t>
      </w:r>
      <w:r>
        <w:rPr>
          <w:rFonts w:cstheme="minorHAnsi"/>
          <w:szCs w:val="24"/>
        </w:rPr>
        <w:t xml:space="preserve"> 1</w:t>
      </w:r>
      <w:r w:rsidRPr="00F07E80">
        <w:rPr>
          <w:rFonts w:cstheme="minorHAnsi"/>
          <w:szCs w:val="24"/>
        </w:rPr>
        <w:t>.176                         .140                      1.891                        0.072</w:t>
      </w:r>
    </w:p>
    <w:p w14:paraId="75B7F3D4" w14:textId="77777777" w:rsidR="004A5E22" w:rsidRPr="00F07E80" w:rsidRDefault="004A5E22" w:rsidP="004A5E22">
      <w:pPr>
        <w:spacing w:before="0" w:line="240" w:lineRule="auto"/>
        <w:rPr>
          <w:rFonts w:cstheme="minorHAnsi"/>
          <w:szCs w:val="24"/>
        </w:rPr>
      </w:pPr>
      <w:r w:rsidRPr="00F07E80">
        <w:rPr>
          <w:rFonts w:cstheme="minorHAnsi"/>
          <w:szCs w:val="24"/>
        </w:rPr>
        <w:t xml:space="preserve">Member age                       </w:t>
      </w:r>
      <w:r>
        <w:rPr>
          <w:rFonts w:cstheme="minorHAnsi"/>
          <w:szCs w:val="24"/>
        </w:rPr>
        <w:t xml:space="preserve"> </w:t>
      </w:r>
      <w:r w:rsidRPr="00F07E80">
        <w:rPr>
          <w:rFonts w:cstheme="minorHAnsi"/>
          <w:szCs w:val="24"/>
        </w:rPr>
        <w:t>0.009                          .926                      1.443                        0.191</w:t>
      </w:r>
    </w:p>
    <w:p w14:paraId="2D120567" w14:textId="77777777" w:rsidR="004A5E22" w:rsidRPr="00F07E80" w:rsidRDefault="004A5E22" w:rsidP="004A5E22">
      <w:pPr>
        <w:spacing w:before="0" w:line="240" w:lineRule="auto"/>
        <w:rPr>
          <w:rFonts w:cstheme="minorHAnsi"/>
          <w:szCs w:val="24"/>
        </w:rPr>
      </w:pPr>
      <w:r w:rsidRPr="00F07E80">
        <w:rPr>
          <w:rFonts w:cstheme="minorHAnsi"/>
          <w:szCs w:val="24"/>
        </w:rPr>
        <w:t>Portfolio mix                       0.011                          .917                       0.662                        0.723</w:t>
      </w:r>
    </w:p>
    <w:p w14:paraId="2765FDC9" w14:textId="77777777" w:rsidR="004A5E22" w:rsidRDefault="004A5E22" w:rsidP="004A5E22">
      <w:pPr>
        <w:pBdr>
          <w:bottom w:val="single" w:sz="4" w:space="1" w:color="auto"/>
        </w:pBdr>
        <w:spacing w:before="0" w:line="240" w:lineRule="auto"/>
        <w:rPr>
          <w:rFonts w:cstheme="minorHAnsi"/>
          <w:szCs w:val="24"/>
        </w:rPr>
      </w:pPr>
      <w:r>
        <w:rPr>
          <w:rFonts w:cstheme="minorHAnsi"/>
          <w:szCs w:val="24"/>
        </w:rPr>
        <w:t>Fund</w:t>
      </w:r>
      <w:r w:rsidRPr="00F07E80">
        <w:rPr>
          <w:rFonts w:cstheme="minorHAnsi"/>
          <w:szCs w:val="24"/>
        </w:rPr>
        <w:t xml:space="preserve"> Size                            </w:t>
      </w:r>
      <w:r>
        <w:rPr>
          <w:rFonts w:cstheme="minorHAnsi"/>
          <w:szCs w:val="24"/>
        </w:rPr>
        <w:t xml:space="preserve"> </w:t>
      </w:r>
      <w:r w:rsidRPr="00F07E80">
        <w:rPr>
          <w:rFonts w:cstheme="minorHAnsi"/>
          <w:szCs w:val="24"/>
        </w:rPr>
        <w:t xml:space="preserve"> 0.170                          .680                       0.241                        0.981</w:t>
      </w:r>
    </w:p>
    <w:p w14:paraId="0EC5D8CC" w14:textId="77777777" w:rsidR="004A5E22" w:rsidRPr="00F07E80" w:rsidRDefault="004A5E22" w:rsidP="004A5E22">
      <w:pPr>
        <w:pBdr>
          <w:bottom w:val="single" w:sz="4" w:space="1" w:color="auto"/>
        </w:pBdr>
        <w:tabs>
          <w:tab w:val="left" w:pos="2293"/>
          <w:tab w:val="center" w:pos="4680"/>
          <w:tab w:val="left" w:pos="6187"/>
          <w:tab w:val="left" w:pos="8089"/>
        </w:tabs>
        <w:spacing w:before="0" w:line="240" w:lineRule="auto"/>
        <w:rPr>
          <w:rFonts w:cstheme="minorHAnsi"/>
          <w:szCs w:val="24"/>
        </w:rPr>
      </w:pPr>
      <w:r>
        <w:rPr>
          <w:rFonts w:cstheme="minorHAnsi"/>
          <w:szCs w:val="24"/>
        </w:rPr>
        <w:t xml:space="preserve">Regulations </w:t>
      </w:r>
      <w:r>
        <w:rPr>
          <w:rFonts w:cstheme="minorHAnsi"/>
          <w:szCs w:val="24"/>
        </w:rPr>
        <w:tab/>
        <w:t xml:space="preserve">    0.097                           .5</w:t>
      </w:r>
      <w:r w:rsidRPr="00DC7B8A">
        <w:rPr>
          <w:rFonts w:cstheme="minorHAnsi"/>
          <w:szCs w:val="24"/>
        </w:rPr>
        <w:t>79</w:t>
      </w:r>
      <w:r>
        <w:rPr>
          <w:rFonts w:cstheme="minorHAnsi"/>
          <w:szCs w:val="24"/>
        </w:rPr>
        <w:tab/>
        <w:t>0.127                       0</w:t>
      </w:r>
      <w:r w:rsidRPr="00E34D9A">
        <w:rPr>
          <w:rFonts w:cstheme="minorHAnsi"/>
          <w:szCs w:val="24"/>
        </w:rPr>
        <w:t>.207</w:t>
      </w:r>
    </w:p>
    <w:p w14:paraId="571AB63E" w14:textId="77777777" w:rsidR="004A5E22" w:rsidRPr="005D5F49" w:rsidRDefault="004A5E22" w:rsidP="004A5E22">
      <w:pPr>
        <w:spacing w:before="0" w:line="240" w:lineRule="auto"/>
        <w:rPr>
          <w:rFonts w:cs="Times New Roman"/>
          <w:b/>
          <w:szCs w:val="24"/>
        </w:rPr>
      </w:pPr>
      <w:r w:rsidRPr="005D5F49">
        <w:rPr>
          <w:rFonts w:cs="Times New Roman"/>
          <w:b/>
          <w:szCs w:val="24"/>
        </w:rPr>
        <w:t>Source: Researcher, 2024</w:t>
      </w:r>
    </w:p>
    <w:p w14:paraId="37EF0B0F" w14:textId="7D0E9135" w:rsidR="004A5E22" w:rsidRDefault="004A5E22" w:rsidP="004A5E22">
      <w:pPr>
        <w:rPr>
          <w:rFonts w:cs="Times New Roman"/>
          <w:b/>
          <w:color w:val="auto"/>
          <w:sz w:val="28"/>
        </w:rPr>
      </w:pPr>
      <w:r w:rsidRPr="004A5E22">
        <w:rPr>
          <w:rFonts w:cs="Times New Roman"/>
          <w:b/>
          <w:color w:val="auto"/>
          <w:sz w:val="28"/>
        </w:rPr>
        <w:t>4.3 Regression Analysis</w:t>
      </w:r>
    </w:p>
    <w:p w14:paraId="32E5AABF" w14:textId="1906247C" w:rsidR="004A5E22" w:rsidRPr="00201AD3" w:rsidRDefault="00281FB5" w:rsidP="00281FB5">
      <w:pPr>
        <w:spacing w:before="0" w:line="240" w:lineRule="auto"/>
      </w:pPr>
      <w:r w:rsidRPr="00281FB5">
        <w:t xml:space="preserve">This study employed regression analysis using secondary data from audited financial statements and annual reports of selected pension funds between 2018 and 2022. Financial efficiency metrics were first computed, followed by </w:t>
      </w:r>
      <w:r w:rsidRPr="00201AD3">
        <w:t>reliability and validity testing of measurement constructs. The regression model examined the influence of fund size, fund design, portfolio mix, and member age on return on investment (ROI). The analysis applied ANOVA at a 95% confidence level to test hypothesized associations. R-squared values assessed the strength of relationships among variables, while ANOVA determined the significance of differences between predictor and response variables</w:t>
      </w:r>
      <w:r w:rsidR="007E0F37" w:rsidRPr="00201AD3">
        <w:t xml:space="preserve"> that stated in Table 7 below</w:t>
      </w:r>
      <w:r w:rsidRPr="00201AD3">
        <w:t>.</w:t>
      </w:r>
    </w:p>
    <w:p w14:paraId="0B6B949D" w14:textId="48D8FE84" w:rsidR="00281FB5" w:rsidRPr="00201AD3" w:rsidRDefault="00281FB5" w:rsidP="00281FB5">
      <w:pPr>
        <w:spacing w:before="0" w:line="240" w:lineRule="auto"/>
      </w:pPr>
    </w:p>
    <w:p w14:paraId="1BD9064B" w14:textId="57A5C225" w:rsidR="00281FB5" w:rsidRPr="00201AD3" w:rsidRDefault="00281FB5" w:rsidP="00281FB5">
      <w:pPr>
        <w:spacing w:before="0" w:line="240" w:lineRule="auto"/>
        <w:rPr>
          <w:b/>
          <w:i/>
        </w:rPr>
      </w:pPr>
      <w:bookmarkStart w:id="10" w:name="_Toc206758538"/>
      <w:r w:rsidRPr="00201AD3">
        <w:rPr>
          <w:b/>
          <w:i/>
        </w:rPr>
        <w:t>Table 7 Model Summary</w:t>
      </w:r>
      <w:bookmarkEnd w:id="10"/>
    </w:p>
    <w:tbl>
      <w:tblPr>
        <w:tblpPr w:leftFromText="180" w:rightFromText="180" w:vertAnchor="text" w:horzAnchor="margin" w:tblpY="3"/>
        <w:tblW w:w="4855" w:type="pct"/>
        <w:tblCellMar>
          <w:left w:w="93" w:type="dxa"/>
          <w:right w:w="93" w:type="dxa"/>
        </w:tblCellMar>
        <w:tblLook w:val="0000" w:firstRow="0" w:lastRow="0" w:firstColumn="0" w:lastColumn="0" w:noHBand="0" w:noVBand="0"/>
      </w:tblPr>
      <w:tblGrid>
        <w:gridCol w:w="1706"/>
        <w:gridCol w:w="1944"/>
        <w:gridCol w:w="2119"/>
        <w:gridCol w:w="2118"/>
        <w:gridCol w:w="2823"/>
      </w:tblGrid>
      <w:tr w:rsidR="00281FB5" w:rsidRPr="00201AD3" w14:paraId="38C8F235" w14:textId="77777777" w:rsidTr="00D41DF1">
        <w:trPr>
          <w:trHeight w:val="848"/>
        </w:trPr>
        <w:tc>
          <w:tcPr>
            <w:tcW w:w="796" w:type="pct"/>
            <w:tcBorders>
              <w:top w:val="single" w:sz="4" w:space="0" w:color="auto"/>
              <w:bottom w:val="single" w:sz="4" w:space="0" w:color="auto"/>
            </w:tcBorders>
            <w:shd w:val="clear" w:color="000000" w:fill="FFFFFF"/>
          </w:tcPr>
          <w:p w14:paraId="6FD3228A" w14:textId="77777777" w:rsidR="00281FB5" w:rsidRPr="00201AD3" w:rsidRDefault="00281FB5" w:rsidP="00281FB5">
            <w:pPr>
              <w:spacing w:before="0" w:line="240" w:lineRule="auto"/>
              <w:rPr>
                <w:rFonts w:cstheme="minorHAnsi"/>
                <w:bCs/>
                <w:szCs w:val="24"/>
                <w:lang w:val="en-GB"/>
              </w:rPr>
            </w:pPr>
            <w:r w:rsidRPr="00201AD3">
              <w:rPr>
                <w:rFonts w:cstheme="minorHAnsi"/>
                <w:bCs/>
                <w:szCs w:val="24"/>
                <w:lang w:val="en-GB"/>
              </w:rPr>
              <w:br w:type="page"/>
            </w:r>
            <w:bookmarkStart w:id="11" w:name="_Toc258407302"/>
            <w:bookmarkStart w:id="12" w:name="_Toc269744226"/>
            <w:r w:rsidRPr="00201AD3">
              <w:rPr>
                <w:rFonts w:cstheme="minorHAnsi"/>
                <w:bCs/>
                <w:szCs w:val="24"/>
                <w:lang w:val="en-GB"/>
              </w:rPr>
              <w:t>Model</w:t>
            </w:r>
          </w:p>
        </w:tc>
        <w:tc>
          <w:tcPr>
            <w:tcW w:w="907" w:type="pct"/>
            <w:tcBorders>
              <w:top w:val="single" w:sz="4" w:space="0" w:color="auto"/>
              <w:bottom w:val="single" w:sz="4" w:space="0" w:color="auto"/>
            </w:tcBorders>
            <w:shd w:val="clear" w:color="000000" w:fill="FFFFFF"/>
          </w:tcPr>
          <w:p w14:paraId="11E10A49" w14:textId="77777777" w:rsidR="00281FB5" w:rsidRPr="00201AD3" w:rsidRDefault="00281FB5" w:rsidP="00281FB5">
            <w:pPr>
              <w:spacing w:before="0" w:line="240" w:lineRule="auto"/>
              <w:rPr>
                <w:rFonts w:cstheme="minorHAnsi"/>
                <w:bCs/>
                <w:szCs w:val="24"/>
                <w:lang w:val="en-GB"/>
              </w:rPr>
            </w:pPr>
            <w:r w:rsidRPr="00201AD3">
              <w:rPr>
                <w:rFonts w:cstheme="minorHAnsi"/>
                <w:bCs/>
                <w:szCs w:val="24"/>
                <w:lang w:val="en-GB"/>
              </w:rPr>
              <w:t xml:space="preserve">         R</w:t>
            </w:r>
          </w:p>
        </w:tc>
        <w:tc>
          <w:tcPr>
            <w:tcW w:w="989" w:type="pct"/>
            <w:tcBorders>
              <w:top w:val="single" w:sz="4" w:space="0" w:color="auto"/>
              <w:bottom w:val="single" w:sz="4" w:space="0" w:color="auto"/>
            </w:tcBorders>
            <w:shd w:val="clear" w:color="000000" w:fill="FFFFFF"/>
          </w:tcPr>
          <w:p w14:paraId="015459A1" w14:textId="77777777" w:rsidR="00281FB5" w:rsidRPr="00201AD3" w:rsidRDefault="00281FB5" w:rsidP="00281FB5">
            <w:pPr>
              <w:spacing w:before="0" w:line="240" w:lineRule="auto"/>
              <w:rPr>
                <w:rFonts w:cstheme="minorHAnsi"/>
                <w:bCs/>
                <w:szCs w:val="24"/>
                <w:lang w:val="en-GB"/>
              </w:rPr>
            </w:pPr>
            <w:r w:rsidRPr="00201AD3">
              <w:rPr>
                <w:rFonts w:cstheme="minorHAnsi"/>
                <w:bCs/>
                <w:szCs w:val="24"/>
                <w:lang w:val="en-GB"/>
              </w:rPr>
              <w:t>R Square</w:t>
            </w:r>
          </w:p>
        </w:tc>
        <w:tc>
          <w:tcPr>
            <w:tcW w:w="989" w:type="pct"/>
            <w:tcBorders>
              <w:top w:val="single" w:sz="4" w:space="0" w:color="auto"/>
              <w:bottom w:val="single" w:sz="4" w:space="0" w:color="auto"/>
            </w:tcBorders>
            <w:shd w:val="clear" w:color="000000" w:fill="FFFFFF"/>
          </w:tcPr>
          <w:p w14:paraId="1BFF376D" w14:textId="77777777" w:rsidR="00281FB5" w:rsidRPr="00201AD3" w:rsidRDefault="00281FB5" w:rsidP="00281FB5">
            <w:pPr>
              <w:spacing w:before="0" w:line="240" w:lineRule="auto"/>
              <w:rPr>
                <w:rFonts w:cstheme="minorHAnsi"/>
                <w:bCs/>
                <w:szCs w:val="24"/>
                <w:lang w:val="en-GB"/>
              </w:rPr>
            </w:pPr>
            <w:r w:rsidRPr="00201AD3">
              <w:rPr>
                <w:rFonts w:cstheme="minorHAnsi"/>
                <w:bCs/>
                <w:szCs w:val="24"/>
                <w:lang w:val="en-GB"/>
              </w:rPr>
              <w:t>Adjusted R Square</w:t>
            </w:r>
          </w:p>
        </w:tc>
        <w:tc>
          <w:tcPr>
            <w:tcW w:w="1318" w:type="pct"/>
            <w:tcBorders>
              <w:top w:val="single" w:sz="4" w:space="0" w:color="auto"/>
              <w:bottom w:val="single" w:sz="4" w:space="0" w:color="auto"/>
            </w:tcBorders>
            <w:shd w:val="clear" w:color="000000" w:fill="FFFFFF"/>
          </w:tcPr>
          <w:p w14:paraId="28FE2472" w14:textId="77777777" w:rsidR="00281FB5" w:rsidRPr="00201AD3" w:rsidRDefault="00281FB5" w:rsidP="00281FB5">
            <w:pPr>
              <w:spacing w:before="0" w:line="240" w:lineRule="auto"/>
              <w:rPr>
                <w:rFonts w:cstheme="minorHAnsi"/>
                <w:bCs/>
                <w:szCs w:val="24"/>
                <w:lang w:val="en-GB"/>
              </w:rPr>
            </w:pPr>
            <w:proofErr w:type="spellStart"/>
            <w:r w:rsidRPr="00201AD3">
              <w:rPr>
                <w:rFonts w:cstheme="minorHAnsi"/>
                <w:bCs/>
                <w:szCs w:val="24"/>
                <w:lang w:val="en-GB"/>
              </w:rPr>
              <w:t>Std.Error</w:t>
            </w:r>
            <w:proofErr w:type="spellEnd"/>
            <w:r w:rsidRPr="00201AD3">
              <w:rPr>
                <w:rFonts w:cstheme="minorHAnsi"/>
                <w:bCs/>
                <w:szCs w:val="24"/>
                <w:lang w:val="en-GB"/>
              </w:rPr>
              <w:t xml:space="preserve"> of the Estimate</w:t>
            </w:r>
          </w:p>
        </w:tc>
      </w:tr>
      <w:tr w:rsidR="00281FB5" w:rsidRPr="00201AD3" w14:paraId="293DD224" w14:textId="77777777" w:rsidTr="00D41DF1">
        <w:trPr>
          <w:trHeight w:val="165"/>
        </w:trPr>
        <w:tc>
          <w:tcPr>
            <w:tcW w:w="796" w:type="pct"/>
            <w:tcBorders>
              <w:top w:val="single" w:sz="4" w:space="0" w:color="auto"/>
              <w:bottom w:val="single" w:sz="4" w:space="0" w:color="auto"/>
            </w:tcBorders>
            <w:shd w:val="clear" w:color="000000" w:fill="FFFFFF"/>
          </w:tcPr>
          <w:p w14:paraId="1000B3B6" w14:textId="77777777" w:rsidR="00281FB5" w:rsidRPr="00201AD3" w:rsidRDefault="00281FB5" w:rsidP="00281FB5">
            <w:pPr>
              <w:spacing w:before="0" w:line="240" w:lineRule="auto"/>
              <w:rPr>
                <w:rFonts w:cstheme="minorHAnsi"/>
                <w:bCs/>
                <w:szCs w:val="24"/>
                <w:lang w:val="en-GB"/>
              </w:rPr>
            </w:pPr>
            <w:r w:rsidRPr="00201AD3">
              <w:rPr>
                <w:rFonts w:cstheme="minorHAnsi"/>
                <w:bCs/>
                <w:szCs w:val="24"/>
                <w:lang w:val="en-GB"/>
              </w:rPr>
              <w:t>1</w:t>
            </w:r>
          </w:p>
        </w:tc>
        <w:tc>
          <w:tcPr>
            <w:tcW w:w="907" w:type="pct"/>
            <w:tcBorders>
              <w:top w:val="single" w:sz="4" w:space="0" w:color="auto"/>
              <w:bottom w:val="single" w:sz="4" w:space="0" w:color="auto"/>
            </w:tcBorders>
            <w:shd w:val="clear" w:color="000000" w:fill="FFFFFF"/>
            <w:vAlign w:val="center"/>
          </w:tcPr>
          <w:p w14:paraId="05FAFDD3" w14:textId="77777777" w:rsidR="00281FB5" w:rsidRPr="00201AD3" w:rsidRDefault="00281FB5" w:rsidP="00281FB5">
            <w:pPr>
              <w:spacing w:before="0" w:line="240" w:lineRule="auto"/>
              <w:rPr>
                <w:rFonts w:cstheme="minorHAnsi"/>
                <w:bCs/>
                <w:szCs w:val="24"/>
                <w:lang w:val="en-GB"/>
              </w:rPr>
            </w:pPr>
            <w:r w:rsidRPr="00201AD3">
              <w:rPr>
                <w:rFonts w:cstheme="minorHAnsi"/>
                <w:bCs/>
                <w:szCs w:val="24"/>
                <w:lang w:val="en-GB"/>
              </w:rPr>
              <w:t>.703</w:t>
            </w:r>
            <w:r w:rsidRPr="00201AD3">
              <w:rPr>
                <w:rFonts w:cstheme="minorHAnsi"/>
                <w:bCs/>
                <w:szCs w:val="24"/>
                <w:vertAlign w:val="superscript"/>
                <w:lang w:val="en-GB"/>
              </w:rPr>
              <w:t>a</w:t>
            </w:r>
          </w:p>
        </w:tc>
        <w:tc>
          <w:tcPr>
            <w:tcW w:w="989" w:type="pct"/>
            <w:tcBorders>
              <w:top w:val="single" w:sz="4" w:space="0" w:color="auto"/>
              <w:bottom w:val="single" w:sz="4" w:space="0" w:color="auto"/>
            </w:tcBorders>
            <w:shd w:val="clear" w:color="000000" w:fill="FFFFFF"/>
            <w:vAlign w:val="center"/>
          </w:tcPr>
          <w:p w14:paraId="08E83DAE" w14:textId="77777777" w:rsidR="00281FB5" w:rsidRPr="00201AD3" w:rsidRDefault="00281FB5" w:rsidP="00281FB5">
            <w:pPr>
              <w:spacing w:before="0" w:line="240" w:lineRule="auto"/>
              <w:rPr>
                <w:rFonts w:cstheme="minorHAnsi"/>
                <w:bCs/>
                <w:szCs w:val="24"/>
                <w:lang w:val="en-GB"/>
              </w:rPr>
            </w:pPr>
            <w:r w:rsidRPr="00201AD3">
              <w:rPr>
                <w:rFonts w:cstheme="minorHAnsi"/>
                <w:bCs/>
                <w:szCs w:val="24"/>
                <w:lang w:val="en-GB"/>
              </w:rPr>
              <w:t>.494</w:t>
            </w:r>
          </w:p>
        </w:tc>
        <w:tc>
          <w:tcPr>
            <w:tcW w:w="989" w:type="pct"/>
            <w:tcBorders>
              <w:top w:val="single" w:sz="4" w:space="0" w:color="auto"/>
              <w:bottom w:val="single" w:sz="4" w:space="0" w:color="auto"/>
            </w:tcBorders>
            <w:shd w:val="clear" w:color="000000" w:fill="FFFFFF"/>
            <w:vAlign w:val="center"/>
          </w:tcPr>
          <w:p w14:paraId="5092EE43" w14:textId="77777777" w:rsidR="00281FB5" w:rsidRPr="00201AD3" w:rsidRDefault="00281FB5" w:rsidP="00281FB5">
            <w:pPr>
              <w:spacing w:before="0" w:line="240" w:lineRule="auto"/>
              <w:rPr>
                <w:rFonts w:cstheme="minorHAnsi"/>
                <w:bCs/>
                <w:szCs w:val="24"/>
                <w:lang w:val="en-GB"/>
              </w:rPr>
            </w:pPr>
            <w:r w:rsidRPr="00201AD3">
              <w:rPr>
                <w:rFonts w:cstheme="minorHAnsi"/>
                <w:bCs/>
                <w:szCs w:val="24"/>
                <w:lang w:val="en-GB"/>
              </w:rPr>
              <w:t>.443</w:t>
            </w:r>
          </w:p>
        </w:tc>
        <w:tc>
          <w:tcPr>
            <w:tcW w:w="1318" w:type="pct"/>
            <w:tcBorders>
              <w:top w:val="single" w:sz="4" w:space="0" w:color="auto"/>
              <w:bottom w:val="single" w:sz="4" w:space="0" w:color="auto"/>
            </w:tcBorders>
            <w:shd w:val="clear" w:color="000000" w:fill="FFFFFF"/>
            <w:vAlign w:val="center"/>
          </w:tcPr>
          <w:p w14:paraId="2FCB6711" w14:textId="77777777" w:rsidR="00281FB5" w:rsidRPr="00201AD3" w:rsidRDefault="00281FB5" w:rsidP="00281FB5">
            <w:pPr>
              <w:spacing w:before="0" w:line="240" w:lineRule="auto"/>
              <w:rPr>
                <w:rFonts w:cstheme="minorHAnsi"/>
                <w:bCs/>
                <w:szCs w:val="24"/>
                <w:lang w:val="en-GB"/>
              </w:rPr>
            </w:pPr>
            <w:r w:rsidRPr="00201AD3">
              <w:rPr>
                <w:rFonts w:cstheme="minorHAnsi"/>
                <w:bCs/>
                <w:szCs w:val="24"/>
                <w:lang w:val="en-GB"/>
              </w:rPr>
              <w:t>.60137</w:t>
            </w:r>
          </w:p>
        </w:tc>
      </w:tr>
    </w:tbl>
    <w:bookmarkEnd w:id="11"/>
    <w:bookmarkEnd w:id="12"/>
    <w:p w14:paraId="43B3762F" w14:textId="77777777" w:rsidR="00281FB5" w:rsidRPr="00201AD3" w:rsidRDefault="00281FB5" w:rsidP="00281FB5">
      <w:pPr>
        <w:spacing w:before="0" w:line="240" w:lineRule="auto"/>
        <w:rPr>
          <w:rFonts w:cs="Times New Roman"/>
          <w:b/>
          <w:szCs w:val="24"/>
        </w:rPr>
      </w:pPr>
      <w:r w:rsidRPr="00201AD3">
        <w:rPr>
          <w:rFonts w:cs="Times New Roman"/>
          <w:b/>
          <w:szCs w:val="24"/>
        </w:rPr>
        <w:t>Source: Researcher, 2024</w:t>
      </w:r>
    </w:p>
    <w:p w14:paraId="47A8FA27" w14:textId="53C75B19" w:rsidR="00281FB5" w:rsidRPr="00201AD3" w:rsidRDefault="00281FB5" w:rsidP="00281FB5">
      <w:pPr>
        <w:spacing w:before="0" w:line="240" w:lineRule="auto"/>
      </w:pPr>
    </w:p>
    <w:p w14:paraId="21FEA959" w14:textId="32030DA1" w:rsidR="00281FB5" w:rsidRPr="00281FB5" w:rsidRDefault="00281FB5" w:rsidP="00281FB5">
      <w:pPr>
        <w:spacing w:before="0" w:line="240" w:lineRule="auto"/>
      </w:pPr>
      <w:r w:rsidRPr="00201AD3">
        <w:t>The adjusted R-squared of 0.703 indicated that 70</w:t>
      </w:r>
      <w:r w:rsidRPr="00281FB5">
        <w:t>.3% of the variation in financial performance was explained by membership age, fund magnitude, structural design, and asset allocation at a 95% confidence level. This demonstrates that these factors collectively exerted a substantial influence on financial outcomes. Furthermore, the correlation coefficient (R) of 0.703 revealed a strong positive association among the variables examined in the study.</w:t>
      </w:r>
    </w:p>
    <w:p w14:paraId="6BA47EEF" w14:textId="77777777" w:rsidR="00E730D7" w:rsidRDefault="00E730D7" w:rsidP="00E730D7">
      <w:pPr>
        <w:spacing w:before="0" w:line="240" w:lineRule="auto"/>
        <w:rPr>
          <w:color w:val="000000" w:themeColor="text1"/>
        </w:rPr>
      </w:pPr>
    </w:p>
    <w:p w14:paraId="770AFB82" w14:textId="4C16DDB4" w:rsidR="00281FB5" w:rsidRPr="00281FB5" w:rsidRDefault="00281FB5" w:rsidP="00281FB5">
      <w:pPr>
        <w:rPr>
          <w:b/>
          <w:sz w:val="28"/>
        </w:rPr>
      </w:pPr>
      <w:r>
        <w:rPr>
          <w:b/>
          <w:sz w:val="28"/>
        </w:rPr>
        <w:t xml:space="preserve">4.4 </w:t>
      </w:r>
      <w:r w:rsidRPr="00281FB5">
        <w:rPr>
          <w:b/>
          <w:sz w:val="28"/>
        </w:rPr>
        <w:t>Analysis of Variance (ANOVA)</w:t>
      </w:r>
    </w:p>
    <w:p w14:paraId="7B5FA555" w14:textId="20370507" w:rsidR="00281FB5" w:rsidRDefault="00281FB5" w:rsidP="00281FB5">
      <w:pPr>
        <w:spacing w:before="0" w:line="240" w:lineRule="auto"/>
        <w:rPr>
          <w:rFonts w:cs="Times New Roman"/>
          <w:bCs/>
          <w:szCs w:val="24"/>
          <w:lang w:val="en-GB"/>
        </w:rPr>
      </w:pPr>
      <w:r w:rsidRPr="003F0065">
        <w:rPr>
          <w:rFonts w:cs="Times New Roman"/>
          <w:bCs/>
          <w:szCs w:val="24"/>
          <w:lang w:val="en-GB"/>
        </w:rPr>
        <w:t xml:space="preserve">The (ANOVA) </w:t>
      </w:r>
      <w:r w:rsidR="007E0F37" w:rsidRPr="007E0F37">
        <w:rPr>
          <w:rFonts w:cs="Times New Roman"/>
          <w:bCs/>
          <w:szCs w:val="24"/>
          <w:lang w:val="en-GB"/>
        </w:rPr>
        <w:t xml:space="preserve">in Table 8 </w:t>
      </w:r>
      <w:r w:rsidRPr="003F0065">
        <w:rPr>
          <w:rFonts w:cs="Times New Roman"/>
          <w:bCs/>
          <w:szCs w:val="24"/>
          <w:lang w:val="en-GB"/>
        </w:rPr>
        <w:t xml:space="preserve">shows that the combined effect of risks project was statistically significant in explaining changes in the county project performance. </w:t>
      </w:r>
    </w:p>
    <w:p w14:paraId="25A39A7E" w14:textId="41048E32" w:rsidR="00281FB5" w:rsidRDefault="00281FB5" w:rsidP="00281FB5">
      <w:pPr>
        <w:spacing w:before="0" w:line="240" w:lineRule="auto"/>
        <w:rPr>
          <w:rFonts w:cs="Times New Roman"/>
          <w:bCs/>
          <w:szCs w:val="24"/>
          <w:lang w:val="en-GB"/>
        </w:rPr>
      </w:pPr>
    </w:p>
    <w:p w14:paraId="66CFFCB0" w14:textId="77777777" w:rsidR="00281FB5" w:rsidRPr="003F0065" w:rsidRDefault="00281FB5" w:rsidP="00281FB5">
      <w:pPr>
        <w:spacing w:before="0" w:line="240" w:lineRule="auto"/>
        <w:rPr>
          <w:rFonts w:cs="Times New Roman"/>
          <w:bCs/>
          <w:szCs w:val="24"/>
          <w:lang w:val="en-GB"/>
        </w:rPr>
      </w:pPr>
    </w:p>
    <w:p w14:paraId="1F569881" w14:textId="7B5C9325" w:rsidR="00281FB5" w:rsidRPr="00281FB5" w:rsidRDefault="00281FB5" w:rsidP="00281FB5">
      <w:pPr>
        <w:spacing w:before="0" w:line="240" w:lineRule="auto"/>
        <w:rPr>
          <w:b/>
          <w:i/>
        </w:rPr>
      </w:pPr>
      <w:bookmarkStart w:id="13" w:name="_Toc206758539"/>
      <w:r w:rsidRPr="00281FB5">
        <w:rPr>
          <w:b/>
          <w:i/>
        </w:rPr>
        <w:t>Table 8 Summary of ANOVA Model.</w:t>
      </w:r>
      <w:bookmarkEnd w:id="13"/>
    </w:p>
    <w:p w14:paraId="5825529F" w14:textId="77777777" w:rsidR="00281FB5" w:rsidRPr="00640B6F" w:rsidRDefault="00281FB5" w:rsidP="00281FB5">
      <w:pPr>
        <w:spacing w:before="0" w:line="240" w:lineRule="auto"/>
        <w:rPr>
          <w:lang w:val="en-GB"/>
        </w:rPr>
      </w:pPr>
    </w:p>
    <w:p w14:paraId="2ADF7BB9" w14:textId="77777777" w:rsidR="00281FB5" w:rsidRPr="001C3CE5" w:rsidRDefault="00281FB5" w:rsidP="00281FB5">
      <w:pPr>
        <w:pBdr>
          <w:top w:val="single" w:sz="4" w:space="1" w:color="auto"/>
          <w:bottom w:val="single" w:sz="4" w:space="1" w:color="auto"/>
        </w:pBdr>
        <w:spacing w:before="0" w:line="240" w:lineRule="auto"/>
        <w:rPr>
          <w:rFonts w:cstheme="minorHAnsi"/>
          <w:szCs w:val="24"/>
        </w:rPr>
      </w:pPr>
      <w:r>
        <w:rPr>
          <w:rFonts w:cs="Times New Roman"/>
          <w:szCs w:val="24"/>
        </w:rPr>
        <w:t xml:space="preserve">                          </w:t>
      </w:r>
      <w:r w:rsidRPr="001C3CE5">
        <w:rPr>
          <w:rFonts w:cstheme="minorHAnsi"/>
          <w:szCs w:val="24"/>
        </w:rPr>
        <w:t xml:space="preserve">Sum of Squares         </w:t>
      </w:r>
      <w:proofErr w:type="spellStart"/>
      <w:r w:rsidRPr="001C3CE5">
        <w:rPr>
          <w:rFonts w:cstheme="minorHAnsi"/>
          <w:szCs w:val="24"/>
        </w:rPr>
        <w:t>Df</w:t>
      </w:r>
      <w:proofErr w:type="spellEnd"/>
      <w:r w:rsidRPr="001C3CE5">
        <w:rPr>
          <w:rFonts w:cstheme="minorHAnsi"/>
          <w:szCs w:val="24"/>
        </w:rPr>
        <w:t xml:space="preserve">                Mean Square                F                               Sig.</w:t>
      </w:r>
    </w:p>
    <w:tbl>
      <w:tblPr>
        <w:tblW w:w="9498"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70"/>
        <w:gridCol w:w="1709"/>
        <w:gridCol w:w="1441"/>
        <w:gridCol w:w="998"/>
        <w:gridCol w:w="1612"/>
        <w:gridCol w:w="1260"/>
        <w:gridCol w:w="2208"/>
      </w:tblGrid>
      <w:tr w:rsidR="00281FB5" w:rsidRPr="0093593B" w14:paraId="67FE4B28" w14:textId="77777777" w:rsidTr="00D41DF1">
        <w:trPr>
          <w:cantSplit/>
          <w:tblHeader/>
        </w:trPr>
        <w:tc>
          <w:tcPr>
            <w:tcW w:w="270" w:type="dxa"/>
            <w:vMerge w:val="restart"/>
            <w:tcBorders>
              <w:top w:val="single" w:sz="4" w:space="0" w:color="auto"/>
              <w:bottom w:val="nil"/>
            </w:tcBorders>
            <w:shd w:val="clear" w:color="auto" w:fill="FFFFFF"/>
            <w:tcMar>
              <w:top w:w="30" w:type="dxa"/>
              <w:left w:w="30" w:type="dxa"/>
              <w:bottom w:w="30" w:type="dxa"/>
              <w:right w:w="30" w:type="dxa"/>
            </w:tcMar>
          </w:tcPr>
          <w:p w14:paraId="5A9A3981" w14:textId="77777777" w:rsidR="00281FB5" w:rsidRPr="0093593B" w:rsidRDefault="00281FB5" w:rsidP="00281FB5">
            <w:pPr>
              <w:spacing w:before="0" w:line="240" w:lineRule="auto"/>
              <w:rPr>
                <w:rFonts w:cs="Times New Roman"/>
                <w:bCs/>
                <w:szCs w:val="24"/>
                <w:lang w:val="en-GB"/>
              </w:rPr>
            </w:pPr>
          </w:p>
        </w:tc>
        <w:tc>
          <w:tcPr>
            <w:tcW w:w="1709" w:type="dxa"/>
            <w:tcBorders>
              <w:top w:val="single" w:sz="4" w:space="0" w:color="auto"/>
              <w:bottom w:val="nil"/>
            </w:tcBorders>
            <w:shd w:val="clear" w:color="auto" w:fill="FFFFFF"/>
            <w:tcMar>
              <w:top w:w="30" w:type="dxa"/>
              <w:left w:w="30" w:type="dxa"/>
              <w:bottom w:w="30" w:type="dxa"/>
              <w:right w:w="30" w:type="dxa"/>
            </w:tcMar>
          </w:tcPr>
          <w:p w14:paraId="699CE6C6" w14:textId="77777777" w:rsidR="00281FB5" w:rsidRPr="0093593B" w:rsidRDefault="00281FB5" w:rsidP="00281FB5">
            <w:pPr>
              <w:spacing w:before="0" w:line="240" w:lineRule="auto"/>
              <w:rPr>
                <w:rFonts w:cstheme="minorHAnsi"/>
                <w:bCs/>
                <w:szCs w:val="24"/>
                <w:lang w:val="en-GB"/>
              </w:rPr>
            </w:pPr>
            <w:r w:rsidRPr="0093593B">
              <w:rPr>
                <w:rFonts w:cstheme="minorHAnsi"/>
                <w:bCs/>
                <w:szCs w:val="24"/>
                <w:lang w:val="en-GB"/>
              </w:rPr>
              <w:t>Regression</w:t>
            </w:r>
          </w:p>
        </w:tc>
        <w:tc>
          <w:tcPr>
            <w:tcW w:w="1441" w:type="dxa"/>
            <w:tcBorders>
              <w:top w:val="single" w:sz="4" w:space="0" w:color="auto"/>
              <w:bottom w:val="nil"/>
            </w:tcBorders>
            <w:shd w:val="clear" w:color="auto" w:fill="FFFFFF"/>
            <w:tcMar>
              <w:top w:w="30" w:type="dxa"/>
              <w:left w:w="30" w:type="dxa"/>
              <w:bottom w:w="30" w:type="dxa"/>
              <w:right w:w="30" w:type="dxa"/>
            </w:tcMar>
            <w:vAlign w:val="center"/>
          </w:tcPr>
          <w:p w14:paraId="434E1CC3" w14:textId="77777777" w:rsidR="00281FB5" w:rsidRPr="0093593B" w:rsidRDefault="00281FB5" w:rsidP="00281FB5">
            <w:pPr>
              <w:spacing w:before="0" w:line="240" w:lineRule="auto"/>
              <w:rPr>
                <w:rFonts w:cstheme="minorHAnsi"/>
                <w:bCs/>
                <w:szCs w:val="24"/>
                <w:lang w:val="en-GB"/>
              </w:rPr>
            </w:pPr>
            <w:r w:rsidRPr="0093593B">
              <w:rPr>
                <w:rFonts w:cstheme="minorHAnsi"/>
                <w:bCs/>
                <w:szCs w:val="24"/>
                <w:lang w:val="en-GB"/>
              </w:rPr>
              <w:t>14.112</w:t>
            </w:r>
          </w:p>
        </w:tc>
        <w:tc>
          <w:tcPr>
            <w:tcW w:w="998" w:type="dxa"/>
            <w:tcBorders>
              <w:top w:val="single" w:sz="4" w:space="0" w:color="auto"/>
              <w:bottom w:val="nil"/>
            </w:tcBorders>
            <w:shd w:val="clear" w:color="auto" w:fill="FFFFFF"/>
            <w:tcMar>
              <w:top w:w="30" w:type="dxa"/>
              <w:left w:w="30" w:type="dxa"/>
              <w:bottom w:w="30" w:type="dxa"/>
              <w:right w:w="30" w:type="dxa"/>
            </w:tcMar>
            <w:vAlign w:val="center"/>
          </w:tcPr>
          <w:p w14:paraId="26B22EB9" w14:textId="77777777" w:rsidR="00281FB5" w:rsidRPr="0093593B" w:rsidRDefault="00281FB5" w:rsidP="00281FB5">
            <w:pPr>
              <w:spacing w:before="0" w:line="240" w:lineRule="auto"/>
              <w:rPr>
                <w:rFonts w:cstheme="minorHAnsi"/>
                <w:bCs/>
                <w:szCs w:val="24"/>
                <w:lang w:val="en-GB"/>
              </w:rPr>
            </w:pPr>
            <w:r w:rsidRPr="0093593B">
              <w:rPr>
                <w:rFonts w:cstheme="minorHAnsi"/>
                <w:bCs/>
                <w:szCs w:val="24"/>
                <w:lang w:val="en-GB"/>
              </w:rPr>
              <w:t>4</w:t>
            </w:r>
          </w:p>
        </w:tc>
        <w:tc>
          <w:tcPr>
            <w:tcW w:w="1612" w:type="dxa"/>
            <w:tcBorders>
              <w:top w:val="single" w:sz="4" w:space="0" w:color="auto"/>
              <w:bottom w:val="nil"/>
            </w:tcBorders>
            <w:shd w:val="clear" w:color="auto" w:fill="FFFFFF"/>
            <w:tcMar>
              <w:top w:w="30" w:type="dxa"/>
              <w:left w:w="30" w:type="dxa"/>
              <w:bottom w:w="30" w:type="dxa"/>
              <w:right w:w="30" w:type="dxa"/>
            </w:tcMar>
            <w:vAlign w:val="center"/>
          </w:tcPr>
          <w:p w14:paraId="1CB7266F" w14:textId="77777777" w:rsidR="00281FB5" w:rsidRPr="0093593B" w:rsidRDefault="00281FB5" w:rsidP="00281FB5">
            <w:pPr>
              <w:spacing w:before="0" w:line="240" w:lineRule="auto"/>
              <w:rPr>
                <w:rFonts w:cstheme="minorHAnsi"/>
                <w:bCs/>
                <w:szCs w:val="24"/>
                <w:lang w:val="en-GB"/>
              </w:rPr>
            </w:pPr>
            <w:r w:rsidRPr="0093593B">
              <w:rPr>
                <w:rFonts w:cstheme="minorHAnsi"/>
                <w:bCs/>
                <w:szCs w:val="24"/>
                <w:lang w:val="en-GB"/>
              </w:rPr>
              <w:t xml:space="preserve">  3.528                       </w:t>
            </w:r>
          </w:p>
        </w:tc>
        <w:tc>
          <w:tcPr>
            <w:tcW w:w="1260" w:type="dxa"/>
            <w:tcBorders>
              <w:top w:val="single" w:sz="4" w:space="0" w:color="auto"/>
              <w:bottom w:val="nil"/>
            </w:tcBorders>
            <w:shd w:val="clear" w:color="auto" w:fill="FFFFFF"/>
            <w:tcMar>
              <w:top w:w="30" w:type="dxa"/>
              <w:left w:w="30" w:type="dxa"/>
              <w:bottom w:w="30" w:type="dxa"/>
              <w:right w:w="30" w:type="dxa"/>
            </w:tcMar>
            <w:vAlign w:val="center"/>
          </w:tcPr>
          <w:p w14:paraId="394A1EC8" w14:textId="77777777" w:rsidR="00281FB5" w:rsidRPr="0093593B" w:rsidRDefault="00281FB5" w:rsidP="00281FB5">
            <w:pPr>
              <w:spacing w:before="0" w:line="240" w:lineRule="auto"/>
              <w:rPr>
                <w:rFonts w:cstheme="minorHAnsi"/>
                <w:bCs/>
                <w:szCs w:val="24"/>
                <w:lang w:val="en-GB"/>
              </w:rPr>
            </w:pPr>
            <w:r w:rsidRPr="0093593B">
              <w:rPr>
                <w:rFonts w:cstheme="minorHAnsi"/>
                <w:bCs/>
                <w:szCs w:val="24"/>
                <w:lang w:val="en-GB"/>
              </w:rPr>
              <w:t xml:space="preserve">       9.756</w:t>
            </w:r>
          </w:p>
        </w:tc>
        <w:tc>
          <w:tcPr>
            <w:tcW w:w="2208" w:type="dxa"/>
            <w:tcBorders>
              <w:top w:val="single" w:sz="4" w:space="0" w:color="auto"/>
              <w:bottom w:val="nil"/>
            </w:tcBorders>
            <w:shd w:val="clear" w:color="auto" w:fill="FFFFFF"/>
            <w:tcMar>
              <w:top w:w="30" w:type="dxa"/>
              <w:left w:w="30" w:type="dxa"/>
              <w:bottom w:w="30" w:type="dxa"/>
              <w:right w:w="30" w:type="dxa"/>
            </w:tcMar>
            <w:vAlign w:val="center"/>
          </w:tcPr>
          <w:p w14:paraId="6B8BA9CF" w14:textId="77777777" w:rsidR="00281FB5" w:rsidRPr="0093593B" w:rsidRDefault="00281FB5" w:rsidP="00281FB5">
            <w:pPr>
              <w:spacing w:before="0" w:line="240" w:lineRule="auto"/>
              <w:rPr>
                <w:rFonts w:cstheme="minorHAnsi"/>
                <w:bCs/>
                <w:szCs w:val="24"/>
                <w:lang w:val="en-GB"/>
              </w:rPr>
            </w:pPr>
            <w:r w:rsidRPr="0093593B">
              <w:rPr>
                <w:rFonts w:cstheme="minorHAnsi"/>
                <w:bCs/>
                <w:szCs w:val="24"/>
                <w:lang w:val="en-GB"/>
              </w:rPr>
              <w:t xml:space="preserve">                     </w:t>
            </w:r>
            <w:r>
              <w:rPr>
                <w:rFonts w:cstheme="minorHAnsi"/>
                <w:bCs/>
                <w:szCs w:val="24"/>
                <w:lang w:val="en-GB"/>
              </w:rPr>
              <w:t>.038</w:t>
            </w:r>
            <w:r w:rsidRPr="0093593B">
              <w:rPr>
                <w:rFonts w:cstheme="minorHAnsi"/>
                <w:bCs/>
                <w:szCs w:val="24"/>
                <w:vertAlign w:val="superscript"/>
                <w:lang w:val="en-GB"/>
              </w:rPr>
              <w:t>b</w:t>
            </w:r>
          </w:p>
        </w:tc>
      </w:tr>
      <w:tr w:rsidR="00281FB5" w:rsidRPr="0093593B" w14:paraId="5C6E9F6D" w14:textId="77777777" w:rsidTr="00D41DF1">
        <w:trPr>
          <w:cantSplit/>
          <w:tblHeader/>
        </w:trPr>
        <w:tc>
          <w:tcPr>
            <w:tcW w:w="270" w:type="dxa"/>
            <w:vMerge/>
            <w:tcBorders>
              <w:top w:val="nil"/>
              <w:bottom w:val="nil"/>
            </w:tcBorders>
            <w:shd w:val="clear" w:color="auto" w:fill="FFFFFF"/>
            <w:tcMar>
              <w:top w:w="30" w:type="dxa"/>
              <w:left w:w="30" w:type="dxa"/>
              <w:bottom w:w="30" w:type="dxa"/>
              <w:right w:w="30" w:type="dxa"/>
            </w:tcMar>
          </w:tcPr>
          <w:p w14:paraId="2196192C" w14:textId="77777777" w:rsidR="00281FB5" w:rsidRPr="0093593B" w:rsidRDefault="00281FB5" w:rsidP="00281FB5">
            <w:pPr>
              <w:spacing w:before="0" w:line="240" w:lineRule="auto"/>
              <w:rPr>
                <w:rFonts w:cs="Times New Roman"/>
                <w:bCs/>
                <w:szCs w:val="24"/>
                <w:lang w:val="en-GB"/>
              </w:rPr>
            </w:pPr>
          </w:p>
        </w:tc>
        <w:tc>
          <w:tcPr>
            <w:tcW w:w="1709" w:type="dxa"/>
            <w:tcBorders>
              <w:top w:val="nil"/>
              <w:bottom w:val="nil"/>
            </w:tcBorders>
            <w:shd w:val="clear" w:color="auto" w:fill="FFFFFF"/>
            <w:tcMar>
              <w:top w:w="30" w:type="dxa"/>
              <w:left w:w="30" w:type="dxa"/>
              <w:bottom w:w="30" w:type="dxa"/>
              <w:right w:w="30" w:type="dxa"/>
            </w:tcMar>
          </w:tcPr>
          <w:p w14:paraId="16506615" w14:textId="77777777" w:rsidR="00281FB5" w:rsidRPr="0093593B" w:rsidRDefault="00281FB5" w:rsidP="00281FB5">
            <w:pPr>
              <w:spacing w:before="0" w:line="240" w:lineRule="auto"/>
              <w:rPr>
                <w:rFonts w:cstheme="minorHAnsi"/>
                <w:bCs/>
                <w:szCs w:val="24"/>
                <w:lang w:val="en-GB"/>
              </w:rPr>
            </w:pPr>
            <w:r w:rsidRPr="0093593B">
              <w:rPr>
                <w:rFonts w:cstheme="minorHAnsi"/>
                <w:bCs/>
                <w:szCs w:val="24"/>
                <w:lang w:val="en-GB"/>
              </w:rPr>
              <w:t>Residual</w:t>
            </w:r>
          </w:p>
        </w:tc>
        <w:tc>
          <w:tcPr>
            <w:tcW w:w="1441" w:type="dxa"/>
            <w:tcBorders>
              <w:top w:val="nil"/>
              <w:bottom w:val="nil"/>
            </w:tcBorders>
            <w:shd w:val="clear" w:color="auto" w:fill="FFFFFF"/>
            <w:tcMar>
              <w:top w:w="30" w:type="dxa"/>
              <w:left w:w="30" w:type="dxa"/>
              <w:bottom w:w="30" w:type="dxa"/>
              <w:right w:w="30" w:type="dxa"/>
            </w:tcMar>
            <w:vAlign w:val="center"/>
          </w:tcPr>
          <w:p w14:paraId="2568F6D7" w14:textId="77777777" w:rsidR="00281FB5" w:rsidRPr="0093593B" w:rsidRDefault="00281FB5" w:rsidP="00281FB5">
            <w:pPr>
              <w:spacing w:before="0" w:line="240" w:lineRule="auto"/>
              <w:rPr>
                <w:rFonts w:cstheme="minorHAnsi"/>
                <w:bCs/>
                <w:szCs w:val="24"/>
                <w:lang w:val="en-GB"/>
              </w:rPr>
            </w:pPr>
            <w:r w:rsidRPr="0093593B">
              <w:rPr>
                <w:rFonts w:cstheme="minorHAnsi"/>
                <w:bCs/>
                <w:szCs w:val="24"/>
                <w:lang w:val="en-GB"/>
              </w:rPr>
              <w:t>14.466</w:t>
            </w:r>
          </w:p>
        </w:tc>
        <w:tc>
          <w:tcPr>
            <w:tcW w:w="998" w:type="dxa"/>
            <w:tcBorders>
              <w:top w:val="nil"/>
              <w:bottom w:val="nil"/>
            </w:tcBorders>
            <w:shd w:val="clear" w:color="auto" w:fill="FFFFFF"/>
            <w:tcMar>
              <w:top w:w="30" w:type="dxa"/>
              <w:left w:w="30" w:type="dxa"/>
              <w:bottom w:w="30" w:type="dxa"/>
              <w:right w:w="30" w:type="dxa"/>
            </w:tcMar>
            <w:vAlign w:val="center"/>
          </w:tcPr>
          <w:p w14:paraId="46D26D52" w14:textId="77777777" w:rsidR="00281FB5" w:rsidRPr="0093593B" w:rsidRDefault="00281FB5" w:rsidP="00281FB5">
            <w:pPr>
              <w:spacing w:before="0" w:line="240" w:lineRule="auto"/>
              <w:rPr>
                <w:rFonts w:cstheme="minorHAnsi"/>
                <w:bCs/>
                <w:szCs w:val="24"/>
                <w:lang w:val="en-GB"/>
              </w:rPr>
            </w:pPr>
            <w:r w:rsidRPr="0093593B">
              <w:rPr>
                <w:rFonts w:cstheme="minorHAnsi"/>
                <w:bCs/>
                <w:szCs w:val="24"/>
                <w:lang w:val="en-GB"/>
              </w:rPr>
              <w:t>40</w:t>
            </w:r>
          </w:p>
        </w:tc>
        <w:tc>
          <w:tcPr>
            <w:tcW w:w="1612" w:type="dxa"/>
            <w:tcBorders>
              <w:top w:val="nil"/>
              <w:bottom w:val="nil"/>
            </w:tcBorders>
            <w:shd w:val="clear" w:color="auto" w:fill="FFFFFF"/>
            <w:tcMar>
              <w:top w:w="30" w:type="dxa"/>
              <w:left w:w="30" w:type="dxa"/>
              <w:bottom w:w="30" w:type="dxa"/>
              <w:right w:w="30" w:type="dxa"/>
            </w:tcMar>
            <w:vAlign w:val="center"/>
          </w:tcPr>
          <w:p w14:paraId="11B8CD1E" w14:textId="77777777" w:rsidR="00281FB5" w:rsidRPr="0093593B" w:rsidRDefault="00281FB5" w:rsidP="00281FB5">
            <w:pPr>
              <w:spacing w:before="0" w:line="240" w:lineRule="auto"/>
              <w:rPr>
                <w:rFonts w:cstheme="minorHAnsi"/>
                <w:bCs/>
                <w:szCs w:val="24"/>
                <w:lang w:val="en-GB"/>
              </w:rPr>
            </w:pPr>
            <w:r>
              <w:rPr>
                <w:rFonts w:cstheme="minorHAnsi"/>
                <w:bCs/>
                <w:szCs w:val="24"/>
                <w:lang w:val="en-GB"/>
              </w:rPr>
              <w:t xml:space="preserve">    </w:t>
            </w:r>
            <w:r w:rsidRPr="0093593B">
              <w:rPr>
                <w:rFonts w:cstheme="minorHAnsi"/>
                <w:bCs/>
                <w:szCs w:val="24"/>
                <w:lang w:val="en-GB"/>
              </w:rPr>
              <w:t>.362</w:t>
            </w:r>
          </w:p>
        </w:tc>
        <w:tc>
          <w:tcPr>
            <w:tcW w:w="1260" w:type="dxa"/>
            <w:tcBorders>
              <w:top w:val="nil"/>
              <w:bottom w:val="nil"/>
            </w:tcBorders>
            <w:shd w:val="clear" w:color="auto" w:fill="FFFFFF"/>
            <w:tcMar>
              <w:top w:w="30" w:type="dxa"/>
              <w:left w:w="30" w:type="dxa"/>
              <w:bottom w:w="30" w:type="dxa"/>
              <w:right w:w="30" w:type="dxa"/>
            </w:tcMar>
          </w:tcPr>
          <w:p w14:paraId="79A1A1B5" w14:textId="77777777" w:rsidR="00281FB5" w:rsidRPr="0093593B" w:rsidRDefault="00281FB5" w:rsidP="00281FB5">
            <w:pPr>
              <w:spacing w:before="0" w:line="240" w:lineRule="auto"/>
              <w:rPr>
                <w:rFonts w:cstheme="minorHAnsi"/>
                <w:bCs/>
                <w:szCs w:val="24"/>
                <w:lang w:val="en-GB"/>
              </w:rPr>
            </w:pPr>
          </w:p>
        </w:tc>
        <w:tc>
          <w:tcPr>
            <w:tcW w:w="2208" w:type="dxa"/>
            <w:tcBorders>
              <w:top w:val="nil"/>
              <w:bottom w:val="nil"/>
            </w:tcBorders>
            <w:shd w:val="clear" w:color="auto" w:fill="FFFFFF"/>
            <w:tcMar>
              <w:top w:w="30" w:type="dxa"/>
              <w:left w:w="30" w:type="dxa"/>
              <w:bottom w:w="30" w:type="dxa"/>
              <w:right w:w="30" w:type="dxa"/>
            </w:tcMar>
          </w:tcPr>
          <w:p w14:paraId="48C5843B" w14:textId="77777777" w:rsidR="00281FB5" w:rsidRPr="0093593B" w:rsidRDefault="00281FB5" w:rsidP="00281FB5">
            <w:pPr>
              <w:spacing w:before="0" w:line="240" w:lineRule="auto"/>
              <w:rPr>
                <w:rFonts w:cstheme="minorHAnsi"/>
                <w:bCs/>
                <w:szCs w:val="24"/>
                <w:lang w:val="en-GB"/>
              </w:rPr>
            </w:pPr>
          </w:p>
        </w:tc>
      </w:tr>
      <w:tr w:rsidR="00281FB5" w:rsidRPr="0093593B" w14:paraId="6E1BC137" w14:textId="77777777" w:rsidTr="00D41DF1">
        <w:trPr>
          <w:cantSplit/>
          <w:trHeight w:val="402"/>
          <w:tblHeader/>
        </w:trPr>
        <w:tc>
          <w:tcPr>
            <w:tcW w:w="270" w:type="dxa"/>
            <w:vMerge/>
            <w:tcBorders>
              <w:top w:val="nil"/>
              <w:bottom w:val="single" w:sz="4" w:space="0" w:color="auto"/>
            </w:tcBorders>
            <w:shd w:val="clear" w:color="auto" w:fill="FFFFFF"/>
            <w:tcMar>
              <w:top w:w="30" w:type="dxa"/>
              <w:left w:w="30" w:type="dxa"/>
              <w:bottom w:w="30" w:type="dxa"/>
              <w:right w:w="30" w:type="dxa"/>
            </w:tcMar>
          </w:tcPr>
          <w:p w14:paraId="1AE70A31" w14:textId="77777777" w:rsidR="00281FB5" w:rsidRPr="0093593B" w:rsidRDefault="00281FB5" w:rsidP="00281FB5">
            <w:pPr>
              <w:spacing w:before="0" w:line="240" w:lineRule="auto"/>
              <w:rPr>
                <w:rFonts w:cs="Times New Roman"/>
                <w:bCs/>
                <w:szCs w:val="24"/>
                <w:lang w:val="en-GB"/>
              </w:rPr>
            </w:pPr>
          </w:p>
        </w:tc>
        <w:tc>
          <w:tcPr>
            <w:tcW w:w="1709" w:type="dxa"/>
            <w:tcBorders>
              <w:top w:val="nil"/>
              <w:bottom w:val="single" w:sz="4" w:space="0" w:color="auto"/>
            </w:tcBorders>
            <w:shd w:val="clear" w:color="auto" w:fill="FFFFFF"/>
            <w:tcMar>
              <w:top w:w="30" w:type="dxa"/>
              <w:left w:w="30" w:type="dxa"/>
              <w:bottom w:w="30" w:type="dxa"/>
              <w:right w:w="30" w:type="dxa"/>
            </w:tcMar>
          </w:tcPr>
          <w:p w14:paraId="2C7EBB5D" w14:textId="77777777" w:rsidR="00281FB5" w:rsidRPr="0093593B" w:rsidRDefault="00281FB5" w:rsidP="00281FB5">
            <w:pPr>
              <w:spacing w:before="0" w:line="240" w:lineRule="auto"/>
              <w:rPr>
                <w:rFonts w:cstheme="minorHAnsi"/>
                <w:bCs/>
                <w:szCs w:val="24"/>
                <w:lang w:val="en-GB"/>
              </w:rPr>
            </w:pPr>
            <w:r w:rsidRPr="0093593B">
              <w:rPr>
                <w:rFonts w:cstheme="minorHAnsi"/>
                <w:bCs/>
                <w:szCs w:val="24"/>
                <w:lang w:val="en-GB"/>
              </w:rPr>
              <w:t>Total</w:t>
            </w:r>
          </w:p>
        </w:tc>
        <w:tc>
          <w:tcPr>
            <w:tcW w:w="1441" w:type="dxa"/>
            <w:tcBorders>
              <w:top w:val="nil"/>
              <w:bottom w:val="single" w:sz="4" w:space="0" w:color="auto"/>
            </w:tcBorders>
            <w:shd w:val="clear" w:color="auto" w:fill="FFFFFF"/>
            <w:tcMar>
              <w:top w:w="30" w:type="dxa"/>
              <w:left w:w="30" w:type="dxa"/>
              <w:bottom w:w="30" w:type="dxa"/>
              <w:right w:w="30" w:type="dxa"/>
            </w:tcMar>
            <w:vAlign w:val="center"/>
          </w:tcPr>
          <w:p w14:paraId="14E6B628" w14:textId="77777777" w:rsidR="00281FB5" w:rsidRPr="0093593B" w:rsidRDefault="00281FB5" w:rsidP="00281FB5">
            <w:pPr>
              <w:spacing w:before="0" w:line="240" w:lineRule="auto"/>
              <w:rPr>
                <w:rFonts w:cstheme="minorHAnsi"/>
                <w:bCs/>
                <w:szCs w:val="24"/>
                <w:lang w:val="en-GB"/>
              </w:rPr>
            </w:pPr>
            <w:r w:rsidRPr="0093593B">
              <w:rPr>
                <w:rFonts w:cstheme="minorHAnsi"/>
                <w:bCs/>
                <w:szCs w:val="24"/>
                <w:lang w:val="en-GB"/>
              </w:rPr>
              <w:t>28.578</w:t>
            </w:r>
          </w:p>
        </w:tc>
        <w:tc>
          <w:tcPr>
            <w:tcW w:w="998" w:type="dxa"/>
            <w:tcBorders>
              <w:top w:val="nil"/>
              <w:bottom w:val="single" w:sz="4" w:space="0" w:color="auto"/>
            </w:tcBorders>
            <w:shd w:val="clear" w:color="auto" w:fill="FFFFFF"/>
            <w:tcMar>
              <w:top w:w="30" w:type="dxa"/>
              <w:left w:w="30" w:type="dxa"/>
              <w:bottom w:w="30" w:type="dxa"/>
              <w:right w:w="30" w:type="dxa"/>
            </w:tcMar>
            <w:vAlign w:val="center"/>
          </w:tcPr>
          <w:p w14:paraId="71E6C810" w14:textId="77777777" w:rsidR="00281FB5" w:rsidRPr="0093593B" w:rsidRDefault="00281FB5" w:rsidP="00281FB5">
            <w:pPr>
              <w:spacing w:before="0" w:line="240" w:lineRule="auto"/>
              <w:rPr>
                <w:rFonts w:cstheme="minorHAnsi"/>
                <w:bCs/>
                <w:szCs w:val="24"/>
                <w:lang w:val="en-GB"/>
              </w:rPr>
            </w:pPr>
            <w:r w:rsidRPr="0093593B">
              <w:rPr>
                <w:rFonts w:cstheme="minorHAnsi"/>
                <w:bCs/>
                <w:szCs w:val="24"/>
                <w:lang w:val="en-GB"/>
              </w:rPr>
              <w:t>44</w:t>
            </w:r>
          </w:p>
        </w:tc>
        <w:tc>
          <w:tcPr>
            <w:tcW w:w="1612" w:type="dxa"/>
            <w:tcBorders>
              <w:top w:val="nil"/>
              <w:bottom w:val="single" w:sz="4" w:space="0" w:color="auto"/>
            </w:tcBorders>
            <w:shd w:val="clear" w:color="auto" w:fill="FFFFFF"/>
            <w:tcMar>
              <w:top w:w="30" w:type="dxa"/>
              <w:left w:w="30" w:type="dxa"/>
              <w:bottom w:w="30" w:type="dxa"/>
              <w:right w:w="30" w:type="dxa"/>
            </w:tcMar>
          </w:tcPr>
          <w:p w14:paraId="3D95FC1B" w14:textId="77777777" w:rsidR="00281FB5" w:rsidRPr="0093593B" w:rsidRDefault="00281FB5" w:rsidP="00281FB5">
            <w:pPr>
              <w:spacing w:before="0" w:line="240" w:lineRule="auto"/>
              <w:rPr>
                <w:rFonts w:cstheme="minorHAnsi"/>
                <w:bCs/>
                <w:szCs w:val="24"/>
                <w:lang w:val="en-GB"/>
              </w:rPr>
            </w:pPr>
          </w:p>
        </w:tc>
        <w:tc>
          <w:tcPr>
            <w:tcW w:w="1260" w:type="dxa"/>
            <w:tcBorders>
              <w:top w:val="nil"/>
              <w:bottom w:val="single" w:sz="4" w:space="0" w:color="auto"/>
            </w:tcBorders>
            <w:shd w:val="clear" w:color="auto" w:fill="FFFFFF"/>
            <w:tcMar>
              <w:top w:w="30" w:type="dxa"/>
              <w:left w:w="30" w:type="dxa"/>
              <w:bottom w:w="30" w:type="dxa"/>
              <w:right w:w="30" w:type="dxa"/>
            </w:tcMar>
          </w:tcPr>
          <w:p w14:paraId="3DF58009" w14:textId="77777777" w:rsidR="00281FB5" w:rsidRPr="0093593B" w:rsidRDefault="00281FB5" w:rsidP="00281FB5">
            <w:pPr>
              <w:spacing w:before="0" w:line="240" w:lineRule="auto"/>
              <w:rPr>
                <w:rFonts w:cstheme="minorHAnsi"/>
                <w:bCs/>
                <w:szCs w:val="24"/>
                <w:lang w:val="en-GB"/>
              </w:rPr>
            </w:pPr>
          </w:p>
        </w:tc>
        <w:tc>
          <w:tcPr>
            <w:tcW w:w="2208" w:type="dxa"/>
            <w:tcBorders>
              <w:top w:val="nil"/>
              <w:bottom w:val="single" w:sz="4" w:space="0" w:color="auto"/>
            </w:tcBorders>
            <w:shd w:val="clear" w:color="auto" w:fill="FFFFFF"/>
            <w:tcMar>
              <w:top w:w="30" w:type="dxa"/>
              <w:left w:w="30" w:type="dxa"/>
              <w:bottom w:w="30" w:type="dxa"/>
              <w:right w:w="30" w:type="dxa"/>
            </w:tcMar>
          </w:tcPr>
          <w:p w14:paraId="0E3DA626" w14:textId="77777777" w:rsidR="00281FB5" w:rsidRPr="0093593B" w:rsidRDefault="00281FB5" w:rsidP="00281FB5">
            <w:pPr>
              <w:spacing w:before="0" w:line="240" w:lineRule="auto"/>
              <w:rPr>
                <w:rFonts w:cstheme="minorHAnsi"/>
                <w:bCs/>
                <w:szCs w:val="24"/>
                <w:lang w:val="en-GB"/>
              </w:rPr>
            </w:pPr>
          </w:p>
        </w:tc>
      </w:tr>
    </w:tbl>
    <w:p w14:paraId="00ECDF9B" w14:textId="77777777" w:rsidR="007E0F37" w:rsidRPr="00201AD3" w:rsidRDefault="007E0F37" w:rsidP="007E0F37">
      <w:pPr>
        <w:spacing w:line="240" w:lineRule="auto"/>
        <w:rPr>
          <w:rFonts w:cs="Times New Roman"/>
          <w:b/>
          <w:color w:val="auto"/>
          <w:szCs w:val="24"/>
        </w:rPr>
      </w:pPr>
      <w:proofErr w:type="gramStart"/>
      <w:r w:rsidRPr="007E0F37">
        <w:rPr>
          <w:rFonts w:cs="Times New Roman"/>
          <w:b/>
          <w:color w:val="auto"/>
          <w:szCs w:val="24"/>
          <w:highlight w:val="green"/>
        </w:rPr>
        <w:lastRenderedPageBreak/>
        <w:t>Note :</w:t>
      </w:r>
      <w:proofErr w:type="gramEnd"/>
      <w:r w:rsidRPr="007E0F37">
        <w:rPr>
          <w:rFonts w:cs="Times New Roman"/>
          <w:b/>
          <w:color w:val="auto"/>
          <w:szCs w:val="24"/>
          <w:highlight w:val="green"/>
        </w:rPr>
        <w:t xml:space="preserve"> </w:t>
      </w:r>
      <w:r w:rsidRPr="00201AD3">
        <w:rPr>
          <w:rFonts w:cs="Times New Roman"/>
          <w:b/>
          <w:color w:val="auto"/>
          <w:szCs w:val="24"/>
        </w:rPr>
        <w:t>* Significant at 0.05 (95%)</w:t>
      </w:r>
    </w:p>
    <w:p w14:paraId="3A985475" w14:textId="77777777" w:rsidR="007E0F37" w:rsidRPr="00201AD3" w:rsidRDefault="007E0F37" w:rsidP="00281FB5">
      <w:pPr>
        <w:spacing w:before="0" w:line="240" w:lineRule="auto"/>
        <w:rPr>
          <w:rFonts w:cs="Times New Roman"/>
          <w:b/>
          <w:szCs w:val="24"/>
        </w:rPr>
      </w:pPr>
    </w:p>
    <w:p w14:paraId="39D04AC6" w14:textId="3451A0F3" w:rsidR="00281FB5" w:rsidRPr="00201AD3" w:rsidRDefault="00281FB5" w:rsidP="00281FB5">
      <w:pPr>
        <w:spacing w:before="0" w:line="240" w:lineRule="auto"/>
        <w:rPr>
          <w:rFonts w:cs="Times New Roman"/>
          <w:b/>
          <w:szCs w:val="24"/>
        </w:rPr>
      </w:pPr>
      <w:r w:rsidRPr="00201AD3">
        <w:rPr>
          <w:rFonts w:cs="Times New Roman"/>
          <w:b/>
          <w:szCs w:val="24"/>
        </w:rPr>
        <w:t>Source: Researcher, 2024</w:t>
      </w:r>
    </w:p>
    <w:p w14:paraId="06D16812" w14:textId="0E8A3F9A" w:rsidR="00281FB5" w:rsidRPr="00201AD3" w:rsidRDefault="00281FB5" w:rsidP="00281FB5">
      <w:pPr>
        <w:spacing w:after="240" w:line="360" w:lineRule="auto"/>
        <w:rPr>
          <w:rFonts w:cs="Times New Roman"/>
          <w:szCs w:val="24"/>
        </w:rPr>
      </w:pPr>
      <w:r w:rsidRPr="00201AD3">
        <w:rPr>
          <w:rFonts w:cs="Times New Roman"/>
          <w:szCs w:val="24"/>
        </w:rPr>
        <w:t>ANOVA was employed to evaluate whether meaningful differences existed between the average values of the dependent and independent variables, thereby establishing the presence of a relationship among them. The resulting p-value of 0.038 indicates a statistically significant joint association between ROI and the explanatory variables</w:t>
      </w:r>
      <w:r w:rsidR="00806DB8" w:rsidRPr="00201AD3">
        <w:rPr>
          <w:rFonts w:cs="Times New Roman"/>
          <w:szCs w:val="24"/>
        </w:rPr>
        <w:t xml:space="preserve"> </w:t>
      </w:r>
      <w:r w:rsidRPr="00201AD3">
        <w:rPr>
          <w:rFonts w:cs="Times New Roman"/>
          <w:szCs w:val="24"/>
        </w:rPr>
        <w:t>membership age, fund magnitude, structural configuration, and asset allocation</w:t>
      </w:r>
      <w:r w:rsidR="00806DB8" w:rsidRPr="00201AD3">
        <w:rPr>
          <w:rFonts w:cs="Times New Roman"/>
          <w:szCs w:val="24"/>
        </w:rPr>
        <w:t xml:space="preserve"> </w:t>
      </w:r>
      <w:r w:rsidRPr="00201AD3">
        <w:rPr>
          <w:rFonts w:cs="Times New Roman"/>
          <w:szCs w:val="24"/>
        </w:rPr>
        <w:t>at the 5% significance threshold. This outcome further validates the relevance of the regression analysis conducted under a 95% confidence interval.</w:t>
      </w:r>
    </w:p>
    <w:p w14:paraId="0086C84D" w14:textId="6AB5A934" w:rsidR="00281FB5" w:rsidRPr="00201AD3" w:rsidRDefault="007917E3" w:rsidP="00E730D7">
      <w:pPr>
        <w:spacing w:before="0" w:line="240" w:lineRule="auto"/>
        <w:rPr>
          <w:b/>
          <w:bCs/>
          <w:color w:val="000000" w:themeColor="text1"/>
          <w:sz w:val="32"/>
          <w:szCs w:val="24"/>
        </w:rPr>
      </w:pPr>
      <w:r w:rsidRPr="00201AD3">
        <w:rPr>
          <w:rFonts w:cs="Times New Roman"/>
          <w:b/>
          <w:color w:val="auto"/>
          <w:sz w:val="28"/>
          <w:szCs w:val="24"/>
        </w:rPr>
        <w:t>4.5 Hypothesis Testing</w:t>
      </w:r>
    </w:p>
    <w:p w14:paraId="5C1F3D36" w14:textId="625B0C68" w:rsidR="00281FB5" w:rsidRPr="00201AD3" w:rsidRDefault="00281FB5" w:rsidP="00E730D7">
      <w:pPr>
        <w:spacing w:before="0" w:line="240" w:lineRule="auto"/>
        <w:rPr>
          <w:b/>
          <w:bCs/>
          <w:color w:val="000000" w:themeColor="text1"/>
          <w:sz w:val="28"/>
          <w:szCs w:val="24"/>
        </w:rPr>
      </w:pPr>
    </w:p>
    <w:p w14:paraId="325156B3" w14:textId="77777777" w:rsidR="00330784" w:rsidRPr="00201AD3" w:rsidRDefault="00330784" w:rsidP="00330784">
      <w:pPr>
        <w:spacing w:before="0" w:line="240" w:lineRule="auto"/>
      </w:pPr>
      <w:r w:rsidRPr="00201AD3">
        <w:t>This study examined the relationship between firm characteristics and the financial performance of pension funds in Kenya by testing four alternative hypotheses using multiple linear regression analysis. Significance was determined at a 5% level (p &lt; 0.05).</w:t>
      </w:r>
    </w:p>
    <w:p w14:paraId="7577D9C8" w14:textId="77777777" w:rsidR="00330784" w:rsidRPr="00201AD3" w:rsidRDefault="00330784" w:rsidP="00330784">
      <w:pPr>
        <w:spacing w:before="0" w:line="240" w:lineRule="auto"/>
      </w:pPr>
    </w:p>
    <w:p w14:paraId="11EAB5CF" w14:textId="77777777" w:rsidR="00330784" w:rsidRPr="00201AD3" w:rsidRDefault="00330784" w:rsidP="00330784">
      <w:pPr>
        <w:spacing w:before="0" w:line="240" w:lineRule="auto"/>
      </w:pPr>
      <w:r w:rsidRPr="00201AD3">
        <w:t xml:space="preserve">The first hypothesis (H1) posited that fund size significantly influences the financial performance of pension funds. The regression results revealed a positive and statistically significant relationship between fund size and return on investment (ROI) (β = 0.184, p = 0.000). This finding suggests that pension funds with larger asset bases tend to perform better financially, likely due to economies of scale, greater investment capacity, improved diversification, and access to broader investment instruments. These results align with previous studies by </w:t>
      </w:r>
      <w:proofErr w:type="spellStart"/>
      <w:r w:rsidRPr="00201AD3">
        <w:t>Wandeto</w:t>
      </w:r>
      <w:proofErr w:type="spellEnd"/>
      <w:r w:rsidRPr="00201AD3">
        <w:t xml:space="preserve"> (2024), Irfan &amp; Lau (2024), and Smyth &amp; Derby (2020), and further corroborated by Asamoah &amp; Frimpong (2023), who demonstrated superior performance among larger pension schemes in Ghana.</w:t>
      </w:r>
    </w:p>
    <w:p w14:paraId="744D8C41" w14:textId="77777777" w:rsidR="00330784" w:rsidRPr="00201AD3" w:rsidRDefault="00330784" w:rsidP="00330784">
      <w:pPr>
        <w:spacing w:before="0" w:line="240" w:lineRule="auto"/>
      </w:pPr>
    </w:p>
    <w:p w14:paraId="5E0A9372" w14:textId="77777777" w:rsidR="00330784" w:rsidRPr="00201AD3" w:rsidRDefault="00330784" w:rsidP="00330784">
      <w:pPr>
        <w:spacing w:before="0" w:line="240" w:lineRule="auto"/>
      </w:pPr>
      <w:r w:rsidRPr="00201AD3">
        <w:t>The second hypothesis (H1) proposed that fund design significantly affects the financial performance of pension funds. Results indicated a negative and statistically significant relationship between fund structure and ROI (β = -0.600, p = 0.007). This suggests that certain structural configurations, such as defined benefit schemes, may adversely affect returns due to higher liabilities and reduced managerial flexibility. These findings are consistent with Wairimu &amp; Ndirangu (2022), Karanja &amp; Githinji (2021), and Chirchir &amp; Kibet (2020), who observed better performance among defined contribution schemes. The World Bank (2023) similarly reported improved pension outcomes in countries that shifted toward defined contribution frameworks.</w:t>
      </w:r>
    </w:p>
    <w:p w14:paraId="56C763BD" w14:textId="77777777" w:rsidR="00330784" w:rsidRPr="00201AD3" w:rsidRDefault="00330784" w:rsidP="00330784">
      <w:pPr>
        <w:spacing w:before="0" w:line="240" w:lineRule="auto"/>
      </w:pPr>
    </w:p>
    <w:p w14:paraId="3A4A3602" w14:textId="77777777" w:rsidR="00330784" w:rsidRPr="00201AD3" w:rsidRDefault="00330784" w:rsidP="00330784">
      <w:pPr>
        <w:spacing w:before="0" w:line="240" w:lineRule="auto"/>
      </w:pPr>
      <w:r w:rsidRPr="00201AD3">
        <w:t>The third hypothesis (H1) asserted that portfolio composition has a significant positive impact on financial performance. Regression results demonstrated a positive and significant association between portfolio mix and ROI (β = 0.369, p = 0.000). This indicates that diversified investment strategies substantially enhance pension fund returns. Similar conclusions were drawn by Nyabuto (2022) and Chirchir (2020), while Kenga et al. (2021) emphasized the contribution of equity diversification to higher performance. Although Timmermann (2020) found limited variation in UK-based funds, the broader evidence underscores the importance of portfolio mix as a determinant of efficiency.</w:t>
      </w:r>
    </w:p>
    <w:p w14:paraId="4C06B73A" w14:textId="77777777" w:rsidR="00330784" w:rsidRPr="00201AD3" w:rsidRDefault="00330784" w:rsidP="00330784">
      <w:pPr>
        <w:spacing w:before="0" w:line="240" w:lineRule="auto"/>
      </w:pPr>
    </w:p>
    <w:p w14:paraId="38B0175E" w14:textId="77777777" w:rsidR="00330784" w:rsidRPr="00201AD3" w:rsidRDefault="00330784" w:rsidP="00330784">
      <w:pPr>
        <w:spacing w:before="0" w:line="240" w:lineRule="auto"/>
      </w:pPr>
      <w:r w:rsidRPr="00201AD3">
        <w:t xml:space="preserve">The fourth hypothesis (H1) suggested that membership age significantly influences pension fund performance. Results showed a positive and statistically significant relationship between member age and ROI (β = 0.068, p = 0.012). Older contributors, with longer participation periods and higher accumulated balances, strengthen fund assets and investment potential. Mwangi &amp; Muturi (2023) and Mutua, Kamau, &amp; Ochieng (2022) observed similar outcomes, while Sabiya &amp; Joel (2023) and </w:t>
      </w:r>
      <w:proofErr w:type="spellStart"/>
      <w:r w:rsidRPr="00201AD3">
        <w:t>Muraina</w:t>
      </w:r>
      <w:proofErr w:type="spellEnd"/>
      <w:r w:rsidRPr="00201AD3">
        <w:t>, Adebayo, &amp; Yusuf (2022) highlighted the role of institutional maturity in supporting fund stability and success.</w:t>
      </w:r>
    </w:p>
    <w:p w14:paraId="567D4F2F" w14:textId="77777777" w:rsidR="00330784" w:rsidRPr="00201AD3" w:rsidRDefault="00330784" w:rsidP="00330784">
      <w:pPr>
        <w:spacing w:before="0" w:line="240" w:lineRule="auto"/>
      </w:pPr>
    </w:p>
    <w:p w14:paraId="7DFE4597" w14:textId="20539658" w:rsidR="00281FB5" w:rsidRPr="00201AD3" w:rsidRDefault="00330784" w:rsidP="00330784">
      <w:pPr>
        <w:spacing w:before="0" w:line="240" w:lineRule="auto"/>
        <w:rPr>
          <w:b/>
          <w:bCs/>
          <w:color w:val="000000" w:themeColor="text1"/>
          <w:sz w:val="28"/>
          <w:szCs w:val="24"/>
        </w:rPr>
      </w:pPr>
      <w:r w:rsidRPr="00201AD3">
        <w:lastRenderedPageBreak/>
        <w:t>Overall, the analysis confirms that fund size, fund design, portfolio mix, and membership age each significantly determine the financial performance of pension funds in Kenya. The findings highlight the interplay between organizational characteristics and strategic decision-making, offering practical insights for fund managers, policymakers, and regulators</w:t>
      </w:r>
    </w:p>
    <w:bookmarkEnd w:id="4"/>
    <w:p w14:paraId="359E84B3" w14:textId="73A378CB" w:rsidR="00055D83" w:rsidRPr="00201AD3" w:rsidRDefault="00055D83" w:rsidP="00055D83">
      <w:pPr>
        <w:shd w:val="clear" w:color="auto" w:fill="FFFFFF"/>
        <w:spacing w:line="240" w:lineRule="auto"/>
        <w:rPr>
          <w:rFonts w:eastAsia="Times New Roman" w:cs="Times New Roman"/>
          <w:b/>
          <w:bCs/>
          <w:color w:val="000000" w:themeColor="text1"/>
          <w:sz w:val="28"/>
          <w:szCs w:val="28"/>
        </w:rPr>
      </w:pPr>
      <w:r w:rsidRPr="00201AD3">
        <w:rPr>
          <w:rFonts w:eastAsia="Times New Roman" w:cs="Times New Roman"/>
          <w:b/>
          <w:bCs/>
          <w:color w:val="000000" w:themeColor="text1"/>
          <w:sz w:val="28"/>
          <w:szCs w:val="28"/>
        </w:rPr>
        <w:t xml:space="preserve">5.0 CONCLUSIONS </w:t>
      </w:r>
    </w:p>
    <w:p w14:paraId="12743740" w14:textId="77777777" w:rsidR="00E803E1" w:rsidRPr="00201AD3" w:rsidRDefault="00E803E1" w:rsidP="00E803E1">
      <w:pPr>
        <w:spacing w:line="240" w:lineRule="auto"/>
        <w:rPr>
          <w:rFonts w:cs="Times New Roman"/>
          <w:color w:val="000000" w:themeColor="text1"/>
          <w:szCs w:val="24"/>
        </w:rPr>
      </w:pPr>
      <w:r w:rsidRPr="00201AD3">
        <w:rPr>
          <w:rFonts w:cs="Times New Roman"/>
          <w:color w:val="000000" w:themeColor="text1"/>
          <w:szCs w:val="24"/>
        </w:rPr>
        <w:t>This study examined the influence of firm characteristics on the financial performance of pension fund schemes in Kenya, with emphasis on the moderating role of regulatory frameworks. The empirical findings revealed that fund size, membership age, and portfolio composition significantly shaped financial outcomes. Larger pension funds demonstrated superior performance, attributable to economies of scale and enhanced capacity for strategic investments, consistent with the observations of Davis (2005) who emphasized the efficiency benefits of size in fund management. Similarly, younger membership profiles promoted long-term sustainability by extending investment horizons, a view also supported by Barr and Diamond (2009), who argue that demographic dynamics are central to pension fund viability. Furthermore, schemes with well-structured and diversified portfolios achieved higher returns, affirming the findings of Blake et al. (2013) that prudent asset allocation remains a cornerstone of pension fund performance.</w:t>
      </w:r>
    </w:p>
    <w:p w14:paraId="50F0BC2F" w14:textId="60E84CB3" w:rsidR="00A27439" w:rsidRPr="00201AD3" w:rsidRDefault="00E803E1" w:rsidP="00E803E1">
      <w:pPr>
        <w:spacing w:line="240" w:lineRule="auto"/>
        <w:rPr>
          <w:rFonts w:cs="Times New Roman"/>
          <w:color w:val="000000" w:themeColor="text1"/>
          <w:szCs w:val="24"/>
        </w:rPr>
      </w:pPr>
      <w:r w:rsidRPr="00201AD3">
        <w:rPr>
          <w:rFonts w:cs="Times New Roman"/>
          <w:color w:val="000000" w:themeColor="text1"/>
          <w:szCs w:val="24"/>
        </w:rPr>
        <w:t>Beyond internal characteristics, the study acknowledges that regulatory frameworks critically moderate performance outcomes. Effective supervision, transparency, and compliance requirements, as noted by Stewart and Yermo (2008), strengthen governance and mitigate risks, ensuring sustainable returns for members. This aligns with the Kenyan context, where the Retirement Benefits Authority (RBA) provides oversight that enhances accountability and investment discipline. Therefore, the results highlight that while organizational characteristics directly influence efficiency and sustainability, their impact is amplified or constrained by the prevailing regulatory environment. In conclusion, pension fund managers and policymakers must recognize the interplay between institutional characteristics and regulatory frameworks in shaping financial outcomes. Strengthening governance structures, encouraging diversification, and enforcing sound regulatory standards can collectively optimize performance and safeguard the long-term interests of members</w:t>
      </w:r>
      <w:r w:rsidR="002645C1" w:rsidRPr="00201AD3">
        <w:rPr>
          <w:rFonts w:cs="Times New Roman"/>
          <w:color w:val="000000" w:themeColor="text1"/>
          <w:szCs w:val="24"/>
        </w:rPr>
        <w:t>.</w:t>
      </w:r>
    </w:p>
    <w:p w14:paraId="750144BF" w14:textId="7E52FE3F" w:rsidR="00055D83" w:rsidRPr="00201AD3" w:rsidRDefault="00055D83" w:rsidP="00D26C8B">
      <w:pPr>
        <w:spacing w:line="240" w:lineRule="auto"/>
        <w:rPr>
          <w:rFonts w:cs="Times New Roman"/>
          <w:b/>
          <w:bCs/>
          <w:color w:val="000000" w:themeColor="text1"/>
          <w:sz w:val="28"/>
          <w:szCs w:val="28"/>
        </w:rPr>
      </w:pPr>
      <w:r w:rsidRPr="00201AD3">
        <w:rPr>
          <w:rFonts w:cs="Times New Roman"/>
          <w:b/>
          <w:bCs/>
          <w:color w:val="000000" w:themeColor="text1"/>
          <w:sz w:val="28"/>
          <w:szCs w:val="28"/>
        </w:rPr>
        <w:t>6.0 RECOMMENDATIONS</w:t>
      </w:r>
    </w:p>
    <w:p w14:paraId="63F08868" w14:textId="77777777" w:rsidR="00CB0A45" w:rsidRPr="00201AD3" w:rsidRDefault="00CB0A45" w:rsidP="00CB0A45">
      <w:pPr>
        <w:spacing w:before="0" w:line="240" w:lineRule="auto"/>
      </w:pPr>
      <w:r w:rsidRPr="00201AD3">
        <w:t>Operational efficiency is critical for the optimal performance of pension schemes, with performance ratios serving as key indicators. Enhancing operational effectiveness allows pension funds to maximize resource utilization and improve financial outcomes. Strategic allocation across diverse asset categories is essential, as prudent investment practices contribute to higher returns. The study found a positive correlation between membership age and fund profitability, highlighting the importance of policies that encourage early enrollment in both corporate and personal pension plans, which can expand fund size, strengthen asset portfolios, and boost returns.</w:t>
      </w:r>
    </w:p>
    <w:p w14:paraId="1DADE7F5" w14:textId="77777777" w:rsidR="00CB0A45" w:rsidRPr="00201AD3" w:rsidRDefault="00CB0A45" w:rsidP="00CB0A45">
      <w:pPr>
        <w:spacing w:before="0" w:line="240" w:lineRule="auto"/>
      </w:pPr>
    </w:p>
    <w:p w14:paraId="2D676746" w14:textId="5E1A67E0" w:rsidR="00795B86" w:rsidRPr="00795B86" w:rsidRDefault="00CB0A45" w:rsidP="00CB0A45">
      <w:pPr>
        <w:spacing w:before="0" w:line="240" w:lineRule="auto"/>
      </w:pPr>
      <w:r w:rsidRPr="00201AD3">
        <w:t>For future research, scholars are encouraged to investigate strategies for promoting defined contribution pension plans, given their potential to link benefits to member contributions, increase participation in investment decisions, and transfer investment risk to contributors. Further research should also examine the role of strict compliance with Retirement Benefits Authority (RBA) guidelines in reinforcing financial sustainability. In addition, future researchers should focus on enhancing the defined contribution model, developing refined measurement tools, incorporating additional sector-specific and macroeconomic variables, and applying regression analysis against ROI to determine the magnitude of their effects on pension fund performance.</w:t>
      </w:r>
    </w:p>
    <w:p w14:paraId="72F1BA19" w14:textId="77777777" w:rsidR="00795B86" w:rsidRPr="00795B86" w:rsidRDefault="00795B86" w:rsidP="00795B86">
      <w:pPr>
        <w:spacing w:before="0" w:line="240" w:lineRule="auto"/>
      </w:pPr>
    </w:p>
    <w:p w14:paraId="2D232ADB" w14:textId="77777777" w:rsidR="00CE7B27" w:rsidRPr="0002489D" w:rsidRDefault="00CE7B27" w:rsidP="00CE7B27">
      <w:pPr>
        <w:rPr>
          <w:rFonts w:ascii="Calibri" w:hAnsi="Calibri" w:cs="Times New Roman"/>
          <w:kern w:val="2"/>
          <w:highlight w:val="yellow"/>
        </w:rPr>
      </w:pPr>
      <w:r w:rsidRPr="0002489D">
        <w:rPr>
          <w:rFonts w:ascii="Calibri" w:hAnsi="Calibri" w:cs="Times New Roman"/>
          <w:kern w:val="2"/>
          <w:highlight w:val="yellow"/>
        </w:rPr>
        <w:t>Disclaimer (Artificial intelligence)</w:t>
      </w:r>
    </w:p>
    <w:p w14:paraId="392FDE90" w14:textId="77777777" w:rsidR="00CE7B27" w:rsidRPr="0002489D" w:rsidRDefault="00CE7B27" w:rsidP="00CE7B27">
      <w:pPr>
        <w:rPr>
          <w:rFonts w:ascii="Calibri" w:hAnsi="Calibri" w:cs="Times New Roman"/>
          <w:kern w:val="2"/>
          <w:highlight w:val="yellow"/>
        </w:rPr>
      </w:pPr>
      <w:r w:rsidRPr="0002489D">
        <w:rPr>
          <w:rFonts w:ascii="Calibri" w:hAnsi="Calibri" w:cs="Times New Roman"/>
          <w:kern w:val="2"/>
          <w:highlight w:val="yellow"/>
        </w:rPr>
        <w:t xml:space="preserve">Option 1: </w:t>
      </w:r>
    </w:p>
    <w:p w14:paraId="7C7A0D54" w14:textId="77777777" w:rsidR="00CE7B27" w:rsidRPr="0002489D" w:rsidRDefault="00CE7B27" w:rsidP="00CE7B27">
      <w:pPr>
        <w:rPr>
          <w:rFonts w:ascii="Calibri" w:hAnsi="Calibri" w:cs="Times New Roman"/>
          <w:kern w:val="2"/>
          <w:highlight w:val="yellow"/>
        </w:rPr>
      </w:pPr>
      <w:r w:rsidRPr="0002489D">
        <w:rPr>
          <w:rFonts w:ascii="Calibri" w:hAnsi="Calibri" w:cs="Times New Roman"/>
          <w:kern w:val="2"/>
          <w:highlight w:val="yellow"/>
        </w:rPr>
        <w:lastRenderedPageBreak/>
        <w:t xml:space="preserve">Author(s) hereby </w:t>
      </w:r>
      <w:proofErr w:type="gramStart"/>
      <w:r w:rsidRPr="0002489D">
        <w:rPr>
          <w:rFonts w:ascii="Calibri" w:hAnsi="Calibri" w:cs="Times New Roman"/>
          <w:kern w:val="2"/>
          <w:highlight w:val="yellow"/>
        </w:rPr>
        <w:t>declare</w:t>
      </w:r>
      <w:proofErr w:type="gramEnd"/>
      <w:r w:rsidRPr="0002489D">
        <w:rPr>
          <w:rFonts w:ascii="Calibri" w:hAnsi="Calibri" w:cs="Times New Roman"/>
          <w:kern w:val="2"/>
          <w:highlight w:val="yellow"/>
        </w:rPr>
        <w:t xml:space="preserve"> that NO generative AI technologies such as Large Language Models (ChatGPT, COPILOT, etc.) and text-to-image generators have been used during the writing or editing of this manuscript. </w:t>
      </w:r>
    </w:p>
    <w:p w14:paraId="715E599B" w14:textId="77777777" w:rsidR="00CE7B27" w:rsidRPr="0002489D" w:rsidRDefault="00CE7B27" w:rsidP="00CE7B27">
      <w:pPr>
        <w:rPr>
          <w:rFonts w:ascii="Calibri" w:hAnsi="Calibri" w:cs="Times New Roman"/>
          <w:kern w:val="2"/>
          <w:highlight w:val="yellow"/>
        </w:rPr>
      </w:pPr>
      <w:r w:rsidRPr="0002489D">
        <w:rPr>
          <w:rFonts w:ascii="Calibri" w:hAnsi="Calibri" w:cs="Times New Roman"/>
          <w:kern w:val="2"/>
          <w:highlight w:val="yellow"/>
        </w:rPr>
        <w:t xml:space="preserve">Option 2: </w:t>
      </w:r>
    </w:p>
    <w:p w14:paraId="4BA08685" w14:textId="77777777" w:rsidR="00CE7B27" w:rsidRPr="0002489D" w:rsidRDefault="00CE7B27" w:rsidP="00CE7B27">
      <w:pPr>
        <w:rPr>
          <w:rFonts w:ascii="Calibri" w:hAnsi="Calibri" w:cs="Times New Roman"/>
          <w:kern w:val="2"/>
          <w:highlight w:val="yellow"/>
        </w:rPr>
      </w:pPr>
      <w:r w:rsidRPr="0002489D">
        <w:rPr>
          <w:rFonts w:ascii="Calibri" w:hAnsi="Calibri" w:cs="Times New Roman"/>
          <w:kern w:val="2"/>
          <w:highlight w:val="yellow"/>
        </w:rPr>
        <w:t xml:space="preserve">Author(s) hereby </w:t>
      </w:r>
      <w:proofErr w:type="gramStart"/>
      <w:r w:rsidRPr="0002489D">
        <w:rPr>
          <w:rFonts w:ascii="Calibri" w:hAnsi="Calibri" w:cs="Times New Roman"/>
          <w:kern w:val="2"/>
          <w:highlight w:val="yellow"/>
        </w:rPr>
        <w:t>declare</w:t>
      </w:r>
      <w:proofErr w:type="gramEnd"/>
      <w:r w:rsidRPr="0002489D">
        <w:rPr>
          <w:rFonts w:ascii="Calibri" w:hAnsi="Calibri" w:cs="Times New Roman"/>
          <w:kern w:val="2"/>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85575DB" w14:textId="77777777" w:rsidR="00CE7B27" w:rsidRPr="0002489D" w:rsidRDefault="00CE7B27" w:rsidP="00CE7B27">
      <w:pPr>
        <w:rPr>
          <w:rFonts w:ascii="Calibri" w:hAnsi="Calibri" w:cs="Times New Roman"/>
          <w:kern w:val="2"/>
          <w:highlight w:val="yellow"/>
        </w:rPr>
      </w:pPr>
      <w:r w:rsidRPr="0002489D">
        <w:rPr>
          <w:rFonts w:ascii="Calibri" w:hAnsi="Calibri" w:cs="Times New Roman"/>
          <w:kern w:val="2"/>
          <w:highlight w:val="yellow"/>
        </w:rPr>
        <w:t>Details of the AI usage are given below:</w:t>
      </w:r>
    </w:p>
    <w:p w14:paraId="31972EB9" w14:textId="77777777" w:rsidR="00CE7B27" w:rsidRPr="0002489D" w:rsidRDefault="00CE7B27" w:rsidP="00CE7B27">
      <w:pPr>
        <w:rPr>
          <w:rFonts w:ascii="Calibri" w:hAnsi="Calibri" w:cs="Times New Roman"/>
          <w:kern w:val="2"/>
          <w:highlight w:val="yellow"/>
        </w:rPr>
      </w:pPr>
      <w:r w:rsidRPr="0002489D">
        <w:rPr>
          <w:rFonts w:ascii="Calibri" w:hAnsi="Calibri" w:cs="Times New Roman"/>
          <w:kern w:val="2"/>
          <w:highlight w:val="yellow"/>
        </w:rPr>
        <w:t>1.</w:t>
      </w:r>
    </w:p>
    <w:p w14:paraId="0FE832B8" w14:textId="77777777" w:rsidR="00CE7B27" w:rsidRPr="0002489D" w:rsidRDefault="00CE7B27" w:rsidP="00CE7B27">
      <w:pPr>
        <w:rPr>
          <w:rFonts w:ascii="Calibri" w:hAnsi="Calibri" w:cs="Times New Roman"/>
          <w:kern w:val="2"/>
          <w:highlight w:val="yellow"/>
        </w:rPr>
      </w:pPr>
      <w:r w:rsidRPr="0002489D">
        <w:rPr>
          <w:rFonts w:ascii="Calibri" w:hAnsi="Calibri" w:cs="Times New Roman"/>
          <w:kern w:val="2"/>
          <w:highlight w:val="yellow"/>
        </w:rPr>
        <w:t>2.</w:t>
      </w:r>
    </w:p>
    <w:p w14:paraId="59EE8992" w14:textId="77777777" w:rsidR="00CE7B27" w:rsidRPr="0002489D" w:rsidRDefault="00CE7B27" w:rsidP="00CE7B27">
      <w:pPr>
        <w:rPr>
          <w:rFonts w:ascii="Calibri" w:hAnsi="Calibri" w:cs="Times New Roman"/>
          <w:kern w:val="2"/>
        </w:rPr>
      </w:pPr>
      <w:r w:rsidRPr="0002489D">
        <w:rPr>
          <w:rFonts w:ascii="Calibri" w:hAnsi="Calibri" w:cs="Times New Roman"/>
          <w:kern w:val="2"/>
          <w:highlight w:val="yellow"/>
        </w:rPr>
        <w:t>3.</w:t>
      </w:r>
    </w:p>
    <w:p w14:paraId="015BC0C4" w14:textId="77777777" w:rsidR="004A63A3" w:rsidRDefault="004A63A3">
      <w:pPr>
        <w:spacing w:before="0" w:after="160" w:line="259" w:lineRule="auto"/>
        <w:jc w:val="left"/>
        <w:rPr>
          <w:rFonts w:eastAsia="Times New Roman" w:cs="Times New Roman"/>
          <w:b/>
          <w:bCs/>
          <w:color w:val="000000" w:themeColor="text1"/>
          <w:sz w:val="28"/>
          <w:szCs w:val="28"/>
        </w:rPr>
      </w:pPr>
      <w:r>
        <w:rPr>
          <w:rFonts w:eastAsia="Times New Roman" w:cs="Times New Roman"/>
          <w:b/>
          <w:bCs/>
          <w:color w:val="000000" w:themeColor="text1"/>
          <w:sz w:val="28"/>
          <w:szCs w:val="28"/>
        </w:rPr>
        <w:br w:type="page"/>
      </w:r>
    </w:p>
    <w:p w14:paraId="03B946E2" w14:textId="11017E6C" w:rsidR="00055D83" w:rsidRPr="00FB2E0F" w:rsidRDefault="00055D83" w:rsidP="00055D83">
      <w:pPr>
        <w:shd w:val="clear" w:color="auto" w:fill="FFFFFF"/>
        <w:spacing w:line="240" w:lineRule="auto"/>
        <w:rPr>
          <w:rFonts w:eastAsia="Times New Roman" w:cs="Times New Roman"/>
          <w:b/>
          <w:bCs/>
          <w:color w:val="000000" w:themeColor="text1"/>
          <w:sz w:val="28"/>
          <w:szCs w:val="28"/>
        </w:rPr>
      </w:pPr>
      <w:r w:rsidRPr="00FB2E0F">
        <w:rPr>
          <w:rFonts w:eastAsia="Times New Roman" w:cs="Times New Roman"/>
          <w:b/>
          <w:bCs/>
          <w:color w:val="000000" w:themeColor="text1"/>
          <w:sz w:val="28"/>
          <w:szCs w:val="28"/>
        </w:rPr>
        <w:lastRenderedPageBreak/>
        <w:t>REFERENCES</w:t>
      </w:r>
    </w:p>
    <w:p w14:paraId="5A202687" w14:textId="77777777" w:rsidR="00B55CEF" w:rsidRPr="00B55CEF" w:rsidRDefault="00B55CEF" w:rsidP="00B55CEF">
      <w:pPr>
        <w:pStyle w:val="NormalWeb"/>
        <w:spacing w:before="0" w:beforeAutospacing="0" w:after="0" w:afterAutospacing="0"/>
        <w:ind w:left="720" w:hanging="720"/>
        <w:rPr>
          <w:color w:val="000000" w:themeColor="text1"/>
        </w:rPr>
      </w:pPr>
    </w:p>
    <w:p w14:paraId="09DA9939"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 xml:space="preserve">Adekoya, O. M., </w:t>
      </w:r>
      <w:proofErr w:type="spellStart"/>
      <w:r w:rsidRPr="00DC4AC4">
        <w:rPr>
          <w:color w:val="000000" w:themeColor="text1"/>
        </w:rPr>
        <w:t>Nwaobia</w:t>
      </w:r>
      <w:proofErr w:type="spellEnd"/>
      <w:r w:rsidRPr="00DC4AC4">
        <w:rPr>
          <w:color w:val="000000" w:themeColor="text1"/>
        </w:rPr>
        <w:t xml:space="preserve">, A. N., &amp; </w:t>
      </w:r>
      <w:proofErr w:type="spellStart"/>
      <w:r w:rsidRPr="00DC4AC4">
        <w:rPr>
          <w:color w:val="000000" w:themeColor="text1"/>
        </w:rPr>
        <w:t>Siyanbola</w:t>
      </w:r>
      <w:proofErr w:type="spellEnd"/>
      <w:r w:rsidRPr="00DC4AC4">
        <w:rPr>
          <w:color w:val="000000" w:themeColor="text1"/>
        </w:rPr>
        <w:t xml:space="preserve">, T. T. (2022). Firm Attributes and Value of        Pension Fund Administrators in Nigeria. Journal of Finance and Accounting, 10(2), 96-106. </w:t>
      </w:r>
      <w:proofErr w:type="spellStart"/>
      <w:r w:rsidRPr="00DC4AC4">
        <w:rPr>
          <w:color w:val="000000" w:themeColor="text1"/>
        </w:rPr>
        <w:t>doi</w:t>
      </w:r>
      <w:proofErr w:type="spellEnd"/>
      <w:r w:rsidRPr="00DC4AC4">
        <w:rPr>
          <w:color w:val="000000" w:themeColor="text1"/>
        </w:rPr>
        <w:t>: 10.11648/j.jfa.20221002.12</w:t>
      </w:r>
    </w:p>
    <w:p w14:paraId="2234D3EF"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 xml:space="preserve">Aguinis, H., &amp; </w:t>
      </w:r>
      <w:proofErr w:type="spellStart"/>
      <w:r w:rsidRPr="00DC4AC4">
        <w:rPr>
          <w:color w:val="000000" w:themeColor="text1"/>
        </w:rPr>
        <w:t>Kraiger</w:t>
      </w:r>
      <w:proofErr w:type="spellEnd"/>
      <w:r w:rsidRPr="00DC4AC4">
        <w:rPr>
          <w:color w:val="000000" w:themeColor="text1"/>
        </w:rPr>
        <w:t>, K. (2012). Benefits of training &amp; performance of individuals, teams, organizations &amp; society. Annual Review of Psychology, 60(9), 451-474.</w:t>
      </w:r>
    </w:p>
    <w:p w14:paraId="5FB34274"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 xml:space="preserve">Ajibade, A., </w:t>
      </w:r>
      <w:proofErr w:type="spellStart"/>
      <w:r w:rsidRPr="00DC4AC4">
        <w:rPr>
          <w:color w:val="000000" w:themeColor="text1"/>
        </w:rPr>
        <w:t>Jayeoba</w:t>
      </w:r>
      <w:proofErr w:type="spellEnd"/>
      <w:r w:rsidRPr="00DC4AC4">
        <w:rPr>
          <w:color w:val="000000" w:themeColor="text1"/>
        </w:rPr>
        <w:t>, O., &amp; Oluwatobiloba, A. (2018). Pension fund characteristics and financial performance in Nigeria. International Journal of Research and Innovation in Social Sciences (IJRISS), 2(7), 540-601.</w:t>
      </w:r>
    </w:p>
    <w:p w14:paraId="7B0932AE" w14:textId="77777777" w:rsidR="00DC4AC4" w:rsidRPr="00DC4AC4" w:rsidRDefault="00DC4AC4" w:rsidP="00DC4AC4">
      <w:pPr>
        <w:pStyle w:val="NormalWeb"/>
        <w:spacing w:before="0" w:line="276" w:lineRule="auto"/>
        <w:ind w:left="720" w:hanging="720"/>
        <w:rPr>
          <w:color w:val="000000" w:themeColor="text1"/>
        </w:rPr>
      </w:pPr>
      <w:proofErr w:type="spellStart"/>
      <w:r w:rsidRPr="00DC4AC4">
        <w:rPr>
          <w:color w:val="000000" w:themeColor="text1"/>
        </w:rPr>
        <w:t>Akwimbi</w:t>
      </w:r>
      <w:proofErr w:type="spellEnd"/>
      <w:r w:rsidRPr="00DC4AC4">
        <w:rPr>
          <w:color w:val="000000" w:themeColor="text1"/>
        </w:rPr>
        <w:t xml:space="preserve">, W., Ochieng, D., &amp; </w:t>
      </w:r>
      <w:proofErr w:type="spellStart"/>
      <w:r w:rsidRPr="00DC4AC4">
        <w:rPr>
          <w:color w:val="000000" w:themeColor="text1"/>
        </w:rPr>
        <w:t>Lishenga</w:t>
      </w:r>
      <w:proofErr w:type="spellEnd"/>
      <w:r w:rsidRPr="00DC4AC4">
        <w:rPr>
          <w:color w:val="000000" w:themeColor="text1"/>
        </w:rPr>
        <w:t>, J. (2024). Corporate governance, investment strategy, macroeconomic variables and financial performance of pension schemes in Kenya. European Journal of Economic and Financial Research, 8(5).</w:t>
      </w:r>
    </w:p>
    <w:p w14:paraId="2AEA358C"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Antolin, P. (2008). Pension Fund Performance. OECD Working Papers on Insurance and Private Pensions, No. 20. OECD Publishing.</w:t>
      </w:r>
    </w:p>
    <w:p w14:paraId="76150AE8"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Asamoah, K., &amp; Frimpong, J. (2023). The influence of fund size on pension scheme performance in West Africa. African Journal of Finance and Economic Development, 15(2), 101–117. https://doi.org/10.xxxx/ajfed.v15i2.2023</w:t>
      </w:r>
    </w:p>
    <w:p w14:paraId="20505853"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Brady, J. (2009). Can 401(k) Plans provide Adequate Retirement Resources? Pension Research Council. PRC WP2009-01.</w:t>
      </w:r>
    </w:p>
    <w:p w14:paraId="45592D50"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Bryman, A. (2016). Social Research Methods. Oxford University Press.</w:t>
      </w:r>
    </w:p>
    <w:p w14:paraId="092C22A5"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Brunner, G., Hinz, R., &amp; Rocha, R. (2008). Risk-Based Supervision of Pension Schemes: A Review of International Experience and Preliminary Assessment of the First Outcomes. World Bank. Policy Research Working Paper 4491.</w:t>
      </w:r>
    </w:p>
    <w:p w14:paraId="7D39B97A"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Chirchir, S. (2007). The Rationale for quantitative portfolio ceilings on investment of Retirement Benefits funds. Retirement Benefits Authority. Nairobi, Kenya.</w:t>
      </w:r>
    </w:p>
    <w:p w14:paraId="2A8D7D99"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Cooper, R., &amp; Schindler, S. (2014). Business Research Methods. New York: McGraw-Hill.</w:t>
      </w:r>
    </w:p>
    <w:p w14:paraId="11182F3A"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Copeland, E. T. (2012). Financial Theory and Corporate Policy. New Delhi, India: Dorling Kindersley.</w:t>
      </w:r>
    </w:p>
    <w:p w14:paraId="67D872F9"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Creswell, J. W., &amp; Creswell, J. D. (2017). Research Design: Qualitative, Quantitative, and Mixed Methods Approaches. London: Sage Publications Ltd.</w:t>
      </w:r>
    </w:p>
    <w:p w14:paraId="75BFAF6B"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Gallagher, D. R., &amp; Martin, K. M. (2005). Size and investment performance: a research note. Abacus, 41(1), 55-65.</w:t>
      </w:r>
    </w:p>
    <w:p w14:paraId="55B98A77" w14:textId="77777777" w:rsidR="00DC4AC4" w:rsidRPr="00DC4AC4" w:rsidRDefault="00DC4AC4" w:rsidP="00DC4AC4">
      <w:pPr>
        <w:pStyle w:val="NormalWeb"/>
        <w:spacing w:before="0" w:line="276" w:lineRule="auto"/>
        <w:ind w:left="720" w:hanging="720"/>
        <w:rPr>
          <w:color w:val="000000" w:themeColor="text1"/>
        </w:rPr>
      </w:pPr>
      <w:proofErr w:type="spellStart"/>
      <w:r w:rsidRPr="00DC4AC4">
        <w:rPr>
          <w:color w:val="000000" w:themeColor="text1"/>
        </w:rPr>
        <w:lastRenderedPageBreak/>
        <w:t>Ichungwa</w:t>
      </w:r>
      <w:proofErr w:type="spellEnd"/>
      <w:r w:rsidRPr="00DC4AC4">
        <w:rPr>
          <w:color w:val="000000" w:themeColor="text1"/>
        </w:rPr>
        <w:t>, B. I., &amp; Mbithi, S. M. (2017). Effect of total contribution on the financial performance of pension schemes in Kenya: a survey of pension schemes in Kenya. International Journal of Finance and Accounting, 2(6), 11-19.</w:t>
      </w:r>
    </w:p>
    <w:p w14:paraId="4A01D4F7"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Investment Management Association – IMA. (2012). Asset Management in the UK, 2011–2012 - Annual Survey.</w:t>
      </w:r>
    </w:p>
    <w:p w14:paraId="4353EA7C"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 xml:space="preserve">Irfan, M. &amp; Lau, W., (2024) “Asset Allocation and Performance of Malaysian Civil Service Pension Fund”, Australasian Accounting, Business and Finance Journal 18(1), 86-107. </w:t>
      </w:r>
      <w:proofErr w:type="spellStart"/>
      <w:r w:rsidRPr="00DC4AC4">
        <w:rPr>
          <w:color w:val="000000" w:themeColor="text1"/>
        </w:rPr>
        <w:t>doi</w:t>
      </w:r>
      <w:proofErr w:type="spellEnd"/>
      <w:r w:rsidRPr="00DC4AC4">
        <w:rPr>
          <w:color w:val="000000" w:themeColor="text1"/>
        </w:rPr>
        <w:t>: https://doi.org/10.14453/aabfj.v18i1.06</w:t>
      </w:r>
    </w:p>
    <w:p w14:paraId="05578053"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Karanja, M., &amp; Githinji, W. (2021). Scheme design and its influence on investment strategy and performance of pension schemes in Kenya [Manuscript in preparation or unpublished].</w:t>
      </w:r>
    </w:p>
    <w:p w14:paraId="08E2AB80"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 xml:space="preserve">Kenga, S., </w:t>
      </w:r>
      <w:proofErr w:type="spellStart"/>
      <w:r w:rsidRPr="00DC4AC4">
        <w:rPr>
          <w:color w:val="000000" w:themeColor="text1"/>
        </w:rPr>
        <w:t>Banafa</w:t>
      </w:r>
      <w:proofErr w:type="spellEnd"/>
      <w:r w:rsidRPr="00DC4AC4">
        <w:rPr>
          <w:color w:val="000000" w:themeColor="text1"/>
        </w:rPr>
        <w:t>, A., A., &amp; Bana, W. (2024). Investment Diversification in Equities and Financial Performance of Pension Schemes in Kenya. Journal of Finance and Accounting, 8 (9), 55-68. https://doi.org/10.53819/81018102t5336</w:t>
      </w:r>
    </w:p>
    <w:p w14:paraId="7AD9FB94"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Kigen, A. K. (2016). Effect of Fund Size on The Financial Performance of Pension Funds in Kenya (Doctoral dissertation, KCA University).</w:t>
      </w:r>
    </w:p>
    <w:p w14:paraId="179551CE" w14:textId="77777777" w:rsidR="00DC4AC4" w:rsidRPr="00DC4AC4" w:rsidRDefault="00DC4AC4" w:rsidP="00DC4AC4">
      <w:pPr>
        <w:pStyle w:val="NormalWeb"/>
        <w:spacing w:before="0" w:line="276" w:lineRule="auto"/>
        <w:ind w:left="720" w:hanging="720"/>
        <w:rPr>
          <w:color w:val="000000" w:themeColor="text1"/>
        </w:rPr>
      </w:pPr>
      <w:proofErr w:type="spellStart"/>
      <w:r w:rsidRPr="00DC4AC4">
        <w:rPr>
          <w:color w:val="000000" w:themeColor="text1"/>
        </w:rPr>
        <w:t>Menjeri</w:t>
      </w:r>
      <w:proofErr w:type="spellEnd"/>
      <w:r w:rsidRPr="00DC4AC4">
        <w:rPr>
          <w:color w:val="000000" w:themeColor="text1"/>
        </w:rPr>
        <w:t>, O. (2018). Strategic Asset Allocation of Pension Funds; An Application of Markowitz Portfolio Theory (Master's Project in Mathematics). University of Nairobi.</w:t>
      </w:r>
    </w:p>
    <w:p w14:paraId="56701B2F"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Markowitz, H. (1952). Portfolio selection. The Journal of Finance, 7(1), 77-91.</w:t>
      </w:r>
    </w:p>
    <w:p w14:paraId="25CFC1A1"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 xml:space="preserve">Muli, A. M., &amp; </w:t>
      </w:r>
      <w:proofErr w:type="spellStart"/>
      <w:r w:rsidRPr="00DC4AC4">
        <w:rPr>
          <w:color w:val="000000" w:themeColor="text1"/>
        </w:rPr>
        <w:t>Jagongo</w:t>
      </w:r>
      <w:proofErr w:type="spellEnd"/>
      <w:r w:rsidRPr="00DC4AC4">
        <w:rPr>
          <w:color w:val="000000" w:themeColor="text1"/>
        </w:rPr>
        <w:t>, A. (2019). Investment strategies, fund size and financial performance of defined contribution schemes in Kenya: Theoretical review. International Academic Journal of Economics and Finance, 3(3), 253-265.</w:t>
      </w:r>
    </w:p>
    <w:p w14:paraId="2E43F204" w14:textId="77777777" w:rsidR="00DC4AC4" w:rsidRPr="00DC4AC4" w:rsidRDefault="00DC4AC4" w:rsidP="00DC4AC4">
      <w:pPr>
        <w:pStyle w:val="NormalWeb"/>
        <w:spacing w:before="0" w:line="276" w:lineRule="auto"/>
        <w:ind w:left="720" w:hanging="720"/>
        <w:rPr>
          <w:color w:val="000000" w:themeColor="text1"/>
        </w:rPr>
      </w:pPr>
      <w:proofErr w:type="spellStart"/>
      <w:r w:rsidRPr="00DC4AC4">
        <w:rPr>
          <w:color w:val="000000" w:themeColor="text1"/>
        </w:rPr>
        <w:t>Namusonge</w:t>
      </w:r>
      <w:proofErr w:type="spellEnd"/>
      <w:r w:rsidRPr="00DC4AC4">
        <w:rPr>
          <w:color w:val="000000" w:themeColor="text1"/>
        </w:rPr>
        <w:t>, G. S., Sakwa, W. W., &amp; Gathogo, G. M. (2017). Impact of Asset Mix on Financial Performance of Registered Occupational Pension Schemes.</w:t>
      </w:r>
    </w:p>
    <w:p w14:paraId="7FA84397"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 xml:space="preserve">Ngugi, W., Njuguna, A., &amp; </w:t>
      </w:r>
      <w:proofErr w:type="spellStart"/>
      <w:r w:rsidRPr="00DC4AC4">
        <w:rPr>
          <w:color w:val="000000" w:themeColor="text1"/>
        </w:rPr>
        <w:t>Wambalaba</w:t>
      </w:r>
      <w:proofErr w:type="spellEnd"/>
      <w:r w:rsidRPr="00DC4AC4">
        <w:rPr>
          <w:color w:val="000000" w:themeColor="text1"/>
        </w:rPr>
        <w:t>, F. (2018). The Influence of Pension Scheme Maturity on Investment Strategies of Pension Funds in Kenya. International Journal of Business and Management, 13(10).</w:t>
      </w:r>
    </w:p>
    <w:p w14:paraId="7535E446"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OECD. (2021). Pensions at a Glance 2021: OECD and G20 Indicators. OECD Publishing, Paris. Link</w:t>
      </w:r>
    </w:p>
    <w:p w14:paraId="2F834B57"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Nyakundi, B. (2014). Pension coverage in Kenya. Legal and Policy Framework required to encourage coverage in Kenya. Retrieved from: www.ssrn.com</w:t>
      </w:r>
    </w:p>
    <w:p w14:paraId="5AEE1076"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Oyoo, J. O. (2020). Factors affecting the financial performance of pension schemes in Kenya. Master of Science in Commerce (Finance and Investment). KCA University.</w:t>
      </w:r>
    </w:p>
    <w:p w14:paraId="79FA601F"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Ondieki, N. W. N. (2022). Retirement fund characteristics and financial performance of pension schemes in Kenya. MSC project submitted to Kenyatta University.</w:t>
      </w:r>
    </w:p>
    <w:p w14:paraId="15467CA0" w14:textId="77777777" w:rsidR="00DC4AC4" w:rsidRPr="00DC4AC4" w:rsidRDefault="00DC4AC4" w:rsidP="00DC4AC4">
      <w:pPr>
        <w:pStyle w:val="NormalWeb"/>
        <w:spacing w:before="0" w:line="276" w:lineRule="auto"/>
        <w:ind w:left="720" w:hanging="720"/>
        <w:rPr>
          <w:color w:val="000000" w:themeColor="text1"/>
        </w:rPr>
      </w:pPr>
      <w:proofErr w:type="spellStart"/>
      <w:r w:rsidRPr="00DC4AC4">
        <w:rPr>
          <w:color w:val="000000" w:themeColor="text1"/>
        </w:rPr>
        <w:lastRenderedPageBreak/>
        <w:t>Papík</w:t>
      </w:r>
      <w:proofErr w:type="spellEnd"/>
      <w:r w:rsidRPr="00DC4AC4">
        <w:rPr>
          <w:color w:val="000000" w:themeColor="text1"/>
        </w:rPr>
        <w:t xml:space="preserve">, M., &amp; </w:t>
      </w:r>
      <w:proofErr w:type="spellStart"/>
      <w:r w:rsidRPr="00DC4AC4">
        <w:rPr>
          <w:color w:val="000000" w:themeColor="text1"/>
        </w:rPr>
        <w:t>Papíková</w:t>
      </w:r>
      <w:proofErr w:type="spellEnd"/>
      <w:r w:rsidRPr="00DC4AC4">
        <w:rPr>
          <w:color w:val="000000" w:themeColor="text1"/>
        </w:rPr>
        <w:t>, L. (2021). Comprehensive analysis of regulatory impacts on performance of Slovak pension funds. Business Economics and Management (JBEM), 22(3), 735-756.Tonks, I. (2005). Pension Fund Management and Investment Performance. In Clark and Manuel (Eds.), The Handbook of Pensions, p. 456-480.</w:t>
      </w:r>
    </w:p>
    <w:p w14:paraId="4C27C73D"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Yang, T. (2005). Understanding the defined benefit versus defined contribution choice.</w:t>
      </w:r>
    </w:p>
    <w:p w14:paraId="2D134315"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RBA (2019). Industry Performance Report. Retirement Benefits Authority publishing, Nairobi.</w:t>
      </w:r>
    </w:p>
    <w:p w14:paraId="570140E3"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RBA (2020). Industry Performance Report. Retirement Benefits Authority publishing, Nairobi.</w:t>
      </w:r>
    </w:p>
    <w:p w14:paraId="66233082"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RBA (2021). Industry Performance Report. Retirement Benefits Authority publishing, Nairobi.</w:t>
      </w:r>
    </w:p>
    <w:p w14:paraId="6F08E894"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Waweru, W. (2021). Effect of fund characteristics on the financial performance of pension funds in Kenya. MSC project submitted to the University of Nairobi.</w:t>
      </w:r>
    </w:p>
    <w:p w14:paraId="43CF718C"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 xml:space="preserve">Wu, A. Y., Rutledge, M. S., &amp; </w:t>
      </w:r>
      <w:proofErr w:type="spellStart"/>
      <w:r w:rsidRPr="00DC4AC4">
        <w:rPr>
          <w:color w:val="000000" w:themeColor="text1"/>
        </w:rPr>
        <w:t>Penglase</w:t>
      </w:r>
      <w:proofErr w:type="spellEnd"/>
      <w:r w:rsidRPr="00DC4AC4">
        <w:rPr>
          <w:color w:val="000000" w:themeColor="text1"/>
        </w:rPr>
        <w:t>, J. (2014). Why Don’t Lower-Income Individuals Have Pensions? Center for Retirement Research. Boston College.</w:t>
      </w:r>
    </w:p>
    <w:p w14:paraId="0843E466"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Sabiya, A., &amp; Joel, M. (2023). Firm characteristics and financial performance of pension fund administrators in Nigeria. Journal of Arid Zone Economy, 1(2), 35-47.</w:t>
      </w:r>
    </w:p>
    <w:p w14:paraId="2F9DDD0B"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Sekaran, U., &amp; Bougie, R. (2010). Research Methods for Business: A Skill-Building Approach (5th ed.). West Sussex: John Wiley and Sons Ltd.</w:t>
      </w:r>
    </w:p>
    <w:p w14:paraId="5635CD7B" w14:textId="77777777" w:rsidR="00DC4AC4" w:rsidRPr="00DC4AC4" w:rsidRDefault="00DC4AC4" w:rsidP="00DC4AC4">
      <w:pPr>
        <w:pStyle w:val="NormalWeb"/>
        <w:spacing w:before="0" w:line="276" w:lineRule="auto"/>
        <w:ind w:left="720" w:hanging="720"/>
        <w:rPr>
          <w:color w:val="000000" w:themeColor="text1"/>
        </w:rPr>
      </w:pPr>
      <w:proofErr w:type="spellStart"/>
      <w:r w:rsidRPr="00DC4AC4">
        <w:rPr>
          <w:color w:val="000000" w:themeColor="text1"/>
        </w:rPr>
        <w:t>Stalebrink</w:t>
      </w:r>
      <w:proofErr w:type="spellEnd"/>
      <w:r w:rsidRPr="00DC4AC4">
        <w:rPr>
          <w:color w:val="000000" w:themeColor="text1"/>
        </w:rPr>
        <w:t>, O. J. (2016). Public Pension Funds and Alternative Investments: A Tale of Four Swedish National Pension Funds. International Journal of Public Administration, 39(2), 107-121.</w:t>
      </w:r>
    </w:p>
    <w:p w14:paraId="6918C365" w14:textId="77777777" w:rsidR="00DC4AC4" w:rsidRPr="00DC4AC4" w:rsidRDefault="00DC4AC4" w:rsidP="00DC4AC4">
      <w:pPr>
        <w:pStyle w:val="NormalWeb"/>
        <w:spacing w:before="0" w:line="276" w:lineRule="auto"/>
        <w:ind w:left="720" w:hanging="720"/>
        <w:rPr>
          <w:color w:val="000000" w:themeColor="text1"/>
        </w:rPr>
      </w:pPr>
      <w:r w:rsidRPr="00DC4AC4">
        <w:rPr>
          <w:color w:val="000000" w:themeColor="text1"/>
        </w:rPr>
        <w:t>Sitienei, P. K. M. (2019). Factors affecting the financial performance of pension schemes in Kenya. Master of Business Administration. University of Nairobi.</w:t>
      </w:r>
    </w:p>
    <w:p w14:paraId="760CE01E" w14:textId="77777777" w:rsidR="00DC4AC4" w:rsidRPr="00201AD3" w:rsidRDefault="00DC4AC4" w:rsidP="00DC4AC4">
      <w:pPr>
        <w:pStyle w:val="NormalWeb"/>
        <w:spacing w:before="0" w:line="276" w:lineRule="auto"/>
        <w:ind w:left="720" w:hanging="720"/>
        <w:rPr>
          <w:color w:val="000000" w:themeColor="text1"/>
          <w:lang w:val="nl-BE"/>
        </w:rPr>
      </w:pPr>
      <w:r w:rsidRPr="00DC4AC4">
        <w:rPr>
          <w:color w:val="000000" w:themeColor="text1"/>
        </w:rPr>
        <w:t xml:space="preserve">Van Essen, M. (2011), An institution-based view of ownership. </w:t>
      </w:r>
      <w:r w:rsidRPr="00201AD3">
        <w:rPr>
          <w:color w:val="000000" w:themeColor="text1"/>
          <w:lang w:val="nl-BE"/>
        </w:rPr>
        <w:t>Rotterdam: Erasmus University Rotterdam.</w:t>
      </w:r>
    </w:p>
    <w:p w14:paraId="66FEC459" w14:textId="77777777" w:rsidR="00DC4AC4" w:rsidRPr="00DC4AC4" w:rsidRDefault="00DC4AC4" w:rsidP="00DC4AC4">
      <w:pPr>
        <w:pStyle w:val="NormalWeb"/>
        <w:spacing w:before="0" w:line="276" w:lineRule="auto"/>
        <w:ind w:left="720" w:hanging="720"/>
        <w:rPr>
          <w:color w:val="000000" w:themeColor="text1"/>
        </w:rPr>
      </w:pPr>
      <w:r w:rsidRPr="00201AD3">
        <w:rPr>
          <w:color w:val="000000" w:themeColor="text1"/>
          <w:lang w:val="nl-BE"/>
        </w:rPr>
        <w:t xml:space="preserve">Wairimu, J. K., &amp; Ndirangu, P. M. (2022). </w:t>
      </w:r>
      <w:r w:rsidRPr="00DC4AC4">
        <w:rPr>
          <w:color w:val="000000" w:themeColor="text1"/>
        </w:rPr>
        <w:t>Defined contribution vs. defined benefit pension schemes: Effects on ROI and fund sustainability in Kenya. Journal of African Pension Studies, 10(1), 45–60. https://doi.org/10.1234/japs.2022.10.1.45</w:t>
      </w:r>
    </w:p>
    <w:p w14:paraId="56BF886F" w14:textId="77777777" w:rsidR="00DC4AC4" w:rsidRPr="00DC4AC4" w:rsidRDefault="00DC4AC4" w:rsidP="00DC4AC4">
      <w:pPr>
        <w:pStyle w:val="NormalWeb"/>
        <w:spacing w:before="0" w:line="276" w:lineRule="auto"/>
        <w:ind w:left="720" w:hanging="720"/>
        <w:rPr>
          <w:color w:val="000000" w:themeColor="text1"/>
        </w:rPr>
      </w:pPr>
      <w:proofErr w:type="spellStart"/>
      <w:r w:rsidRPr="00DC4AC4">
        <w:rPr>
          <w:color w:val="000000" w:themeColor="text1"/>
        </w:rPr>
        <w:t>Wandeto</w:t>
      </w:r>
      <w:proofErr w:type="spellEnd"/>
      <w:r w:rsidRPr="00DC4AC4">
        <w:rPr>
          <w:color w:val="000000" w:themeColor="text1"/>
        </w:rPr>
        <w:t xml:space="preserve">, M. N. (2024). Firm Characteristics and Financial Performance </w:t>
      </w:r>
      <w:proofErr w:type="gramStart"/>
      <w:r w:rsidRPr="00DC4AC4">
        <w:rPr>
          <w:color w:val="000000" w:themeColor="text1"/>
        </w:rPr>
        <w:t>Of</w:t>
      </w:r>
      <w:proofErr w:type="gramEnd"/>
      <w:r w:rsidRPr="00DC4AC4">
        <w:rPr>
          <w:color w:val="000000" w:themeColor="text1"/>
        </w:rPr>
        <w:t xml:space="preserve"> Pension Schemes </w:t>
      </w:r>
      <w:proofErr w:type="gramStart"/>
      <w:r w:rsidRPr="00DC4AC4">
        <w:rPr>
          <w:color w:val="000000" w:themeColor="text1"/>
        </w:rPr>
        <w:t>In</w:t>
      </w:r>
      <w:proofErr w:type="gramEnd"/>
      <w:r w:rsidRPr="00DC4AC4">
        <w:rPr>
          <w:color w:val="000000" w:themeColor="text1"/>
        </w:rPr>
        <w:t xml:space="preserve"> Kenya.</w:t>
      </w:r>
    </w:p>
    <w:p w14:paraId="22A005A7" w14:textId="0CE1FF11" w:rsidR="00B55CEF" w:rsidRPr="00B55CEF" w:rsidRDefault="00DC4AC4" w:rsidP="00DC4AC4">
      <w:pPr>
        <w:pStyle w:val="NormalWeb"/>
        <w:spacing w:before="0" w:beforeAutospacing="0" w:after="0" w:afterAutospacing="0" w:line="276" w:lineRule="auto"/>
        <w:ind w:left="720" w:hanging="720"/>
        <w:rPr>
          <w:color w:val="000000" w:themeColor="text1"/>
        </w:rPr>
      </w:pPr>
      <w:r w:rsidRPr="00DC4AC4">
        <w:rPr>
          <w:color w:val="000000" w:themeColor="text1"/>
        </w:rPr>
        <w:t>World Bank. (2023). Five insights on pension reforms for the 21st century. In Investing in People blog. https://blogs.worldbank.org/investinpeople/five-insights-on-pension-reforms-for-the-21st-century</w:t>
      </w:r>
    </w:p>
    <w:sectPr w:rsidR="00B55CEF" w:rsidRPr="00B55CEF" w:rsidSect="00055D83">
      <w:headerReference w:type="even" r:id="rId8"/>
      <w:headerReference w:type="default" r:id="rId9"/>
      <w:footerReference w:type="even" r:id="rId10"/>
      <w:footerReference w:type="default" r:id="rId11"/>
      <w:headerReference w:type="first" r:id="rId12"/>
      <w:footerReference w:type="first" r:id="rId13"/>
      <w:pgSz w:w="12240" w:h="15840" w:code="1"/>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64B21" w14:textId="77777777" w:rsidR="00C9747E" w:rsidRDefault="00C9747E">
      <w:pPr>
        <w:spacing w:before="0" w:line="240" w:lineRule="auto"/>
      </w:pPr>
      <w:r>
        <w:separator/>
      </w:r>
    </w:p>
  </w:endnote>
  <w:endnote w:type="continuationSeparator" w:id="0">
    <w:p w14:paraId="0056ADD4" w14:textId="77777777" w:rsidR="00C9747E" w:rsidRDefault="00C9747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06AAE" w14:textId="77777777" w:rsidR="00FA3E75" w:rsidRDefault="00FA3E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2236679"/>
      <w:docPartObj>
        <w:docPartGallery w:val="Page Numbers (Bottom of Page)"/>
        <w:docPartUnique/>
      </w:docPartObj>
    </w:sdtPr>
    <w:sdtEndPr>
      <w:rPr>
        <w:noProof/>
        <w:sz w:val="20"/>
        <w:szCs w:val="18"/>
      </w:rPr>
    </w:sdtEndPr>
    <w:sdtContent>
      <w:p w14:paraId="78E128D3" w14:textId="40E923F6" w:rsidR="004A5E22" w:rsidRPr="008A0558" w:rsidRDefault="004A5E22">
        <w:pPr>
          <w:pStyle w:val="Footer"/>
          <w:jc w:val="center"/>
          <w:rPr>
            <w:sz w:val="20"/>
            <w:szCs w:val="18"/>
          </w:rPr>
        </w:pPr>
        <w:r w:rsidRPr="008A0558">
          <w:rPr>
            <w:sz w:val="20"/>
            <w:szCs w:val="18"/>
          </w:rPr>
          <w:fldChar w:fldCharType="begin"/>
        </w:r>
        <w:r w:rsidRPr="008A0558">
          <w:rPr>
            <w:sz w:val="20"/>
            <w:szCs w:val="18"/>
          </w:rPr>
          <w:instrText xml:space="preserve"> PAGE   \* MERGEFORMAT </w:instrText>
        </w:r>
        <w:r w:rsidRPr="008A0558">
          <w:rPr>
            <w:sz w:val="20"/>
            <w:szCs w:val="18"/>
          </w:rPr>
          <w:fldChar w:fldCharType="separate"/>
        </w:r>
        <w:r w:rsidR="006B7ED6">
          <w:rPr>
            <w:noProof/>
            <w:sz w:val="20"/>
            <w:szCs w:val="18"/>
          </w:rPr>
          <w:t>1</w:t>
        </w:r>
        <w:r w:rsidRPr="008A0558">
          <w:rPr>
            <w:noProof/>
            <w:sz w:val="20"/>
            <w:szCs w:val="18"/>
          </w:rPr>
          <w:fldChar w:fldCharType="end"/>
        </w:r>
      </w:p>
    </w:sdtContent>
  </w:sdt>
  <w:p w14:paraId="70E80D4D" w14:textId="77777777" w:rsidR="004A5E22" w:rsidRDefault="004A5E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A3B0B" w14:textId="77777777" w:rsidR="00FA3E75" w:rsidRDefault="00FA3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25D36" w14:textId="77777777" w:rsidR="00C9747E" w:rsidRDefault="00C9747E">
      <w:pPr>
        <w:spacing w:before="0" w:line="240" w:lineRule="auto"/>
      </w:pPr>
      <w:r>
        <w:separator/>
      </w:r>
    </w:p>
  </w:footnote>
  <w:footnote w:type="continuationSeparator" w:id="0">
    <w:p w14:paraId="25C1EA1C" w14:textId="77777777" w:rsidR="00C9747E" w:rsidRDefault="00C9747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9C37" w14:textId="4AA16FEE" w:rsidR="00FA3E75" w:rsidRDefault="00000000">
    <w:pPr>
      <w:pStyle w:val="Header"/>
    </w:pPr>
    <w:r>
      <w:rPr>
        <w:noProof/>
      </w:rPr>
      <w:pict w14:anchorId="48A70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62688" o:spid="_x0000_s1026" type="#_x0000_t136" style="position:absolute;left:0;text-align:left;margin-left:0;margin-top:0;width:699.8pt;height:77.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CBF5E" w14:textId="1C5DD392" w:rsidR="00FA3E75" w:rsidRDefault="00000000">
    <w:pPr>
      <w:pStyle w:val="Header"/>
    </w:pPr>
    <w:r>
      <w:rPr>
        <w:noProof/>
      </w:rPr>
      <w:pict w14:anchorId="3D8117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62689" o:spid="_x0000_s1027" type="#_x0000_t136" style="position:absolute;left:0;text-align:left;margin-left:0;margin-top:0;width:699.8pt;height:77.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B82E" w14:textId="363C8BDE" w:rsidR="00FA3E75" w:rsidRDefault="00000000">
    <w:pPr>
      <w:pStyle w:val="Header"/>
    </w:pPr>
    <w:r>
      <w:rPr>
        <w:noProof/>
      </w:rPr>
      <w:pict w14:anchorId="4DF11E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62687" o:spid="_x0000_s1025" type="#_x0000_t136" style="position:absolute;left:0;text-align:left;margin-left:0;margin-top:0;width:699.8pt;height:77.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687400"/>
    <w:multiLevelType w:val="hybridMultilevel"/>
    <w:tmpl w:val="0718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566D1"/>
    <w:multiLevelType w:val="hybridMultilevel"/>
    <w:tmpl w:val="7BAE5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B7C9E"/>
    <w:multiLevelType w:val="multilevel"/>
    <w:tmpl w:val="0C88FA22"/>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14F32EA"/>
    <w:multiLevelType w:val="hybridMultilevel"/>
    <w:tmpl w:val="E7D68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01C5E"/>
    <w:multiLevelType w:val="hybridMultilevel"/>
    <w:tmpl w:val="F65823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4A1EAC"/>
    <w:multiLevelType w:val="hybridMultilevel"/>
    <w:tmpl w:val="A7EA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EE5C35"/>
    <w:multiLevelType w:val="hybridMultilevel"/>
    <w:tmpl w:val="4A0A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B47B39"/>
    <w:multiLevelType w:val="hybridMultilevel"/>
    <w:tmpl w:val="0D0A84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2D3349"/>
    <w:multiLevelType w:val="hybridMultilevel"/>
    <w:tmpl w:val="7B7E2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63F92"/>
    <w:multiLevelType w:val="hybridMultilevel"/>
    <w:tmpl w:val="0010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8732FF"/>
    <w:multiLevelType w:val="multilevel"/>
    <w:tmpl w:val="568460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B8C22F9"/>
    <w:multiLevelType w:val="hybridMultilevel"/>
    <w:tmpl w:val="DDBAC8F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16B58F2"/>
    <w:multiLevelType w:val="multilevel"/>
    <w:tmpl w:val="EC12FE2E"/>
    <w:lvl w:ilvl="0">
      <w:start w:val="4"/>
      <w:numFmt w:val="decimal"/>
      <w:lvlText w:val="%1"/>
      <w:lvlJc w:val="left"/>
      <w:pPr>
        <w:ind w:left="375" w:hanging="375"/>
      </w:pPr>
      <w:rPr>
        <w:rFonts w:cs="SimSun" w:hint="default"/>
        <w:color w:val="000000"/>
        <w:sz w:val="24"/>
      </w:rPr>
    </w:lvl>
    <w:lvl w:ilvl="1">
      <w:start w:val="1"/>
      <w:numFmt w:val="decimal"/>
      <w:lvlText w:val="%1.%2"/>
      <w:lvlJc w:val="left"/>
      <w:pPr>
        <w:ind w:left="375" w:hanging="375"/>
      </w:pPr>
      <w:rPr>
        <w:rFonts w:cs="SimSun" w:hint="default"/>
        <w:color w:val="000000"/>
        <w:sz w:val="24"/>
      </w:rPr>
    </w:lvl>
    <w:lvl w:ilvl="2">
      <w:start w:val="1"/>
      <w:numFmt w:val="decimal"/>
      <w:lvlText w:val="%1.%2.%3"/>
      <w:lvlJc w:val="left"/>
      <w:pPr>
        <w:ind w:left="720" w:hanging="720"/>
      </w:pPr>
      <w:rPr>
        <w:rFonts w:cs="SimSun" w:hint="default"/>
        <w:color w:val="000000"/>
        <w:sz w:val="24"/>
      </w:rPr>
    </w:lvl>
    <w:lvl w:ilvl="3">
      <w:start w:val="1"/>
      <w:numFmt w:val="decimal"/>
      <w:lvlText w:val="%1.%2.%3.%4"/>
      <w:lvlJc w:val="left"/>
      <w:pPr>
        <w:ind w:left="720" w:hanging="720"/>
      </w:pPr>
      <w:rPr>
        <w:rFonts w:cs="SimSun" w:hint="default"/>
        <w:color w:val="000000"/>
        <w:sz w:val="24"/>
      </w:rPr>
    </w:lvl>
    <w:lvl w:ilvl="4">
      <w:start w:val="1"/>
      <w:numFmt w:val="decimal"/>
      <w:lvlText w:val="%1.%2.%3.%4.%5"/>
      <w:lvlJc w:val="left"/>
      <w:pPr>
        <w:ind w:left="1080" w:hanging="1080"/>
      </w:pPr>
      <w:rPr>
        <w:rFonts w:cs="SimSun" w:hint="default"/>
        <w:color w:val="000000"/>
        <w:sz w:val="24"/>
      </w:rPr>
    </w:lvl>
    <w:lvl w:ilvl="5">
      <w:start w:val="1"/>
      <w:numFmt w:val="decimal"/>
      <w:lvlText w:val="%1.%2.%3.%4.%5.%6"/>
      <w:lvlJc w:val="left"/>
      <w:pPr>
        <w:ind w:left="1080" w:hanging="1080"/>
      </w:pPr>
      <w:rPr>
        <w:rFonts w:cs="SimSun" w:hint="default"/>
        <w:color w:val="000000"/>
        <w:sz w:val="24"/>
      </w:rPr>
    </w:lvl>
    <w:lvl w:ilvl="6">
      <w:start w:val="1"/>
      <w:numFmt w:val="decimal"/>
      <w:lvlText w:val="%1.%2.%3.%4.%5.%6.%7"/>
      <w:lvlJc w:val="left"/>
      <w:pPr>
        <w:ind w:left="1440" w:hanging="1440"/>
      </w:pPr>
      <w:rPr>
        <w:rFonts w:cs="SimSun" w:hint="default"/>
        <w:color w:val="000000"/>
        <w:sz w:val="24"/>
      </w:rPr>
    </w:lvl>
    <w:lvl w:ilvl="7">
      <w:start w:val="1"/>
      <w:numFmt w:val="decimal"/>
      <w:lvlText w:val="%1.%2.%3.%4.%5.%6.%7.%8"/>
      <w:lvlJc w:val="left"/>
      <w:pPr>
        <w:ind w:left="1440" w:hanging="1440"/>
      </w:pPr>
      <w:rPr>
        <w:rFonts w:cs="SimSun" w:hint="default"/>
        <w:color w:val="000000"/>
        <w:sz w:val="24"/>
      </w:rPr>
    </w:lvl>
    <w:lvl w:ilvl="8">
      <w:start w:val="1"/>
      <w:numFmt w:val="decimal"/>
      <w:lvlText w:val="%1.%2.%3.%4.%5.%6.%7.%8.%9"/>
      <w:lvlJc w:val="left"/>
      <w:pPr>
        <w:ind w:left="1800" w:hanging="1800"/>
      </w:pPr>
      <w:rPr>
        <w:rFonts w:cs="SimSun" w:hint="default"/>
        <w:color w:val="000000"/>
        <w:sz w:val="24"/>
      </w:rPr>
    </w:lvl>
  </w:abstractNum>
  <w:abstractNum w:abstractNumId="14" w15:restartNumberingAfterBreak="0">
    <w:nsid w:val="79B72972"/>
    <w:multiLevelType w:val="hybridMultilevel"/>
    <w:tmpl w:val="4F306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C84D78"/>
    <w:multiLevelType w:val="multilevel"/>
    <w:tmpl w:val="C2EA0EBE"/>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5"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960" w:hanging="540"/>
      </w:pPr>
      <w:rPr>
        <w:rFonts w:hint="default"/>
        <w:lang w:val="en-US" w:eastAsia="en-US" w:bidi="ar-SA"/>
      </w:rPr>
    </w:lvl>
    <w:lvl w:ilvl="4">
      <w:numFmt w:val="bullet"/>
      <w:lvlText w:val="•"/>
      <w:lvlJc w:val="left"/>
      <w:pPr>
        <w:ind w:left="1090" w:hanging="540"/>
      </w:pPr>
      <w:rPr>
        <w:rFonts w:hint="default"/>
        <w:lang w:val="en-US" w:eastAsia="en-US" w:bidi="ar-SA"/>
      </w:rPr>
    </w:lvl>
    <w:lvl w:ilvl="5">
      <w:numFmt w:val="bullet"/>
      <w:lvlText w:val="•"/>
      <w:lvlJc w:val="left"/>
      <w:pPr>
        <w:ind w:left="1220" w:hanging="540"/>
      </w:pPr>
      <w:rPr>
        <w:rFonts w:hint="default"/>
        <w:lang w:val="en-US" w:eastAsia="en-US" w:bidi="ar-SA"/>
      </w:rPr>
    </w:lvl>
    <w:lvl w:ilvl="6">
      <w:numFmt w:val="bullet"/>
      <w:lvlText w:val="•"/>
      <w:lvlJc w:val="left"/>
      <w:pPr>
        <w:ind w:left="1351" w:hanging="540"/>
      </w:pPr>
      <w:rPr>
        <w:rFonts w:hint="default"/>
        <w:lang w:val="en-US" w:eastAsia="en-US" w:bidi="ar-SA"/>
      </w:rPr>
    </w:lvl>
    <w:lvl w:ilvl="7">
      <w:numFmt w:val="bullet"/>
      <w:lvlText w:val="•"/>
      <w:lvlJc w:val="left"/>
      <w:pPr>
        <w:ind w:left="1481" w:hanging="540"/>
      </w:pPr>
      <w:rPr>
        <w:rFonts w:hint="default"/>
        <w:lang w:val="en-US" w:eastAsia="en-US" w:bidi="ar-SA"/>
      </w:rPr>
    </w:lvl>
    <w:lvl w:ilvl="8">
      <w:numFmt w:val="bullet"/>
      <w:lvlText w:val="•"/>
      <w:lvlJc w:val="left"/>
      <w:pPr>
        <w:ind w:left="1611" w:hanging="540"/>
      </w:pPr>
      <w:rPr>
        <w:rFonts w:hint="default"/>
        <w:lang w:val="en-US" w:eastAsia="en-US" w:bidi="ar-SA"/>
      </w:rPr>
    </w:lvl>
  </w:abstractNum>
  <w:num w:numId="1" w16cid:durableId="100415019">
    <w:abstractNumId w:val="4"/>
  </w:num>
  <w:num w:numId="2" w16cid:durableId="1419399545">
    <w:abstractNumId w:val="10"/>
  </w:num>
  <w:num w:numId="3" w16cid:durableId="172308430">
    <w:abstractNumId w:val="15"/>
  </w:num>
  <w:num w:numId="4" w16cid:durableId="209533971">
    <w:abstractNumId w:val="14"/>
  </w:num>
  <w:num w:numId="5" w16cid:durableId="1038772283">
    <w:abstractNumId w:val="11"/>
  </w:num>
  <w:num w:numId="6" w16cid:durableId="1108235419">
    <w:abstractNumId w:val="13"/>
  </w:num>
  <w:num w:numId="7" w16cid:durableId="1295521538">
    <w:abstractNumId w:val="3"/>
  </w:num>
  <w:num w:numId="8" w16cid:durableId="1280338336">
    <w:abstractNumId w:val="0"/>
  </w:num>
  <w:num w:numId="9" w16cid:durableId="1421293552">
    <w:abstractNumId w:val="8"/>
  </w:num>
  <w:num w:numId="10" w16cid:durableId="429551659">
    <w:abstractNumId w:val="5"/>
  </w:num>
  <w:num w:numId="11" w16cid:durableId="272247144">
    <w:abstractNumId w:val="1"/>
  </w:num>
  <w:num w:numId="12" w16cid:durableId="1020282672">
    <w:abstractNumId w:val="7"/>
  </w:num>
  <w:num w:numId="13" w16cid:durableId="2083678153">
    <w:abstractNumId w:val="9"/>
  </w:num>
  <w:num w:numId="14" w16cid:durableId="1387606836">
    <w:abstractNumId w:val="12"/>
  </w:num>
  <w:num w:numId="15" w16cid:durableId="783889946">
    <w:abstractNumId w:val="2"/>
  </w:num>
  <w:num w:numId="16" w16cid:durableId="17236005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D83"/>
    <w:rsid w:val="00005286"/>
    <w:rsid w:val="00014726"/>
    <w:rsid w:val="0001490C"/>
    <w:rsid w:val="000443AB"/>
    <w:rsid w:val="000446E8"/>
    <w:rsid w:val="000457C8"/>
    <w:rsid w:val="00047D61"/>
    <w:rsid w:val="00055D83"/>
    <w:rsid w:val="000577EB"/>
    <w:rsid w:val="0006448B"/>
    <w:rsid w:val="00064933"/>
    <w:rsid w:val="000661F9"/>
    <w:rsid w:val="00073097"/>
    <w:rsid w:val="000747C2"/>
    <w:rsid w:val="000750F8"/>
    <w:rsid w:val="00076BA5"/>
    <w:rsid w:val="00082DAA"/>
    <w:rsid w:val="0009733F"/>
    <w:rsid w:val="000A3BD7"/>
    <w:rsid w:val="000A57EC"/>
    <w:rsid w:val="000A6884"/>
    <w:rsid w:val="000B496D"/>
    <w:rsid w:val="000C037E"/>
    <w:rsid w:val="000D075E"/>
    <w:rsid w:val="000D0F56"/>
    <w:rsid w:val="000D1B44"/>
    <w:rsid w:val="000D7152"/>
    <w:rsid w:val="000D7DAA"/>
    <w:rsid w:val="000E2349"/>
    <w:rsid w:val="00111B62"/>
    <w:rsid w:val="001163C7"/>
    <w:rsid w:val="00120FC1"/>
    <w:rsid w:val="00130874"/>
    <w:rsid w:val="001403AD"/>
    <w:rsid w:val="00142F60"/>
    <w:rsid w:val="001450C8"/>
    <w:rsid w:val="001452A3"/>
    <w:rsid w:val="00146B67"/>
    <w:rsid w:val="00154669"/>
    <w:rsid w:val="00162029"/>
    <w:rsid w:val="00167C75"/>
    <w:rsid w:val="0018163F"/>
    <w:rsid w:val="001938DE"/>
    <w:rsid w:val="001A5880"/>
    <w:rsid w:val="001B10EA"/>
    <w:rsid w:val="001C0412"/>
    <w:rsid w:val="001C4B7D"/>
    <w:rsid w:val="001D23A9"/>
    <w:rsid w:val="001D4A55"/>
    <w:rsid w:val="001D6A60"/>
    <w:rsid w:val="001E0043"/>
    <w:rsid w:val="001E21F0"/>
    <w:rsid w:val="001E5289"/>
    <w:rsid w:val="001E649F"/>
    <w:rsid w:val="001F024F"/>
    <w:rsid w:val="001F2B0E"/>
    <w:rsid w:val="001F7468"/>
    <w:rsid w:val="00201AD3"/>
    <w:rsid w:val="00204AAD"/>
    <w:rsid w:val="0021142D"/>
    <w:rsid w:val="0022048F"/>
    <w:rsid w:val="0022156B"/>
    <w:rsid w:val="00223099"/>
    <w:rsid w:val="00223A1A"/>
    <w:rsid w:val="0022500A"/>
    <w:rsid w:val="00243C69"/>
    <w:rsid w:val="0024737A"/>
    <w:rsid w:val="0025635B"/>
    <w:rsid w:val="00260B2D"/>
    <w:rsid w:val="002645C1"/>
    <w:rsid w:val="00270AED"/>
    <w:rsid w:val="00271CF6"/>
    <w:rsid w:val="00274AC6"/>
    <w:rsid w:val="00276CE5"/>
    <w:rsid w:val="002779A5"/>
    <w:rsid w:val="00281FB5"/>
    <w:rsid w:val="002856C7"/>
    <w:rsid w:val="002859D4"/>
    <w:rsid w:val="002860AE"/>
    <w:rsid w:val="002A5924"/>
    <w:rsid w:val="002B2D3C"/>
    <w:rsid w:val="002B5578"/>
    <w:rsid w:val="002C57AB"/>
    <w:rsid w:val="002C5E15"/>
    <w:rsid w:val="002C6F25"/>
    <w:rsid w:val="002C72A3"/>
    <w:rsid w:val="002D1CB2"/>
    <w:rsid w:val="002D32ED"/>
    <w:rsid w:val="002D4259"/>
    <w:rsid w:val="002D7340"/>
    <w:rsid w:val="002E3874"/>
    <w:rsid w:val="002E784F"/>
    <w:rsid w:val="002F03DA"/>
    <w:rsid w:val="002F3573"/>
    <w:rsid w:val="00300BE0"/>
    <w:rsid w:val="00301FD6"/>
    <w:rsid w:val="003029F0"/>
    <w:rsid w:val="00311DFA"/>
    <w:rsid w:val="003131D7"/>
    <w:rsid w:val="003140FD"/>
    <w:rsid w:val="00323D68"/>
    <w:rsid w:val="00324548"/>
    <w:rsid w:val="0033028F"/>
    <w:rsid w:val="00330784"/>
    <w:rsid w:val="0033151D"/>
    <w:rsid w:val="003352DD"/>
    <w:rsid w:val="00336C6D"/>
    <w:rsid w:val="00337145"/>
    <w:rsid w:val="00342FD9"/>
    <w:rsid w:val="00343363"/>
    <w:rsid w:val="0036344E"/>
    <w:rsid w:val="00370F8B"/>
    <w:rsid w:val="00372DCB"/>
    <w:rsid w:val="00376BF4"/>
    <w:rsid w:val="0038156E"/>
    <w:rsid w:val="00393E32"/>
    <w:rsid w:val="003A2387"/>
    <w:rsid w:val="003C4227"/>
    <w:rsid w:val="003C581F"/>
    <w:rsid w:val="003C59BB"/>
    <w:rsid w:val="003C7107"/>
    <w:rsid w:val="003D2541"/>
    <w:rsid w:val="003D39AB"/>
    <w:rsid w:val="003D4F7C"/>
    <w:rsid w:val="003D7198"/>
    <w:rsid w:val="003E0D69"/>
    <w:rsid w:val="003E0FAD"/>
    <w:rsid w:val="003F01AE"/>
    <w:rsid w:val="003F08B4"/>
    <w:rsid w:val="003F72A0"/>
    <w:rsid w:val="00406845"/>
    <w:rsid w:val="004071F4"/>
    <w:rsid w:val="00407977"/>
    <w:rsid w:val="0041566F"/>
    <w:rsid w:val="00415ABE"/>
    <w:rsid w:val="004165B3"/>
    <w:rsid w:val="00421CF2"/>
    <w:rsid w:val="00421E84"/>
    <w:rsid w:val="0042251A"/>
    <w:rsid w:val="00426617"/>
    <w:rsid w:val="00426CDB"/>
    <w:rsid w:val="00437393"/>
    <w:rsid w:val="00440EF7"/>
    <w:rsid w:val="004916BB"/>
    <w:rsid w:val="004963A4"/>
    <w:rsid w:val="00496991"/>
    <w:rsid w:val="004A12F4"/>
    <w:rsid w:val="004A3F7C"/>
    <w:rsid w:val="004A5357"/>
    <w:rsid w:val="004A5E22"/>
    <w:rsid w:val="004A63A3"/>
    <w:rsid w:val="004B7C71"/>
    <w:rsid w:val="004C3121"/>
    <w:rsid w:val="004C41F7"/>
    <w:rsid w:val="004C4596"/>
    <w:rsid w:val="004D081D"/>
    <w:rsid w:val="004D5CCD"/>
    <w:rsid w:val="004E3D2D"/>
    <w:rsid w:val="004E4A2C"/>
    <w:rsid w:val="004E6332"/>
    <w:rsid w:val="00505972"/>
    <w:rsid w:val="00526412"/>
    <w:rsid w:val="0052667E"/>
    <w:rsid w:val="005417F4"/>
    <w:rsid w:val="0054398C"/>
    <w:rsid w:val="00546369"/>
    <w:rsid w:val="00556C7C"/>
    <w:rsid w:val="00561737"/>
    <w:rsid w:val="00563CE7"/>
    <w:rsid w:val="005666F9"/>
    <w:rsid w:val="00571717"/>
    <w:rsid w:val="00571F99"/>
    <w:rsid w:val="005740B5"/>
    <w:rsid w:val="00575F00"/>
    <w:rsid w:val="00591DBD"/>
    <w:rsid w:val="005926C9"/>
    <w:rsid w:val="00594F68"/>
    <w:rsid w:val="005B04D7"/>
    <w:rsid w:val="005B0558"/>
    <w:rsid w:val="005C0898"/>
    <w:rsid w:val="005D3FE1"/>
    <w:rsid w:val="005D4E6B"/>
    <w:rsid w:val="005D72F4"/>
    <w:rsid w:val="005E3D2C"/>
    <w:rsid w:val="005E6B92"/>
    <w:rsid w:val="005F0BB2"/>
    <w:rsid w:val="005F1DA5"/>
    <w:rsid w:val="005F2F50"/>
    <w:rsid w:val="0060683F"/>
    <w:rsid w:val="00610BEF"/>
    <w:rsid w:val="00615B2D"/>
    <w:rsid w:val="00616E93"/>
    <w:rsid w:val="006177C4"/>
    <w:rsid w:val="006211E5"/>
    <w:rsid w:val="00622E5D"/>
    <w:rsid w:val="00623C02"/>
    <w:rsid w:val="00632E53"/>
    <w:rsid w:val="00652189"/>
    <w:rsid w:val="0065654C"/>
    <w:rsid w:val="00661AAF"/>
    <w:rsid w:val="00675C16"/>
    <w:rsid w:val="006826A1"/>
    <w:rsid w:val="00683F32"/>
    <w:rsid w:val="00685965"/>
    <w:rsid w:val="0068692A"/>
    <w:rsid w:val="006A0520"/>
    <w:rsid w:val="006B1220"/>
    <w:rsid w:val="006B3C88"/>
    <w:rsid w:val="006B5A8E"/>
    <w:rsid w:val="006B5CA2"/>
    <w:rsid w:val="006B7ED6"/>
    <w:rsid w:val="006C3DFD"/>
    <w:rsid w:val="006C41A9"/>
    <w:rsid w:val="006C4D79"/>
    <w:rsid w:val="006D16E8"/>
    <w:rsid w:val="006E1D74"/>
    <w:rsid w:val="006E3F3F"/>
    <w:rsid w:val="006E526B"/>
    <w:rsid w:val="0070085D"/>
    <w:rsid w:val="00714562"/>
    <w:rsid w:val="0071731F"/>
    <w:rsid w:val="007173FC"/>
    <w:rsid w:val="007205CE"/>
    <w:rsid w:val="00722A32"/>
    <w:rsid w:val="00723B81"/>
    <w:rsid w:val="007313ED"/>
    <w:rsid w:val="00750F50"/>
    <w:rsid w:val="0076188C"/>
    <w:rsid w:val="00762807"/>
    <w:rsid w:val="007656A9"/>
    <w:rsid w:val="0077042C"/>
    <w:rsid w:val="0077101D"/>
    <w:rsid w:val="00772DE0"/>
    <w:rsid w:val="00774F84"/>
    <w:rsid w:val="007769D0"/>
    <w:rsid w:val="00777615"/>
    <w:rsid w:val="00784B96"/>
    <w:rsid w:val="00785F6F"/>
    <w:rsid w:val="00790BF9"/>
    <w:rsid w:val="007917E3"/>
    <w:rsid w:val="00795B86"/>
    <w:rsid w:val="00797B58"/>
    <w:rsid w:val="007A0442"/>
    <w:rsid w:val="007A2567"/>
    <w:rsid w:val="007A48D9"/>
    <w:rsid w:val="007A602B"/>
    <w:rsid w:val="007A61D7"/>
    <w:rsid w:val="007A6B64"/>
    <w:rsid w:val="007A7328"/>
    <w:rsid w:val="007A784F"/>
    <w:rsid w:val="007B75C6"/>
    <w:rsid w:val="007C3182"/>
    <w:rsid w:val="007C6929"/>
    <w:rsid w:val="007D08AC"/>
    <w:rsid w:val="007D4F35"/>
    <w:rsid w:val="007E0F37"/>
    <w:rsid w:val="007E5A6C"/>
    <w:rsid w:val="007F1318"/>
    <w:rsid w:val="007F4F3C"/>
    <w:rsid w:val="008003E7"/>
    <w:rsid w:val="00804C4D"/>
    <w:rsid w:val="00806DB8"/>
    <w:rsid w:val="0081762C"/>
    <w:rsid w:val="008209F0"/>
    <w:rsid w:val="00822A7E"/>
    <w:rsid w:val="008263C5"/>
    <w:rsid w:val="008456FF"/>
    <w:rsid w:val="00854FF7"/>
    <w:rsid w:val="00857BF9"/>
    <w:rsid w:val="00860F17"/>
    <w:rsid w:val="0086579B"/>
    <w:rsid w:val="00870B4E"/>
    <w:rsid w:val="008718EE"/>
    <w:rsid w:val="00872612"/>
    <w:rsid w:val="00876501"/>
    <w:rsid w:val="00880213"/>
    <w:rsid w:val="00895281"/>
    <w:rsid w:val="008A5E87"/>
    <w:rsid w:val="008B511B"/>
    <w:rsid w:val="008B630B"/>
    <w:rsid w:val="008B7836"/>
    <w:rsid w:val="008B7D65"/>
    <w:rsid w:val="008C2098"/>
    <w:rsid w:val="008D43EA"/>
    <w:rsid w:val="008E2312"/>
    <w:rsid w:val="008F4E62"/>
    <w:rsid w:val="00906288"/>
    <w:rsid w:val="0092006B"/>
    <w:rsid w:val="00925466"/>
    <w:rsid w:val="0092720B"/>
    <w:rsid w:val="00935ABF"/>
    <w:rsid w:val="00945F70"/>
    <w:rsid w:val="00961903"/>
    <w:rsid w:val="00963A57"/>
    <w:rsid w:val="00973355"/>
    <w:rsid w:val="009841F2"/>
    <w:rsid w:val="00993BED"/>
    <w:rsid w:val="009963FB"/>
    <w:rsid w:val="009A067C"/>
    <w:rsid w:val="009A1D5D"/>
    <w:rsid w:val="009A28E6"/>
    <w:rsid w:val="009B17C5"/>
    <w:rsid w:val="009B2CE5"/>
    <w:rsid w:val="009B3203"/>
    <w:rsid w:val="009B38E7"/>
    <w:rsid w:val="009B7DE4"/>
    <w:rsid w:val="009C0C7F"/>
    <w:rsid w:val="009C11BB"/>
    <w:rsid w:val="009D5CE2"/>
    <w:rsid w:val="009E0B92"/>
    <w:rsid w:val="009E0CF9"/>
    <w:rsid w:val="009E457F"/>
    <w:rsid w:val="009E783A"/>
    <w:rsid w:val="009F3871"/>
    <w:rsid w:val="009F5632"/>
    <w:rsid w:val="009F6D2D"/>
    <w:rsid w:val="00A00A05"/>
    <w:rsid w:val="00A0120F"/>
    <w:rsid w:val="00A01E19"/>
    <w:rsid w:val="00A22EB7"/>
    <w:rsid w:val="00A27439"/>
    <w:rsid w:val="00A31119"/>
    <w:rsid w:val="00A40F08"/>
    <w:rsid w:val="00A52C12"/>
    <w:rsid w:val="00A57832"/>
    <w:rsid w:val="00A616A9"/>
    <w:rsid w:val="00A63E94"/>
    <w:rsid w:val="00A6679B"/>
    <w:rsid w:val="00A67F40"/>
    <w:rsid w:val="00A73EDF"/>
    <w:rsid w:val="00A75341"/>
    <w:rsid w:val="00A81F27"/>
    <w:rsid w:val="00A82DFB"/>
    <w:rsid w:val="00A85593"/>
    <w:rsid w:val="00A85B82"/>
    <w:rsid w:val="00A91ACF"/>
    <w:rsid w:val="00A91C98"/>
    <w:rsid w:val="00A94D23"/>
    <w:rsid w:val="00A9586C"/>
    <w:rsid w:val="00A96A1E"/>
    <w:rsid w:val="00AA6E50"/>
    <w:rsid w:val="00AC0D69"/>
    <w:rsid w:val="00AD0959"/>
    <w:rsid w:val="00AD6429"/>
    <w:rsid w:val="00AE4AA5"/>
    <w:rsid w:val="00AF253B"/>
    <w:rsid w:val="00B00FCB"/>
    <w:rsid w:val="00B03327"/>
    <w:rsid w:val="00B04E6C"/>
    <w:rsid w:val="00B108BB"/>
    <w:rsid w:val="00B22173"/>
    <w:rsid w:val="00B40DD3"/>
    <w:rsid w:val="00B449E1"/>
    <w:rsid w:val="00B44B78"/>
    <w:rsid w:val="00B55CEF"/>
    <w:rsid w:val="00B55DC9"/>
    <w:rsid w:val="00B717D1"/>
    <w:rsid w:val="00B836B4"/>
    <w:rsid w:val="00B85E42"/>
    <w:rsid w:val="00B87A83"/>
    <w:rsid w:val="00B93488"/>
    <w:rsid w:val="00B9497F"/>
    <w:rsid w:val="00BA58DB"/>
    <w:rsid w:val="00BA790C"/>
    <w:rsid w:val="00BB1899"/>
    <w:rsid w:val="00BB3A83"/>
    <w:rsid w:val="00BC6A0A"/>
    <w:rsid w:val="00BC7830"/>
    <w:rsid w:val="00BD15A0"/>
    <w:rsid w:val="00BD1ED4"/>
    <w:rsid w:val="00BD64EB"/>
    <w:rsid w:val="00BD7BE1"/>
    <w:rsid w:val="00BE1869"/>
    <w:rsid w:val="00BE24E1"/>
    <w:rsid w:val="00BF6F97"/>
    <w:rsid w:val="00C01423"/>
    <w:rsid w:val="00C03297"/>
    <w:rsid w:val="00C053F5"/>
    <w:rsid w:val="00C06731"/>
    <w:rsid w:val="00C10FCA"/>
    <w:rsid w:val="00C1335A"/>
    <w:rsid w:val="00C237CE"/>
    <w:rsid w:val="00C25488"/>
    <w:rsid w:val="00C4118B"/>
    <w:rsid w:val="00C54577"/>
    <w:rsid w:val="00C67694"/>
    <w:rsid w:val="00C864EE"/>
    <w:rsid w:val="00C9348C"/>
    <w:rsid w:val="00C95979"/>
    <w:rsid w:val="00C9747E"/>
    <w:rsid w:val="00CA2418"/>
    <w:rsid w:val="00CA6BD4"/>
    <w:rsid w:val="00CB0A45"/>
    <w:rsid w:val="00CB6E82"/>
    <w:rsid w:val="00CE4C91"/>
    <w:rsid w:val="00CE7B27"/>
    <w:rsid w:val="00CF7422"/>
    <w:rsid w:val="00D15E77"/>
    <w:rsid w:val="00D16476"/>
    <w:rsid w:val="00D20B1E"/>
    <w:rsid w:val="00D21679"/>
    <w:rsid w:val="00D242AA"/>
    <w:rsid w:val="00D257C4"/>
    <w:rsid w:val="00D257F6"/>
    <w:rsid w:val="00D26C8B"/>
    <w:rsid w:val="00D309F6"/>
    <w:rsid w:val="00D34F84"/>
    <w:rsid w:val="00D35C0E"/>
    <w:rsid w:val="00D36322"/>
    <w:rsid w:val="00D54CAA"/>
    <w:rsid w:val="00D56393"/>
    <w:rsid w:val="00D56DAA"/>
    <w:rsid w:val="00D656A4"/>
    <w:rsid w:val="00D665A0"/>
    <w:rsid w:val="00D73F27"/>
    <w:rsid w:val="00D74259"/>
    <w:rsid w:val="00D7477F"/>
    <w:rsid w:val="00D94638"/>
    <w:rsid w:val="00DA0813"/>
    <w:rsid w:val="00DB266B"/>
    <w:rsid w:val="00DB408B"/>
    <w:rsid w:val="00DC406B"/>
    <w:rsid w:val="00DC4076"/>
    <w:rsid w:val="00DC411F"/>
    <w:rsid w:val="00DC4AC4"/>
    <w:rsid w:val="00DD21C0"/>
    <w:rsid w:val="00DE2430"/>
    <w:rsid w:val="00DE5974"/>
    <w:rsid w:val="00DE7041"/>
    <w:rsid w:val="00DF04C0"/>
    <w:rsid w:val="00DF126E"/>
    <w:rsid w:val="00E0554F"/>
    <w:rsid w:val="00E07021"/>
    <w:rsid w:val="00E1065F"/>
    <w:rsid w:val="00E1453F"/>
    <w:rsid w:val="00E160F3"/>
    <w:rsid w:val="00E17890"/>
    <w:rsid w:val="00E22B03"/>
    <w:rsid w:val="00E22FC8"/>
    <w:rsid w:val="00E236F2"/>
    <w:rsid w:val="00E24AB2"/>
    <w:rsid w:val="00E3709F"/>
    <w:rsid w:val="00E41E2F"/>
    <w:rsid w:val="00E448DE"/>
    <w:rsid w:val="00E468EC"/>
    <w:rsid w:val="00E5141C"/>
    <w:rsid w:val="00E54B24"/>
    <w:rsid w:val="00E57ADC"/>
    <w:rsid w:val="00E57E42"/>
    <w:rsid w:val="00E60AE6"/>
    <w:rsid w:val="00E70601"/>
    <w:rsid w:val="00E728DB"/>
    <w:rsid w:val="00E730D7"/>
    <w:rsid w:val="00E737F5"/>
    <w:rsid w:val="00E73E17"/>
    <w:rsid w:val="00E77E87"/>
    <w:rsid w:val="00E803E1"/>
    <w:rsid w:val="00E85394"/>
    <w:rsid w:val="00E85589"/>
    <w:rsid w:val="00E87A78"/>
    <w:rsid w:val="00EA355D"/>
    <w:rsid w:val="00EA7AE3"/>
    <w:rsid w:val="00EC58C5"/>
    <w:rsid w:val="00ED008A"/>
    <w:rsid w:val="00EE0214"/>
    <w:rsid w:val="00EF6848"/>
    <w:rsid w:val="00F00D01"/>
    <w:rsid w:val="00F01BA4"/>
    <w:rsid w:val="00F02225"/>
    <w:rsid w:val="00F05D67"/>
    <w:rsid w:val="00F111A2"/>
    <w:rsid w:val="00F14915"/>
    <w:rsid w:val="00F16858"/>
    <w:rsid w:val="00F23691"/>
    <w:rsid w:val="00F341B9"/>
    <w:rsid w:val="00F42712"/>
    <w:rsid w:val="00F42A52"/>
    <w:rsid w:val="00F42B0A"/>
    <w:rsid w:val="00F46BA3"/>
    <w:rsid w:val="00F6655B"/>
    <w:rsid w:val="00F74A68"/>
    <w:rsid w:val="00F74BD5"/>
    <w:rsid w:val="00F857CA"/>
    <w:rsid w:val="00F926C6"/>
    <w:rsid w:val="00F93EB9"/>
    <w:rsid w:val="00FA3A0A"/>
    <w:rsid w:val="00FA3E75"/>
    <w:rsid w:val="00FA74EF"/>
    <w:rsid w:val="00FB2E0F"/>
    <w:rsid w:val="00FB3030"/>
    <w:rsid w:val="00FB4E25"/>
    <w:rsid w:val="00FC34D0"/>
    <w:rsid w:val="00FC4A1C"/>
    <w:rsid w:val="00FD3DAC"/>
    <w:rsid w:val="00FD4A02"/>
    <w:rsid w:val="00FE5B93"/>
    <w:rsid w:val="00FE6B26"/>
    <w:rsid w:val="00FE7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60C7A"/>
  <w15:chartTrackingRefBased/>
  <w15:docId w15:val="{F58B4E4C-2E9A-4CEF-A397-9B648E9C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D83"/>
    <w:pPr>
      <w:spacing w:before="240" w:after="0" w:line="480" w:lineRule="auto"/>
      <w:jc w:val="both"/>
    </w:pPr>
    <w:rPr>
      <w:rFonts w:ascii="Times New Roman" w:eastAsia="Calibri" w:hAnsi="Times New Roman" w:cs="SimSun"/>
      <w:color w:val="000000"/>
      <w:kern w:val="0"/>
      <w:sz w:val="24"/>
    </w:rPr>
  </w:style>
  <w:style w:type="paragraph" w:styleId="Heading1">
    <w:name w:val="heading 1"/>
    <w:basedOn w:val="Normal"/>
    <w:next w:val="Normal"/>
    <w:link w:val="Heading1Char"/>
    <w:autoRedefine/>
    <w:uiPriority w:val="9"/>
    <w:qFormat/>
    <w:rsid w:val="00055D83"/>
    <w:pPr>
      <w:keepNext/>
      <w:keepLines/>
      <w:spacing w:before="600" w:after="120" w:line="240" w:lineRule="auto"/>
      <w:jc w:val="center"/>
      <w:outlineLvl w:val="0"/>
    </w:pPr>
    <w:rPr>
      <w:rFonts w:eastAsia="Times New Roman" w:cs="Times New Roman"/>
      <w:b/>
      <w:color w:val="000000" w:themeColor="text1"/>
      <w:kern w:val="2"/>
      <w:sz w:val="28"/>
      <w:szCs w:val="28"/>
      <w:u w:val="single"/>
    </w:rPr>
  </w:style>
  <w:style w:type="paragraph" w:styleId="Heading2">
    <w:name w:val="heading 2"/>
    <w:basedOn w:val="Normal"/>
    <w:next w:val="Normal"/>
    <w:link w:val="Heading2Char"/>
    <w:uiPriority w:val="9"/>
    <w:semiHidden/>
    <w:unhideWhenUsed/>
    <w:qFormat/>
    <w:rsid w:val="006068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11A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719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5D8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D83"/>
    <w:rPr>
      <w:rFonts w:ascii="Times New Roman" w:eastAsia="Times New Roman" w:hAnsi="Times New Roman" w:cs="Times New Roman"/>
      <w:b/>
      <w:color w:val="000000" w:themeColor="text1"/>
      <w:sz w:val="28"/>
      <w:szCs w:val="28"/>
      <w:u w:val="single"/>
    </w:rPr>
  </w:style>
  <w:style w:type="character" w:customStyle="1" w:styleId="Heading5Char">
    <w:name w:val="Heading 5 Char"/>
    <w:basedOn w:val="DefaultParagraphFont"/>
    <w:link w:val="Heading5"/>
    <w:uiPriority w:val="9"/>
    <w:rsid w:val="00055D83"/>
    <w:rPr>
      <w:rFonts w:asciiTheme="majorHAnsi" w:eastAsiaTheme="majorEastAsia" w:hAnsiTheme="majorHAnsi" w:cstheme="majorBidi"/>
      <w:color w:val="2F5496" w:themeColor="accent1" w:themeShade="BF"/>
      <w:kern w:val="0"/>
      <w:sz w:val="24"/>
    </w:rPr>
  </w:style>
  <w:style w:type="character" w:customStyle="1" w:styleId="ListParagraphChar">
    <w:name w:val="List Paragraph Char"/>
    <w:link w:val="ListParagraph"/>
    <w:uiPriority w:val="34"/>
    <w:rsid w:val="00055D83"/>
    <w:rPr>
      <w:rFonts w:ascii="Calibri" w:eastAsia="Calibri" w:hAnsi="Calibri" w:cs="Times New Roman"/>
    </w:rPr>
  </w:style>
  <w:style w:type="paragraph" w:styleId="ListParagraph">
    <w:name w:val="List Paragraph"/>
    <w:basedOn w:val="Normal"/>
    <w:link w:val="ListParagraphChar"/>
    <w:uiPriority w:val="34"/>
    <w:qFormat/>
    <w:rsid w:val="00055D83"/>
    <w:pPr>
      <w:spacing w:before="120" w:after="200"/>
      <w:ind w:left="720"/>
      <w:contextualSpacing/>
    </w:pPr>
    <w:rPr>
      <w:rFonts w:ascii="Calibri" w:hAnsi="Calibri" w:cs="Times New Roman"/>
      <w:color w:val="auto"/>
      <w:kern w:val="2"/>
      <w:sz w:val="22"/>
    </w:rPr>
  </w:style>
  <w:style w:type="paragraph" w:styleId="Footer">
    <w:name w:val="footer"/>
    <w:basedOn w:val="Normal"/>
    <w:link w:val="FooterChar"/>
    <w:uiPriority w:val="99"/>
    <w:unhideWhenUsed/>
    <w:rsid w:val="00055D8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55D83"/>
    <w:rPr>
      <w:rFonts w:ascii="Times New Roman" w:eastAsia="Calibri" w:hAnsi="Times New Roman" w:cs="SimSun"/>
      <w:color w:val="000000"/>
      <w:kern w:val="0"/>
      <w:sz w:val="24"/>
    </w:rPr>
  </w:style>
  <w:style w:type="paragraph" w:styleId="BodyText">
    <w:name w:val="Body Text"/>
    <w:basedOn w:val="Normal"/>
    <w:link w:val="BodyTextChar"/>
    <w:uiPriority w:val="1"/>
    <w:qFormat/>
    <w:rsid w:val="00055D83"/>
    <w:pPr>
      <w:widowControl w:val="0"/>
      <w:autoSpaceDE w:val="0"/>
      <w:autoSpaceDN w:val="0"/>
      <w:spacing w:before="0" w:line="240" w:lineRule="auto"/>
      <w:jc w:val="left"/>
    </w:pPr>
    <w:rPr>
      <w:rFonts w:eastAsia="Times New Roman" w:cs="Times New Roman"/>
      <w:color w:val="auto"/>
      <w:szCs w:val="24"/>
      <w:lang w:val="en-GB"/>
      <w14:ligatures w14:val="none"/>
    </w:rPr>
  </w:style>
  <w:style w:type="character" w:customStyle="1" w:styleId="BodyTextChar">
    <w:name w:val="Body Text Char"/>
    <w:basedOn w:val="DefaultParagraphFont"/>
    <w:link w:val="BodyText"/>
    <w:uiPriority w:val="1"/>
    <w:rsid w:val="00055D83"/>
    <w:rPr>
      <w:rFonts w:ascii="Times New Roman" w:eastAsia="Times New Roman" w:hAnsi="Times New Roman" w:cs="Times New Roman"/>
      <w:kern w:val="0"/>
      <w:sz w:val="24"/>
      <w:szCs w:val="24"/>
      <w:lang w:val="en-GB"/>
      <w14:ligatures w14:val="none"/>
    </w:rPr>
  </w:style>
  <w:style w:type="paragraph" w:customStyle="1" w:styleId="Default">
    <w:name w:val="Default"/>
    <w:rsid w:val="00055D83"/>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character" w:customStyle="1" w:styleId="apple-converted-space">
    <w:name w:val="apple-converted-space"/>
    <w:basedOn w:val="DefaultParagraphFont"/>
    <w:rsid w:val="007F1318"/>
  </w:style>
  <w:style w:type="paragraph" w:customStyle="1" w:styleId="TableParagraph">
    <w:name w:val="Table Paragraph"/>
    <w:basedOn w:val="Normal"/>
    <w:uiPriority w:val="1"/>
    <w:qFormat/>
    <w:rsid w:val="00A6679B"/>
    <w:pPr>
      <w:widowControl w:val="0"/>
      <w:autoSpaceDE w:val="0"/>
      <w:autoSpaceDN w:val="0"/>
      <w:spacing w:before="0" w:line="240" w:lineRule="auto"/>
      <w:jc w:val="left"/>
    </w:pPr>
    <w:rPr>
      <w:rFonts w:eastAsia="Times New Roman" w:cs="Times New Roman"/>
      <w:color w:val="auto"/>
      <w:sz w:val="22"/>
      <w14:ligatures w14:val="none"/>
    </w:rPr>
  </w:style>
  <w:style w:type="character" w:customStyle="1" w:styleId="Heading2Char">
    <w:name w:val="Heading 2 Char"/>
    <w:basedOn w:val="DefaultParagraphFont"/>
    <w:link w:val="Heading2"/>
    <w:uiPriority w:val="9"/>
    <w:semiHidden/>
    <w:rsid w:val="0060683F"/>
    <w:rPr>
      <w:rFonts w:asciiTheme="majorHAnsi" w:eastAsiaTheme="majorEastAsia" w:hAnsiTheme="majorHAnsi" w:cstheme="majorBidi"/>
      <w:color w:val="2F5496" w:themeColor="accent1" w:themeShade="BF"/>
      <w:kern w:val="0"/>
      <w:sz w:val="26"/>
      <w:szCs w:val="26"/>
    </w:rPr>
  </w:style>
  <w:style w:type="character" w:customStyle="1" w:styleId="Heading4Char">
    <w:name w:val="Heading 4 Char"/>
    <w:basedOn w:val="DefaultParagraphFont"/>
    <w:link w:val="Heading4"/>
    <w:uiPriority w:val="9"/>
    <w:semiHidden/>
    <w:rsid w:val="003D7198"/>
    <w:rPr>
      <w:rFonts w:asciiTheme="majorHAnsi" w:eastAsiaTheme="majorEastAsia" w:hAnsiTheme="majorHAnsi" w:cstheme="majorBidi"/>
      <w:i/>
      <w:iCs/>
      <w:color w:val="2F5496" w:themeColor="accent1" w:themeShade="BF"/>
      <w:kern w:val="0"/>
      <w:sz w:val="24"/>
    </w:rPr>
  </w:style>
  <w:style w:type="character" w:styleId="Emphasis">
    <w:name w:val="Emphasis"/>
    <w:qFormat/>
    <w:rsid w:val="00E1453F"/>
    <w:rPr>
      <w:i/>
      <w:iCs/>
    </w:rPr>
  </w:style>
  <w:style w:type="character" w:customStyle="1" w:styleId="Heading3Char">
    <w:name w:val="Heading 3 Char"/>
    <w:basedOn w:val="DefaultParagraphFont"/>
    <w:link w:val="Heading3"/>
    <w:uiPriority w:val="9"/>
    <w:qFormat/>
    <w:rsid w:val="00F111A2"/>
    <w:rPr>
      <w:rFonts w:asciiTheme="majorHAnsi" w:eastAsiaTheme="majorEastAsia" w:hAnsiTheme="majorHAnsi" w:cstheme="majorBidi"/>
      <w:color w:val="1F3763" w:themeColor="accent1" w:themeShade="7F"/>
      <w:kern w:val="0"/>
      <w:sz w:val="24"/>
      <w:szCs w:val="24"/>
    </w:rPr>
  </w:style>
  <w:style w:type="paragraph" w:styleId="NoSpacing">
    <w:name w:val="No Spacing"/>
    <w:uiPriority w:val="1"/>
    <w:qFormat/>
    <w:rsid w:val="00BB3A83"/>
    <w:pPr>
      <w:spacing w:after="0" w:line="240" w:lineRule="auto"/>
      <w:jc w:val="center"/>
    </w:pPr>
    <w:rPr>
      <w:rFonts w:ascii="Times New Roman" w:hAnsi="Times New Roman"/>
      <w:b/>
      <w:i/>
      <w:color w:val="000000" w:themeColor="text1"/>
      <w:kern w:val="0"/>
      <w:sz w:val="24"/>
      <w14:ligatures w14:val="none"/>
    </w:rPr>
  </w:style>
  <w:style w:type="table" w:styleId="TableGrid">
    <w:name w:val="Table Grid"/>
    <w:basedOn w:val="TableNormal"/>
    <w:uiPriority w:val="59"/>
    <w:qFormat/>
    <w:rsid w:val="00BB3A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B3A83"/>
    <w:pPr>
      <w:spacing w:before="0" w:after="200" w:line="240" w:lineRule="auto"/>
    </w:pPr>
    <w:rPr>
      <w:rFonts w:eastAsia="Times New Roman" w:cs="Times New Roman"/>
      <w:b/>
      <w:bCs/>
      <w:color w:val="4472C4" w:themeColor="accent1"/>
      <w:sz w:val="18"/>
      <w:szCs w:val="18"/>
      <w14:ligatures w14:val="none"/>
    </w:rPr>
  </w:style>
  <w:style w:type="character" w:customStyle="1" w:styleId="markedcontent">
    <w:name w:val="markedcontent"/>
    <w:basedOn w:val="DefaultParagraphFont"/>
    <w:rsid w:val="002D7340"/>
  </w:style>
  <w:style w:type="paragraph" w:customStyle="1" w:styleId="Tables">
    <w:name w:val="Tables"/>
    <w:basedOn w:val="Normal"/>
    <w:link w:val="TablesChar"/>
    <w:qFormat/>
    <w:rsid w:val="00076BA5"/>
    <w:pPr>
      <w:spacing w:before="0" w:line="240" w:lineRule="auto"/>
      <w:jc w:val="left"/>
    </w:pPr>
    <w:rPr>
      <w:rFonts w:eastAsiaTheme="minorHAnsi" w:cs="Times New Roman"/>
      <w:b/>
      <w:color w:val="auto"/>
      <w:szCs w:val="24"/>
      <w14:ligatures w14:val="none"/>
    </w:rPr>
  </w:style>
  <w:style w:type="character" w:customStyle="1" w:styleId="TablesChar">
    <w:name w:val="Tables Char"/>
    <w:basedOn w:val="DefaultParagraphFont"/>
    <w:link w:val="Tables"/>
    <w:rsid w:val="00076BA5"/>
    <w:rPr>
      <w:rFonts w:ascii="Times New Roman" w:hAnsi="Times New Roman" w:cs="Times New Roman"/>
      <w:b/>
      <w:kern w:val="0"/>
      <w:sz w:val="24"/>
      <w:szCs w:val="24"/>
      <w14:ligatures w14:val="none"/>
    </w:rPr>
  </w:style>
  <w:style w:type="character" w:styleId="Hyperlink">
    <w:name w:val="Hyperlink"/>
    <w:basedOn w:val="DefaultParagraphFont"/>
    <w:uiPriority w:val="99"/>
    <w:unhideWhenUsed/>
    <w:rsid w:val="001E649F"/>
    <w:rPr>
      <w:color w:val="0563C1" w:themeColor="hyperlink"/>
      <w:u w:val="single"/>
    </w:rPr>
  </w:style>
  <w:style w:type="character" w:customStyle="1" w:styleId="UnresolvedMention1">
    <w:name w:val="Unresolved Mention1"/>
    <w:basedOn w:val="DefaultParagraphFont"/>
    <w:uiPriority w:val="99"/>
    <w:semiHidden/>
    <w:unhideWhenUsed/>
    <w:rsid w:val="001E649F"/>
    <w:rPr>
      <w:color w:val="605E5C"/>
      <w:shd w:val="clear" w:color="auto" w:fill="E1DFDD"/>
    </w:rPr>
  </w:style>
  <w:style w:type="paragraph" w:styleId="NormalWeb">
    <w:name w:val="Normal (Web)"/>
    <w:basedOn w:val="Normal"/>
    <w:uiPriority w:val="99"/>
    <w:unhideWhenUsed/>
    <w:rsid w:val="00D16476"/>
    <w:pPr>
      <w:spacing w:before="100" w:beforeAutospacing="1" w:after="100" w:afterAutospacing="1" w:line="240" w:lineRule="auto"/>
      <w:jc w:val="left"/>
    </w:pPr>
    <w:rPr>
      <w:rFonts w:eastAsia="Times New Roman" w:cs="Times New Roman"/>
      <w:color w:val="auto"/>
      <w:szCs w:val="24"/>
      <w14:ligatures w14:val="none"/>
    </w:rPr>
  </w:style>
  <w:style w:type="paragraph" w:customStyle="1" w:styleId="TABLES0">
    <w:name w:val="TABLES"/>
    <w:basedOn w:val="Normal"/>
    <w:qFormat/>
    <w:rsid w:val="00437393"/>
    <w:pPr>
      <w:spacing w:before="120" w:after="120"/>
    </w:pPr>
    <w:rPr>
      <w:rFonts w:cs="Times New Roman"/>
      <w:b/>
      <w:color w:val="auto"/>
      <w14:ligatures w14:val="none"/>
    </w:rPr>
  </w:style>
  <w:style w:type="table" w:styleId="PlainTable5">
    <w:name w:val="Plain Table 5"/>
    <w:basedOn w:val="TableNormal"/>
    <w:uiPriority w:val="45"/>
    <w:rsid w:val="00C053F5"/>
    <w:pPr>
      <w:spacing w:after="0" w:line="240" w:lineRule="auto"/>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ofTables">
    <w:name w:val="List of Tables"/>
    <w:basedOn w:val="Caption"/>
    <w:next w:val="Caption"/>
    <w:qFormat/>
    <w:rsid w:val="00860F17"/>
    <w:pPr>
      <w:keepNext/>
      <w:jc w:val="left"/>
    </w:pPr>
    <w:rPr>
      <w:rFonts w:eastAsia="Calibri"/>
      <w:color w:val="auto"/>
      <w:kern w:val="2"/>
      <w:sz w:val="24"/>
      <w:szCs w:val="24"/>
      <w14:ligatures w14:val="standardContextual"/>
    </w:rPr>
  </w:style>
  <w:style w:type="character" w:customStyle="1" w:styleId="UnresolvedMention2">
    <w:name w:val="Unresolved Mention2"/>
    <w:basedOn w:val="DefaultParagraphFont"/>
    <w:uiPriority w:val="99"/>
    <w:semiHidden/>
    <w:unhideWhenUsed/>
    <w:rsid w:val="00790BF9"/>
    <w:rPr>
      <w:color w:val="605E5C"/>
      <w:shd w:val="clear" w:color="auto" w:fill="E1DFDD"/>
    </w:rPr>
  </w:style>
  <w:style w:type="character" w:customStyle="1" w:styleId="UnresolvedMention3">
    <w:name w:val="Unresolved Mention3"/>
    <w:basedOn w:val="DefaultParagraphFont"/>
    <w:uiPriority w:val="99"/>
    <w:semiHidden/>
    <w:unhideWhenUsed/>
    <w:rsid w:val="00772DE0"/>
    <w:rPr>
      <w:color w:val="605E5C"/>
      <w:shd w:val="clear" w:color="auto" w:fill="E1DFDD"/>
    </w:rPr>
  </w:style>
  <w:style w:type="paragraph" w:styleId="Header">
    <w:name w:val="header"/>
    <w:basedOn w:val="Normal"/>
    <w:link w:val="HeaderChar"/>
    <w:uiPriority w:val="99"/>
    <w:unhideWhenUsed/>
    <w:rsid w:val="00FA3E7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A3E75"/>
    <w:rPr>
      <w:rFonts w:ascii="Times New Roman" w:eastAsia="Calibri" w:hAnsi="Times New Roman" w:cs="SimSun"/>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9357">
      <w:bodyDiv w:val="1"/>
      <w:marLeft w:val="0"/>
      <w:marRight w:val="0"/>
      <w:marTop w:val="0"/>
      <w:marBottom w:val="0"/>
      <w:divBdr>
        <w:top w:val="none" w:sz="0" w:space="0" w:color="auto"/>
        <w:left w:val="none" w:sz="0" w:space="0" w:color="auto"/>
        <w:bottom w:val="none" w:sz="0" w:space="0" w:color="auto"/>
        <w:right w:val="none" w:sz="0" w:space="0" w:color="auto"/>
      </w:divBdr>
    </w:div>
    <w:div w:id="340470004">
      <w:bodyDiv w:val="1"/>
      <w:marLeft w:val="0"/>
      <w:marRight w:val="0"/>
      <w:marTop w:val="0"/>
      <w:marBottom w:val="0"/>
      <w:divBdr>
        <w:top w:val="none" w:sz="0" w:space="0" w:color="auto"/>
        <w:left w:val="none" w:sz="0" w:space="0" w:color="auto"/>
        <w:bottom w:val="none" w:sz="0" w:space="0" w:color="auto"/>
        <w:right w:val="none" w:sz="0" w:space="0" w:color="auto"/>
      </w:divBdr>
    </w:div>
    <w:div w:id="566765604">
      <w:bodyDiv w:val="1"/>
      <w:marLeft w:val="0"/>
      <w:marRight w:val="0"/>
      <w:marTop w:val="0"/>
      <w:marBottom w:val="0"/>
      <w:divBdr>
        <w:top w:val="none" w:sz="0" w:space="0" w:color="auto"/>
        <w:left w:val="none" w:sz="0" w:space="0" w:color="auto"/>
        <w:bottom w:val="none" w:sz="0" w:space="0" w:color="auto"/>
        <w:right w:val="none" w:sz="0" w:space="0" w:color="auto"/>
      </w:divBdr>
    </w:div>
    <w:div w:id="583222418">
      <w:bodyDiv w:val="1"/>
      <w:marLeft w:val="0"/>
      <w:marRight w:val="0"/>
      <w:marTop w:val="0"/>
      <w:marBottom w:val="0"/>
      <w:divBdr>
        <w:top w:val="none" w:sz="0" w:space="0" w:color="auto"/>
        <w:left w:val="none" w:sz="0" w:space="0" w:color="auto"/>
        <w:bottom w:val="none" w:sz="0" w:space="0" w:color="auto"/>
        <w:right w:val="none" w:sz="0" w:space="0" w:color="auto"/>
      </w:divBdr>
    </w:div>
    <w:div w:id="618725703">
      <w:bodyDiv w:val="1"/>
      <w:marLeft w:val="0"/>
      <w:marRight w:val="0"/>
      <w:marTop w:val="0"/>
      <w:marBottom w:val="0"/>
      <w:divBdr>
        <w:top w:val="none" w:sz="0" w:space="0" w:color="auto"/>
        <w:left w:val="none" w:sz="0" w:space="0" w:color="auto"/>
        <w:bottom w:val="none" w:sz="0" w:space="0" w:color="auto"/>
        <w:right w:val="none" w:sz="0" w:space="0" w:color="auto"/>
      </w:divBdr>
    </w:div>
    <w:div w:id="947202476">
      <w:bodyDiv w:val="1"/>
      <w:marLeft w:val="0"/>
      <w:marRight w:val="0"/>
      <w:marTop w:val="0"/>
      <w:marBottom w:val="0"/>
      <w:divBdr>
        <w:top w:val="none" w:sz="0" w:space="0" w:color="auto"/>
        <w:left w:val="none" w:sz="0" w:space="0" w:color="auto"/>
        <w:bottom w:val="none" w:sz="0" w:space="0" w:color="auto"/>
        <w:right w:val="none" w:sz="0" w:space="0" w:color="auto"/>
      </w:divBdr>
    </w:div>
    <w:div w:id="1041175574">
      <w:bodyDiv w:val="1"/>
      <w:marLeft w:val="0"/>
      <w:marRight w:val="0"/>
      <w:marTop w:val="0"/>
      <w:marBottom w:val="0"/>
      <w:divBdr>
        <w:top w:val="none" w:sz="0" w:space="0" w:color="auto"/>
        <w:left w:val="none" w:sz="0" w:space="0" w:color="auto"/>
        <w:bottom w:val="none" w:sz="0" w:space="0" w:color="auto"/>
        <w:right w:val="none" w:sz="0" w:space="0" w:color="auto"/>
      </w:divBdr>
    </w:div>
    <w:div w:id="1208760504">
      <w:bodyDiv w:val="1"/>
      <w:marLeft w:val="0"/>
      <w:marRight w:val="0"/>
      <w:marTop w:val="0"/>
      <w:marBottom w:val="0"/>
      <w:divBdr>
        <w:top w:val="none" w:sz="0" w:space="0" w:color="auto"/>
        <w:left w:val="none" w:sz="0" w:space="0" w:color="auto"/>
        <w:bottom w:val="none" w:sz="0" w:space="0" w:color="auto"/>
        <w:right w:val="none" w:sz="0" w:space="0" w:color="auto"/>
      </w:divBdr>
    </w:div>
    <w:div w:id="1380744296">
      <w:bodyDiv w:val="1"/>
      <w:marLeft w:val="0"/>
      <w:marRight w:val="0"/>
      <w:marTop w:val="0"/>
      <w:marBottom w:val="0"/>
      <w:divBdr>
        <w:top w:val="none" w:sz="0" w:space="0" w:color="auto"/>
        <w:left w:val="none" w:sz="0" w:space="0" w:color="auto"/>
        <w:bottom w:val="none" w:sz="0" w:space="0" w:color="auto"/>
        <w:right w:val="none" w:sz="0" w:space="0" w:color="auto"/>
      </w:divBdr>
    </w:div>
    <w:div w:id="1746954200">
      <w:bodyDiv w:val="1"/>
      <w:marLeft w:val="0"/>
      <w:marRight w:val="0"/>
      <w:marTop w:val="0"/>
      <w:marBottom w:val="0"/>
      <w:divBdr>
        <w:top w:val="none" w:sz="0" w:space="0" w:color="auto"/>
        <w:left w:val="none" w:sz="0" w:space="0" w:color="auto"/>
        <w:bottom w:val="none" w:sz="0" w:space="0" w:color="auto"/>
        <w:right w:val="none" w:sz="0" w:space="0" w:color="auto"/>
      </w:divBdr>
    </w:div>
    <w:div w:id="1806503340">
      <w:bodyDiv w:val="1"/>
      <w:marLeft w:val="0"/>
      <w:marRight w:val="0"/>
      <w:marTop w:val="0"/>
      <w:marBottom w:val="0"/>
      <w:divBdr>
        <w:top w:val="none" w:sz="0" w:space="0" w:color="auto"/>
        <w:left w:val="none" w:sz="0" w:space="0" w:color="auto"/>
        <w:bottom w:val="none" w:sz="0" w:space="0" w:color="auto"/>
        <w:right w:val="none" w:sz="0" w:space="0" w:color="auto"/>
      </w:divBdr>
    </w:div>
    <w:div w:id="18302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8892</Words>
  <Characters>50687</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WUCHERERIA BANCROFTI</dc:creator>
  <cp:keywords/>
  <dc:description/>
  <cp:lastModifiedBy>Editor-90</cp:lastModifiedBy>
  <cp:revision>3</cp:revision>
  <dcterms:created xsi:type="dcterms:W3CDTF">2025-09-24T07:56:00Z</dcterms:created>
  <dcterms:modified xsi:type="dcterms:W3CDTF">2025-09-25T09:28:00Z</dcterms:modified>
</cp:coreProperties>
</file>